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213"/>
        </w:tabs>
        <w:jc w:val="left"/>
        <w:rPr>
          <w:rFonts w:hint="eastAsia" w:ascii="仿宋_GB2312" w:hAnsi="仿宋_GB2312" w:eastAsia="仿宋_GB2312" w:cs="仿宋_GB2312"/>
          <w:b w:val="0"/>
          <w:bCs w:val="0"/>
          <w:sz w:val="36"/>
          <w:szCs w:val="36"/>
          <w:lang w:val="en-US" w:eastAsia="zh-CN"/>
        </w:rPr>
      </w:pPr>
      <w:r>
        <w:rPr>
          <w:rFonts w:hint="eastAsia" w:ascii="黑体" w:hAnsi="黑体" w:eastAsia="黑体" w:cs="黑体"/>
          <w:b w:val="0"/>
          <w:bCs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bCs/>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宋体"/>
          <w:bCs/>
          <w:color w:val="auto"/>
          <w:sz w:val="44"/>
          <w:szCs w:val="44"/>
          <w:highlight w:val="none"/>
        </w:rPr>
      </w:pPr>
      <w:r>
        <w:rPr>
          <w:rFonts w:hint="eastAsia" w:ascii="方正小标宋简体" w:eastAsia="方正小标宋简体"/>
          <w:bCs/>
          <w:color w:val="auto"/>
          <w:sz w:val="44"/>
          <w:szCs w:val="44"/>
          <w:highlight w:val="none"/>
        </w:rPr>
        <w:t>北京市园林绿化行政</w:t>
      </w:r>
      <w:r>
        <w:rPr>
          <w:rFonts w:hint="eastAsia" w:ascii="方正小标宋简体" w:hAnsi="宋体" w:eastAsia="方正小标宋简体" w:cs="宋体"/>
          <w:bCs/>
          <w:color w:val="auto"/>
          <w:sz w:val="44"/>
          <w:szCs w:val="44"/>
          <w:highlight w:val="none"/>
        </w:rPr>
        <w:t>处罚自由裁量权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宋体"/>
          <w:bCs/>
          <w:color w:val="auto"/>
          <w:sz w:val="44"/>
          <w:szCs w:val="44"/>
          <w:highlight w:val="none"/>
        </w:rPr>
      </w:pPr>
      <w:bookmarkStart w:id="0" w:name="_GoBack"/>
      <w:bookmarkEnd w:id="0"/>
      <w:r>
        <w:rPr>
          <w:rFonts w:hint="eastAsia" w:ascii="方正小标宋简体" w:hAnsi="宋体" w:eastAsia="方正小标宋简体" w:cs="宋体"/>
          <w:bCs/>
          <w:color w:val="auto"/>
          <w:sz w:val="44"/>
          <w:szCs w:val="44"/>
          <w:highlight w:val="none"/>
        </w:rPr>
        <w:t>适用规则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宋体"/>
          <w:color w:val="auto"/>
          <w:kern w:val="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color w:val="auto"/>
          <w:highlight w:val="none"/>
        </w:rPr>
      </w:pPr>
      <w:r>
        <w:rPr>
          <w:rFonts w:hint="eastAsia"/>
          <w:color w:val="auto"/>
          <w:highlight w:val="none"/>
        </w:rPr>
        <w:t>第一条</w:t>
      </w:r>
      <w:r>
        <w:rPr>
          <w:color w:val="auto"/>
          <w:highlight w:val="none"/>
        </w:rPr>
        <w:t xml:space="preserve">  </w:t>
      </w:r>
      <w:r>
        <w:rPr>
          <w:rFonts w:hint="eastAsia"/>
          <w:color w:val="auto"/>
          <w:highlight w:val="none"/>
        </w:rPr>
        <w:t>为了规范本市园林绿化行政处罚行为，保障公平、公正、合法、合理地行使行政处罚自由裁量权，根据《中华人民共和国行政处罚法》《北京市实施行政处罚程序若干规定》等规定，制定本规则。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color w:val="auto"/>
          <w:highlight w:val="none"/>
        </w:rPr>
      </w:pPr>
      <w:r>
        <w:rPr>
          <w:rFonts w:hint="eastAsia"/>
          <w:color w:val="auto"/>
          <w:highlight w:val="none"/>
        </w:rPr>
        <w:t>第二条</w:t>
      </w:r>
      <w:r>
        <w:rPr>
          <w:color w:val="auto"/>
          <w:highlight w:val="none"/>
        </w:rPr>
        <w:t xml:space="preserve">  </w:t>
      </w:r>
      <w:r>
        <w:rPr>
          <w:rFonts w:hint="eastAsia"/>
          <w:color w:val="auto"/>
          <w:highlight w:val="none"/>
          <w:lang w:eastAsia="zh-CN"/>
        </w:rPr>
        <w:t>市、区</w:t>
      </w:r>
      <w:r>
        <w:rPr>
          <w:rFonts w:hint="eastAsia"/>
          <w:color w:val="auto"/>
          <w:highlight w:val="none"/>
        </w:rPr>
        <w:t>园林绿化部门在本市辖区内实施的行政处罚，适用本规则。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color w:val="auto"/>
          <w:highlight w:val="none"/>
        </w:rPr>
      </w:pPr>
      <w:r>
        <w:rPr>
          <w:rFonts w:hint="eastAsia"/>
          <w:color w:val="auto"/>
          <w:highlight w:val="none"/>
        </w:rPr>
        <w:t>第三条</w:t>
      </w:r>
      <w:r>
        <w:rPr>
          <w:color w:val="auto"/>
          <w:highlight w:val="none"/>
        </w:rPr>
        <w:t xml:space="preserve">  </w:t>
      </w:r>
      <w:r>
        <w:rPr>
          <w:rFonts w:hint="eastAsia"/>
          <w:color w:val="auto"/>
          <w:highlight w:val="none"/>
        </w:rPr>
        <w:t>本规则所称行政处罚自由裁量权，是指</w:t>
      </w:r>
      <w:r>
        <w:rPr>
          <w:rFonts w:hint="eastAsia"/>
          <w:color w:val="auto"/>
          <w:highlight w:val="none"/>
          <w:lang w:eastAsia="zh-CN"/>
        </w:rPr>
        <w:t>园林绿化部门</w:t>
      </w:r>
      <w:r>
        <w:rPr>
          <w:rFonts w:hint="eastAsia"/>
          <w:color w:val="auto"/>
          <w:highlight w:val="none"/>
        </w:rPr>
        <w:t>在法定行政处罚权限范围内，对违法行为是否给予行政处罚、给予何种行政处罚以及给予何种幅度行政处罚的自主决定权。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color w:val="auto"/>
          <w:highlight w:val="none"/>
        </w:rPr>
      </w:pPr>
      <w:r>
        <w:rPr>
          <w:rFonts w:hint="eastAsia"/>
          <w:color w:val="auto"/>
          <w:highlight w:val="none"/>
        </w:rPr>
        <w:t>第四条</w:t>
      </w:r>
      <w:r>
        <w:rPr>
          <w:color w:val="auto"/>
          <w:highlight w:val="none"/>
        </w:rPr>
        <w:t xml:space="preserve">  </w:t>
      </w:r>
      <w:r>
        <w:rPr>
          <w:rFonts w:hint="eastAsia"/>
          <w:color w:val="auto"/>
          <w:highlight w:val="none"/>
        </w:rPr>
        <w:t>行使行政处罚自由裁量权应当以事实为依据，遵循处罚法定、公平公正</w:t>
      </w:r>
      <w:r>
        <w:rPr>
          <w:rFonts w:hint="eastAsia"/>
          <w:color w:val="auto"/>
          <w:highlight w:val="none"/>
          <w:lang w:eastAsia="zh-CN"/>
        </w:rPr>
        <w:t>、</w:t>
      </w:r>
      <w:r>
        <w:rPr>
          <w:rFonts w:hint="eastAsia"/>
          <w:color w:val="auto"/>
          <w:highlight w:val="none"/>
        </w:rPr>
        <w:t>处罚与教育相结合的原则。</w:t>
      </w:r>
      <w:r>
        <w:rPr>
          <w:color w:val="auto"/>
          <w:highlight w:val="none"/>
          <w:lang w:val="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color w:val="auto"/>
          <w:highlight w:val="none"/>
        </w:rPr>
      </w:pPr>
      <w:r>
        <w:rPr>
          <w:rFonts w:hint="eastAsia"/>
          <w:color w:val="auto"/>
          <w:highlight w:val="none"/>
        </w:rPr>
        <w:t>第五条</w:t>
      </w:r>
      <w:r>
        <w:rPr>
          <w:color w:val="auto"/>
          <w:highlight w:val="none"/>
        </w:rPr>
        <w:t xml:space="preserve">  </w:t>
      </w:r>
      <w:r>
        <w:rPr>
          <w:rFonts w:hint="eastAsia"/>
          <w:color w:val="auto"/>
          <w:highlight w:val="none"/>
        </w:rPr>
        <w:t>当事人有《中华人民共和国行政处罚法》规定从轻、减轻或者从重情节的，应当依法从轻、减轻或者从重处罚。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lang w:eastAsia="zh-CN"/>
        </w:rPr>
        <w:t>依法</w:t>
      </w:r>
      <w:r>
        <w:rPr>
          <w:rFonts w:hint="eastAsia"/>
          <w:color w:val="auto"/>
          <w:highlight w:val="none"/>
        </w:rPr>
        <w:t>从轻处罚的，不得低于法定处罚幅度最低限；</w:t>
      </w:r>
      <w:r>
        <w:rPr>
          <w:rFonts w:hint="eastAsia"/>
          <w:color w:val="auto"/>
          <w:highlight w:val="none"/>
          <w:lang w:eastAsia="zh-CN"/>
        </w:rPr>
        <w:t>依法</w:t>
      </w:r>
      <w:r>
        <w:rPr>
          <w:rFonts w:hint="eastAsia"/>
          <w:color w:val="auto"/>
          <w:highlight w:val="none"/>
        </w:rPr>
        <w:t>减轻处罚的，应当低于法定处罚幅度最低限；</w:t>
      </w:r>
      <w:r>
        <w:rPr>
          <w:rFonts w:hint="eastAsia"/>
          <w:color w:val="auto"/>
          <w:highlight w:val="none"/>
          <w:lang w:val="zh-CN"/>
        </w:rPr>
        <w:t>依法从重处罚的，不得高于</w:t>
      </w:r>
      <w:r>
        <w:rPr>
          <w:rFonts w:hint="eastAsia"/>
          <w:color w:val="auto"/>
          <w:highlight w:val="none"/>
        </w:rPr>
        <w:t>法定处罚幅度最高限。</w:t>
      </w:r>
    </w:p>
    <w:p>
      <w:pPr>
        <w:keepNext w:val="0"/>
        <w:keepLines w:val="0"/>
        <w:widowControl/>
        <w:suppressLineNumbers w:val="0"/>
        <w:jc w:val="both"/>
        <w:rPr>
          <w:rFonts w:hint="eastAsia" w:ascii="黑体" w:hAnsi="黑体" w:eastAsia="黑体" w:cs="黑体"/>
          <w:b w:val="0"/>
          <w:bCs w:val="0"/>
          <w:color w:val="auto"/>
          <w:highlight w:val="none"/>
          <w:lang w:val="en-US" w:eastAsia="zh-CN"/>
        </w:rPr>
      </w:pPr>
      <w:r>
        <w:rPr>
          <w:rFonts w:hint="eastAsia"/>
          <w:color w:val="auto"/>
          <w:highlight w:val="none"/>
          <w:lang w:val="en-US" w:eastAsia="zh-CN"/>
        </w:rPr>
        <w:t xml:space="preserve">   </w:t>
      </w:r>
      <w:r>
        <w:rPr>
          <w:rFonts w:hint="eastAsia"/>
          <w:b w:val="0"/>
          <w:bCs w:val="0"/>
          <w:color w:val="auto"/>
          <w:highlight w:val="none"/>
          <w:lang w:val="en-US" w:eastAsia="zh-CN"/>
        </w:rPr>
        <w:t xml:space="preserve"> </w:t>
      </w:r>
      <w:r>
        <w:rPr>
          <w:rFonts w:hint="eastAsia" w:ascii="仿宋_GB2312" w:hAnsi="仿宋_GB2312" w:eastAsia="仿宋_GB2312" w:cs="仿宋_GB2312"/>
          <w:b w:val="0"/>
          <w:bCs w:val="0"/>
          <w:color w:val="auto"/>
          <w:highlight w:val="none"/>
          <w:lang w:val="en-US" w:eastAsia="zh-CN"/>
        </w:rPr>
        <w:t xml:space="preserve">第六条 </w:t>
      </w:r>
      <w:r>
        <w:rPr>
          <w:rFonts w:hint="eastAsia" w:ascii="仿宋_GB2312" w:hAnsi="仿宋_GB2312" w:cs="仿宋_GB2312"/>
          <w:b w:val="0"/>
          <w:bCs w:val="0"/>
          <w:color w:val="auto"/>
          <w:highlight w:val="none"/>
          <w:lang w:val="en-US" w:eastAsia="zh-CN"/>
        </w:rPr>
        <w:t xml:space="preserve"> </w:t>
      </w:r>
      <w:r>
        <w:rPr>
          <w:rFonts w:hint="eastAsia" w:ascii="仿宋_GB2312" w:hAnsi="仿宋_GB2312" w:eastAsia="仿宋_GB2312" w:cs="仿宋_GB2312"/>
          <w:b w:val="0"/>
          <w:bCs w:val="0"/>
          <w:color w:val="auto"/>
          <w:highlight w:val="none"/>
          <w:lang w:val="en-US" w:eastAsia="zh-CN"/>
        </w:rPr>
        <w:t>当事人积极履行生态环境损害赔偿责任的，可以视为</w:t>
      </w:r>
      <w:r>
        <w:rPr>
          <w:rFonts w:hint="eastAsia" w:ascii="仿宋_GB2312" w:hAnsi="仿宋_GB2312" w:cs="仿宋_GB2312"/>
          <w:b w:val="0"/>
          <w:bCs w:val="0"/>
          <w:color w:val="auto"/>
          <w:highlight w:val="none"/>
          <w:lang w:val="en-US" w:eastAsia="zh-CN"/>
        </w:rPr>
        <w:t>符合</w:t>
      </w:r>
      <w:r>
        <w:rPr>
          <w:rFonts w:hint="eastAsia" w:ascii="仿宋_GB2312" w:hAnsi="仿宋_GB2312" w:eastAsia="仿宋_GB2312" w:cs="仿宋_GB2312"/>
          <w:b w:val="0"/>
          <w:bCs w:val="0"/>
          <w:color w:val="auto"/>
          <w:highlight w:val="none"/>
          <w:lang w:val="en-US" w:eastAsia="zh-CN"/>
        </w:rPr>
        <w:t>《中华人民共和国行政处罚法》第三十二条第一项规定的情形，依法作出从轻或者减轻的行政处罚。</w:t>
      </w:r>
      <w:r>
        <w:rPr>
          <w:rFonts w:hint="eastAsia" w:ascii="黑体" w:hAnsi="黑体" w:eastAsia="黑体" w:cs="黑体"/>
          <w:b w:val="0"/>
          <w:bCs w:val="0"/>
          <w:color w:val="auto"/>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第七条</w:t>
      </w:r>
      <w:r>
        <w:rPr>
          <w:rFonts w:hint="eastAsia" w:ascii="仿宋_GB2312" w:hAnsi="仿宋_GB2312" w:eastAsia="仿宋_GB2312" w:cs="仿宋_GB2312"/>
          <w:color w:val="auto"/>
          <w:highlight w:val="none"/>
          <w:lang w:val="en-US" w:eastAsia="zh-CN"/>
        </w:rPr>
        <w:t xml:space="preserve">  有</w:t>
      </w:r>
      <w:r>
        <w:rPr>
          <w:rFonts w:hint="eastAsia" w:ascii="仿宋_GB2312" w:hAnsi="仿宋_GB2312" w:eastAsia="仿宋_GB2312" w:cs="仿宋_GB2312"/>
          <w:sz w:val="32"/>
          <w:szCs w:val="32"/>
          <w:lang w:val="en-US" w:eastAsia="zh-CN"/>
        </w:rPr>
        <w:t>违法行为轻微并及时改正且没有造成危害后果</w:t>
      </w:r>
      <w:r>
        <w:rPr>
          <w:rFonts w:hint="eastAsia" w:ascii="仿宋_GB2312" w:hAnsi="仿宋_GB2312" w:eastAsia="仿宋_GB2312" w:cs="仿宋_GB2312"/>
          <w:color w:val="auto"/>
          <w:highlight w:val="none"/>
        </w:rPr>
        <w:t>（以下简称轻微违法）或者初次违法且危害后果轻微并及时改正（以下简称初次违法）的，依据《中华人民共和国行政处罚法》的规定，依法不予处罚。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轻微违法情形的认定原则为，当事人实施的违法行为轻微、未造成不良社会影响并立即主动改正或者在责令改正期限内改正，且没有危害后果。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初次违法情形的认定原则为，当事人实施的违法行为在北京市行政区域一年内无同一行为的违法记录，且危害后果轻微，没有造成不良社会影响，并立即主动改正或者在责令改正期限内改正。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 xml:space="preserve">第八条  </w:t>
      </w:r>
      <w:r>
        <w:rPr>
          <w:rFonts w:hint="eastAsia" w:ascii="仿宋_GB2312" w:hAnsi="仿宋_GB2312" w:eastAsia="仿宋_GB2312" w:cs="仿宋_GB2312"/>
          <w:color w:val="auto"/>
          <w:highlight w:val="none"/>
        </w:rPr>
        <w:t>园林绿化部门</w:t>
      </w:r>
      <w:r>
        <w:rPr>
          <w:rFonts w:hint="eastAsia" w:ascii="仿宋_GB2312" w:hAnsi="仿宋_GB2312" w:eastAsia="仿宋_GB2312" w:cs="仿宋_GB2312"/>
          <w:color w:val="auto"/>
          <w:highlight w:val="none"/>
          <w:lang w:eastAsia="zh-CN"/>
        </w:rPr>
        <w:t>适用轻微违法或初次违法程序时，应当遵守下列程序规定：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（一）除适用简易程序外，其他案件在核实后</w:t>
      </w:r>
      <w:r>
        <w:rPr>
          <w:rFonts w:hint="eastAsia" w:ascii="仿宋_GB2312" w:hAnsi="仿宋_GB2312" w:cs="仿宋_GB2312"/>
          <w:color w:val="auto"/>
          <w:highlight w:val="none"/>
          <w:lang w:eastAsia="zh-CN"/>
        </w:rPr>
        <w:t>应当</w:t>
      </w:r>
      <w:r>
        <w:rPr>
          <w:rFonts w:hint="eastAsia" w:ascii="仿宋_GB2312" w:hAnsi="仿宋_GB2312" w:eastAsia="仿宋_GB2312" w:cs="仿宋_GB2312"/>
          <w:color w:val="auto"/>
          <w:highlight w:val="none"/>
          <w:lang w:eastAsia="zh-CN"/>
        </w:rPr>
        <w:t>依法立案；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（二）除当事人立即主动改正外，应当制发限期责令改正通知书</w:t>
      </w:r>
      <w:r>
        <w:rPr>
          <w:rFonts w:hint="eastAsia" w:ascii="仿宋_GB2312" w:hAnsi="仿宋_GB2312" w:cs="仿宋_GB2312"/>
          <w:color w:val="auto"/>
          <w:highlight w:val="none"/>
          <w:lang w:eastAsia="zh-CN"/>
        </w:rPr>
        <w:t>送达当事人</w:t>
      </w:r>
      <w:r>
        <w:rPr>
          <w:rFonts w:hint="eastAsia" w:ascii="仿宋_GB2312" w:hAnsi="仿宋_GB2312" w:eastAsia="仿宋_GB2312" w:cs="仿宋_GB2312"/>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（三）不予行政处罚的，经事先告知程序后制发不予行政处罚决定书并送达当事人。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 xml:space="preserve">第九条  </w:t>
      </w:r>
      <w:r>
        <w:rPr>
          <w:rFonts w:hint="eastAsia" w:ascii="仿宋_GB2312" w:hAnsi="仿宋_GB2312" w:cs="仿宋_GB2312"/>
          <w:color w:val="auto"/>
          <w:highlight w:val="none"/>
          <w:lang w:val="en-US" w:eastAsia="zh-CN"/>
        </w:rPr>
        <w:t>符合</w:t>
      </w:r>
      <w:r>
        <w:rPr>
          <w:rFonts w:hint="eastAsia" w:ascii="仿宋_GB2312" w:hAnsi="仿宋_GB2312" w:eastAsia="仿宋_GB2312" w:cs="仿宋_GB2312"/>
          <w:color w:val="auto"/>
          <w:highlight w:val="none"/>
          <w:lang w:val="en-US" w:eastAsia="zh-CN"/>
        </w:rPr>
        <w:t>《北京市园林绿化轻微违法和初次违法不予处罚事项清单》（以下简称《清单》）所列</w:t>
      </w:r>
      <w:r>
        <w:rPr>
          <w:rFonts w:hint="eastAsia" w:ascii="仿宋_GB2312" w:hAnsi="仿宋_GB2312" w:cs="仿宋_GB2312"/>
          <w:color w:val="auto"/>
          <w:highlight w:val="none"/>
          <w:lang w:val="en-US" w:eastAsia="zh-CN"/>
        </w:rPr>
        <w:t>条件的违法行为</w:t>
      </w:r>
      <w:r>
        <w:rPr>
          <w:rFonts w:hint="eastAsia" w:ascii="仿宋_GB2312" w:hAnsi="仿宋_GB2312" w:eastAsia="仿宋_GB2312" w:cs="仿宋_GB2312"/>
          <w:color w:val="auto"/>
          <w:highlight w:val="none"/>
          <w:lang w:val="en-US" w:eastAsia="zh-CN"/>
        </w:rPr>
        <w:t>，</w:t>
      </w:r>
      <w:r>
        <w:rPr>
          <w:rFonts w:hint="eastAsia" w:ascii="仿宋_GB2312" w:hAnsi="仿宋_GB2312" w:cs="仿宋_GB2312"/>
          <w:color w:val="auto"/>
          <w:highlight w:val="none"/>
          <w:lang w:val="en-US" w:eastAsia="zh-CN"/>
        </w:rPr>
        <w:t>应当依法</w:t>
      </w:r>
      <w:r>
        <w:rPr>
          <w:rFonts w:hint="eastAsia" w:ascii="仿宋_GB2312" w:hAnsi="仿宋_GB2312" w:eastAsia="仿宋_GB2312" w:cs="仿宋_GB2312"/>
          <w:color w:val="auto"/>
          <w:highlight w:val="none"/>
          <w:lang w:val="en-US" w:eastAsia="zh-CN"/>
        </w:rPr>
        <w:t>不予行政处罚；对未列入《清单》，但综合考虑违法行为的性质、情节、危害程度、社会影响、改正情况以及是否初次违法等因素，符合《中华人民共和国行政处罚法》等法律、法规、规章规定的不予处罚情形的，</w:t>
      </w:r>
      <w:r>
        <w:rPr>
          <w:rFonts w:hint="eastAsia" w:ascii="仿宋_GB2312" w:hAnsi="仿宋_GB2312" w:cs="仿宋_GB2312"/>
          <w:color w:val="auto"/>
          <w:highlight w:val="none"/>
          <w:lang w:val="en-US" w:eastAsia="zh-CN"/>
        </w:rPr>
        <w:t>可以</w:t>
      </w:r>
      <w:r>
        <w:rPr>
          <w:rFonts w:hint="eastAsia" w:ascii="仿宋_GB2312" w:hAnsi="仿宋_GB2312" w:eastAsia="仿宋_GB2312" w:cs="仿宋_GB2312"/>
          <w:color w:val="auto"/>
          <w:highlight w:val="none"/>
          <w:lang w:val="en-US" w:eastAsia="zh-CN"/>
        </w:rPr>
        <w:t>不予行政处罚。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eastAsia="zh-CN"/>
        </w:rPr>
      </w:pPr>
      <w:r>
        <w:rPr>
          <w:rFonts w:hint="eastAsia" w:ascii="仿宋_GB2312" w:hAnsi="仿宋_GB2312" w:eastAsia="仿宋_GB2312" w:cs="仿宋_GB2312"/>
          <w:color w:val="auto"/>
          <w:highlight w:val="none"/>
          <w:lang w:val="zh-CN" w:eastAsia="zh-CN"/>
        </w:rPr>
        <w:t>第十条  违法行为涉嫌犯罪的，应当及时将案件</w:t>
      </w:r>
      <w:r>
        <w:rPr>
          <w:rFonts w:hint="eastAsia" w:ascii="仿宋_GB2312" w:hAnsi="仿宋_GB2312" w:eastAsia="仿宋_GB2312" w:cs="仿宋_GB2312"/>
          <w:color w:val="auto"/>
          <w:highlight w:val="none"/>
          <w:lang w:val="en-US" w:eastAsia="zh-CN"/>
        </w:rPr>
        <w:t>的证据、</w:t>
      </w:r>
      <w:r>
        <w:rPr>
          <w:rFonts w:hint="eastAsia" w:ascii="仿宋_GB2312" w:hAnsi="仿宋_GB2312" w:eastAsia="仿宋_GB2312" w:cs="仿宋_GB2312"/>
          <w:color w:val="auto"/>
          <w:highlight w:val="none"/>
          <w:lang w:val="zh-CN" w:eastAsia="zh-CN"/>
        </w:rPr>
        <w:t>材料移送有关司法机关。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eastAsia="zh-CN"/>
        </w:rPr>
        <w:t>第十一条  同一违法行为人实施了两个或者两个以上的违法行为时，可以在一份行政处罚决定书中，分别裁量、合</w:t>
      </w:r>
      <w:r>
        <w:rPr>
          <w:rFonts w:hint="eastAsia" w:ascii="仿宋_GB2312" w:hAnsi="仿宋_GB2312" w:eastAsia="仿宋_GB2312" w:cs="仿宋_GB2312"/>
          <w:color w:val="auto"/>
          <w:highlight w:val="none"/>
          <w:lang w:val="zh-CN"/>
        </w:rPr>
        <w:t>并执行。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合并执行结果达到听证条件的，应当告知当事人听证权利。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合并执行的案件，处罚决定书中应当具体列出每个违法行为的事实、证据以及处罚的种类和依据。合并结果中罚款金额可以相加，其他行政处罚种类应依次罗列。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第十二条  案件承办部门按照本规则规定对违法行为进行的裁量，</w:t>
      </w:r>
      <w:r>
        <w:rPr>
          <w:rFonts w:hint="eastAsia" w:ascii="仿宋_GB2312" w:hAnsi="仿宋_GB2312" w:cs="仿宋_GB2312"/>
          <w:color w:val="auto"/>
          <w:highlight w:val="none"/>
          <w:lang w:val="zh-CN"/>
        </w:rPr>
        <w:t>应当</w:t>
      </w:r>
      <w:r>
        <w:rPr>
          <w:rFonts w:hint="eastAsia" w:ascii="仿宋_GB2312" w:hAnsi="仿宋_GB2312" w:eastAsia="仿宋_GB2312" w:cs="仿宋_GB2312"/>
          <w:color w:val="auto"/>
          <w:szCs w:val="32"/>
          <w:highlight w:val="none"/>
          <w:lang w:val="zh-CN"/>
        </w:rPr>
        <w:t>在处罚决定呈批</w:t>
      </w:r>
      <w:r>
        <w:rPr>
          <w:rFonts w:hint="eastAsia" w:ascii="仿宋_GB2312" w:hAnsi="仿宋_GB2312" w:eastAsia="仿宋_GB2312" w:cs="仿宋_GB2312"/>
          <w:color w:val="auto"/>
          <w:szCs w:val="32"/>
          <w:highlight w:val="none"/>
          <w:lang w:val="en-US" w:eastAsia="zh-CN"/>
        </w:rPr>
        <w:t>文书</w:t>
      </w:r>
      <w:r>
        <w:rPr>
          <w:rFonts w:hint="eastAsia" w:ascii="仿宋_GB2312" w:hAnsi="仿宋_GB2312" w:eastAsia="仿宋_GB2312" w:cs="仿宋_GB2312"/>
          <w:color w:val="auto"/>
          <w:highlight w:val="none"/>
          <w:lang w:val="zh-CN"/>
        </w:rPr>
        <w:t>中说明理由，并在卷中附具相应的证据材料。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 xml:space="preserve">第十三条  </w:t>
      </w:r>
      <w:r>
        <w:rPr>
          <w:rFonts w:hint="eastAsia" w:ascii="仿宋_GB2312" w:hAnsi="仿宋_GB2312" w:eastAsia="仿宋_GB2312" w:cs="仿宋_GB2312"/>
          <w:color w:val="auto"/>
          <w:highlight w:val="none"/>
          <w:lang w:eastAsia="zh-CN"/>
        </w:rPr>
        <w:t>园林绿化</w:t>
      </w:r>
      <w:r>
        <w:rPr>
          <w:rFonts w:hint="eastAsia" w:ascii="仿宋_GB2312" w:hAnsi="仿宋_GB2312" w:cs="仿宋_GB2312"/>
          <w:color w:val="auto"/>
          <w:highlight w:val="none"/>
          <w:lang w:eastAsia="zh-CN"/>
        </w:rPr>
        <w:t>法制</w:t>
      </w:r>
      <w:r>
        <w:rPr>
          <w:rFonts w:hint="eastAsia" w:ascii="仿宋_GB2312" w:hAnsi="仿宋_GB2312" w:eastAsia="仿宋_GB2312" w:cs="仿宋_GB2312"/>
          <w:color w:val="auto"/>
          <w:highlight w:val="none"/>
          <w:lang w:eastAsia="zh-CN"/>
        </w:rPr>
        <w:t>部门</w:t>
      </w:r>
      <w:r>
        <w:rPr>
          <w:rFonts w:hint="eastAsia" w:ascii="仿宋_GB2312" w:hAnsi="仿宋_GB2312" w:eastAsia="仿宋_GB2312" w:cs="仿宋_GB2312"/>
          <w:color w:val="auto"/>
          <w:highlight w:val="none"/>
          <w:lang w:val="zh-CN"/>
        </w:rPr>
        <w:t>应当加强对行政处罚案件的内部监督，发现自由裁量权行使不当的，</w:t>
      </w:r>
      <w:r>
        <w:rPr>
          <w:rFonts w:hint="eastAsia" w:ascii="仿宋_GB2312" w:hAnsi="仿宋_GB2312" w:cs="仿宋_GB2312"/>
          <w:color w:val="auto"/>
          <w:highlight w:val="none"/>
          <w:lang w:val="zh-CN"/>
        </w:rPr>
        <w:t>应当及时纠正</w:t>
      </w:r>
      <w:r>
        <w:rPr>
          <w:rFonts w:hint="eastAsia" w:ascii="仿宋_GB2312" w:hAnsi="仿宋_GB2312" w:eastAsia="仿宋_GB2312" w:cs="仿宋_GB2312"/>
          <w:color w:val="auto"/>
          <w:highlight w:val="none"/>
          <w:lang w:val="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 xml:space="preserve">第十四条  </w:t>
      </w:r>
      <w:r>
        <w:rPr>
          <w:rFonts w:hint="eastAsia" w:ascii="仿宋_GB2312" w:hAnsi="仿宋_GB2312" w:eastAsia="仿宋_GB2312" w:cs="仿宋_GB2312"/>
          <w:color w:val="auto"/>
          <w:highlight w:val="none"/>
          <w:lang w:eastAsia="zh-CN"/>
        </w:rPr>
        <w:t>园林绿化部门</w:t>
      </w:r>
      <w:r>
        <w:rPr>
          <w:rFonts w:hint="eastAsia" w:ascii="仿宋_GB2312" w:hAnsi="仿宋_GB2312" w:eastAsia="仿宋_GB2312" w:cs="仿宋_GB2312"/>
          <w:color w:val="auto"/>
          <w:highlight w:val="none"/>
          <w:lang w:val="zh-CN"/>
        </w:rPr>
        <w:t>实施行政处罚时应当按照《北京市园林绿化行业违法行为处罚裁量基准表》（以下简称《基准表》）行使自由裁量权，确定处罚幅度。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《基准表》适用过程中，</w:t>
      </w:r>
      <w:r>
        <w:rPr>
          <w:rFonts w:hint="eastAsia" w:ascii="仿宋_GB2312" w:hAnsi="仿宋_GB2312" w:eastAsia="仿宋_GB2312" w:cs="仿宋_GB2312"/>
          <w:color w:val="auto"/>
          <w:highlight w:val="none"/>
        </w:rPr>
        <w:t>当事人涉嫌违法的行为可能面临较大数额罚款、没收较大数额违法所得、没收较大价值非法财物、降低资质等级、吊销许可证件、责令停产停业、责令关闭、限制从业、其他较重行政处罚以及法律、法规、规章规定的其他情形的，</w:t>
      </w:r>
      <w:r>
        <w:rPr>
          <w:rFonts w:hint="eastAsia" w:ascii="仿宋_GB2312" w:hAnsi="仿宋_GB2312" w:eastAsia="仿宋_GB2312" w:cs="仿宋_GB2312"/>
          <w:color w:val="auto"/>
          <w:highlight w:val="none"/>
          <w:lang w:eastAsia="zh-CN"/>
        </w:rPr>
        <w:t>园林绿化部门</w:t>
      </w:r>
      <w:r>
        <w:rPr>
          <w:rFonts w:hint="eastAsia" w:ascii="仿宋_GB2312" w:hAnsi="仿宋_GB2312" w:eastAsia="仿宋_GB2312" w:cs="仿宋_GB2312"/>
          <w:color w:val="auto"/>
          <w:highlight w:val="none"/>
        </w:rPr>
        <w:t>应当在案件调查终结前告知当事人有要求举行听证的权利。当事人要求举行听证的，依法组织听证</w:t>
      </w:r>
      <w:r>
        <w:rPr>
          <w:rFonts w:hint="eastAsia" w:ascii="仿宋_GB2312" w:hAnsi="仿宋_GB2312" w:eastAsia="仿宋_GB2312" w:cs="仿宋_GB2312"/>
          <w:color w:val="auto"/>
          <w:highlight w:val="none"/>
          <w:lang w:val="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前款所述的较大数额、较大价值具体是指，对公民的罚款、没收的违法所得以及非法财物的价值在1万元人民币以上，对法人或者其他组织的罚款、没收的违法所得以及非法财物的价值在30万元人民币以上的情形。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第十五条</w:t>
      </w:r>
      <w:r>
        <w:rPr>
          <w:rFonts w:hint="eastAsia" w:ascii="仿宋_GB2312" w:hAnsi="仿宋_GB2312" w:cs="仿宋_GB2312"/>
          <w:color w:val="auto"/>
          <w:highlight w:val="none"/>
          <w:lang w:val="en-US" w:eastAsia="zh-CN"/>
        </w:rPr>
        <w:t xml:space="preserve"> </w:t>
      </w:r>
      <w:r>
        <w:rPr>
          <w:rFonts w:hint="eastAsia" w:ascii="仿宋_GB2312" w:hAnsi="仿宋_GB2312" w:eastAsia="仿宋_GB2312" w:cs="仿宋_GB2312"/>
          <w:color w:val="auto"/>
          <w:highlight w:val="none"/>
          <w:lang w:val="zh-CN"/>
        </w:rPr>
        <w:t>《基准表》按照法定依据、违法情形、性质情节、危害程度、处罚种类、处罚幅度等因素设定基础裁量档和基础裁量阶。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不同违法行为按照社会危害程度划分基础裁量档A、B、C，</w:t>
      </w:r>
      <w:r>
        <w:rPr>
          <w:rFonts w:hint="eastAsia" w:ascii="仿宋_GB2312" w:hAnsi="仿宋_GB2312" w:eastAsia="仿宋_GB2312" w:cs="仿宋_GB2312"/>
          <w:color w:val="auto"/>
          <w:highlight w:val="none"/>
        </w:rPr>
        <w:t>违法行为社会危害性严重的对应</w:t>
      </w:r>
      <w:r>
        <w:rPr>
          <w:rFonts w:hint="eastAsia" w:ascii="仿宋_GB2312" w:hAnsi="仿宋_GB2312" w:eastAsia="仿宋_GB2312" w:cs="仿宋_GB2312"/>
          <w:color w:val="auto"/>
          <w:highlight w:val="none"/>
          <w:lang w:val="zh-CN"/>
        </w:rPr>
        <w:t>A档</w:t>
      </w:r>
      <w:r>
        <w:rPr>
          <w:rFonts w:hint="eastAsia" w:ascii="仿宋_GB2312" w:hAnsi="仿宋_GB2312" w:eastAsia="仿宋_GB2312" w:cs="仿宋_GB2312"/>
          <w:color w:val="auto"/>
          <w:highlight w:val="none"/>
        </w:rPr>
        <w:t>；违法行为社会危害性一般的对应</w:t>
      </w:r>
      <w:r>
        <w:rPr>
          <w:rFonts w:hint="eastAsia" w:ascii="仿宋_GB2312" w:hAnsi="仿宋_GB2312" w:eastAsia="仿宋_GB2312" w:cs="仿宋_GB2312"/>
          <w:color w:val="auto"/>
          <w:highlight w:val="none"/>
          <w:lang w:val="zh-CN"/>
        </w:rPr>
        <w:t>B档；</w:t>
      </w:r>
      <w:r>
        <w:rPr>
          <w:rFonts w:hint="eastAsia" w:ascii="仿宋_GB2312" w:hAnsi="仿宋_GB2312" w:eastAsia="仿宋_GB2312" w:cs="仿宋_GB2312"/>
          <w:color w:val="auto"/>
          <w:highlight w:val="none"/>
        </w:rPr>
        <w:t>违法行为社会危害性轻微的对应</w:t>
      </w:r>
      <w:r>
        <w:rPr>
          <w:rFonts w:hint="eastAsia" w:ascii="仿宋_GB2312" w:hAnsi="仿宋_GB2312" w:eastAsia="仿宋_GB2312" w:cs="仿宋_GB2312"/>
          <w:color w:val="auto"/>
          <w:highlight w:val="none"/>
          <w:lang w:val="zh-CN"/>
        </w:rPr>
        <w:t>C档</w:t>
      </w:r>
      <w:r>
        <w:rPr>
          <w:rFonts w:hint="eastAsia" w:ascii="仿宋_GB2312" w:hAnsi="仿宋_GB2312" w:eastAsia="仿宋_GB2312" w:cs="仿宋_GB2312"/>
          <w:color w:val="auto"/>
          <w:highlight w:val="none"/>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trike w:val="0"/>
          <w:color w:val="auto"/>
          <w:highlight w:val="none"/>
          <w:lang w:val="zh-CN"/>
        </w:rPr>
      </w:pPr>
      <w:r>
        <w:rPr>
          <w:rFonts w:hint="eastAsia" w:ascii="仿宋_GB2312" w:hAnsi="仿宋_GB2312" w:eastAsia="仿宋_GB2312" w:cs="仿宋_GB2312"/>
          <w:strike w:val="0"/>
          <w:dstrike w:val="0"/>
          <w:color w:val="auto"/>
          <w:highlight w:val="none"/>
          <w:lang w:val="zh-CN"/>
        </w:rPr>
        <w:t>同一违法行为的不同违法情节按照分阶编号划分基础裁量阶</w:t>
      </w:r>
      <w:r>
        <w:rPr>
          <w:rFonts w:hint="eastAsia" w:ascii="仿宋_GB2312" w:hAnsi="仿宋_GB2312" w:cs="仿宋_GB2312"/>
          <w:strike w:val="0"/>
          <w:dstrike w:val="0"/>
          <w:color w:val="auto"/>
          <w:highlight w:val="none"/>
          <w:lang w:val="zh-CN"/>
        </w:rPr>
        <w:t>。</w:t>
      </w:r>
      <w:r>
        <w:rPr>
          <w:rFonts w:hint="eastAsia" w:ascii="仿宋_GB2312" w:hAnsi="仿宋_GB2312" w:eastAsia="仿宋_GB2312" w:cs="仿宋_GB2312"/>
          <w:strike w:val="0"/>
          <w:dstrike w:val="0"/>
          <w:color w:val="auto"/>
          <w:highlight w:val="none"/>
          <w:lang w:val="zh-CN"/>
        </w:rPr>
        <w:t>分阶编号从小到大依次对应违法情节从轻到重、处罚阶次由低到高</w:t>
      </w:r>
      <w:r>
        <w:rPr>
          <w:rFonts w:hint="eastAsia" w:ascii="仿宋_GB2312" w:hAnsi="仿宋_GB2312" w:eastAsia="仿宋_GB2312" w:cs="仿宋_GB2312"/>
          <w:strike w:val="0"/>
          <w:color w:val="auto"/>
          <w:highlight w:val="none"/>
          <w:lang w:val="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第十</w:t>
      </w:r>
      <w:r>
        <w:rPr>
          <w:rFonts w:hint="eastAsia" w:ascii="仿宋_GB2312" w:hAnsi="仿宋_GB2312" w:cs="仿宋_GB2312"/>
          <w:color w:val="auto"/>
          <w:highlight w:val="none"/>
          <w:lang w:val="zh-CN"/>
        </w:rPr>
        <w:t>六</w:t>
      </w:r>
      <w:r>
        <w:rPr>
          <w:rFonts w:hint="eastAsia" w:ascii="仿宋_GB2312" w:hAnsi="仿宋_GB2312" w:eastAsia="仿宋_GB2312" w:cs="仿宋_GB2312"/>
          <w:color w:val="auto"/>
          <w:highlight w:val="none"/>
          <w:lang w:val="zh-CN"/>
        </w:rPr>
        <w:t>条</w:t>
      </w:r>
      <w:r>
        <w:rPr>
          <w:rFonts w:hint="eastAsia" w:ascii="仿宋_GB2312" w:hAnsi="仿宋_GB2312" w:cs="仿宋_GB2312"/>
          <w:color w:val="auto"/>
          <w:highlight w:val="none"/>
          <w:lang w:val="en-US" w:eastAsia="zh-CN"/>
        </w:rPr>
        <w:t xml:space="preserve"> </w:t>
      </w:r>
      <w:r>
        <w:rPr>
          <w:rFonts w:hint="eastAsia" w:ascii="仿宋_GB2312" w:hAnsi="仿宋_GB2312" w:eastAsia="仿宋_GB2312" w:cs="仿宋_GB2312"/>
          <w:color w:val="auto"/>
          <w:highlight w:val="none"/>
          <w:lang w:val="zh-CN"/>
        </w:rPr>
        <w:t>《基准表》中下列用语的含义是：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一）货值金额是指以货币计算的违法生产、销售等经营产品和货物的总价值。货值金额以违法生产、销售等经营产品和货物的标价计算；没有标价的，按照市场价格计算；市场价格难以确定的，委托有资质的估价机构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（二）价款是指为达到一定目的实际支付的金额总数。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（三）价值根据市场价格计算，市场价格难以确定的，委托有资质的估价机构确定。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（四）《基准表》所称“以上”、“以下”均含本数。</w:t>
      </w:r>
    </w:p>
    <w:p>
      <w:pPr>
        <w:pStyle w:val="2"/>
        <w:ind w:firstLine="640" w:firstLineChars="200"/>
        <w:jc w:val="both"/>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zh-CN"/>
        </w:rPr>
        <w:t>第十七条</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zh-CN"/>
        </w:rPr>
        <w:t>《基准表》中自由裁量处罚倍数或处罚金额涉及比例分段计算的，可以采用公式计算。</w:t>
      </w:r>
      <w:r>
        <w:rPr>
          <w:rFonts w:hint="eastAsia" w:ascii="仿宋_GB2312" w:hAnsi="仿宋_GB2312" w:eastAsia="仿宋_GB2312" w:cs="仿宋_GB2312"/>
          <w:b w:val="0"/>
          <w:bCs w:val="0"/>
          <w:color w:val="auto"/>
          <w:sz w:val="32"/>
          <w:szCs w:val="32"/>
          <w:lang w:val="en-US" w:eastAsia="zh-CN"/>
        </w:rPr>
        <w:t xml:space="preserve"> </w:t>
      </w:r>
    </w:p>
    <w:p>
      <w:pPr>
        <w:ind w:firstLine="640" w:firstLineChars="200"/>
        <w:rPr>
          <w:rFonts w:hint="eastAsia" w:ascii="仿宋_GB2312" w:hAnsi="仿宋_GB2312" w:eastAsia="仿宋_GB2312" w:cs="仿宋_GB2312"/>
          <w:i w:val="0"/>
          <w:color w:val="auto"/>
          <w:sz w:val="32"/>
          <w:szCs w:val="32"/>
        </w:rPr>
      </w:pPr>
      <w:r>
        <w:rPr>
          <w:rFonts w:hint="eastAsia" w:ascii="仿宋_GB2312" w:hAnsi="仿宋_GB2312" w:eastAsia="仿宋_GB2312" w:cs="仿宋_GB2312"/>
          <w:color w:val="auto"/>
          <w:sz w:val="32"/>
          <w:szCs w:val="32"/>
          <w:lang w:val="en-US" w:eastAsia="zh-CN"/>
        </w:rPr>
        <w:t>计算公式</w:t>
      </w:r>
      <w:r>
        <w:rPr>
          <w:rFonts w:hint="eastAsia" w:ascii="仿宋_GB2312" w:hAnsi="仿宋_GB2312" w:cs="仿宋_GB2312"/>
          <w:color w:val="auto"/>
          <w:sz w:val="32"/>
          <w:szCs w:val="32"/>
          <w:lang w:val="en-US" w:eastAsia="zh-CN"/>
        </w:rPr>
        <w:t>：</w:t>
      </w:r>
      <m:oMath>
        <m:r>
          <m:rPr>
            <m:sty m:val="p"/>
          </m:rPr>
          <w:rPr>
            <w:rFonts w:hint="eastAsia" w:ascii="Cambria Math" w:hAnsi="Cambria Math" w:eastAsia="仿宋_GB2312" w:cs="仿宋_GB2312"/>
            <w:color w:val="auto"/>
            <w:sz w:val="32"/>
            <w:szCs w:val="32"/>
            <w:lang w:val="en-US" w:eastAsia="zh-CN"/>
          </w:rPr>
          <m:t>S</m:t>
        </m:r>
        <m:r>
          <m:rPr>
            <m:sty m:val="p"/>
          </m:rPr>
          <w:rPr>
            <w:rFonts w:hint="eastAsia" w:ascii="Cambria Math" w:hAnsi="Cambria Math" w:eastAsia="仿宋_GB2312" w:cs="仿宋_GB2312"/>
            <w:color w:val="auto"/>
            <w:sz w:val="32"/>
            <w:szCs w:val="32"/>
          </w:rPr>
          <m:t>=</m:t>
        </m:r>
        <m:r>
          <m:rPr>
            <m:sty m:val="p"/>
          </m:rPr>
          <w:rPr>
            <w:rFonts w:hint="eastAsia" w:ascii="Cambria Math" w:hAnsi="Cambria Math" w:eastAsia="仿宋_GB2312" w:cs="仿宋_GB2312"/>
            <w:color w:val="auto"/>
            <w:sz w:val="32"/>
            <w:szCs w:val="32"/>
            <w:lang w:val="en-US" w:eastAsia="zh-CN"/>
          </w:rPr>
          <m:t>N+</m:t>
        </m:r>
        <m:d>
          <m:dPr>
            <m:ctrlPr>
              <w:rPr>
                <w:rFonts w:hint="eastAsia" w:ascii="Cambria Math" w:hAnsi="Cambria Math" w:eastAsia="仿宋_GB2312" w:cs="仿宋_GB2312"/>
                <w:b w:val="0"/>
                <w:i w:val="0"/>
                <w:color w:val="auto"/>
                <w:sz w:val="32"/>
                <w:szCs w:val="32"/>
                <w:lang w:val="en-US" w:eastAsia="zh-CN"/>
              </w:rPr>
            </m:ctrlPr>
          </m:dPr>
          <m:e>
            <m:r>
              <m:rPr>
                <m:sty m:val="p"/>
              </m:rPr>
              <w:rPr>
                <w:rFonts w:hint="eastAsia" w:ascii="Cambria Math" w:hAnsi="Cambria Math" w:eastAsia="仿宋_GB2312" w:cs="仿宋_GB2312"/>
                <w:color w:val="auto"/>
                <w:sz w:val="32"/>
                <w:szCs w:val="32"/>
                <w:lang w:val="en-US" w:eastAsia="zh-CN"/>
              </w:rPr>
              <m:t>M−N</m:t>
            </m:r>
            <m:ctrlPr>
              <w:rPr>
                <w:rFonts w:hint="eastAsia" w:ascii="Cambria Math" w:hAnsi="Cambria Math" w:eastAsia="仿宋_GB2312" w:cs="仿宋_GB2312"/>
                <w:b w:val="0"/>
                <w:i w:val="0"/>
                <w:color w:val="auto"/>
                <w:sz w:val="32"/>
                <w:szCs w:val="32"/>
                <w:lang w:val="en-US" w:eastAsia="zh-CN"/>
              </w:rPr>
            </m:ctrlPr>
          </m:e>
        </m:d>
        <m:r>
          <m:rPr>
            <m:sty m:val="p"/>
          </m:rPr>
          <w:rPr>
            <w:rFonts w:hint="eastAsia" w:ascii="Cambria Math" w:hAnsi="Cambria Math" w:eastAsia="仿宋_GB2312" w:cs="仿宋_GB2312"/>
            <w:color w:val="auto"/>
            <w:sz w:val="32"/>
            <w:szCs w:val="32"/>
            <w:lang w:val="en-US" w:eastAsia="zh-CN"/>
          </w:rPr>
          <m:t>×</m:t>
        </m:r>
        <m:f>
          <m:fPr>
            <m:ctrlPr>
              <w:rPr>
                <w:rFonts w:hint="eastAsia" w:ascii="Cambria Math" w:hAnsi="Cambria Math" w:eastAsia="仿宋_GB2312" w:cs="仿宋_GB2312"/>
                <w:i w:val="0"/>
                <w:iCs/>
                <w:color w:val="auto"/>
                <w:sz w:val="32"/>
                <w:szCs w:val="32"/>
              </w:rPr>
            </m:ctrlPr>
          </m:fPr>
          <m:num>
            <m:r>
              <m:rPr>
                <m:sty m:val="p"/>
              </m:rPr>
              <w:rPr>
                <w:rFonts w:hint="eastAsia" w:ascii="Cambria Math" w:hAnsi="Cambria Math" w:eastAsia="仿宋_GB2312" w:cs="仿宋_GB2312"/>
                <w:color w:val="auto"/>
                <w:sz w:val="32"/>
                <w:szCs w:val="32"/>
                <w:lang w:val="en-US" w:eastAsia="zh-CN"/>
              </w:rPr>
              <m:t>C−B</m:t>
            </m:r>
            <m:ctrlPr>
              <w:rPr>
                <w:rFonts w:hint="eastAsia" w:ascii="Cambria Math" w:hAnsi="Cambria Math" w:eastAsia="仿宋_GB2312" w:cs="仿宋_GB2312"/>
                <w:i w:val="0"/>
                <w:iCs/>
                <w:color w:val="auto"/>
                <w:sz w:val="32"/>
                <w:szCs w:val="32"/>
              </w:rPr>
            </m:ctrlPr>
          </m:num>
          <m:den>
            <m:r>
              <m:rPr>
                <m:sty m:val="p"/>
              </m:rPr>
              <w:rPr>
                <w:rFonts w:hint="eastAsia" w:ascii="Cambria Math" w:hAnsi="Cambria Math" w:eastAsia="仿宋_GB2312" w:cs="仿宋_GB2312"/>
                <w:color w:val="auto"/>
                <w:sz w:val="32"/>
                <w:szCs w:val="32"/>
                <w:lang w:val="en-US" w:eastAsia="zh-CN"/>
              </w:rPr>
              <m:t>A−B</m:t>
            </m:r>
            <m:ctrlPr>
              <w:rPr>
                <w:rFonts w:hint="eastAsia" w:ascii="Cambria Math" w:hAnsi="Cambria Math" w:eastAsia="仿宋_GB2312" w:cs="仿宋_GB2312"/>
                <w:i w:val="0"/>
                <w:iCs/>
                <w:color w:val="auto"/>
                <w:sz w:val="32"/>
                <w:szCs w:val="32"/>
              </w:rPr>
            </m:ctrlPr>
          </m:den>
        </m:f>
      </m:oMath>
    </w:p>
    <w:p>
      <w:pPr>
        <w:ind w:firstLine="640" w:firstLineChars="200"/>
        <w:rPr>
          <w:rFonts w:hint="eastAsia" w:ascii="仿宋_GB2312" w:hAnsi="仿宋_GB2312" w:eastAsia="仿宋_GB2312" w:cs="仿宋_GB2312"/>
          <w:i w:val="0"/>
          <w:iCs/>
          <w:color w:val="auto"/>
          <w:sz w:val="32"/>
          <w:szCs w:val="32"/>
          <w:lang w:val="en-US" w:eastAsia="zh-CN"/>
        </w:rPr>
      </w:pPr>
      <w:r>
        <w:rPr>
          <w:rFonts w:hint="default" w:eastAsia="仿宋_GB2312" w:cs="仿宋_GB2312" w:asciiTheme="majorAscii" w:hAnsiTheme="majorAscii"/>
          <w:i w:val="0"/>
          <w:iCs/>
          <w:color w:val="auto"/>
          <w:sz w:val="32"/>
          <w:szCs w:val="32"/>
          <w:lang w:val="en-US" w:eastAsia="zh-CN"/>
        </w:rPr>
        <w:t>S</w:t>
      </w:r>
      <w:r>
        <w:rPr>
          <w:rFonts w:hint="eastAsia" w:hAnsi="Cambria Math" w:eastAsia="仿宋_GB2312" w:cs="仿宋_GB2312"/>
          <w:i w:val="0"/>
          <w:iCs/>
          <w:color w:val="auto"/>
          <w:sz w:val="32"/>
          <w:szCs w:val="32"/>
          <w:lang w:val="en-US" w:eastAsia="zh-CN"/>
        </w:rPr>
        <w:t>：</w:t>
      </w:r>
      <w:r>
        <w:rPr>
          <w:rFonts w:hint="eastAsia" w:ascii="仿宋_GB2312" w:hAnsi="仿宋_GB2312" w:eastAsia="仿宋_GB2312" w:cs="仿宋_GB2312"/>
          <w:i w:val="0"/>
          <w:iCs/>
          <w:color w:val="auto"/>
          <w:sz w:val="32"/>
          <w:szCs w:val="32"/>
          <w:lang w:val="en-US" w:eastAsia="zh-CN"/>
        </w:rPr>
        <w:t>自由裁量处罚倍数或处罚金额</w:t>
      </w:r>
    </w:p>
    <w:p>
      <w:pPr>
        <w:ind w:firstLine="640" w:firstLineChars="200"/>
        <w:rPr>
          <w:rFonts w:hint="eastAsia" w:hAnsi="Cambria Math" w:eastAsia="仿宋_GB2312" w:cs="仿宋_GB2312"/>
          <w:i w:val="0"/>
          <w:iCs/>
          <w:color w:val="auto"/>
          <w:sz w:val="32"/>
          <w:szCs w:val="32"/>
          <w:lang w:val="en-US" w:eastAsia="zh-CN"/>
        </w:rPr>
      </w:pPr>
      <w:r>
        <w:rPr>
          <w:rFonts w:hint="default" w:eastAsia="仿宋_GB2312" w:cs="仿宋_GB2312" w:asciiTheme="majorAscii" w:hAnsiTheme="majorAscii"/>
          <w:i w:val="0"/>
          <w:iCs/>
          <w:color w:val="auto"/>
          <w:sz w:val="32"/>
          <w:szCs w:val="32"/>
          <w:lang w:val="en-US" w:eastAsia="zh-CN"/>
        </w:rPr>
        <w:t>M</w:t>
      </w:r>
      <w:r>
        <w:rPr>
          <w:rFonts w:hint="eastAsia" w:hAnsi="Cambria Math" w:eastAsia="仿宋_GB2312" w:cs="仿宋_GB2312"/>
          <w:i w:val="0"/>
          <w:iCs/>
          <w:color w:val="auto"/>
          <w:sz w:val="32"/>
          <w:szCs w:val="32"/>
          <w:lang w:val="en-US" w:eastAsia="zh-CN"/>
        </w:rPr>
        <w:t>：裁量基准档内处罚倍数或处罚金额上限</w:t>
      </w:r>
    </w:p>
    <w:p>
      <w:pPr>
        <w:ind w:firstLine="640" w:firstLineChars="200"/>
        <w:rPr>
          <w:rFonts w:hint="eastAsia" w:hAnsi="Cambria Math" w:eastAsia="仿宋_GB2312" w:cs="仿宋_GB2312"/>
          <w:i w:val="0"/>
          <w:iCs/>
          <w:color w:val="auto"/>
          <w:sz w:val="32"/>
          <w:szCs w:val="32"/>
          <w:lang w:val="en-US" w:eastAsia="zh-CN"/>
        </w:rPr>
      </w:pPr>
      <w:r>
        <w:rPr>
          <w:rFonts w:hint="default" w:eastAsia="仿宋_GB2312" w:cs="仿宋_GB2312" w:asciiTheme="majorAscii" w:hAnsiTheme="majorAscii"/>
          <w:i w:val="0"/>
          <w:iCs/>
          <w:color w:val="auto"/>
          <w:sz w:val="32"/>
          <w:szCs w:val="32"/>
          <w:lang w:val="en-US" w:eastAsia="zh-CN"/>
        </w:rPr>
        <w:t>N</w:t>
      </w:r>
      <w:r>
        <w:rPr>
          <w:rFonts w:hint="eastAsia" w:hAnsi="Cambria Math" w:eastAsia="仿宋_GB2312" w:cs="仿宋_GB2312"/>
          <w:i w:val="0"/>
          <w:iCs/>
          <w:color w:val="auto"/>
          <w:sz w:val="32"/>
          <w:szCs w:val="32"/>
          <w:lang w:val="en-US" w:eastAsia="zh-CN"/>
        </w:rPr>
        <w:t>：裁量基准档内处罚倍数或处罚金额下限</w:t>
      </w:r>
    </w:p>
    <w:p>
      <w:pPr>
        <w:ind w:firstLine="640" w:firstLineChars="200"/>
        <w:rPr>
          <w:rFonts w:hint="eastAsia" w:hAnsi="Cambria Math" w:eastAsia="仿宋_GB2312" w:cs="仿宋_GB2312"/>
          <w:i w:val="0"/>
          <w:iCs/>
          <w:color w:val="auto"/>
          <w:sz w:val="32"/>
          <w:szCs w:val="32"/>
          <w:lang w:val="en-US" w:eastAsia="zh-CN"/>
        </w:rPr>
      </w:pPr>
      <w:r>
        <w:rPr>
          <w:rFonts w:hint="default" w:eastAsia="仿宋_GB2312" w:cs="仿宋_GB2312" w:asciiTheme="majorAscii" w:hAnsiTheme="majorAscii"/>
          <w:i w:val="0"/>
          <w:iCs/>
          <w:color w:val="auto"/>
          <w:sz w:val="32"/>
          <w:szCs w:val="32"/>
          <w:lang w:val="en-US" w:eastAsia="zh-CN"/>
        </w:rPr>
        <w:t>A</w:t>
      </w:r>
      <w:r>
        <w:rPr>
          <w:rFonts w:hint="eastAsia" w:hAnsi="Cambria Math" w:eastAsia="仿宋_GB2312" w:cs="仿宋_GB2312"/>
          <w:i w:val="0"/>
          <w:iCs/>
          <w:color w:val="auto"/>
          <w:sz w:val="32"/>
          <w:szCs w:val="32"/>
          <w:lang w:val="en-US" w:eastAsia="zh-CN"/>
        </w:rPr>
        <w:t>：裁量基准档内违法情节上限</w:t>
      </w:r>
    </w:p>
    <w:p>
      <w:pPr>
        <w:ind w:firstLine="640" w:firstLineChars="200"/>
        <w:rPr>
          <w:rFonts w:hint="eastAsia" w:hAnsi="Cambria Math" w:eastAsia="仿宋_GB2312" w:cs="仿宋_GB2312"/>
          <w:i w:val="0"/>
          <w:iCs/>
          <w:color w:val="auto"/>
          <w:sz w:val="32"/>
          <w:szCs w:val="32"/>
          <w:lang w:val="en-US" w:eastAsia="zh-CN"/>
        </w:rPr>
      </w:pPr>
      <w:r>
        <w:rPr>
          <w:rFonts w:hint="default" w:eastAsia="仿宋_GB2312" w:cs="仿宋_GB2312" w:asciiTheme="majorAscii" w:hAnsiTheme="majorAscii"/>
          <w:i w:val="0"/>
          <w:iCs/>
          <w:color w:val="auto"/>
          <w:sz w:val="32"/>
          <w:szCs w:val="32"/>
          <w:lang w:val="en-US" w:eastAsia="zh-CN"/>
        </w:rPr>
        <w:t>B</w:t>
      </w:r>
      <w:r>
        <w:rPr>
          <w:rFonts w:hint="eastAsia" w:hAnsi="Cambria Math" w:eastAsia="仿宋_GB2312" w:cs="仿宋_GB2312"/>
          <w:i w:val="0"/>
          <w:iCs/>
          <w:color w:val="auto"/>
          <w:sz w:val="32"/>
          <w:szCs w:val="32"/>
          <w:lang w:val="en-US" w:eastAsia="zh-CN"/>
        </w:rPr>
        <w:t>：裁量基准档内违法情节下限</w:t>
      </w:r>
    </w:p>
    <w:p>
      <w:pPr>
        <w:ind w:firstLine="640" w:firstLineChars="200"/>
        <w:rPr>
          <w:rFonts w:hint="eastAsia" w:hAnsi="Cambria Math" w:eastAsia="仿宋_GB2312" w:cs="仿宋_GB2312"/>
          <w:i w:val="0"/>
          <w:color w:val="auto"/>
          <w:sz w:val="32"/>
          <w:szCs w:val="32"/>
          <w:lang w:val="en-US" w:eastAsia="zh-CN"/>
        </w:rPr>
      </w:pPr>
      <w:r>
        <w:rPr>
          <w:rFonts w:hint="default" w:eastAsia="仿宋_GB2312" w:cs="仿宋_GB2312" w:asciiTheme="majorAscii" w:hAnsiTheme="majorAscii"/>
          <w:i w:val="0"/>
          <w:iCs/>
          <w:color w:val="auto"/>
          <w:sz w:val="32"/>
          <w:szCs w:val="32"/>
          <w:lang w:val="en-US" w:eastAsia="zh-CN"/>
        </w:rPr>
        <w:t>C</w:t>
      </w:r>
      <w:r>
        <w:rPr>
          <w:rFonts w:hint="eastAsia" w:hAnsi="Cambria Math" w:eastAsia="仿宋_GB2312" w:cs="仿宋_GB2312"/>
          <w:i w:val="0"/>
          <w:iCs/>
          <w:color w:val="auto"/>
          <w:sz w:val="32"/>
          <w:szCs w:val="32"/>
          <w:lang w:val="en-US" w:eastAsia="zh-CN"/>
        </w:rPr>
        <w:t>：</w:t>
      </w:r>
      <w:r>
        <w:rPr>
          <w:rFonts w:hint="eastAsia" w:hAnsi="Cambria Math" w:eastAsia="仿宋_GB2312" w:cs="仿宋_GB2312"/>
          <w:i w:val="0"/>
          <w:color w:val="auto"/>
          <w:sz w:val="32"/>
          <w:szCs w:val="32"/>
          <w:lang w:val="en-US" w:eastAsia="zh-CN"/>
        </w:rPr>
        <w:t>案件中实际违法情节</w:t>
      </w:r>
    </w:p>
    <w:p>
      <w:pPr>
        <w:numPr>
          <w:ilvl w:val="0"/>
          <w:numId w:val="0"/>
        </w:numPr>
        <w:ind w:firstLine="640" w:firstLineChars="200"/>
        <w:rPr>
          <w:rFonts w:hint="eastAsia"/>
          <w:color w:val="auto"/>
          <w:highlight w:val="none"/>
          <w:lang w:val="zh-CN"/>
        </w:rPr>
      </w:pPr>
      <w:r>
        <w:rPr>
          <w:rFonts w:hint="eastAsia" w:ascii="仿宋_GB2312" w:hAnsi="仿宋_GB2312" w:eastAsia="仿宋_GB2312" w:cs="仿宋_GB2312"/>
          <w:color w:val="auto"/>
          <w:sz w:val="32"/>
          <w:szCs w:val="32"/>
          <w:lang w:val="en-US" w:eastAsia="zh-CN"/>
        </w:rPr>
        <w:t>计算公式只适用裁量基准表中档内违法情节和裁量基准均有上限和下限</w:t>
      </w:r>
      <w:r>
        <w:rPr>
          <w:rFonts w:hint="eastAsia" w:ascii="仿宋_GB2312" w:hAnsi="仿宋_GB2312" w:cs="仿宋_GB2312"/>
          <w:color w:val="auto"/>
          <w:sz w:val="32"/>
          <w:szCs w:val="32"/>
          <w:lang w:val="en-US" w:eastAsia="zh-CN"/>
        </w:rPr>
        <w:t>的情形，</w:t>
      </w:r>
      <w:r>
        <w:rPr>
          <w:rFonts w:hint="eastAsia" w:ascii="仿宋_GB2312" w:hAnsi="仿宋_GB2312" w:eastAsia="仿宋_GB2312" w:cs="仿宋_GB2312"/>
          <w:color w:val="auto"/>
          <w:sz w:val="32"/>
          <w:szCs w:val="32"/>
          <w:lang w:val="en-US" w:eastAsia="zh-CN"/>
        </w:rPr>
        <w:t>计算结果可</w:t>
      </w:r>
      <w:r>
        <w:rPr>
          <w:rFonts w:hint="eastAsia" w:ascii="仿宋_GB2312" w:hAnsi="仿宋_GB2312" w:cs="仿宋_GB2312"/>
          <w:color w:val="auto"/>
          <w:sz w:val="32"/>
          <w:szCs w:val="32"/>
          <w:lang w:val="en-US" w:eastAsia="zh-CN"/>
        </w:rPr>
        <w:t>以</w:t>
      </w:r>
      <w:r>
        <w:rPr>
          <w:rFonts w:hint="eastAsia" w:ascii="仿宋_GB2312" w:hAnsi="仿宋_GB2312" w:eastAsia="仿宋_GB2312" w:cs="仿宋_GB2312"/>
          <w:color w:val="auto"/>
          <w:sz w:val="32"/>
          <w:szCs w:val="32"/>
          <w:lang w:val="en-US" w:eastAsia="zh-CN"/>
        </w:rPr>
        <w:t>取整</w:t>
      </w:r>
      <w:r>
        <w:rPr>
          <w:rFonts w:hint="eastAsia" w:ascii="仿宋_GB2312" w:hAnsi="仿宋_GB2312" w:cs="仿宋_GB2312"/>
          <w:color w:val="auto"/>
          <w:sz w:val="32"/>
          <w:szCs w:val="32"/>
          <w:lang w:val="en-US" w:eastAsia="zh-CN"/>
        </w:rPr>
        <w:t>数</w:t>
      </w:r>
      <w:r>
        <w:rPr>
          <w:rFonts w:hint="eastAsia" w:ascii="仿宋_GB2312" w:hAnsi="仿宋_GB2312" w:eastAsia="仿宋_GB2312" w:cs="仿宋_GB2312"/>
          <w:color w:val="auto"/>
          <w:sz w:val="32"/>
          <w:szCs w:val="32"/>
          <w:lang w:val="en-US" w:eastAsia="zh-CN"/>
        </w:rPr>
        <w:t>或保留1位小数。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b w:val="0"/>
          <w:bCs w:val="0"/>
          <w:color w:val="auto"/>
          <w:highlight w:val="none"/>
        </w:rPr>
      </w:pPr>
      <w:r>
        <w:rPr>
          <w:rFonts w:hint="eastAsia"/>
          <w:color w:val="auto"/>
          <w:highlight w:val="none"/>
          <w:lang w:val="zh-CN"/>
        </w:rPr>
        <w:t>第十八</w:t>
      </w:r>
      <w:r>
        <w:rPr>
          <w:rFonts w:hint="eastAsia"/>
          <w:b w:val="0"/>
          <w:bCs w:val="0"/>
          <w:color w:val="auto"/>
          <w:highlight w:val="none"/>
          <w:lang w:val="zh-CN"/>
        </w:rPr>
        <w:t>条</w:t>
      </w:r>
      <w:r>
        <w:rPr>
          <w:b w:val="0"/>
          <w:bCs w:val="0"/>
          <w:color w:val="auto"/>
          <w:highlight w:val="none"/>
          <w:lang w:val="zh-CN"/>
        </w:rPr>
        <w:t xml:space="preserve">  </w:t>
      </w:r>
      <w:r>
        <w:rPr>
          <w:rFonts w:hint="eastAsia"/>
          <w:b w:val="0"/>
          <w:bCs w:val="0"/>
          <w:color w:val="auto"/>
          <w:highlight w:val="none"/>
          <w:lang w:val="zh-CN"/>
        </w:rPr>
        <w:t>本</w:t>
      </w:r>
      <w:r>
        <w:rPr>
          <w:rFonts w:hint="eastAsia"/>
          <w:b w:val="0"/>
          <w:bCs w:val="0"/>
          <w:color w:val="auto"/>
          <w:highlight w:val="none"/>
        </w:rPr>
        <w:t>规则</w:t>
      </w:r>
      <w:r>
        <w:rPr>
          <w:rFonts w:hint="eastAsia"/>
          <w:b w:val="0"/>
          <w:bCs w:val="0"/>
          <w:color w:val="auto"/>
          <w:highlight w:val="none"/>
          <w:lang w:eastAsia="zh-CN"/>
        </w:rPr>
        <w:t>和</w:t>
      </w:r>
      <w:r>
        <w:rPr>
          <w:rFonts w:hint="eastAsia"/>
          <w:b w:val="0"/>
          <w:bCs w:val="0"/>
          <w:color w:val="auto"/>
          <w:highlight w:val="none"/>
        </w:rPr>
        <w:t>《基准表》</w:t>
      </w:r>
      <w:r>
        <w:rPr>
          <w:rFonts w:hint="eastAsia"/>
          <w:b w:val="0"/>
          <w:bCs w:val="0"/>
          <w:color w:val="auto"/>
          <w:highlight w:val="none"/>
          <w:lang w:val="en-US" w:eastAsia="zh-CN"/>
        </w:rPr>
        <w:t>《清单》</w:t>
      </w:r>
      <w:r>
        <w:rPr>
          <w:rFonts w:hint="eastAsia"/>
          <w:b w:val="0"/>
          <w:bCs w:val="0"/>
          <w:color w:val="auto"/>
          <w:highlight w:val="none"/>
        </w:rPr>
        <w:t>自</w:t>
      </w:r>
      <w:r>
        <w:rPr>
          <w:rFonts w:hint="eastAsia" w:ascii="仿宋_GB2312" w:hAnsi="仿宋_GB2312" w:cs="仿宋_GB2312"/>
          <w:b w:val="0"/>
          <w:bCs w:val="0"/>
          <w:color w:val="auto"/>
          <w:highlight w:val="none"/>
          <w:lang w:val="en-US" w:eastAsia="zh-CN"/>
        </w:rPr>
        <w:t>印发之</w:t>
      </w:r>
      <w:r>
        <w:rPr>
          <w:rFonts w:hint="eastAsia" w:ascii="仿宋_GB2312" w:hAnsi="仿宋_GB2312" w:eastAsia="仿宋_GB2312" w:cs="仿宋_GB2312"/>
          <w:b w:val="0"/>
          <w:bCs w:val="0"/>
          <w:color w:val="auto"/>
          <w:highlight w:val="none"/>
          <w:lang w:val="zh-CN"/>
        </w:rPr>
        <w:t>日</w:t>
      </w:r>
      <w:r>
        <w:rPr>
          <w:rFonts w:hint="eastAsia"/>
          <w:b w:val="0"/>
          <w:bCs w:val="0"/>
          <w:color w:val="auto"/>
          <w:highlight w:val="none"/>
        </w:rPr>
        <w:t>起施行，</w:t>
      </w:r>
      <w:r>
        <w:rPr>
          <w:rFonts w:hint="eastAsia" w:ascii="仿宋_GB2312" w:hAnsi="仿宋_GB2312" w:eastAsia="仿宋_GB2312" w:cs="仿宋_GB2312"/>
          <w:b w:val="0"/>
          <w:bCs w:val="0"/>
          <w:color w:val="auto"/>
          <w:highlight w:val="none"/>
        </w:rPr>
        <w:t>《北京市园林绿化局关于印发园林绿化行政处罚</w:t>
      </w:r>
      <w:r>
        <w:rPr>
          <w:rFonts w:hint="eastAsia" w:ascii="仿宋_GB2312" w:hAnsi="仿宋_GB2312" w:eastAsia="仿宋_GB2312" w:cs="仿宋_GB2312"/>
          <w:b w:val="0"/>
          <w:bCs w:val="0"/>
          <w:color w:val="auto"/>
          <w:highlight w:val="none"/>
          <w:lang w:eastAsia="zh-CN"/>
        </w:rPr>
        <w:t>自由</w:t>
      </w:r>
      <w:r>
        <w:rPr>
          <w:rFonts w:hint="eastAsia" w:ascii="仿宋_GB2312" w:hAnsi="仿宋_GB2312" w:eastAsia="仿宋_GB2312" w:cs="仿宋_GB2312"/>
          <w:b w:val="0"/>
          <w:bCs w:val="0"/>
          <w:color w:val="auto"/>
          <w:highlight w:val="none"/>
        </w:rPr>
        <w:t>裁量</w:t>
      </w:r>
      <w:r>
        <w:rPr>
          <w:rFonts w:hint="eastAsia" w:ascii="仿宋_GB2312" w:hAnsi="仿宋_GB2312" w:eastAsia="仿宋_GB2312" w:cs="仿宋_GB2312"/>
          <w:b w:val="0"/>
          <w:bCs w:val="0"/>
          <w:color w:val="auto"/>
          <w:highlight w:val="none"/>
          <w:lang w:eastAsia="zh-CN"/>
        </w:rPr>
        <w:t>权</w:t>
      </w:r>
      <w:r>
        <w:rPr>
          <w:rFonts w:hint="eastAsia" w:ascii="仿宋_GB2312" w:hAnsi="仿宋_GB2312" w:eastAsia="仿宋_GB2312" w:cs="仿宋_GB2312"/>
          <w:b w:val="0"/>
          <w:bCs w:val="0"/>
          <w:color w:val="auto"/>
          <w:highlight w:val="none"/>
        </w:rPr>
        <w:t>基准的通知》（京绿办发〔202</w:t>
      </w:r>
      <w:r>
        <w:rPr>
          <w:rFonts w:hint="eastAsia" w:ascii="仿宋_GB2312" w:hAnsi="仿宋_GB2312" w:cs="仿宋_GB2312"/>
          <w:b w:val="0"/>
          <w:bCs w:val="0"/>
          <w:color w:val="auto"/>
          <w:highlight w:val="none"/>
          <w:lang w:val="en-US" w:eastAsia="zh-CN"/>
        </w:rPr>
        <w:t>5</w:t>
      </w:r>
      <w:r>
        <w:rPr>
          <w:rFonts w:hint="eastAsia" w:ascii="仿宋_GB2312" w:hAnsi="仿宋_GB2312" w:eastAsia="仿宋_GB2312" w:cs="仿宋_GB2312"/>
          <w:b w:val="0"/>
          <w:bCs w:val="0"/>
          <w:color w:val="auto"/>
          <w:highlight w:val="none"/>
        </w:rPr>
        <w:t>〕</w:t>
      </w:r>
      <w:r>
        <w:rPr>
          <w:rFonts w:hint="eastAsia" w:ascii="仿宋_GB2312" w:hAnsi="仿宋_GB2312" w:cs="仿宋_GB2312"/>
          <w:b w:val="0"/>
          <w:bCs w:val="0"/>
          <w:color w:val="auto"/>
          <w:highlight w:val="none"/>
          <w:lang w:val="en-US" w:eastAsia="zh-CN"/>
        </w:rPr>
        <w:t>194</w:t>
      </w:r>
      <w:r>
        <w:rPr>
          <w:rFonts w:hint="eastAsia" w:ascii="仿宋_GB2312" w:hAnsi="仿宋_GB2312" w:eastAsia="仿宋_GB2312" w:cs="仿宋_GB2312"/>
          <w:b w:val="0"/>
          <w:bCs w:val="0"/>
          <w:color w:val="auto"/>
          <w:highlight w:val="none"/>
        </w:rPr>
        <w:t>号）及其附件同时废止</w:t>
      </w:r>
      <w:r>
        <w:rPr>
          <w:rFonts w:hint="eastAsia"/>
          <w:b w:val="0"/>
          <w:bCs w:val="0"/>
          <w:color w:val="auto"/>
          <w:highlight w:val="none"/>
        </w:rPr>
        <w:t>。</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ambria Math">
    <w:altName w:val="DejaVu Math TeX Gyre"/>
    <w:panose1 w:val="02040503050406030204"/>
    <w:charset w:val="00"/>
    <w:family w:val="auto"/>
    <w:pitch w:val="default"/>
    <w:sig w:usb0="00000000" w:usb1="00000000" w:usb2="00000000" w:usb3="00000000" w:csb0="2000019F" w:csb1="00000000"/>
  </w:font>
  <w:font w:name="Cambria">
    <w:altName w:val="Noto Sans Syriac Eastern"/>
    <w:panose1 w:val="02040503050406030204"/>
    <w:charset w:val="00"/>
    <w:family w:val="auto"/>
    <w:pitch w:val="default"/>
    <w:sig w:usb0="00000000" w:usb1="00000000" w:usb2="00000000" w:usb3="00000000" w:csb0="2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3</w:t>
    </w:r>
    <w:r>
      <w:rPr>
        <w:rStyle w:val="14"/>
      </w:rPr>
      <w:fldChar w:fldCharType="end"/>
    </w:r>
  </w:p>
  <w:p>
    <w:pPr>
      <w:pStyle w:val="7"/>
      <w:jc w:val="right"/>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lMWIxM2Q4NjNkNzllZGE4NjJjYmNmZGUwNjg2N2QifQ=="/>
  </w:docVars>
  <w:rsids>
    <w:rsidRoot w:val="00AD512E"/>
    <w:rsid w:val="00061669"/>
    <w:rsid w:val="000728A5"/>
    <w:rsid w:val="00090ED2"/>
    <w:rsid w:val="00093525"/>
    <w:rsid w:val="000F2AA0"/>
    <w:rsid w:val="000F49B2"/>
    <w:rsid w:val="000F5831"/>
    <w:rsid w:val="000F7656"/>
    <w:rsid w:val="00123750"/>
    <w:rsid w:val="00126F58"/>
    <w:rsid w:val="00130FFB"/>
    <w:rsid w:val="00132429"/>
    <w:rsid w:val="00151448"/>
    <w:rsid w:val="00161023"/>
    <w:rsid w:val="00170A6A"/>
    <w:rsid w:val="001936F7"/>
    <w:rsid w:val="00197832"/>
    <w:rsid w:val="001D344B"/>
    <w:rsid w:val="001E31FC"/>
    <w:rsid w:val="002114E7"/>
    <w:rsid w:val="002172BC"/>
    <w:rsid w:val="00244D25"/>
    <w:rsid w:val="00296A27"/>
    <w:rsid w:val="002A589B"/>
    <w:rsid w:val="002B1F34"/>
    <w:rsid w:val="002B4CAA"/>
    <w:rsid w:val="002C58D5"/>
    <w:rsid w:val="002F162B"/>
    <w:rsid w:val="00350695"/>
    <w:rsid w:val="00357760"/>
    <w:rsid w:val="00360398"/>
    <w:rsid w:val="00373EE0"/>
    <w:rsid w:val="00396D7F"/>
    <w:rsid w:val="003B507C"/>
    <w:rsid w:val="00416D19"/>
    <w:rsid w:val="0044310B"/>
    <w:rsid w:val="00444960"/>
    <w:rsid w:val="004744E2"/>
    <w:rsid w:val="00487442"/>
    <w:rsid w:val="004978DD"/>
    <w:rsid w:val="004C2EE6"/>
    <w:rsid w:val="004C5863"/>
    <w:rsid w:val="004D3997"/>
    <w:rsid w:val="004E678D"/>
    <w:rsid w:val="0050192A"/>
    <w:rsid w:val="00505DE5"/>
    <w:rsid w:val="00573374"/>
    <w:rsid w:val="00573BB3"/>
    <w:rsid w:val="005A0380"/>
    <w:rsid w:val="005B4C5A"/>
    <w:rsid w:val="005C2D27"/>
    <w:rsid w:val="006163D9"/>
    <w:rsid w:val="00653936"/>
    <w:rsid w:val="00653B54"/>
    <w:rsid w:val="006640FD"/>
    <w:rsid w:val="006915E6"/>
    <w:rsid w:val="006938B5"/>
    <w:rsid w:val="006A19E9"/>
    <w:rsid w:val="006F4E35"/>
    <w:rsid w:val="00700766"/>
    <w:rsid w:val="007048F1"/>
    <w:rsid w:val="0070537C"/>
    <w:rsid w:val="00726828"/>
    <w:rsid w:val="007268D7"/>
    <w:rsid w:val="00751461"/>
    <w:rsid w:val="007528B9"/>
    <w:rsid w:val="007573A4"/>
    <w:rsid w:val="007674BB"/>
    <w:rsid w:val="00767718"/>
    <w:rsid w:val="007953BE"/>
    <w:rsid w:val="00797AEF"/>
    <w:rsid w:val="007A677E"/>
    <w:rsid w:val="007C3F2B"/>
    <w:rsid w:val="007C5FD7"/>
    <w:rsid w:val="007D2DF0"/>
    <w:rsid w:val="007D5909"/>
    <w:rsid w:val="007D5BC0"/>
    <w:rsid w:val="008257E2"/>
    <w:rsid w:val="00835CB8"/>
    <w:rsid w:val="00836653"/>
    <w:rsid w:val="00853D9C"/>
    <w:rsid w:val="00867E53"/>
    <w:rsid w:val="00877083"/>
    <w:rsid w:val="00877756"/>
    <w:rsid w:val="008851A7"/>
    <w:rsid w:val="0089437B"/>
    <w:rsid w:val="008A5034"/>
    <w:rsid w:val="008A56B5"/>
    <w:rsid w:val="008B1755"/>
    <w:rsid w:val="008C4919"/>
    <w:rsid w:val="008E348C"/>
    <w:rsid w:val="008E5A1C"/>
    <w:rsid w:val="008F1F5B"/>
    <w:rsid w:val="008F530C"/>
    <w:rsid w:val="0090151D"/>
    <w:rsid w:val="00945CDA"/>
    <w:rsid w:val="00953611"/>
    <w:rsid w:val="00965594"/>
    <w:rsid w:val="00967B71"/>
    <w:rsid w:val="009858DD"/>
    <w:rsid w:val="0098690A"/>
    <w:rsid w:val="0099013F"/>
    <w:rsid w:val="009E5E87"/>
    <w:rsid w:val="009F532B"/>
    <w:rsid w:val="00A12892"/>
    <w:rsid w:val="00A138D5"/>
    <w:rsid w:val="00A14FB1"/>
    <w:rsid w:val="00A41DB6"/>
    <w:rsid w:val="00A601BD"/>
    <w:rsid w:val="00A73CBE"/>
    <w:rsid w:val="00AD512E"/>
    <w:rsid w:val="00B05CE5"/>
    <w:rsid w:val="00B17264"/>
    <w:rsid w:val="00B207E1"/>
    <w:rsid w:val="00B21F41"/>
    <w:rsid w:val="00B36213"/>
    <w:rsid w:val="00B36C74"/>
    <w:rsid w:val="00B427AC"/>
    <w:rsid w:val="00B5461B"/>
    <w:rsid w:val="00B711C1"/>
    <w:rsid w:val="00BA4F17"/>
    <w:rsid w:val="00BA5936"/>
    <w:rsid w:val="00BB37AC"/>
    <w:rsid w:val="00BC240F"/>
    <w:rsid w:val="00BC5A53"/>
    <w:rsid w:val="00BE3A2E"/>
    <w:rsid w:val="00BE5079"/>
    <w:rsid w:val="00BF5B05"/>
    <w:rsid w:val="00C1639F"/>
    <w:rsid w:val="00C238E3"/>
    <w:rsid w:val="00C31B69"/>
    <w:rsid w:val="00C32C63"/>
    <w:rsid w:val="00C33494"/>
    <w:rsid w:val="00C36775"/>
    <w:rsid w:val="00C65E0E"/>
    <w:rsid w:val="00C72ADD"/>
    <w:rsid w:val="00C739D2"/>
    <w:rsid w:val="00C740D8"/>
    <w:rsid w:val="00C7736F"/>
    <w:rsid w:val="00C82254"/>
    <w:rsid w:val="00C84084"/>
    <w:rsid w:val="00CE367D"/>
    <w:rsid w:val="00CE3BAE"/>
    <w:rsid w:val="00D127BF"/>
    <w:rsid w:val="00D16B10"/>
    <w:rsid w:val="00D1758B"/>
    <w:rsid w:val="00D23C5B"/>
    <w:rsid w:val="00D26B82"/>
    <w:rsid w:val="00D64A82"/>
    <w:rsid w:val="00D67234"/>
    <w:rsid w:val="00D816EF"/>
    <w:rsid w:val="00D92FAF"/>
    <w:rsid w:val="00DC4BED"/>
    <w:rsid w:val="00DE0627"/>
    <w:rsid w:val="00E20F9E"/>
    <w:rsid w:val="00E21D42"/>
    <w:rsid w:val="00E21DFB"/>
    <w:rsid w:val="00E41F51"/>
    <w:rsid w:val="00E752F0"/>
    <w:rsid w:val="00EB3C00"/>
    <w:rsid w:val="00EE0153"/>
    <w:rsid w:val="00EE639F"/>
    <w:rsid w:val="00EF50D6"/>
    <w:rsid w:val="00F21840"/>
    <w:rsid w:val="00F32B4E"/>
    <w:rsid w:val="00F32F31"/>
    <w:rsid w:val="00F40FCA"/>
    <w:rsid w:val="00F533BA"/>
    <w:rsid w:val="00F57912"/>
    <w:rsid w:val="00FB14BC"/>
    <w:rsid w:val="09F33651"/>
    <w:rsid w:val="1B9E25E4"/>
    <w:rsid w:val="1FED24F1"/>
    <w:rsid w:val="20F24308"/>
    <w:rsid w:val="29FBA22A"/>
    <w:rsid w:val="31D7059A"/>
    <w:rsid w:val="3778A133"/>
    <w:rsid w:val="377EBAE6"/>
    <w:rsid w:val="38BE842B"/>
    <w:rsid w:val="38DF3386"/>
    <w:rsid w:val="3BCC1E3E"/>
    <w:rsid w:val="3E6D61ED"/>
    <w:rsid w:val="425F5F0C"/>
    <w:rsid w:val="445E7A4F"/>
    <w:rsid w:val="4DBCBB83"/>
    <w:rsid w:val="4FF7A9A5"/>
    <w:rsid w:val="557BF6CE"/>
    <w:rsid w:val="5FE6E049"/>
    <w:rsid w:val="5FF71228"/>
    <w:rsid w:val="616A5FA7"/>
    <w:rsid w:val="62BBDC53"/>
    <w:rsid w:val="637D0287"/>
    <w:rsid w:val="63FF9ABB"/>
    <w:rsid w:val="693FD778"/>
    <w:rsid w:val="6A4405A9"/>
    <w:rsid w:val="6B7F803D"/>
    <w:rsid w:val="6BB2B316"/>
    <w:rsid w:val="6FBE22D8"/>
    <w:rsid w:val="6FC71B75"/>
    <w:rsid w:val="740E4E59"/>
    <w:rsid w:val="77DF02C4"/>
    <w:rsid w:val="79EB5E49"/>
    <w:rsid w:val="79FAA171"/>
    <w:rsid w:val="79FD6DF3"/>
    <w:rsid w:val="7B7E28D3"/>
    <w:rsid w:val="7BB71C70"/>
    <w:rsid w:val="7D8D7B69"/>
    <w:rsid w:val="7DE6F692"/>
    <w:rsid w:val="7E5BA8E5"/>
    <w:rsid w:val="7FDE350F"/>
    <w:rsid w:val="7FDF0C6A"/>
    <w:rsid w:val="7FE7413A"/>
    <w:rsid w:val="9DFE1838"/>
    <w:rsid w:val="A6FFCDB0"/>
    <w:rsid w:val="B3FC55CB"/>
    <w:rsid w:val="BB517ABB"/>
    <w:rsid w:val="BBDF25E9"/>
    <w:rsid w:val="BDFFCD19"/>
    <w:rsid w:val="BE5BD9EC"/>
    <w:rsid w:val="C67F0DF6"/>
    <w:rsid w:val="CE3106B1"/>
    <w:rsid w:val="DBE7DF1D"/>
    <w:rsid w:val="DBF75274"/>
    <w:rsid w:val="DDBDD0F4"/>
    <w:rsid w:val="DDFEA97F"/>
    <w:rsid w:val="DF3FB2D1"/>
    <w:rsid w:val="DF4EF10E"/>
    <w:rsid w:val="DFF7D322"/>
    <w:rsid w:val="E13F2840"/>
    <w:rsid w:val="E97BE338"/>
    <w:rsid w:val="E9F2CCD3"/>
    <w:rsid w:val="EAD52715"/>
    <w:rsid w:val="EBCFA3F1"/>
    <w:rsid w:val="EE3B8CA6"/>
    <w:rsid w:val="EFBF39A2"/>
    <w:rsid w:val="EFDF7D39"/>
    <w:rsid w:val="FADF9682"/>
    <w:rsid w:val="FDD7E9EE"/>
    <w:rsid w:val="FDFA2C93"/>
    <w:rsid w:val="FE978DBB"/>
    <w:rsid w:val="FECD5A4D"/>
    <w:rsid w:val="FFAA235F"/>
    <w:rsid w:val="FFADFEC0"/>
    <w:rsid w:val="FFC4D9EE"/>
    <w:rsid w:val="FFCF4EE6"/>
    <w:rsid w:val="FFEF650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jc w:val="center"/>
    </w:pPr>
    <w:rPr>
      <w:rFonts w:ascii="方正小标宋_GBK" w:hAnsi="Times New Roman" w:eastAsia="方正小标宋_GBK"/>
      <w:b/>
      <w:bCs/>
      <w:snapToGrid/>
      <w:kern w:val="2"/>
      <w:sz w:val="36"/>
      <w:szCs w:val="24"/>
    </w:r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4">
    <w:name w:val="Document Map"/>
    <w:basedOn w:val="1"/>
    <w:link w:val="22"/>
    <w:semiHidden/>
    <w:qFormat/>
    <w:uiPriority w:val="99"/>
    <w:rPr>
      <w:rFonts w:ascii="宋体" w:eastAsia="宋体"/>
      <w:sz w:val="18"/>
      <w:szCs w:val="18"/>
    </w:rPr>
  </w:style>
  <w:style w:type="paragraph" w:styleId="5">
    <w:name w:val="annotation text"/>
    <w:basedOn w:val="1"/>
    <w:link w:val="18"/>
    <w:semiHidden/>
    <w:qFormat/>
    <w:uiPriority w:val="99"/>
    <w:pPr>
      <w:jc w:val="left"/>
    </w:pPr>
    <w:rPr>
      <w:rFonts w:ascii="宋体" w:hAnsi="宋体" w:eastAsia="宋体"/>
      <w:sz w:val="21"/>
      <w:szCs w:val="20"/>
    </w:rPr>
  </w:style>
  <w:style w:type="paragraph" w:styleId="6">
    <w:name w:val="Balloon Text"/>
    <w:basedOn w:val="1"/>
    <w:link w:val="20"/>
    <w:semiHidden/>
    <w:qFormat/>
    <w:uiPriority w:val="99"/>
    <w:rPr>
      <w:kern w:val="0"/>
      <w:sz w:val="18"/>
      <w:szCs w:val="20"/>
    </w:rPr>
  </w:style>
  <w:style w:type="paragraph" w:styleId="7">
    <w:name w:val="footer"/>
    <w:basedOn w:val="1"/>
    <w:link w:val="17"/>
    <w:qFormat/>
    <w:uiPriority w:val="99"/>
    <w:pPr>
      <w:tabs>
        <w:tab w:val="center" w:pos="4153"/>
        <w:tab w:val="right" w:pos="8306"/>
      </w:tabs>
      <w:snapToGrid w:val="0"/>
      <w:jc w:val="left"/>
    </w:pPr>
    <w:rPr>
      <w:rFonts w:ascii="Calibri" w:hAnsi="Calibri" w:eastAsia="宋体"/>
      <w:kern w:val="0"/>
      <w:sz w:val="18"/>
      <w:szCs w:val="20"/>
    </w:rPr>
  </w:style>
  <w:style w:type="paragraph" w:styleId="8">
    <w:name w:val="header"/>
    <w:basedOn w:val="1"/>
    <w:link w:val="16"/>
    <w:semiHidden/>
    <w:qFormat/>
    <w:uiPriority w:val="99"/>
    <w:pPr>
      <w:pBdr>
        <w:bottom w:val="single" w:color="auto" w:sz="6" w:space="1"/>
      </w:pBdr>
      <w:tabs>
        <w:tab w:val="center" w:pos="4153"/>
        <w:tab w:val="right" w:pos="8306"/>
      </w:tabs>
      <w:snapToGrid w:val="0"/>
      <w:jc w:val="center"/>
    </w:pPr>
    <w:rPr>
      <w:rFonts w:ascii="Calibri" w:hAnsi="Calibri" w:eastAsia="宋体"/>
      <w:kern w:val="0"/>
      <w:sz w:val="18"/>
      <w:szCs w:val="20"/>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annotation subject"/>
    <w:basedOn w:val="5"/>
    <w:next w:val="5"/>
    <w:link w:val="23"/>
    <w:semiHidden/>
    <w:unhideWhenUsed/>
    <w:qFormat/>
    <w:uiPriority w:val="99"/>
    <w:rPr>
      <w:rFonts w:ascii="Times New Roman" w:hAnsi="Times New Roman" w:eastAsia="仿宋_GB2312"/>
      <w:b/>
      <w:bCs/>
      <w:sz w:val="32"/>
      <w:szCs w:val="24"/>
    </w:rPr>
  </w:style>
  <w:style w:type="character" w:styleId="13">
    <w:name w:val="Strong"/>
    <w:basedOn w:val="12"/>
    <w:qFormat/>
    <w:locked/>
    <w:uiPriority w:val="0"/>
    <w:rPr>
      <w:b/>
    </w:rPr>
  </w:style>
  <w:style w:type="character" w:styleId="14">
    <w:name w:val="page number"/>
    <w:basedOn w:val="12"/>
    <w:qFormat/>
    <w:uiPriority w:val="99"/>
    <w:rPr>
      <w:rFonts w:cs="Times New Roman"/>
    </w:rPr>
  </w:style>
  <w:style w:type="character" w:styleId="15">
    <w:name w:val="annotation reference"/>
    <w:basedOn w:val="12"/>
    <w:semiHidden/>
    <w:unhideWhenUsed/>
    <w:qFormat/>
    <w:uiPriority w:val="99"/>
    <w:rPr>
      <w:sz w:val="21"/>
      <w:szCs w:val="21"/>
    </w:rPr>
  </w:style>
  <w:style w:type="character" w:customStyle="1" w:styleId="16">
    <w:name w:val="页眉 Char"/>
    <w:basedOn w:val="12"/>
    <w:link w:val="8"/>
    <w:semiHidden/>
    <w:qFormat/>
    <w:locked/>
    <w:uiPriority w:val="99"/>
    <w:rPr>
      <w:sz w:val="18"/>
    </w:rPr>
  </w:style>
  <w:style w:type="character" w:customStyle="1" w:styleId="17">
    <w:name w:val="页脚 Char"/>
    <w:basedOn w:val="12"/>
    <w:link w:val="7"/>
    <w:qFormat/>
    <w:locked/>
    <w:uiPriority w:val="99"/>
    <w:rPr>
      <w:sz w:val="18"/>
    </w:rPr>
  </w:style>
  <w:style w:type="character" w:customStyle="1" w:styleId="18">
    <w:name w:val="批注文字 Char"/>
    <w:basedOn w:val="12"/>
    <w:link w:val="5"/>
    <w:semiHidden/>
    <w:qFormat/>
    <w:locked/>
    <w:uiPriority w:val="99"/>
    <w:rPr>
      <w:rFonts w:ascii="宋体" w:hAnsi="宋体" w:eastAsia="宋体"/>
      <w:kern w:val="2"/>
      <w:sz w:val="21"/>
      <w:lang w:val="en-US" w:eastAsia="zh-CN"/>
    </w:rPr>
  </w:style>
  <w:style w:type="paragraph" w:styleId="19">
    <w:name w:val="List Paragraph"/>
    <w:basedOn w:val="1"/>
    <w:qFormat/>
    <w:uiPriority w:val="99"/>
    <w:pPr>
      <w:ind w:firstLine="420" w:firstLineChars="200"/>
    </w:pPr>
  </w:style>
  <w:style w:type="character" w:customStyle="1" w:styleId="20">
    <w:name w:val="批注框文本 Char"/>
    <w:basedOn w:val="12"/>
    <w:link w:val="6"/>
    <w:semiHidden/>
    <w:qFormat/>
    <w:locked/>
    <w:uiPriority w:val="99"/>
    <w:rPr>
      <w:rFonts w:ascii="Times New Roman" w:hAnsi="Times New Roman" w:eastAsia="仿宋_GB2312"/>
      <w:sz w:val="18"/>
    </w:rPr>
  </w:style>
  <w:style w:type="paragraph" w:customStyle="1" w:styleId="21">
    <w:name w:val="Char Char1 Char"/>
    <w:basedOn w:val="4"/>
    <w:qFormat/>
    <w:uiPriority w:val="99"/>
    <w:pPr>
      <w:shd w:val="clear" w:color="auto" w:fill="000080"/>
      <w:adjustRightInd w:val="0"/>
      <w:spacing w:line="436" w:lineRule="exact"/>
      <w:ind w:left="357"/>
      <w:jc w:val="left"/>
      <w:outlineLvl w:val="3"/>
    </w:pPr>
    <w:rPr>
      <w:rFonts w:ascii="Times New Roman"/>
      <w:sz w:val="21"/>
      <w:szCs w:val="20"/>
    </w:rPr>
  </w:style>
  <w:style w:type="character" w:customStyle="1" w:styleId="22">
    <w:name w:val="文档结构图 Char"/>
    <w:basedOn w:val="12"/>
    <w:link w:val="4"/>
    <w:semiHidden/>
    <w:qFormat/>
    <w:locked/>
    <w:uiPriority w:val="99"/>
    <w:rPr>
      <w:rFonts w:ascii="宋体" w:hAnsi="Times New Roman"/>
      <w:kern w:val="2"/>
      <w:sz w:val="18"/>
    </w:rPr>
  </w:style>
  <w:style w:type="character" w:customStyle="1" w:styleId="23">
    <w:name w:val="批注主题 Char"/>
    <w:basedOn w:val="18"/>
    <w:link w:val="10"/>
    <w:semiHidden/>
    <w:qFormat/>
    <w:uiPriority w:val="99"/>
    <w:rPr>
      <w:rFonts w:ascii="Times New Roman" w:hAnsi="Times New Roman" w:eastAsia="仿宋_GB2312"/>
      <w:b/>
      <w:bCs/>
      <w:kern w:val="2"/>
      <w:sz w:val="32"/>
      <w:szCs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2237</Words>
  <Characters>2249</Characters>
  <Lines>12</Lines>
  <Paragraphs>3</Paragraphs>
  <TotalTime>22</TotalTime>
  <ScaleCrop>false</ScaleCrop>
  <LinksUpToDate>false</LinksUpToDate>
  <CharactersWithSpaces>2282</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2021-05-26T08:23:00Z</dcterms:created>
  <dc:creator>申亮</dc:creator>
  <cp:lastModifiedBy>uos</cp:lastModifiedBy>
  <cp:lastPrinted>2023-04-28T01:38:00Z</cp:lastPrinted>
  <dcterms:modified xsi:type="dcterms:W3CDTF">2026-06-15T16:00:16Z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8B8CD76245214BD3A40C787FB6468A7D</vt:lpwstr>
  </property>
</Properties>
</file>