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30"/>
          <w:szCs w:val="30"/>
        </w:rPr>
      </w:pPr>
      <w:bookmarkStart w:id="0" w:name="_GoBack"/>
      <w:bookmarkEnd w:id="0"/>
      <w:r>
        <w:rPr>
          <w:rFonts w:hint="eastAsia" w:ascii="CESI黑体-GB2312" w:hAnsi="CESI黑体-GB2312" w:eastAsia="CESI黑体-GB2312" w:cs="CESI黑体-GB2312"/>
          <w:i w:val="0"/>
          <w:iCs w:val="0"/>
          <w:color w:val="000000"/>
          <w:kern w:val="0"/>
          <w:sz w:val="30"/>
          <w:szCs w:val="30"/>
          <w:u w:val="none"/>
          <w:lang w:val="en-US" w:eastAsia="zh-CN" w:bidi="ar"/>
        </w:rPr>
        <w:t>京建法【2026】3号附件</w:t>
      </w:r>
    </w:p>
    <w:tbl>
      <w:tblPr>
        <w:tblStyle w:val="1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6"/>
        <w:gridCol w:w="956"/>
        <w:gridCol w:w="830"/>
        <w:gridCol w:w="850"/>
        <w:gridCol w:w="740"/>
        <w:gridCol w:w="700"/>
        <w:gridCol w:w="1320"/>
        <w:gridCol w:w="3120"/>
        <w:gridCol w:w="2820"/>
        <w:gridCol w:w="760"/>
        <w:gridCol w:w="800"/>
        <w:gridCol w:w="8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5000" w:type="pct"/>
            <w:gridSpan w:val="1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6"/>
                <w:szCs w:val="36"/>
                <w:u w:val="none"/>
              </w:rPr>
            </w:pPr>
            <w:r>
              <w:rPr>
                <w:rFonts w:hint="eastAsia" w:ascii="方正小标宋简体" w:hAnsi="方正小标宋简体" w:eastAsia="方正小标宋简体" w:cs="方正小标宋简体"/>
                <w:i w:val="0"/>
                <w:iCs w:val="0"/>
                <w:color w:val="000000"/>
                <w:kern w:val="0"/>
                <w:sz w:val="36"/>
                <w:szCs w:val="36"/>
                <w:u w:val="none"/>
                <w:lang w:val="en-US" w:eastAsia="zh-CN" w:bidi="ar"/>
              </w:rPr>
              <w:t>北京市住房城乡建设系统行政处罚裁量基准(新增18项、调整116项)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黑体-GB2312" w:hAnsi="CESI黑体-GB2312" w:eastAsia="CESI黑体-GB2312" w:cs="CESI黑体-GB2312"/>
                <w:i w:val="0"/>
                <w:iCs w:val="0"/>
                <w:color w:val="000000"/>
                <w:sz w:val="20"/>
                <w:szCs w:val="20"/>
                <w:u w:val="none"/>
              </w:rPr>
            </w:pPr>
            <w:r>
              <w:rPr>
                <w:rFonts w:hint="eastAsia" w:ascii="CESI黑体-GB2312" w:hAnsi="CESI黑体-GB2312" w:eastAsia="CESI黑体-GB2312" w:cs="CESI黑体-GB2312"/>
                <w:i w:val="0"/>
                <w:iCs w:val="0"/>
                <w:color w:val="000000"/>
                <w:kern w:val="0"/>
                <w:sz w:val="20"/>
                <w:szCs w:val="20"/>
                <w:u w:val="none"/>
                <w:lang w:val="en-US" w:eastAsia="zh-CN" w:bidi="ar"/>
              </w:rPr>
              <w:t>序号</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黑体-GB2312" w:hAnsi="CESI黑体-GB2312" w:eastAsia="CESI黑体-GB2312" w:cs="CESI黑体-GB2312"/>
                <w:i w:val="0"/>
                <w:iCs w:val="0"/>
                <w:color w:val="000000"/>
                <w:sz w:val="20"/>
                <w:szCs w:val="20"/>
                <w:u w:val="none"/>
              </w:rPr>
            </w:pPr>
            <w:r>
              <w:rPr>
                <w:rFonts w:hint="eastAsia" w:ascii="CESI黑体-GB2312" w:hAnsi="CESI黑体-GB2312" w:eastAsia="CESI黑体-GB2312" w:cs="CESI黑体-GB2312"/>
                <w:i w:val="0"/>
                <w:iCs w:val="0"/>
                <w:color w:val="000000"/>
                <w:kern w:val="0"/>
                <w:sz w:val="20"/>
                <w:szCs w:val="20"/>
                <w:u w:val="none"/>
                <w:lang w:val="en-US" w:eastAsia="zh-CN" w:bidi="ar"/>
              </w:rPr>
              <w:t>职权编号</w:t>
            </w:r>
          </w:p>
        </w:tc>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黑体-GB2312" w:hAnsi="CESI黑体-GB2312" w:eastAsia="CESI黑体-GB2312" w:cs="CESI黑体-GB2312"/>
                <w:i w:val="0"/>
                <w:iCs w:val="0"/>
                <w:color w:val="000000"/>
                <w:sz w:val="20"/>
                <w:szCs w:val="20"/>
                <w:u w:val="none"/>
              </w:rPr>
            </w:pPr>
            <w:r>
              <w:rPr>
                <w:rFonts w:hint="eastAsia" w:ascii="CESI黑体-GB2312" w:hAnsi="CESI黑体-GB2312" w:eastAsia="CESI黑体-GB2312" w:cs="CESI黑体-GB2312"/>
                <w:i w:val="0"/>
                <w:iCs w:val="0"/>
                <w:color w:val="000000"/>
                <w:kern w:val="0"/>
                <w:sz w:val="20"/>
                <w:szCs w:val="20"/>
                <w:u w:val="none"/>
                <w:lang w:val="en-US" w:eastAsia="zh-CN" w:bidi="ar"/>
              </w:rPr>
              <w:t>职权名称</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黑体-GB2312" w:hAnsi="CESI黑体-GB2312" w:eastAsia="CESI黑体-GB2312" w:cs="CESI黑体-GB2312"/>
                <w:i w:val="0"/>
                <w:iCs w:val="0"/>
                <w:color w:val="000000"/>
                <w:sz w:val="20"/>
                <w:szCs w:val="20"/>
                <w:u w:val="none"/>
              </w:rPr>
            </w:pPr>
            <w:r>
              <w:rPr>
                <w:rFonts w:hint="eastAsia" w:ascii="CESI黑体-GB2312" w:hAnsi="CESI黑体-GB2312" w:eastAsia="CESI黑体-GB2312" w:cs="CESI黑体-GB2312"/>
                <w:i w:val="0"/>
                <w:iCs w:val="0"/>
                <w:color w:val="000000"/>
                <w:kern w:val="0"/>
                <w:sz w:val="20"/>
                <w:szCs w:val="20"/>
                <w:u w:val="none"/>
                <w:lang w:val="en-US" w:eastAsia="zh-CN" w:bidi="ar"/>
              </w:rPr>
              <w:t>违法行为认定依据</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黑体-GB2312" w:hAnsi="CESI黑体-GB2312" w:eastAsia="CESI黑体-GB2312" w:cs="CESI黑体-GB2312"/>
                <w:i w:val="0"/>
                <w:iCs w:val="0"/>
                <w:color w:val="000000"/>
                <w:sz w:val="20"/>
                <w:szCs w:val="20"/>
                <w:u w:val="none"/>
              </w:rPr>
            </w:pPr>
            <w:r>
              <w:rPr>
                <w:rFonts w:hint="eastAsia" w:ascii="CESI黑体-GB2312" w:hAnsi="CESI黑体-GB2312" w:eastAsia="CESI黑体-GB2312" w:cs="CESI黑体-GB2312"/>
                <w:i w:val="0"/>
                <w:iCs w:val="0"/>
                <w:color w:val="000000"/>
                <w:kern w:val="0"/>
                <w:sz w:val="20"/>
                <w:szCs w:val="20"/>
                <w:u w:val="none"/>
                <w:lang w:val="en-US" w:eastAsia="zh-CN" w:bidi="ar"/>
              </w:rPr>
              <w:t>违法行为处罚依据</w:t>
            </w:r>
          </w:p>
        </w:tc>
        <w:tc>
          <w:tcPr>
            <w:tcW w:w="2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黑体-GB2312" w:hAnsi="CESI黑体-GB2312" w:eastAsia="CESI黑体-GB2312" w:cs="CESI黑体-GB2312"/>
                <w:i w:val="0"/>
                <w:iCs w:val="0"/>
                <w:color w:val="000000"/>
                <w:sz w:val="20"/>
                <w:szCs w:val="20"/>
                <w:u w:val="none"/>
              </w:rPr>
            </w:pPr>
            <w:r>
              <w:rPr>
                <w:rFonts w:hint="eastAsia" w:ascii="CESI黑体-GB2312" w:hAnsi="CESI黑体-GB2312" w:eastAsia="CESI黑体-GB2312" w:cs="CESI黑体-GB2312"/>
                <w:i w:val="0"/>
                <w:iCs w:val="0"/>
                <w:color w:val="000000"/>
                <w:kern w:val="0"/>
                <w:sz w:val="20"/>
                <w:szCs w:val="20"/>
                <w:u w:val="none"/>
                <w:lang w:val="en-US" w:eastAsia="zh-CN" w:bidi="ar"/>
              </w:rPr>
              <w:t>行使层级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黑体-GB2312" w:hAnsi="CESI黑体-GB2312" w:eastAsia="CESI黑体-GB2312" w:cs="CESI黑体-GB2312"/>
                <w:i w:val="0"/>
                <w:iCs w:val="0"/>
                <w:color w:val="000000"/>
                <w:sz w:val="20"/>
                <w:szCs w:val="20"/>
                <w:u w:val="none"/>
              </w:rPr>
            </w:pPr>
            <w:r>
              <w:rPr>
                <w:rFonts w:hint="eastAsia" w:ascii="CESI黑体-GB2312" w:hAnsi="CESI黑体-GB2312" w:eastAsia="CESI黑体-GB2312" w:cs="CESI黑体-GB2312"/>
                <w:i w:val="0"/>
                <w:iCs w:val="0"/>
                <w:color w:val="000000"/>
                <w:kern w:val="0"/>
                <w:sz w:val="20"/>
                <w:szCs w:val="20"/>
                <w:u w:val="none"/>
                <w:lang w:val="en-US" w:eastAsia="zh-CN" w:bidi="ar"/>
              </w:rPr>
              <w:t>基准编号</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黑体-GB2312" w:hAnsi="CESI黑体-GB2312" w:eastAsia="CESI黑体-GB2312" w:cs="CESI黑体-GB2312"/>
                <w:i w:val="0"/>
                <w:iCs w:val="0"/>
                <w:color w:val="000000"/>
                <w:sz w:val="20"/>
                <w:szCs w:val="20"/>
                <w:u w:val="none"/>
              </w:rPr>
            </w:pPr>
            <w:r>
              <w:rPr>
                <w:rFonts w:hint="eastAsia" w:ascii="CESI黑体-GB2312" w:hAnsi="CESI黑体-GB2312" w:eastAsia="CESI黑体-GB2312" w:cs="CESI黑体-GB2312"/>
                <w:i w:val="0"/>
                <w:iCs w:val="0"/>
                <w:color w:val="000000"/>
                <w:kern w:val="0"/>
                <w:sz w:val="20"/>
                <w:szCs w:val="20"/>
                <w:u w:val="none"/>
                <w:lang w:val="en-US" w:eastAsia="zh-CN" w:bidi="ar"/>
              </w:rPr>
              <w:t>违法情形</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黑体-GB2312" w:hAnsi="CESI黑体-GB2312" w:eastAsia="CESI黑体-GB2312" w:cs="CESI黑体-GB2312"/>
                <w:i w:val="0"/>
                <w:iCs w:val="0"/>
                <w:color w:val="000000"/>
                <w:sz w:val="20"/>
                <w:szCs w:val="20"/>
                <w:u w:val="none"/>
              </w:rPr>
            </w:pPr>
            <w:r>
              <w:rPr>
                <w:rFonts w:hint="eastAsia" w:ascii="CESI黑体-GB2312" w:hAnsi="CESI黑体-GB2312" w:eastAsia="CESI黑体-GB2312" w:cs="CESI黑体-GB2312"/>
                <w:i w:val="0"/>
                <w:iCs w:val="0"/>
                <w:color w:val="000000"/>
                <w:kern w:val="0"/>
                <w:sz w:val="20"/>
                <w:szCs w:val="20"/>
                <w:u w:val="none"/>
                <w:lang w:val="en-US" w:eastAsia="zh-CN" w:bidi="ar"/>
              </w:rPr>
              <w:t>裁量基准</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黑体-GB2312" w:hAnsi="CESI黑体-GB2312" w:eastAsia="CESI黑体-GB2312" w:cs="CESI黑体-GB2312"/>
                <w:i w:val="0"/>
                <w:iCs w:val="0"/>
                <w:color w:val="000000"/>
                <w:sz w:val="18"/>
                <w:szCs w:val="18"/>
                <w:u w:val="none"/>
              </w:rPr>
            </w:pPr>
            <w:r>
              <w:rPr>
                <w:rFonts w:hint="eastAsia" w:ascii="CESI黑体-GB2312" w:hAnsi="CESI黑体-GB2312" w:eastAsia="CESI黑体-GB2312" w:cs="CESI黑体-GB2312"/>
                <w:i w:val="0"/>
                <w:iCs w:val="0"/>
                <w:color w:val="000000"/>
                <w:kern w:val="0"/>
                <w:sz w:val="18"/>
                <w:szCs w:val="18"/>
                <w:u w:val="none"/>
                <w:lang w:val="en-US" w:eastAsia="zh-CN" w:bidi="ar"/>
              </w:rPr>
              <w:t>违法行为分类</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黑体-GB2312" w:hAnsi="CESI黑体-GB2312" w:eastAsia="CESI黑体-GB2312" w:cs="CESI黑体-GB2312"/>
                <w:i w:val="0"/>
                <w:iCs w:val="0"/>
                <w:color w:val="000000"/>
                <w:sz w:val="18"/>
                <w:szCs w:val="18"/>
                <w:u w:val="none"/>
              </w:rPr>
            </w:pPr>
            <w:r>
              <w:rPr>
                <w:rFonts w:hint="eastAsia" w:ascii="CESI黑体-GB2312" w:hAnsi="CESI黑体-GB2312" w:eastAsia="CESI黑体-GB2312" w:cs="CESI黑体-GB2312"/>
                <w:i w:val="0"/>
                <w:iCs w:val="0"/>
                <w:color w:val="000000"/>
                <w:kern w:val="0"/>
                <w:sz w:val="18"/>
                <w:szCs w:val="18"/>
                <w:u w:val="none"/>
                <w:lang w:val="en-US" w:eastAsia="zh-CN" w:bidi="ar"/>
              </w:rPr>
              <w:t>处罚公示期限</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CESI黑体-GB2312" w:hAnsi="CESI黑体-GB2312" w:eastAsia="CESI黑体-GB2312" w:cs="CESI黑体-GB2312"/>
                <w:i w:val="0"/>
                <w:iCs w:val="0"/>
                <w:color w:val="000000"/>
                <w:sz w:val="18"/>
                <w:szCs w:val="18"/>
                <w:u w:val="none"/>
              </w:rPr>
            </w:pPr>
            <w:r>
              <w:rPr>
                <w:rFonts w:hint="eastAsia" w:ascii="CESI黑体-GB2312" w:hAnsi="CESI黑体-GB2312" w:eastAsia="CESI黑体-GB2312" w:cs="CESI黑体-GB2312"/>
                <w:i w:val="0"/>
                <w:iCs w:val="0"/>
                <w:color w:val="000000"/>
                <w:kern w:val="0"/>
                <w:sz w:val="18"/>
                <w:szCs w:val="18"/>
                <w:u w:val="none"/>
                <w:lang w:val="en-US" w:eastAsia="zh-CN" w:bidi="ar"/>
              </w:rPr>
              <w:t>可依申请缩短公示期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C1672500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对出租存在建筑安全隐患住房的行为进行处罚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《北京市住房租赁条例》第十三条第一款第（一）项</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《北京市住房租赁条例》第六十三条第一款、第七十一条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C1672500-1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C1672500T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C1672500A010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在规定期限内改正，违法情节轻微</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对个人可处2千元以上4千元以下罚款，对单位可处2万元以上4万元以下罚款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C1672500A020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在规定期限内改正，违法情节一般的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对个人可处4千元以上7千元以下罚款，对单位可处4万元以上7万元以下罚款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C1672500A030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在规定期限内改正，违法情节严重的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对个人可处7千元以上1万元以下罚款，对单位可处7万元以上10万元以下罚款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C1672500A040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逾期3日内改正的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改正前停止出租，对个人处1万元以上1万8千元以下罚款，对单位处10万元以上18万元以下罚款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C1672500A050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逾期3日以上7日以内改正的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改正前停止出租，对个人处1万8千元以上2万6千元以下罚款，对单位处18万元以上26万元以下罚款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C1672500A060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逾期7日以上11日以内改正的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改正前停止出租，对个人处2万6千元以上3万4千元以下罚款，对单位处26万元以上34万元以下罚款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C1672500A070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逾期11日以上14日以内改正的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改正前停止出租，对个人处3万4千元以上4万2千元以下罚款，对单位处34万元以上42万元以下罚款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C1672500A080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逾期14日以上改正，或逾期改正违法行为造成其他危害后果的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改正前停止出租，对个人处4万2千元以上5万元以下罚款，对单位处42万元以上50万元以下罚款，对从事租房租赁业务的企业、房地产经纪机构可以责令停业整顿</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C1671200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对住房租赁企业、住房租赁经纪机构未按规定报送开业信息进行备案的行为进行处罚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《北京市住房租赁条例》第二十七条、四十条    </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《住房租赁条例》第四十一条第(一）项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C1671200-1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C1671200T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《住房租赁条例》第十五条第二款、第二十四条</w:t>
            </w: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C1671200B010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期限内改正的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C1671200B020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处2万元以上6万元以下的罚款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C1671200B030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逾期7日以上改正，或逾期改正违法行为造成其他危害后果的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处6万元以上10万元以下的罚款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C1671600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对住房租赁企业自有资金、专业人员和管理能力与经营规模不匹配或内部管理制度不健全、不落实的行为进行处罚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《住房租赁条例》第十四条二款，第二十一条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《住房租赁条例》第四十条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C1671600-1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C1671600BT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C1671600B010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期限内改正的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C1671600B020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拒不改正、造成严重后果的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4</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C1671700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对住房租赁企业、住房租赁经纪机构未在经营场所遵守相关公示要求的行为进行处罚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《北京市住房租赁条例》第三十条第二款、第四十一条第二款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《住房租赁条例》第四十一条第一款第二项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C1671700-1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C1671700T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C1671700B010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期限内改正的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《住房租赁条例》第十五条第三款、第二十四条</w:t>
            </w: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C1671700B020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处2万元以上6万元以下的罚款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C1671700B030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逾期7日以上，拒不改正违法行为的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处6万元以上10万元以下的罚款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C1671000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对住房租赁企业未按规定编制房屋状况说明书或者未向意向承租人书面告知的行为进行处罚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《北京市住房租赁条例》第三十四条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《北京市住房租赁条例》第六十七条第(五）项、第七十一条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C1671000-1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C1671000T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C1671000B010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处1万元以上2万元以下罚款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C1671000B020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处2万元以上6万元以下的罚款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C1671000B030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逾期7日以上，拒不改正违法行为的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责令停业整顿，处6万元以上10万元以下的罚款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C1671900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对住房租赁企业对租赁住房进行装修装饰后，经具备资质的检测机构检测，室内空气质量不符合室内空气质量标准的行为进行处罚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《北京市住房租赁条例》第三十二条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《北京市住房租赁条例》第六十八条、第七十一条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C1671900-1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C1671900T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C1671900A010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在规定期限内改正，违法情节轻微或征得客户谅解的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可处1万元罚款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C1671900A020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在规定期限内改正，违法情节一般的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可处1万元以上3万元以下罚款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C1671900A030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在规定期限内改正，违法情节严重的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可处3万元以上5万元以下罚款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C1671900A040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逾期3日内改正的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处5万元以上10万元以下罚款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C1671900A050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逾期3日以上7日以内改正的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处10万元以上15万元以下罚款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C1671900A060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逾期7日以上11日以内改正的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处15万元以上20万元以下罚款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C1671900A070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逾期11日以上14日以内改正的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处20万元以上25万元以下罚款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C1671900A080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逾期14日以上改正或违法情节严重的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处25万元以上30万元以下罚款，可以责令停业整顿</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7</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C1671400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对住房租赁企业、住房租赁经纪机构将违法建设或者其他依法不得出租的房屋出租的行为进行处罚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《北京市住房租赁条例》第十三条第二款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《北京市住房租赁条例》第六十九条第一款第一项、第七十一条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C1671400-1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C1671400T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C1671400A010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在规定期限内改正，违法情节轻微</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对住房租赁经纪机构警告，处2万元以上4万元以下罚款，对相关责任人可处5千元以上6千元以下罚款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《住房租赁条例》第七条第一款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《住房租赁条例》第四十四条第一款第二项</w:t>
            </w: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C1671400A020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在规定期限内改正，违法情节一般的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对住房租赁经纪机构警告，处4万元以上8万元以下罚款，对相关责任人可处6千元以上8千元以下罚款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C1671400A030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在规定期限内改正，违法情节严重的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对住房租赁经纪机构警告，处8万元以上10万元以下罚款，对相关责任人可处8千元以上1万元以下罚款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C1671400A040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责令住房租赁经纪机构停业整顿，对相关责任人可处1万元以上3万元以下罚款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C1671300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住房租赁企业、住房租赁经纪机构发布房源信息、推荐房源不符合相关规定的行为进行处罚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《北京市住房租赁条例》第三十三条、第四十四条第二款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《北京市住房租赁条例》第六十九条第一款第二项、第七十一条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C1671300-1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C1671300T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C1671300B010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在规定期限内改正，违法情节轻微</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对住房租赁企业、住房租赁经纪机构警告，处2万元以上6万元以下罚款，对相关责任人处五千元以上六千元以下罚款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《住房租赁条例》第十六条、第二十四条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《住房租赁条例》第四十二条</w:t>
            </w: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C1671300B020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在规定期限内改正，违法情节一般的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对住房租赁企业、住房租赁经纪机构警告，处6万元以上8万元以下罚款，对相关责任人处六千元以上八千元以下罚款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C1671300B030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在规定期限内改正，违法情节严重的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对单位警告，处8万元以上10万元以下罚款，对相关责任人可处八千元以上一万元以下罚款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C1671300B040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责令住房租赁经纪机构停业整顿，对相关责任人可处1万元以上3万元以下罚款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9</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C1671100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对住房租赁企业、以自有住房从事住房租赁业务的企业、住房租赁经纪机构未按规定提交登记备案的行为进行处罚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《北京市住房租赁条例》第三十五条、第四十七条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《住房租赁条例》第四十一条第一款第四项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C1671100-1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C1671100T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C1671100B010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期限内改正的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《住房租赁条例》第十四条第三款、第八条第二款、第二十七条</w:t>
            </w: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C1671100B020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处2万元以上6万元以下的罚款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C1671100B030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逾期7日以上，拒不改正违法行为的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处6万元以上10万元以下的罚款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C1672000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对住房租赁企业未按规定履行押金托管、租金监管，或者未按期退还剩余押金、租金的行为进行处罚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《北京市住房租赁条例》第三十六条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《北京市住房租赁条例》第六十九条第一款第四项、第七十一条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C1672000-1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C1672000T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违法行为轻微，没有造成危害后果的：</w:t>
            </w:r>
          </w:p>
        </w:tc>
        <w:tc>
          <w:tcPr>
            <w:tcW w:w="9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未按期退还剩余押金、租金的，在执法机关发现前已改正的；</w:t>
            </w:r>
          </w:p>
        </w:tc>
        <w:tc>
          <w:tcPr>
            <w:tcW w:w="9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未按期退还剩余押金、租金的，在执法机关发现后，责改当日内改正，并征得客户谅解</w:t>
            </w:r>
          </w:p>
        </w:tc>
        <w:tc>
          <w:tcPr>
            <w:tcW w:w="9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6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C1672000A010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在规定期限内改正，违法情节轻微的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对单位可处1万元罚款，对相关责任人可处5千元罚款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C1672000A020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在规定期限内改正，违法情节一般的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对单位可处1万元以上3万元以下罚款，对相关责任人可处5千元以上7千元以下罚款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C1672000A030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在规定期限内改正，违法情节严重的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对单位可处3万元以上5万元以下罚款，对相关责任人可处7千元以上1万元以下罚款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C1672000A040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逾期3日内改正的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对单位处5万元以上10万元以下罚款，对相关责任人可处1万元罚款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C1672000A050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逾期3日以上7日以内改正的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对单位处10万元以上15万元以下罚款，对相关责任人可处1万元以上1万5千元以下罚款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C1672000A060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逾期7日以上11日以内改正的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对单位处10万元以上15万元以下罚款，对相关责任人可处1万5千元以上2万元以下罚款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C1672000A070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逾期11日以上14日以内改正的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对单位处15万元以上20万元以下罚款，对相关责任人可处2万元以上2万5千元以下罚款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C1672000A080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逾期14日以上17日以内改正的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对单位处20万元以上25万元以下罚款，对相关责任人可处2万元5千以上3万元以下罚款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C1672000A090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逾期17日以上未改正违法行为，或逾期改正违法行为造成其他危害后果的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对单位处25万元以上30万元以下罚款，可以责令停业整顿，对相关责任人可处3万元罚款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11</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C1670900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对住房租赁企业、以自有住房从事住房租赁业务的企业、房地产经纪机构违反相关禁止规定的行为进行处罚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《北京市住房租赁条例》第三十七条第一款第（一）项、第（二）项，第四十八条第一款第（一）项至第（三）项</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《北京市住房租赁条例》第六十九条第一款第五项、第七十一条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C1670900-1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C1670900T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C1670900A010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在规定期限内改正，违法情节轻微的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对单位可处1万元罚款，对相关责任人可处5千元罚款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C1670900A020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在规定期限内改正，违法情节一般的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对单位可处1万元以上3万元以下罚款，对相关责任人可处5千元以上7千元以下罚款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C1670900A030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在规定期限内改正，违法情节严重的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对单位可处3万元以上5万元以下罚款，对相关责任人可处7千元以上1万元以下罚款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C1670900A040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逾期3日内改正的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对单位处5万元以上10万元以下罚款，对相关责任人可处1万元罚款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C1670900A050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逾期3日以上7日以内改正的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对单位处10万元以上15万元以下罚款，对相关责任人可处1万元以上1万5千元以下罚款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C1670900A060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逾期7日以上11日以内改正的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对单位处10万元以上15万元以下罚款，对相关责任人可处1万5千元以上2万元以下罚款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C1670900A070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逾期11日以上14日以内改正的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对单位处15万元以上20万元以下罚款，对相关责任人可处2万元以上2万5千元以下罚款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C1670900A080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逾期14日以上17日以内改正的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对单位处20万元以上25万元以下罚款，对相关责任人可处2万元5千以上3万元以下罚款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C1670900A090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逾期17日以上未改正违法行为，或逾期改正违法行为造成其他危害后果的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对单位处25万元以上30万元以下罚款，可以责令停业整顿，对相关责任人可处3万元罚款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C1672400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对将租赁住房用于销售、变相销售或者用于出租短租住房的行为进行处罚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《北京市住房租赁条例》第五十六条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《北京市住房租赁条例》第七十一条、第七十二条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C1672400-1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C1672400T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C1672400A010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在规定期限内改正，违法情节轻微，未发现违法所得的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处10万元以上20万元以下罚款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C1672400A020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在规定期限内改正，违法情节较轻的，涉案违法所得30万以下的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处20万元以上30万元以下罚款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C1672400A030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在规定期限内改正，违法情节一般的，涉案违法所得30万以上40万以下的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处30万元以上40万元以下罚款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C1672400A040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在规定期限内改正，违法情节严重的，涉案违法所得40万以上的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处40万元以上50万元以下罚款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C1672400A050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逾期3日内改正的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处50万元以上60万元以下罚款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C1672400A060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逾期3日以上7日以内改正的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处60万元以上70万元以下罚款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C1672400A070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逾期7日以上11日以内改正的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处70万元以上80万元以下罚款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C1672400A080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逾期11日以上未改正违法行为，或逾期改正违法行为造成其他危害后果的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处90万元以上100万以下罚款，对从事住房租赁业务的企业、房地产经纪机构可以责令停业整顿</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13</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C1672600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对互联网信息平台未进行核验、登记，或者未按照规定建立、留存登记档案的行为进行处罚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《北京市住房租赁条例》第四十九条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《北京市住房租赁条例》第七十条第（一）项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C1672600-1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C1672600T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C1672600A010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C1672600A020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违法情节较轻，逾期3日内改正的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处2万元以上4万元以下罚款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C1672600A030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违法情节较轻，逾期3日以上7日以内改正的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处4万元以上7万元以下罚款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C1672600A040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违法情节较轻，逾期7日以上未改正的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处7万元以上10万元以下罚款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C1672600A050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违法情节严重，逾期3日内改正的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处10万元以上18万元以下罚款，网信部门应当按照住房和城乡建设或者房屋主管部门的意见对其采取暂停相关业务、停业整顿等措施</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C1672600A060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违法情节严重，逾期3日以上7日以内改正的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处18万元以上26万元以下罚款，网信部门应当按照住房和城乡建设或者房屋主管部门的意见对其采取暂停相关业务、停业整顿等措施</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C1672600A070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违法情节严重，逾期7日以上11日以内改正的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处26万元以上34万元以下罚款，网信部门应当按照住房和城乡建设或者房屋主管部门的意见对其采取暂停相关业务、停业整顿等措施</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C1672600A080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违法情节严重，逾期11日以上14日以内改正的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处34万元以上42万元以下罚款，网信部门应当按照住房和城乡建设或者房屋主管部门的意见对其采取暂停相关业务、停业整顿等措施</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C1672600A090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违法情节严重，逾期14日以上未改正违法行为或逾期不改造成其他危害后果的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处42万元以上50万元以下罚款，网信部门应当按照住房和城乡建设或者房屋主管部门的意见对其采取暂停相关业务、停业整顿等措施</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14</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C1672700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对互联网信息平台未按照规定对相关证明材料进行信息审查的行为进行处罚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《北京市住房租赁条例》第五十条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《北京市住房租赁条例》第七十条第（二）项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C1672700-1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C1672700T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C1672700A010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C1672700A020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违法情节较轻，逾期3日内改正的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处2万元以上4万元以下罚款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C1672700A030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违法情节较轻，逾期3日以上7日以内改正的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处4万元以上7万元以下罚款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C1672700A040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违法情节较轻，逾期7日以上未改正的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处7万元以上10万元以下罚款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C1672700A050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违法情节严重，逾期3日内改正的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处10万元以上18万元以下罚款，网信部门应当按照住房和城乡建设或者房屋主管部门的意见对其采取暂停相关业务、停业整顿等措施</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C1672700A060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违法情节严重，逾期3日以上7日以内改正的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处18万元以上26万元以下罚款，网信部门应当按照住房和城乡建设或者房屋主管部门的意见对其采取暂停相关业务、停业整顿等措施</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C1672700A070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违法情节严重，逾期7日以上11日以内改正的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处26万元以上34万元以下罚款，网信部门应当按照住房和城乡建设或者房屋主管部门的意见对其采取暂停相关业务、停业整顿等措施</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C1672700A080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违法情节严重，逾期11日以上14日以内改正的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处34万元以上42万元以下罚款，网信部门应当按照住房和城乡建设或者房屋主管部门的意见对其采取暂停相关业务、停业整顿等措施</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C1672700A090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违法情节严重，逾期14日以上未改正违法行为或逾期不改造成其他危害后果的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处42万元以上50万元以下罚款，网信部门应当按照住房和城乡建设或者房屋主管部门的意见对其采取暂停相关业务、停业整顿等措施</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15</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C1672800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对互联网信息平台未按照规定采取必要措施限制违法发布信息等行为进行处罚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《北京市住房租赁条例》第五十一条、五十二条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《北京市住房租赁条例》第七十条第（三）项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C1672800-1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C1672800T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C1672800A010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C1672800A020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违法情节较轻，逾期3日内改正的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处2万元以上4万元以下罚款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C1672800A030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违法情节较轻，逾期3日以上7日以内改正的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处4万元以上7万元以下罚款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C1672800A040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违法情节较轻，逾期7日以上未改正的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处7万元以上10万元以下罚款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C1672800A050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违法情节严重，逾期3日内改正的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处10万元以上18万元以下罚款，网信部门应当按照住房和城乡建设或者房屋主管部门的意见对其采取暂停相关业务、停业整顿等措施</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C1672800A060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违法情节严重，逾期3日以上7日以内改正的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处18万元以上26万元以下罚款，网信部门应当按照住房和城乡建设或者房屋主管部门的意见对其采取暂停相关业务、停业整顿等措施</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C1672800A070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违法情节严重，逾期7日以上11日以内改正的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处26万元以上34万元以下罚款，网信部门应当按照住房和城乡建设或者房屋主管部门的意见对其采取暂停相关业务、停业整顿等措施</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C1672800A080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违法情节严重，逾期11日以上14日以内改正的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处34万元以上42万元以下罚款，网信部门应当按照住房和城乡建设或者房屋主管部门的意见对其采取暂停相关业务、停业整顿等措施</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C1672800A090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违法情节严重，逾期14日以上未改正违法行为或逾期不改造成其他危害后果的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处42万元以上50万元以下罚款，网信部门应当按照住房和城乡建设或者房屋主管部门的意见对其采取暂停相关业务、停业整顿等措施</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16</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C1672900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对互联网信息平台未按照规定报送发布房源信息相关记录的行为进行处罚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《北京市住房租赁条例》第五十三条第一款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《北京市住房租赁条例》第七十条第（四）项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C1672900-1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C1672900T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C1672900A010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C1672900A020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违法情节较轻，逾期3日内改正的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处2万元以上4万元以下罚款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C1672900A030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违法情节较轻，逾期3日以上7日以内改正的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处4万元以上7万元以下罚款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C1672900A040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违法情节较轻，逾期7日以上未改正的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处7万元以上10万元以下罚款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C1672900A050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违法情节严重，逾期3日内改正的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处10万元以上18万元以下罚款，网信部门应当按照住房和城乡建设或者房屋主管部门的意见对其采取暂停相关业务、停业整顿等措施</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C1672900A060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违法情节严重，逾期3日以上7日以内改正的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处18万元以上26万元以下罚款，网信部门应当按照住房和城乡建设或者房屋主管部门的意见对其采取暂停相关业务、停业整顿等措施</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C1672900A070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违法情节严重，逾期7日以上11日以内改正的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处26万元以上34万元以下罚款，网信部门应当按照住房和城乡建设或者房屋主管部门的意见对其采取暂停相关业务、停业整顿等措施</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C1672900A080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违法情节严重，逾期11日以上14日以内改正的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处34万元以上42万元以下罚款，网信部门应当按照住房和城乡建设或者房屋主管部门的意见对其采取暂停相关业务、停业整顿等措施</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C1672900A090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违法情节严重，逾期14日以上未改正违法行为或逾期不改造成其他危害后果的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处42万元以上50万元以下罚款，网信部门应当按照住房和城乡建设或者房屋主管部门的意见对其采取暂停相关业务、停业整顿等措施</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17</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C1676300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对从事转租经营的住房租赁企业未按照规定设立住房租赁资金监管账户并向社会公示，或者未按照规定通过该账户办理住房租赁资金收付业务的行为进行处罚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《住房租赁条例》第十九条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《住房租赁条例》第四十三条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C1676300-1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C1676300T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C1676300B010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期限内改正，未因违法行为造成其他危害后果的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警告，处2万元以上6万元以下罚款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C1676300B020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期限内改正，因违法行为产生其他危害后果，或有其他严重违法情节的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警告，处6万元以上10万元以下罚款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C1676300B030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逾期3日以内，改正违法行为的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位处10万元以上18万元以下罚款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C1676300B040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逾期3日以上7日以内，改正违法行为的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处18万元以上26万元以下罚款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C1676300B050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逾期7以上14日以内，改正违法行为的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26万元以上34万元以下罚款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C1676300B060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逾期14日以上不改正违法行为的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处34万元以上42万元以下罚款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C1676300B070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逾期不改正违法行为造成其他危害后果的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处42万元以上50万元以下罚款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18</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C1676400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对住房租赁企业未按照规定报送其经营的租赁住房信息及其变化情况的行为进行处罚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《住房租赁条例》第十八条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《住房租赁条例》第四十一条第一款、第二款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C1676400-1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C1676400T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C1676400B010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期限内改正的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C1676400B020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处2万元以上6万元以下的罚款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C1676400B030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逾期7日以上，拒不改正违法行为的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处6万元以上10万元以下的罚款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19</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C1676500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对住房租赁企业、住房租赁经纪机构未建立住房租赁档案并如实记载相关信息，或者未健全住房租赁信息查验等内部管理制度的行为进行处罚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《住房租赁条例》第十七条第一款、第二十四条，《北京市住房租赁条例》第二十九条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《住房租赁条例》第四十一条第一款第三项，《北京市住房租赁条例》第六十七条第一款第二项、第七十一条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C1676500-1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C1676500T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C1676500B010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C1676500B020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处2万元以上6万元以下的罚款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C1676500B030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逾期7日以上，拒不改正违法行为的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责令停业整顿，处6万元以上10万元以下的罚款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20</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C1676600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对住房租赁企业、住房租赁经纪机构未在网络服务端遵守相关公示要求的行为进行处罚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《北京市住房租赁条例》第四十一条第二款、第三十条第二款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《住房租赁条例》第七十一条、第六十七条第一款第三项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C1676600-1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C1676600T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C1676600B010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处1万元以上2万元以下罚款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C1676600B020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处2万元以上6万元以下的罚款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C1676600B030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逾期7日以上，拒不改正违法行为的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处6万元以上10万元以下的罚款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21</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C1676700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对住房租赁经纪机构从业人员以个人名义承接住房租赁经纪业务的行为进行处罚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《住房租赁条例》第二十二条第二款，《北京市住房租赁条例》第四十八条第二款第一项</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《住房租赁条例》第四十五条，《北京市住房租赁条例》第六十九条第二款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C1676700-1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C1676700T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C1676700B010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期限内改正，未因违法行为造成其他危害后果的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警告，处5千元以下罚款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C1676700B020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期限内改正，因违法行为产生其他危害后果，或有其他严重违法情节的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警告，处5千元以上1万元以下罚款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C1676700B030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拒不改正违法行为的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1年内不得从事住房租赁经纪业务</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C1676700B040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情节严重，造成恶劣社会影响或存在其他严重违法情形的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5年内不得从事住房租赁经纪业务</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22</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C1676800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对住房租赁经纪机构未按照规定与委托人签订住房租赁经纪服务合同的行为进行处罚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《住房租赁条例》第二十三条，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《住房租赁条例》第四十一条第一款、第二款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C1676800-1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C1676800T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C1676800B010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C1676800B020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处2万元以上6万元以下的罚款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C1676800B030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逾期7日以上，拒不改正违法行为的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处6万元以上10万元以下的罚款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23</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C1676900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对房地产经纪机构未向意向承租人书面告知的行为进行处罚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《北京市住房租赁条例》第四十五条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《北京市住房租赁条例》第六十七条、七十一条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C1676900-1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C1676900T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C1676900B010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处1万元以上2万元以下罚款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C1676900B020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处2万元以上6万元以下的罚款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C1676900B030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逾期7日以上，拒不改正违法行为的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责令停业整顿，处6万元以上10万元以下的罚款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C1677000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对住房租赁经纪机构未编制房屋状况说明书的行为进行处罚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《住房租赁条例》第二十三条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《住房租赁条例》第四十一条第一款、第二款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C1677000-1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C1677000T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C1677000B010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C1677000B020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处2万元以上6万元以下的罚款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C1677000B030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逾期7日以上，拒不改正违法行为的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责令停业整顿，处6万元以上10万元以下的罚款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25</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C1677100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对住房租赁经纪机构、网络平台经营者代收、代付住房租金、押金的行为进行处罚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《住房租赁条例》第二十五条第四款、第三十六条第三款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《住房租赁条例》第四十四条第一款第五项、第二款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C1677100-1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C1677100T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C1677100B010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期限内改正，未因违法行为造成其他危害后果的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警告，处2万元以上6万元以下罚款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C1677100B020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期限内改正，因违法行为产生其他危害后果，或有其他严重违法情节的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警告，处6万元以上10万元以下罚款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C1677100B030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拒不改正的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26</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C1677200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对住房租赁经纪机构未将其从业人员名单向所在地县级以上地方人民政府房产管理部门备案的行为进行处罚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《住房租赁条例》第二十二条第一款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《住房租赁条例》第四十四条第一款第七项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C1677200-1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C1677200T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C1677200B010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期限内改正，未因违法行为造成其他危害后果的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警告，处2万元以上6万元以下罚款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C1677200B020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期限内改正，因违法行为产生其他危害后果，或有其他严重违法情节的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警告，处6万元以上10万元以下罚款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C1677200B030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拒不改正的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27</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C1677300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对住房租赁经纪机构的从业人员同时在两个或者两个以上住房租赁经纪机构从事业务的行为进行处罚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《住房租赁条例》第二十二条第一款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《住房租赁条例》第四十五条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C1677300-1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C1677300T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C1677300B010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期限内改正，未因违法行为造成其他危害后果的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警告，处5千元以下罚款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C1677300B020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期限内改正，因违法行为产生其他危害后果，或有其他严重违法情节的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警告，1万元以下罚款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C1677300B030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拒不改正违法行为的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1年内不得从事住房租赁经纪业务</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C1677300B040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情节严重，造成恶劣社会影响或存在其他严重违法情形的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5年内不得从事住房租赁经纪业务</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28</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C1677400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对住房租赁企业从业人员、房地产经纪机构经纪人员涂改、伪造、变造、买卖、租借或者以其他形式非法转让从业信息卡的行为进行处罚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《北京市住房租赁条例》第四十八条第二款第二项、第三十七条第二款第二项</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《北京市住房租赁条例》第六十九条第二款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C1677400-1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C1677400T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C1677400A010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在规定期限内改正，违法情节轻微</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处4千元以下罚款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C1677400A020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在规定期限内改正，违法情节一般的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处4千元以上6千元以下罚款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C1677400A030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在规定期限内改正，违法情节严重的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处6千元以上1万元以下罚款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C1677400A040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逾期不改的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责令停止从业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29</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C1677500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对住房租赁经纪机构发布房源信息前未核对并记录委托人的身份信息、住房权属信息，或者未实地查看房源的行为进行处罚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《住房租赁条例》第二十三条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《住房租赁条例》第四十四条第一款第一项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C1677500-1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C1677500T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C1677500B010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期限内改正，未因违法行为造成其他危害后果的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警告，处2万元以上6万元以下罚款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C1677500B020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期限内改正，因违法行为产生其他危害后果，或有其他严重违法情节的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警告，处6万元以上10万元以下罚款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C1677500B030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拒不改正的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30</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C1677600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对住房租赁经纪机构未经当事人同意，以当事人名义签订住房租赁合同的违法行为进行处罚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《住房租赁条例》第二十五条第一款第五项</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《住房租赁条例》第四十四条第一款第六项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C1677600-1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C1677600T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C1677600B010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期限内改正，未因违法行为造成其他危害后果的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警告，处2万元以上6万元以下罚款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C1677600B020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期限内改正，因违法行为产生其他危害后果，或有其他严重违法情节的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警告，处6万元以上10万元以下罚款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C1677600B030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拒不改正的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31</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C1671800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对住房租赁企业从业人员以个人名义承办业务或者收取费用的行为进行处罚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《北京市住房租赁条例》第三十七条第二款第一项</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《北京市住房租赁条例》第六十九条第二款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C1671800-1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C1671800T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C1671800A010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在规定期限内改正，违法情节轻微</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处4千元以下罚款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C1671800A020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在规定期限内改正，违法情节一般的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处4千元以上6千元以下罚款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C1671800A030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在规定期限内改正，违法情节严重的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处6千元以上1万元以下罚款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C1671800A040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逾期不改的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责令停止从业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32</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C1621800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对房屋安全鉴定机构未及时将危险房屋鉴定结论通知或者报告,且逾期不改正的行为进行处罚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《北京市房屋建筑使用安全条例》第三十三条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《北京市房屋建筑使用安全条例》第五十条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C1621800-1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C1621800T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C1621800A010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逾期7日内改正违法行为，未导致房屋建筑使用安全责任人未及时履责发生事故的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处1万元以上3万元以下罚款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C1621800A020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逾期7日以上未改正违法行为，未导致房屋建筑使用安全责任人未及时履责发生事故的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处3万元以上5万元以下罚款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C1621800A030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因违法行为，导致房屋建筑使用安全责任人未及时履责发生3人以下死亡，或者10人以下重伤，或者1000万元以下直接经济损失的事故的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处5万元以上7万元以下罚款，暂停承接相关业务十二个月。</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C1621800A040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因违法行为，导致房屋建筑使用安全责任人未及时履责发生超过3人死亡，或者超过10人重伤，或者超过1000万元直接经济损失的事故的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处7万元以上10万元以下罚款，暂停承接相关业务十二个月。</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33</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C1621900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对房屋建筑使用安全责任人未按照规定进行安全评估或者安全鉴定，且逾期不改的行为进行处罚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《北京市房屋建筑使用安全条例》第二十八条第二款、第二十九条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《北京市房屋建筑使用安全条例》第四十七条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C1621900-1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C1621900T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C1621900B010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处5万元以上7万元以下罚款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C1621900B020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逾期7日以上14日以内，改正违法行为的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处7万元以上8万元以下罚款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C1621900B030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逾期14日仍未改正违法行为，或逾期改正违法行为造成其他危害后果的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处8万元以上10万元以下罚款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34</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C1665100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对涉及建筑主体或者承重结构变动的装修工程，没有设计方案擅自施工的行为进行处罚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《中华人民共和国建筑法》第四十九条；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《建设工程质量管理条例》第十五条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《中华人民共和国建筑法》第七十条；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《建设工程质量管理条例》第六十九条第一款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C1665100-1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C1665100T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C1665100A010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责令改正限期内改正违法行为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处50万元以上60万元以下罚款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C1665100A020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处60万元以上70万元以下罚款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C1665100A030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逾期7日以上14日以内，改正违法行为的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处70万元以上80万元以下罚款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C1665100A040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逾期14日以上21日以内，改正违法行为的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处80万元以上90万元以下罚款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C1665100A050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逾期21日以上仍未改正违法行为，或逾期改正违法行为造成其他危害后果的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处90万元以上100万元以下罚款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35</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C1659900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对房屋安全鉴定单位未按照有关法律法规、工程建设标准开展检测、鉴定或出具虚假、错误检测、鉴定报告的行为进行处罚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《北京市建设工程质量条例》第十四条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《北京市建设工程质量条例》第七十六条第一款、第二款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C1659900-1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C1659900T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C1659900A010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5组（份）以下未按照法律法规以及国家和本市规定的技术要求开展房屋安全评估、安全鉴定活动且评估、鉴定项目不涉及结构安全的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责令限期改正，并处1万元以上1.5万元以下的罚款，暂停承接相关业务3个月至6个月</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C1659900A020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5组（份）以上未按照法律法规以及国家和本市规定的技术要求开展房屋安全评估、安全鉴定活动且评估、鉴定项目不涉及结构安全的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责令限期改正，并处1.5万元以上2.5万元以下的罚款，暂停承接相关业务3个月至6个月</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C1659900A030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未按照法律法规以及国家和本市规定的技术要求开展房屋安全评估、安全鉴定活动且评估、鉴定项目涉及结构安全的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责令限期改正，并处2.5万元以上3万元以下的罚款，暂停承接相关业务6个月至9个月</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《北京市房屋建筑使用安全条例》第三十二条第一款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《北京市房屋建筑使用安全条例》第四十九条第一款</w:t>
            </w: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C1659900A040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出具结论错误的安全评估、安全鉴定报告5组（份）以下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处5万元以上7.5万元以下罚款，一年内暂停承接房屋安全鉴定业务</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C1659900A050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出具结论错误的安全评估、安全鉴定报告5组（份）以上；或者出具虚假安全评估、安全鉴定报告的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处7.5万元以上10万元以下罚款，一年内暂停承接房屋安全鉴定业务</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C1675900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对从事房屋建筑安全评估、安全鉴定活动的单位未按照规定进行房屋安全鉴定机构备案，且逾期不改的行为进行处罚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《北京市房屋建筑使用安全条例》第三十一条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《北京市房屋建筑使用安全条例》第四十八条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C1675900-1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C1675900T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C1675900B010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处5万元以上7万元以下罚款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C1675900B020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逾期7日以上14日以内，改正违法行为的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处7万元以上8万元以下罚款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C1675900B030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责令限期改正后，逾期14日仍未改正违法行为，或逾期改正违法行为造成其他危害后果的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处8万元以上10万元以下罚款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37</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C1676000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对房屋安全鉴定机构未按照规定上传安全评估、安全鉴定报告,且逾期不改正的行为进行处罚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《北京市房屋建筑使用安全条例》第三十二条第二款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《北京市房屋建筑使用安全条例》第四十九条第二款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C1676000-1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C1676000T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C1676000B010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处1万元以上3万元以下的罚款，暂停承接相关业务3个月至4个月</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C1676000B020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逾期7至14日内，改正违法行为的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处3万元以上5万元以下的罚款，暂停承接相关业务4个月至5个月</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C1676000B030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责令限期改正后，逾期14日仍未改正违法行为，或逾期改正违法行为造成其他危害后果的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处5万元罚款，暂停承接相关业务5个月至6个月</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38</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C1676100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对使用危险房屋用于生产经营、公益事业等活动,且逾期不改正的行为进行处罚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《北京市房屋建筑使用安全条例》第三十四条第二款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《北京市房屋建筑使用安全条例》第五十一条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C1676100-1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C1676100T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C1676100B010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处5万元以上7万元以下罚款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C1676100B020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逾期7日以上14日以内，改正违法行为的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处7万元以上8万元以下罚款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C1676100B030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责令限期改正后，逾期14日仍未改正违法行为，或逾期改正违法行为造成其他危害后果的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处8万元以上10万元以下罚款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39</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C1676200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对房屋建筑使用安全责任人出租危险房屋的行为进行处罚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《北京市房屋建筑使用安全条例》第二十条第四款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《北京市房屋建筑使用安全条例》第四十六条第三款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C1676200-1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C1676200T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C1676200B010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责令改正限期内改正违法行为，出租危险房屋未实际入住使用的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对个人处2千元以上6千元以下罚款，对单位处2万元以上6万元以下罚款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C1676200B020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责令改正限期内改正违法行为，出租危险房屋已经实际入住使用，或违法行为造成其他危害后果的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对个人处6千元以上1万元以下罚款，对单位处6万元以上10万元以下罚款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C1676200B030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逾期3日内，改正违法行为的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改正前停止出租，对个人处1万元以上1万8千元以下罚款，对单位处10万元以上18万元以下罚款。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C1676200B040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逾期3到7日内，改正违法行为的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改正前停止出租，对个人处1万8千以上2万6千元以下罚款，对单位处18万元以上26万元以下罚款。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C1676200B050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逾期7到14日内，改正违法行为的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改正前停止出租，对个人处2万6千元以上3万4千元以下罚款，对单位处26万元以上34万元以下罚款。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C1676200B060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逾期14日以上不改正违法行为的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改正前停止出租，对个人处3万4千元以上4万2千元以下罚款，对单位处34万元以上42万元以下罚款。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C1676200B070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逾期不改正违法行为造成其他危害后果的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改正前停止出租，对个人处4万2千元罚款以上5万元以下罚款，对单位处42万元以上50万元以下罚款。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40</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C1621300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对自行管理单位、受托管理的单位未配备房屋建筑安全管理人员，且逾期不改正的行为进行处罚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《北京市房屋建筑使用安全条例》第十七条三款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《北京市房屋建筑使用安全条例》第四十五条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C1621300-1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C1621300T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C1621300C010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未配备房屋建筑安全管理人员，逾期7日内改正的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处1万元以上2万元以下罚款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C1621300C020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未配备房屋建筑安全管理人员，逾期7日仍未改正,或因违法行为造成其他危害后果的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处2万元以上3万元以下罚款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41</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C1621400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对自行管理单位、受托管理的单位未将安全检查情况如实记录，且逾期不改正的行为进行处罚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《北京市房屋建筑使用安全条例》第十七条三款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《北京市房屋建筑使用安全条例》第四十五条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C1621400-1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C1621400T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C1621400C010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未将安全检查情况如实记录，逾期7日内改正的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处1万元以上2万元以下罚款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C1621400C020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未将安全检查情况如实记录，逾期7日仍未改正,或因违法行为造成其他危害后果的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处2万元以上3万元以下罚款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42</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C1621500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对超过设计荷载使用房屋建筑，且逾期不改正的行为进行处罚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《北京市房屋建筑使用安全条例》第二十条一款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《北京市房屋建筑使用安全条例》第四十六条第一款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C1621500-1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C1621500T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C1621500C010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超过设计荷载使用房屋建筑，逾期7日内改正的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处1万元以上2万元以下罚款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C1621500C020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超过设计荷载使用房屋建筑，逾期7日仍未改正,或因违法行为造成其他危害后果的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处2万元以上3万元以下罚款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43</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C1607900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对建设单位在物业管理区域内不按照规定配置必要的物业管理用房的行为进行处罚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《物业管理条例》第三十条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《物业管理条例》第六十一条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C1607900-1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责令限期30日内改正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C1607900T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责令改正期限内改正违法行为的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C1607900B010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责令改正逾期5日内（含）改正违法行为的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处5万元以上8万元以下的罚款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C1607900B020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责令改正逾期6日至10日（含）改正违法行为的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处8万元以上11万元以下的罚款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C1607900B030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责令改正逾期11日至15日（含）改正违法行为的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处11万元以上14万元以下的罚款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C1607900B040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责令改正逾期16日至20日（含）改正违法行为的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处14万元以上17万元以下的罚款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C1607900B050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责令改正逾期超过20日仍未改正违法行为，或存在其他严重违法情节、造成恶劣社会影响的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处17万元以上20万元以下的罚款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44</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C1608200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对建设单位擅自处分属于业主的物业共用部位、共用设施设备的所有权或者使用权的行为进行处罚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《物业管理条例》第二十七条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《物业管理条例》第五十七条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C1608200-1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责令限期30日内改正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C1608200T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责令改正发出当日改正违法行为的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C1608200B010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责令改正发出之日起次日至3日内（含3日）改正违法行为的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处5万元以上8万元以下的罚款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C1608200B020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责令改正发出之日起4日至6日内（含6日）改正违法行为的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处8万元以上11万元以下的罚款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C1608200B030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责令改正发出之日起7日至9日内（含9日）改正违法行为的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处11万元以上14万元以下的罚款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C1608200B040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责令改正发出之日起10日至12日内（含12日）改正违法行为的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处14万元以上17万元以下的罚款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C1608200B050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责令改正发出之日起13日后（含13日）仍未改正违法行为，或存在其他严重违法情节、造成恶劣社会影响的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处17万元以上20万元以下的罚款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45</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C1621200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对擅自在居住区公共区域内设置地桩、地锁等障碍物的行为进行处罚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《北京市机动车停车条例》第二十六条第一款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《北京市机动车停车条例》第二十六条第二款；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《物业管理条例》第六十三条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C1621200-1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责令限期7日内改正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C1621200T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责令改正期限内改正违法行为的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C1621200B010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逾期3日内（含）改正违法行为的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个人给予警告，处1000元以上3000元以下的罚款；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单位给予警告，处5万元以上8万元以下的罚款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C1621200B020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逾期4日至6日（含）改正违法行为的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个人给予警告，处1000元以上3000元以下的罚款；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单位给予警告，处8万元以上11万元以下的罚款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C1621200B030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逾期7日至9日（含）改正违法行为的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个人给予警告，处3000元以上7000元以下的罚款；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单位给予警告，处11万元以上14万元以下的罚款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C1621200B040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逾期10日至12日（含）改正违法行为的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个人给予警告，处3000元以上7000元以下的罚款；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单位给予警告，处14万元以上17万元以下的罚款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C1621200B050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逾期超过12日仍未改正违法行为，或存在其他严重违法情节、造成恶劣社会影响的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个人给予警告，处7000元以上1万元以下的罚款；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单位给予警告，处17万元以上20万元以下的罚款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46</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C1670100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对业主、物业使用人、物业服务人擅自利用共用部位、共用设施设备进行经营的行为进行处罚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《物业管理条例》第五十四条；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《北京市物业管理条例》七十八条第二款第（二）项；</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《物业管理条例》第六十三条第一款第（三）项；        </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《北京市物业管理条例》第九十八条第（二）项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C1670100-1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责令限期15日内改正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C1670100T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责令改正期限内改正违法行为的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C1670100B010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责令改正改正期限内改正违法行为，造成其他危害后果的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个人：警告，处1000元以上3000元以下的罚款；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单位：警告，处5万元以上8万元以下的罚款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C1670100B020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逾期5日内（含）改正违法行为的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个人：警告，处1000元以上3000元以下的罚款；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单位：警告，处8万元以上11万元以下的罚款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C1670100B030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逾期6日至10日（含）改正违法行为的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个人：警告，处3000元以上7000元以下的罚款；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单位：警告，处11万元以上14万元以下的罚款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C1670100B040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逾期11日至15日（含）改正违法行为的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个人：警告，处3000元以上7000元以下的罚款；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单位：警告，处14万元以上17万元以下的罚款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C1670100B050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逾期超过15日仍未改正违法行为，或存在其他严重违法情节、造成恶劣社会影响的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个人：警告，处7000元以上1万元以下的罚款；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单位：警告，处17万元以上20万元以下的罚款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47</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C1675500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对已建成使用的居民住宅区除电梯外的共用设施设备，专业运营单位未进行维护管理，不符合民用建筑隔声设计相关标准要求的行为进行处罚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《中华人民共和国噪声污染防治法》第六十八条第二款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《中华人民共和国噪声污染防治法》第八十四条第一款第二项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C1675500-1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责令限期30日内改正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C1675500T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C1675500B010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违法情节轻微，责令改正期限内改正违法行为的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5千元以上3万元以下的罚款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C1675500B020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责令改正期限内改正违法行为，违法情节严重或存在其他严重违法情节、造成恶劣社会影响的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3万元以上5万元以下的罚款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C1675500B030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逾期5日内（含）改正违法行为的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处5万元以上8万元以下的罚款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C1675500B040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逾期6日至10日（含）改正违法行为的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处8万元以上11万元以下的罚款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C1675500B050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逾期11日至15日（含）改正违法行为的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处11万元以上14万元以下的罚款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C1675500B060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逾期16日至20日（含）改正违法行为的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处14万元以上17万元以下的罚款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C1675500B070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逾期超过20日拒不改正违法行为的，或拒不改正违法行为且存在其他严重违法情节、造成恶劣社会影响的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处17万元以上20万元以下的罚款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48</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C1614600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对建设单位迫使承包方以低于成本的价格竞标的行为进行处罚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《建设工程质量管理条例》第十条第一款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《建设工程质量管理条例》第五十六条第（一）项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C1614600-1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C1614600T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C1614600A010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未造成质量安全事故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处20万元以上26万元以下的罚款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C1614600A020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造成一般质量安全事故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C1614600A030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造成较大质量安全事故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处32万元以上38万元以下的罚款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C1614600A040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造成重大质量安全事故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处38万元以上44万元以下的罚款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C1614600A050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造成特别重大质量安全事故；或存在其他严重违法情节造成恶劣社会影响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处44万元以上50万元以下的罚款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49</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C1665300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对建设单位将工程发包给不具有相应资质条件的承包单位，将建设工程肢解发包，将一个单位工程发包给两个以上的施工单位，或者将预拌混凝土直接发包的行为进行处罚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《中华人民共和国建筑法》第二十二条；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《建设工程质量管理条例》第七条；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《北京市建设工程质量条例》第二十四条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《中华人民共和国建筑法》第六十五条第一款；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《建设工程质量管理条例》第五十四条；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《建设工程质量管理条例》第五十五条；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《北京市建设工程质量条例》第八十二条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C1665300-1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C1665300T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C1665300A010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未发生质量安全事故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对发包给不具有相应资质单位：责令改正，处50万元以上60万元以下罚款；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对肢解发包、对一个单位工程发包给两个以上的施工单位，或者将预拌混凝土直接发包的：责令改正，处合同价款0.5%以上0.6%以下罚款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C1665300A020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发生一般质量安全事故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对发包给不具有相应资质单位：责令改正，处60万元以上70万元以下罚款；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对肢解发包、对一个单位工程发包给两个以上的施工单位，或者将预拌混凝土直接发包的：责令改正，处合同价款0.6%以上0.7%以下罚款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C1665300A030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发生较大质量安全事故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对发包给不具有相应资质单位：责令改正，处70万元以上80万元以下罚款；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对肢解发包、对一个单位工程发包给两个以上的施工单位，或者将预拌混凝土直接发包的：责令改正，处合同价款0.7%以上0.8%以下罚款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C1665300A040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发生重大质量安全事故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对发包给不具有相应资质单位：责令改正，处80万元以上90万元以下罚款；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对肢解发包、对一个单位工程发包给两个以上的施工单位，或者将预拌混凝土直接发包的：责令改正，处合同价款0.8%以上0.9%以下罚款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C1665300A050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发生特别重大质量安全事故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对发包给不具有相应资质单位：责令改正，处90万元以上100万元以下罚款；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对肢解发包、对一个单位工程发包给两个以上的施工单位，或者将预拌混凝土直接发包的：责令改正，处合同价款0.9%以上1%以下罚款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50</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C1611000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对建设单位要求施工单位压缩合同约定的工期的行为进行处罚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《建设工程安全生产管理条例》第七条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《建设工程安全生产管理条例》第五十五条第（二）项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C1611000-1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C1611000T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C1611000A010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未发生质量安全事故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处20万元以上26万元以下的罚款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C1611000A020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发生一般质量安全事故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C1611000A030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发生较大质量安全事故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处32万元以上38万元以下的罚款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C1611000A050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发生重大质量安全事故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处38万元以上44万元以下的罚款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C1611000A050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发生特别重大质量安全事故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处44万元以上50万元以下的罚款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51</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C1614800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对建设项目必须实行工程监理而未实行工程监理的行为进行处罚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《建设工程质量管理条例》第十二条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《建设工程质量管理条例》第五十六条第（五）项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C1614800-1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C1614800T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C1614800A010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从工程开工至地基与基础工程施工阶段未实行监理</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处20万元以上26万元以下的罚款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C1614800A020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从工程开工至主体结构工程施工阶段未实行监理</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C1614800A030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从工程开工至装饰装修工程施工阶段未实行监理</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处32万元以上38万元以下的罚款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C1614800A040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从工程开工至竣工验收时未实行监理</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处38万元以上44万元以下的罚款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C1614800A050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未实行监理，发生质量安全事故的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处44万元以上50万元以下的罚款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52</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C1653300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对建设单位采用虚假证明文件办理工程竣工验收备案的行为进行处罚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《房屋建筑和市政基础设施工程竣工验收备案管理办法》第十一条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《房屋建筑和市政基础设施工程竣工验收备案管理办法》第十一条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C1653300-1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C1653300T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C1653300B010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当事人违法行为被发现并责令整改后，整改不到位，仍使用虚假证明文件再次申办竣工验收备案的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处20万元以上26万元以下的罚款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C1653300B020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当事人采用虚假证明文件办理竣工验收备案并办结备案程序，取得竣工验收备案表，未引发信访或投诉等不良社会影响的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C1653300B030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当事人采用虚假证明文件办理竣工验收备案，取得竣工验收备案表，引发信访或投诉，造成不良社会影响的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处32万元以上38万元以下的罚款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C1653300B040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当事人采用虚假证明文件办理竣工验收备案，取得竣工验收备案表，引发集中信访投诉或群体性反映，造成较大社会影响的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处38万元以上44万元以下的罚款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C1653300B050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当事人采用虚假证明文件办理竣工验收备案，取得竣工验收备案表，引发重大舆情，造成恶劣社会影响的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处44万元以上50万元以下的罚款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53</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C1656500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对建设单位未及时出具撤销保函申请书或者返还保证金的行为进行处罚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《北京市建设工程质量条例》第六十四条第三款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《北京市建设工程质量条例》第一百零一条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C1656500-1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C1656500T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C1656500B010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逾期3日内改正的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处10万元以上18万元以下罚款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C1656500B020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逾期3日以上7日以内改正的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处18万元以上26万元以下罚款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C1656500B030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逾期7日以上11日以内改正的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C1656500B040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逾期11日以上14日以内改正的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处34万元以上42万元以下罚款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C1656500B050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逾期14日以上未改正违法行为或责令改正期限内不改造成其他危害后果的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处42万元以上50万元以下罚款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54</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C1656800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对建设单位未在建设工程质量保修范围和保修期限内对所有权人履行质量保修义务的行为进行处罚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《北京市建设工程质量条例》第五十四条第一款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《北京市建设工程质量条例》第九十六条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C1656800-1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C1656800T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C1656800B010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涉及非结构性、非功能性的一般外观瑕疵，不影响正常居住使用</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C1656800B020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涉及一般功能性问题，对居住造成一定不便</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处18万元以上26万元以下的罚款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C1656800B030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涉及重要功能失效，严重影响居住</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C1656800B040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涉及结构性安全隐患或重大功能失效</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处34万元以上42万元以下的罚款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C1656800B050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因拖延、拒绝保修直接导致人员伤亡或财产损失</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处42万元以上50万元以下的罚款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55</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C1658300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对从事住宅工程房地产开发的建设单位在房屋销售前，未按照规定办理住宅工程质量保修担保的行为进行处罚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《北京市建设工程质量条例》第六十三条第二款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《北京市建设工程质量条例》第一百条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C1658300-1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C1658300T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C1658300B010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C1658300B020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逾期7日以上14日以内改正的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处14万元以上18万元以下罚款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C1658300B030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逾期14日以上21日以内改正的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处18万元以上22万元以下罚款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C1658300B040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逾期21日以上28日以内改正的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处22万元以上26万元以下罚款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C1658300B050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逾期28日以上未改正违法行为或责令改正期限内不改造成其他危害后果的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56</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C1659300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对建设单位未按照国家规定将竣工验收报告、有关认可文件或者准许使用文件报送备案的行为进行处罚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《建设工程质量管理条例》第四十九条第一款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《建设工程质量管理条例》第五十六条第（八）项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C1659300-1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C1659300T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C1659300B010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建设单位未按照规定报送备案，逾期超过30日，不满60日改正的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处20万元以上26万元以下的罚款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C1659300B020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建设单位未按照规定报送备案，逾期超过60日，不满90日改正的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C1659300B030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建设单位未按照规定报送备案，逾期超过90日，不满180日改正的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处32万元以上38万元以下的罚款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C1659300B040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建设单位未按照规定报送备案，逾期超过180日，不满1年改正的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处38万元以上44万元以下的罚款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C1659300B050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建设单位未按照规定报送备案，逾期超过1年的，或逾期虽未超过1年，但引发集中信访、群体性投诉或重大舆情，造成恶劣社会影响的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处44万元以上50万元以下的罚款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57</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C1663800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对建筑施工企业不履行保修义务或者拖延履行保修义务的行为进行处罚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《中华人民共和国建筑法》第六十条第一款、第二款；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《建设工程质量管理条例》第四十一条；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《房屋建筑工程质量保修办法》第四条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《中华人民共和国建筑法》第七十五条；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《建设工程质量管理条例》第六十六条；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《房屋建筑工程质量保修办法》第十九条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C1663800-1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C1663800T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C1663800B010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涉及非结构性、非功能性的一般外观瑕疵，不影响正常居住使用</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C1663800B020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涉及一般功能性问题，对居住造成一定不便</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处12万元以上14万元以下的罚款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C1663800B030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涉及重要功能失效，严重影响居住</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处14万元以上16万元以下的罚款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C1663800B040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涉及结构性安全隐患或重大功能失效</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处16万元以上18万元以下的罚款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C1663800B050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因拖延、拒绝保修直接导致人员伤亡或财产损失</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处18万元以上20万元以下的罚款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58</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C1673800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对建设单位未将建设工程质量检测费用列入工程概预算并单独列支的行为进行处罚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《建设工程质量检测管理办法》第十七条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《建设工程质量检测管理办法》第四十七条第一款第（二）项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C1673800-1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C1673800T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C1673800B010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违法情节较轻,未造成危害后果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责令改正，处3万元以上10万元以下罚款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C1673800B020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非主体结构、非主要使用功能的检测项目的检测频次大幅减少或漏检</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C1673800B030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一般结构构件或非关键部位的检测频次大幅减少或漏检</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处12万元以上14万元以下的罚款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C1673800B040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主体结构重要部位或关键功能性检测项目的检测频次大幅减少或漏检</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处14万元以上16万元以下的罚款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C1673800B050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地基基础、主体结构核心部位的检测频次大幅减少或漏检</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处16万元以上18万元以下的罚款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C1673800B060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项目整体未做质量检测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处18万元以上20万元以下的罚款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59</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C1674000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对建设或监理单位未按照规定实施见证的行为进行处罚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《建设工程质量检测管理办法》第十八条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《建设工程质量检测管理办法》第四十七条第一款第（三）项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C1674000-1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C1674000T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C1674000B010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违法情节较轻,未造成危害后果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处3万元以上10万元以下罚款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C1674000B020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未实施见证涉及非主体结构、非主要使用功能的检测项目</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C1674000B030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未实施见证涉及一般结构构件或非关键部位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处12万元以上14万元以下的罚款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C1674000B040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未实施见证涉及主体结构重要部位或关键功能性检测项目</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处14万元以上16万元以下的罚款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C1674000B050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未实施见证涉及地基基础、主体结构核心部位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处16万元以上18万元以下的罚款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C1674000B060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未实施见证，发生质量安全事故的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处18万元以上20万元以下的罚款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60</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C1666700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对安全生产许可证有效期满未办理延期手续，继续从事建筑施工活动的行为进行处罚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《安全生产许可证条例》第九条第一款；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《建筑施工企业安全生产许可证管理规定》第八条第一款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《安全生产许可证条例》十九条；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《安全生产许可证条例》第二十条；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《建筑施工企业安全生产许可证管理规定》第二十四条；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《建筑施工企业安全生产许可证管理规定》第二十五条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C1666700-1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C1666700T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C1666700A010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未造成生产安全事故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责令其在建项目停止施工，限期补办延期手续，没收违法所得，并处5万元以上14万元以下的罚款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C1666700A020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责令其在建项目停止施工，没收违法所得，并处14万元以上23万元以下的罚款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C1666700A030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责令其在建项目停止施工，没收违法所得，并处23万元以上32万元以下的罚款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C1666700A040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责令其在建项目停止施工，没收违法所得，并处32万元以上41万元以下的罚款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C1666700A050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造成特别重大生产安全事故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责令其在建项目停止施工，没收违法所得，并处41万元以上50万元以下的罚款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61</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C1611200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对建设单位将拆除工程发包给不具有相应资质等级的施工单位的行为进行处罚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《建设工程安全生产管理条例》第十一条第一款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《建设工程安全生产管理条例》第五十五条第（三）项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C1611200-1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C1611200T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C1611200A010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未造成生产安全事故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处20万元以上26万元以下的罚款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C1611200A020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C1611200A030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处32万元以上38万元以下的罚款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C1611200A040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处38万元以上44万元以下的罚款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C1611200A050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造成特别重大生产安全事故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处44万元以上50万元以下的罚款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62</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C1635200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对建筑施工企业转让安全生产许可证的行为进行处罚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《建筑施工企业安全生产许可证管理规定》第十八条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《建筑施工企业安全生产许可证管理规定》第二十六条第一款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C1635200-1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C1635200T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C1635200A010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未造成生产安全事故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没收违法所得，处10万元以上18万元以下的罚款，并吊销安全生产许可证</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C1635200A020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没收违法所得，处18万元以上26万元以下的罚款，并吊销安全生产许可证</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C1635200A030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没收违法所得，处26万元以上34万元以下的罚款，并吊销安全生产许可证</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C1635200A040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没收违法所得，处34万元以上42万元以下的罚款，并吊销安全生产许可证</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C1635200A050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造成特别重大生产安全事故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没收违法所得，处42万元以上50万元以下的罚款，并吊销安全生产许可证</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63</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C1635300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对接受建筑施工企业转让安全生产许可证的行为进行处罚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《建筑施工企业安全生产许可证管理规定》第二十六条第一款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《建筑施工企业安全生产许可证管理规定》第二十四条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C1635300-1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C1635300T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C1635300A010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未造成生产安全事故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没收违法所得，处10万元以上18万元以下的罚款，并吊销安全生产许可证</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C1635300A020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没收违法所得，处18万元以上26万元以下的罚款，并吊销安全生产许可证</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C1635300A030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没收违法所得，处26万元以上34万元以下的罚款，并吊销安全生产许可证</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C1635300A040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没收违法所得，处34万元以上42万元以下的罚款，并吊销安全生产许可证</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C1635300A050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造成特别重大生产安全事故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没收违法所得，处42万元以上50万元以下的罚款，并吊销安全生产许可证</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64</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C1635400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对冒用安全生产许可证或者使用伪造的安全生产许可证的行为进行处罚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《建筑施工企业安全生产许可证管理规定》第十八条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《建筑施工企业安全生产许可证管理规定》第二十六条第二款；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《建筑施工企业安全生产许可证管理规定》第二十四条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C1635400-1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C1635400T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C1635400A010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未造成生产安全事故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没收违法所得，处10万元以上18万元以下的罚款，并吊销安全生产许可证</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C1635400A020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没收违法所得，处18万元以上26万元以下的罚款，并吊销安全生产许可证</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C1635400A030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没收违法所得，处26万元以上34万元以下的罚款，并吊销安全生产许可证</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C1635400A040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没收违法所得，处34万元以上42万元以下的罚款，并吊销安全生产许可证</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C1635400A050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造成特别重大生产安全事故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没收违法所得，处42万元以上50万元以下的罚款，并吊销安全生产许可证</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65</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C1660100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对生产经营单位未按照要求使用生产安全事故隐患排查治理信息系统，如实记录隐患排查治理情况的行为进行处罚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《北京市生产安全事故隐患排查治理办法》第十六条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《北京市生产安全事故隐患排查治理办法》第三十条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C1660100-1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C1660100T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C1660100A010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逾期未改正，未造成事故的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责令停产停业整顿，并处2万元以下罚款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C1660100A020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责令停产停业整顿，并处2万元以上4万元以下罚款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C1660100A030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逾期未改正，造成较大生产安全事故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责令停产停业整顿，并处4万元以上6万元以下罚款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C1660100A040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责令停产停业整顿，并处6万元以上8万元以下罚款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C1660100A050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逾期未改正，造成特别重大生产安全事故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责令停产停业整顿，并处8万元以上10万元以下罚款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66</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C1661800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对生产经营单位未建立健全事故隐患排查治理制度的行为进行处罚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《北京市生产安全事故隐患排查治理办法》第十条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《北京市生产安全事故隐患排查治理办法》第二十七条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C1661800-1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C1661800T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C1661800A010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逾期未改正，未造成事故的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责令停产停业整顿，处4万元以下罚款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C1661800A020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责令停产停业整顿，并处4万元以上8万元以下罚款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C1661800A030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逾期未改正，造成较大生产安全事故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责令停产停业整顿，并处8万元以上12万元以下罚款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C1661800A040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责令停产停业整顿，并处12万元以上16万元以下罚款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C1661800A050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逾期未改正，造成特别重大生产安全事故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责令停产停业整顿，并处16万元以上20万元以下罚款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67</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C1666500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对生产经营单位未定期通报事故隐患排查治理情况，或者未公示重大事故隐患的危害程度、影响范围和应急措施的行为进行处罚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《北京市生产安全事故隐患排查治理办法》第十一条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《北京市生产安全事故隐患排查治理办法》第二十八条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C1666500-1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C1666500T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C1666500A010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逾期未改正，未造成事故的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责令停产停业整顿，并处2万元以下罚款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C1666500A020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责令停产停业整顿，并处2万元以上4万元以下罚款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C1666500A030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逾期未改正，造成较大生产安全事故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责令停产停业整顿，并处4万元以上6万元以下罚款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C1666500A040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责令停产停业整顿，并处6万元以上8万元以下罚款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C1666500A050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逾期未改正，造成特别重大生产安全事故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责令停产停业整顿，并处8万元以上10万元以下罚款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68</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C1617200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对新建、扩建混凝土搅拌站或者不符合环境治理规划的已建成企业在规定期限内未关闭的行为进行处罚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《北京市大气污染防治条例》第八十八条第二款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《北京市大气污染防治条例》第一百二十四条第二款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C1617200-1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C1617200T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违法行为轻微并及时改正，没有造成危害后果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C1617200B010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新建、扩建混凝土搅拌站的；不符合环境治理规划的已建成企业在规定期限内未关闭，逾期7日内关闭并停止生产的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新建、扩建混凝土搅拌站的,由市住房城乡建设行政主管部门责令关闭；不符合环境治理规划的已建成企业在规定期限内未关闭的，由市住房城乡建设行政主管部门关闭，处5万元以上8万元以下罚款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C1617200B020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不符合环境治理规划的已建成企业在规定期限内未关闭，逾期7日以上14日以内关闭并停止生产的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由市住房城乡建设行政主管部门关闭，处8万元以上11万元以下罚款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C1617200B030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不符合环境治理规划的已建成企业在规定期限内未关闭，逾期14日以上21日以内关闭并停止生产的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由市住房城乡建设行政主管部门关闭，处11万元以上14万元以下罚款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C1617200B040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不符合环境治理规划的已建成企业在规定期限内未关闭，逾期21日以上28日以内关闭并停止生产的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由市住房城乡建设行政主管部门关闭，处14万元以上17万元以下罚款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C1617200B050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不符合环境治理规划的已建成企业逾期超28日未关闭并停止生产的，或因未在规定期限内关闭，造成其他严重危害后果的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由市住房城乡建设行政主管部门关闭，处17万元以上20万元以下罚款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69</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C1623700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对房地产经纪服务合同未由从事该业务的一名房地产经纪人或者两名房地产经纪人协理签名的行为进行处罚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《房地产经纪管理办法》第二十条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《房地产经纪管理办法》第三十三条第一款第三项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C1623700-1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C1623700T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C1623700B010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期限内改正，违法情节一般,</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对房地产经纪人员处以1万元罚款；对房地产经纪机构处以1万元以上1.5万元以下罚款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C1623700B020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期限内改正，违法情节较重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对房地产经纪人员处以1万元罚款；对房地产经纪机构处以1.5万元以上2.5万元以下罚款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C1623700B030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逾期不改，或存在其他严重违法情节造成恶劣社会影响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对房地产经纪人员处以1万元罚款；对房地产经纪机构处以2.5万元以上3万元以下罚款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70</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C1665800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对建设单位任意压缩合理工期的行为进行处罚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《建设工程质量管理条例》第十条第一款；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《北京市建设工程质量条例》第六十一条第二款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《建设工程质量管理条例》第五十六条第（二）项；</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《北京市建设工程质量条例》第九十九条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C1665800-1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C1665800T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C1665800A010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未造成生产安全事故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处20万元以上26万元以下罚款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C1665800A020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处26万元以上32万元以下罚款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C1665800A030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处32万元以上38万元以下罚款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C1665800A040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处38万元以上44万元以下罚款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C1665800A050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造成特别重大生产安全事故；或存在其他严重违法情节造成恶劣社会影响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处44万元以上50万元以下罚款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71</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C1675300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对建设单位未按照规定将噪声污染防治费用列入工程造价的行为进行处罚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《中华人民共和国噪声污染防治法》第四十条第一款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《中华人民共和国噪声污染防治法》第七十八第一款第一项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C1675300-1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C1675300T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C1675300B010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违法情节较轻的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5千元以上2万元以下的罚款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C1675300B020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违法情节一般的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2万元以上3万5千元以下的罚款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C1675300B030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违法情节严重的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3万5千元以上5万元以下的罚款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C1675300B040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拒不改正，未造成其他严重后果的小型工程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5万元以上8万元以下的罚款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C1675300B050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拒不改正，未造成其他严重后果的中型工程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8万元以上11万元以下的罚款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C1675300B060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拒不改正，未造成其他严重后果的大型工程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11万元以上14万元以下的罚款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C1675300B070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拒不改正，未造成其他严重后果的超大型工程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14万元以上17万元以下的罚款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C1675300B080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拒不改正，违法情节严重，造成恶劣社会影响的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17万元以上20万元以下的罚款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72</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C1607100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对招标代理机构在所代理的招标项目中投标、代理投标或者向该项目投标人提供咨询，接受委托编制标底的中介机构参加受托编制标底项目的投标或者为该项目的投标人编制投标文件、提供咨询的行为进行处罚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《中华人民共和国招标投标法实施条例》第六十五条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《中华人民共和国招标投标法》第五十条第一款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C1607100-1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C1607100T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C16071A010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影响资格预审结果或中标结果，造成危害后果的小型工程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对单位处5万元以上9万元以下的罚款，对单位直接负责的主管人员和其他直接责任人员处单位罚款数额5%以上7.5%以下的罚款；有违法所得的，并处没收违法所得</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C16071A020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影响资格预审结果或中标结果，造成危害后果的中型工程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对单位处9万元以上13万元以下的罚款，对单位直接负责的主管人员和其他直接责任人员处单位罚款数额5%以上7.5%以下的罚款；有违法所得的，并处没收违法所得</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C16071A030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影响资格预审结果或中标结果，造成危害后果的大型工程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对单位处13万元以上17万元以下罚款，对单位直接负责的主管人员和其他直接责任人员处单位罚款数额7.5%以上9%以下的罚款；有违法所得的，并处没收违法所得</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C16071A040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影响资格预审结果或中标结果，造成危害后果的特大型工程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对单位处17万元以上21万元以下罚款，对单位直接负责的主管人员和其他直接责任人员处单位罚款数额7.5%以上9%以下的罚款；有违法所得的，并处没收违法所得</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C16071A050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3年内2次以上同类违法行为的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对单位处21万元以上25万元以下罚款，对单位直接负责的主管人员和其他直接责任人员处单位罚款数额9%以上10%以下的罚款，有违法所得的，并处没收违法所得</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73</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C1659100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对招标代理机构违法泄露应当保密的与招标投标活动有关的情况和资料的，或者与招标人、投标人串通损害国家利益、社会公共利益或者他人合法权益的行为进行处罚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《中华人民共和国招标投标法》第二十二条第一款；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《中华人民共和国招标投标法》第三十二条第二款；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《工程建设项目施工招标投标办法》六十九条第一款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《中华人民共和国招标投标法》第五十条第一款；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《工程建设项目施工招标投标办法》六十九条第一款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C1659100-1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C1659100T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C1659100A010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影响资格预审结果或中标结果，造成危害后果的小型工程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对单位处5万元以上9万元以下的罚款，对单位直接负责的主管人员和其他直接责任人员处单位罚款数额5%以上7.5%以下的罚款；有违法所得的，并处没收违法所得</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C1659100A020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影响资格预审结果或中标结果，造成危害后果的中型工程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对单位处9万元以上13万元以下的罚款，对单位直接负责的主管人员和其他直接责任人员处单位罚款数额5%以上7.5%以下的罚款；有违法所得的，并处没收违法所得</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C1659100A030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影响资格预审结果或中标结果，造成危害后果的大型工程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对单位处13万元以上17万元以下罚款，对单位直接负责的主管人员和其他直接责任人员处单位罚款数额7.5%以上9%以下的罚款；有违法所得的，并处没收违法所得</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C1659100A040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影响资格预审结果或中标结果，造成危害后果的特大型工程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对单位处17万元以上21万元以下罚款，对单位直接负责的主管人员和其他直接责任人员处单位罚款数额7.5%以上9%以下的罚款；有违法所得的，并处没收违法所得</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C1659100A050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3年内2次以上同类违法行为的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对单位处21万元以上25万元以下罚款，对单位直接负责的主管人员和其他直接责任人员处单位罚款数额9%以上10%以下的罚款，有违法所得的，并处没收违法所得</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74</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C1660300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对招标文件、资格预审文件的发售、澄清、修改的时限，或者确定的提交资格预审申请文件、投标文件的时限不符合招标投标法和招标投标法实施条例规定的行为进行处罚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after="240" w:afterAutospacing="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《中华人民共和国招投标法》第二十三条、第二十四条；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《中华人民共和国招标投标法实施条例》第十六条第一款、第十七条、第二十一条；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《工程建设项目施工招标投标办法》第七十三条第二款第（二）项；</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《工程建设项目货物招标投标办法》第五十六条第一款第（二）项</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《中华人民共和国招标投标法实施条例》第六十四条第一款第（二）项；</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《工程建设项目施工招标投标办法》第七十三条第二款第（二）项；</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《工程建设项目货物招标投标办法》第五十六条第一款第（二）项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C1660300-1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C1660300T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C1660300B010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影响资格预审结果或中标结果，造成危害后果的小型工程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C1660300B020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影响资格预审结果或中标结果，造成危害后果的中型工程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处2万元以上4万元以下罚款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C1660300B030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影响资格预审结果或中标结果，造成危害后果的大型工程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处4万元以上6万元以下罚款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C1660300B040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影响资格预审结果或中标结果，造成危害后果的特大型工程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处6万元以上8万元以下罚款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C1660300B050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3年内2次以上同类违法行为的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处8万元以上10万元以下罚款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75</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C1661200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对依法必须进行招标的项目的招标人不按照规定组建评标委员会，或者确定、更换评标委员会 成员违反《招标投标法》和《招标投标法实施条例》规定的行为进行处罚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《中华人民共和国招标投标法实施条例》第四十六条第一款、第二款；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《评标专家和评标专家库管理暂行办法》第十七条第一款；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《工程建设项目施工招标投标办法》第七十九条；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《中华人民共和国招标投标法实施条例》第七十条第一款；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《评标专家和评标专家库管理暂行办法》第十七条第一款；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《工程建设项目施工招标投标办法》第七十九条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C1661200-1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C1661200T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C1661200B010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影响资格预审结果或中标结果，造成危害后果的小型工程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C1661200B020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影响资格预审结果或中标结果，造成危害后果的中型工程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处2万元以上4万元以下罚款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C1661200B030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影响资格预审结果或中标结果，造成危害后果的大型工程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处4万元以上6万元以下罚款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C1661200B040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影响资格预审结果或中标结果，造成危害后果的特大型工程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处6万元以上8万元以下罚款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C1661200B050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3年内2次以上同类违法行为的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处8万元以上10万元以下罚款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76</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C1600200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对建设单位违反建筑节能标准的行为进行处罚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《中华人民共和国节约能源法》第三十五条第一款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《中华人民共和国节约能源法》第七十九条第一款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C1600200-1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C1600200T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C1600200B010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造成检验批返工或返修，或经有资质的检测机构检测鉴定能够达到设计要求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处20万以上26万元以下罚款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C1600200B020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造成检验批经有资质的检测机构检测鉴定达不到设计要求，但经原设计单位核算认可能够满足安全和使用功能</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处26万以上32万元以下罚款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C1600200B030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造成分项、分部工程返修或加固处理，但能满足安全及使用功能要求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处32万以上38万元以下罚款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C1600200B040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处38万以上44万元以下罚款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C1600200B050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造成较大及以上工程质量事故；或存在其他严重违法情节造成恶劣社会影响的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处44万以上50万元以下罚款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77</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C1600300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对施工单位、监理单位违反建筑节能标准的行为进行处罚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《中华人民共和国节约能源法》第三十五条第一款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《中华人民共和国节约能源法》第七十九条第二款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C1600300-1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C1600300T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C1600300A010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造成检验批返工或返修，或经有资质的检测机构检测鉴定能够达到设计要求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处10万以上18万元以下罚款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C1600300A020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造成检验批经有资质的检测机构检测鉴定达不到设计要求，但经原设计单位核算认可能够满足安全和使用功能</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处18万以上26万元以下罚款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C1600300A030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造成分项、分部工程返修或加固处理，但能满足安全及使用功能要求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处26万以上34万元以下罚款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C1600300A040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处34万以上42万元以下罚款；由颁发资质证书的部门降低资质等级或者吊销资质证书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C1600300A050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造成较大及以上工程质量事故；或存在其他严重违法情节造成恶劣社会影响的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处42万以上50万元以下罚款；由颁发资质证书的部门降低资质等级或者吊销资质证书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78</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C1609400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对施工单位使用未经验收或者验收不合格的施工起重机械和整体提升脚手架、模板等自升式架设设施的行为进行处罚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《建设工程安全生产管理条例》第三十五条第一款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《建设工程安全生产管理条例》第六十五条第（二）项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C1609400-1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C1609400T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C1609400A010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逾期未改正，且未造成生产安全事故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责令停业整顿，并处10万元以上14万元以下的罚款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C1609400A020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责令停业整顿，并处14万元以上18万元以下的罚款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C1609400A030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逾期未改正，且造成较大生产安全事故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责令停业整顿，并处18万元以上22万元以下的罚款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C1609400A040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责令停业整顿，并处22万元以上26万元以下的罚款，降低资质等级</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C1609400A050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逾期未改正，且造成特别重大生产安全事故；或存在其他严重违法情节造成恶劣社会影响的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责令停业整顿，并处26万元以上30万元以下的罚款，吊销资质证书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79</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C1609500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对施工单位委托不具有相应资质的单位承担施工现场安装、拆卸施工起重机械和整体提升脚手架、模板等自升式架设设施的行为进行处罚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《建设工程安全生产管理条例》第十七条第一款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《建设工程安全生产管理条例》第六十五条第（三）项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C1609500-1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C1609500T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C1609500A010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逾期未改正，未造成生产安全事故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责令停业整顿，并处10万元以上14万元以下的罚款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C1609500A020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责令停业整顿，并处14万元以上18万元以下的罚款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C1609500A030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逾期未改正，且造成较大生产安全事故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责令停业整顿，并处18万元以上22万元以下的罚款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C1609500A040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责令停业整顿，并处22万元以上26万元以下的罚款，降低资质等级</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C1609500A050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逾期未改正，且造成特别重大生产安全事故；或存在其他严重违法情节造成恶劣社会影响的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责令停业整顿，并处26万元以上30万元以下的罚款，吊销资质证书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80</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C1609600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对施工单位未编制或审核安全技术措施、施工现场临时用电方案或者专项施工方案的行为进行处罚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《建设工程安全生产管理条例》第二十六条第一款；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《危险性较大的分部分项工程安全管理规定》第十条；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《危险性较大的分部分项工程安全管理规定》第十一条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《建设工程安全生产管理条例》第六十五条第（四）项；</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《危险性较大的分部分项工程安全管理规定》第三十二条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C1609600-1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C1609600T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C1609600A010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逾期未改正，且未造成生产安全事故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责令停业整顿，处10万元以上14万元以下的罚款；（危大工程）并处暂扣安全生产许可证30日；对直接负责的主管人员和其他直接责任人员处1000元的罚款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C1609600A020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责令停业整顿，处14万元以上18万元以下的罚款；（危大工程）并处暂扣安全生产许可证30日；对直接负责的主管人员和其他直接责任人员处1000元以上2000元以下的罚款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C1609600A030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逾期未改正，且造成较大生产安全事故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责令停业整顿，处18万元以上22万元以下的罚款；（危大工程）并处暂扣安全生产许可证30日；对直接负责的主管人员和其他直接责任人员处2000元以上3000元以下的罚款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C1609600A040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责令停业整顿，处22万元以上26万元以下的罚款，降低资质等级；（危大工程）并处暂扣安全生产许可证30日；对直接负责的主管人员和其他直接责任人员处3000元以上4000元以下的罚款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C1609600A050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逾期未改正，且造成特别重大生产安全事故；或存在其他严重违法情节造成恶劣社会影响的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责令停业整顿，处26万元以上30万元以下的罚款，吊销资质证书；（危大工程）并处暂扣安全生产许可证30日；对直接负责的主管人员和其他直接责任人员处4000元以上5000元以下的罚款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81</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C1609700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对安全防护用具、机械设备、施工机具及配件在进入施工现场前未经查验或者查验不合格即投入使用的行为进行处罚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《建设工程安全生产管理条例》第三十四条第一款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《建设工程安全生产管理条例》第六十五条第（一）项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C1609700-1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C1609700T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C1609700A010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逾期未改正，且未造成生产安全事故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责令停业整顿，并处10万元以上14万元以下的罚款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C1609700A020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责令停业整顿，并处14万元以上18万元以下的罚款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C1609700A030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逾期未改正，且造成较大生产安全事故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责令停业整顿，并处18万元以上22万元以下的罚款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C1609700A040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责令停业整顿，并处22万元以上26万元以下的罚款，降低资质等级</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C1609700A050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逾期未改正，且造成特别重大生产安全事故；或存在其他严重违法情节造成恶劣社会影响的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责令停业整顿，并处26万元以上30万元以下的罚款，吊销资质证书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82</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C1610400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对工程监理单位在实施监理过程中发现安全事故隐患或未按照专项施工方案实施，未及时要求施工单位整改或者暂时停止施工的行为进行处罚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《建设工程安全生产管理条例》第十四条第二款；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《危险性较大的分部分项工程安全管理规定》第十九条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《建设工程安全生产管理条例》第五十七条第（二）项；</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《危险性较大的分部分项工程安全管理规定》第三十六条第（二）项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C1610400-1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C1610400T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C1610400A010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逾期未改正，且未造成生产安全事故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责令停业整顿，并处10万元以上14万元以下的罚款；（危大工程）对直接负责的主管人员和其他直接责任人员处1000元的罚款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C1610400A020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责令停业整顿，并处14万元以上18万元以下的罚款；（危大工程）对直接负责的主管人员和其他直接责任人员处1000元以上2000元以下的罚款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C1610400A030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逾期未改正，且造成较大生产安全事故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责令停业整顿，并处18万元以上22万元以下的罚款；（危大工程）对直接负责的主管人员和其他直接责任人员处2000元以上3000元以下的罚款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C1610400A040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责令停业整顿，并处22万元以上26万元以下的罚款，降低资质等级；（危大工程）对直接负责的主管人员和其他直接责任人员处3000元以上4000元以下的罚款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C1610400A050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逾期未改正，且造成特别重大生产安全事故；或存在其他严重违法情节造成恶劣社会影响的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责令停业整顿，并处26万元以上30万元以下的罚款,吊销资质证书；（危大工程）对直接负责的主管人员和其他直接责任人员处4000元以上5000元以下的罚款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83</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C1610500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对施工单位拒不整改或者不停止施工，监理单位未及时向建设单位和有关主管部门报告的行为进行处罚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《建设工程安全生产管理条例》第十四条第二款；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《危险性较大的分部分项工程安全管理规定》第十九条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《建设工程安全生产管理条例》第五十七条第（三）项；</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《危险性较大的分部分项工程安全管理规定》第三十六条第（三）项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C1610500-1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C1610500T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C1610500A010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逾期未改正，且未造成生产安全事故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责令停业整顿，并处10万元以上14万元以下的罚款；（危大工程）对直接负责的主管人员和其他直接责任人员处1000元的罚款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C1610500A020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责令停业整顿，并处14万元以上18万元以下的罚款；（危大工程）对直接负责的主管人员和其他直接责任人员处1000元以上2000元以下的罚款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C1610500A030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逾期未改正，且造成较大生产安全事故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责令停业整顿，并处18万元以上22万元以下的罚款；（危大工程）对直接负责的主管人员和其他直接责任人员处2000元以上3000元以下的罚款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C1610500A040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责令停业整顿，并处22万元以上26万元以下的罚款，降低资质等级；（危大工程）对直接负责的主管人员和其他直接责任人员处3000元以上4000元以下的罚款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C1610500A050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逾期未改正，且造成特别重大生产安全事故；或存在其他严重违法情节造成恶劣社会影响的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责令停业整顿，并处26万元以上30万元以下的罚款,吊销资质证书；（危大工程）对直接负责的主管人员和其他直接责任人员处4000元以上5000元以下的罚款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84</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C1610600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对工程监理单位未依照法律、法规和工程建设强制性标准实施监理的行为进行处罚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《建设工程安全生产管理条例》第十四条第三款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《建设工程安全生产管理条例》第五十七条第（四）项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C1610600-1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C1610600T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C1610600A010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逾期未改正，且未造成生产安全事故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责令停业整顿，并处10万元以上14万元以下的罚款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C1610600A020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责令停业整顿，并处14万元以上18万元以下的罚款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C1610600A030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逾期未改正，且造成较大生产安全事故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责令停业整顿，并处18万元以上22万元以下的罚款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C1610600A040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责令停业整顿，并处22万元以上26万元以下的罚款，降低资质等级</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C1610600A050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逾期未改正，且造成特别重大生产安全事故；或存在其他严重违法情节造成恶劣社会影响的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责令停业整顿，并处26万元以上30万元以下的罚款,吊销资质证书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85</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C1610700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对工程监理单位未对施工组织设计中的安全技术措施或者专项施工方案进行审查的行为进行处罚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《建设工程安全生产管理条例》第十四条第一款；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《危险性较大的分部分项工程安全管理规定》第十一条第一款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《建设工程安全生产管理条例》第五十七条第（一）项；</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《危险性较大的分部分项工程安全管理规定》第三十六条第（一）项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C1610700-1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C1610700T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C1610700A010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逾期未改正，且未造成生产安全事故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责令停业整顿，并处10万元以上14万元以下的罚款；（危大工程）对直接负责的主管人员和其他直接责任人员处1000元的罚款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C1610700A020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责令停业整顿，并处14万元以上18万元以下的罚款；（危大工程）对直接负责的主管人员和其他直接责任人员处1000元以上2000元以下的罚款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C1610700A030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逾期未改正，且造成较大生产安全事故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责令停业整顿，并处18万元以上22万元以下的罚款；（危大工程）对直接负责的主管人员和其他直接责任人员处2000元以上3000元以下的罚款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C1610700A040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责令停业整顿，并处22万元以上26万元以下的罚款，降低资质等级；（危大工程）对直接负责的主管人员和其他直接责任人员处3000元以上4000元以下的罚款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C1610700A050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逾期未改正，且造成特别重大生产安全事故；或存在其他严重违法情节造成恶劣社会影响的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责令停业整顿，并处26万元以上30万元以下的罚款,吊销资质证书；（危大工程）对直接负责的主管人员和其他直接责任人员处4000元以上5000元以下的罚款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86</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C1611100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对建设单位对施工、工程监理等单位提出不符合安全生产法律、法规和强制性标准规定的要求的行为进行处罚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《建设工程安全生产管理条例》第七条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《建设工程安全生产管理条例》第五十五条第（一）项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C1611100-1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C1611100T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C1611100B010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未造成生产安全事故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处20万元以上26万元以下的罚款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C1611100B020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C1611100B030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处32万元以上38万元以下的罚款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C1611100B040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处38万元以上44万元以下的罚款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C1611100B050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造成特别重大生产安全事故；或存在其他严重违法情节造成恶劣社会影响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处44万元以上50万元以下的罚款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87</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C1612800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对工程监理单位将不合格的建设工程、建筑材料、建筑构配件和设备按照合格签字的行为进行处罚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《建设工程质量管理条例》第六十七条第（二）项</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《建设工程质量管理条例》第六十七条第（二）项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C1612800-1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C1612800T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C1612800A010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造成检验批返工或返修，或经有资质的检测机构检测鉴定能够达到设计要求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处50万元以上60万元以下的罚款，降低资质等级或者吊销资质证书；有违法所得的，予以没收</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C1612800A020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造成检验批经有资质的检测机构检测鉴定达不到设计要求，但经原设计单位核算认可能够满足安全和使用功能</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处60万元以上70万元以下的罚款，降低资质等级或者吊销资质证书；有违法所得的，予以没收</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C1612800A030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造成分项、分部工程返修或加固处理，但能满足安全及使用功能要求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处70万元以上80万元以下的罚款，降低资质等级或者吊销资质证书；有违法所得的，予以没收</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C1612800A040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处80万元以上90万元以下的罚款，降低资质等级；有违法所得的，予以没收</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C1612800A050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造成较大及以上工程质量事故；或存在其他严重违法情节造成恶劣社会影响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处90万元以上100万元以下的罚款，降低资质等级或者吊销资质证书；有违法所得的，予以没收</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88</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C1613300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对施工单位在施工中未对建筑材料、建筑构配件、设备和商品混凝土进行检验的行为进行处罚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《建设工程质量管理条例》第二十九条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《建设工程质量管理条例》第六十五条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C1613300-1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C1613300T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C1613300A010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未按照施工技术标准进行检验</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C1613300A020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当工程设计要求严于施工技术标准时，未按照工程设计要求进行检验</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处12万元以上14万元以下的罚款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C1613300A030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当合同约定严于工程设计要求时，未按照合同约定进行检验</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处14万元以上16万元以下的罚款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C1613300A040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已全部使用</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处16万元以上18万元以下的罚款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C1613300A050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处18万元以上20万元以下的罚款；责令停业整顿，降低资质等级或吊销资质证书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89</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C1613400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对施工单位未对涉及结构安全的试块、试件以及有关材料取样并送具有相应资质等级的质量检测机构检测的行为进行处罚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《建设工程质量管理条例》第三十一条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《建设工程质量管理条例》第六十五条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C1613400-1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C1613400T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C1613400A010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已按要求对涉及结构安全的试块、试件以及有关材料取样，但送检的质量检测机构不符合相应资质等级要求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C1613400A020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已按要求对涉及结构安全的试块、试件以及有关材料取样，但未送质量检测机构检测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处12万元以上14万元以下的罚款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C1613400A030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已对涉及结构安全的试块、试件以及有关材料取样，但不符合取样相关要求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处14万元以上16万元以下的罚款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C1613400A040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未对涉及结构安全的试块、试件以及有关材料取样</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处16万元以上18万元以下的罚款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C1613400A050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处18万元以上20万元以下的罚款；责令停业整顿，降低资质等级或者吊销资质证书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90</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C1614100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对建设单位明示或者暗示施工单位使用不合格的建筑材料、建筑构配件和设备的行为进行处罚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《建设工程质量管理条例》第十四条第二款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《建设工程质量管理条例》第五十六条第（七）项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C1614100-1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C1614100T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C1614100B010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造成检验批返工或返修，或经有资质的检测机构检测鉴定能够达到设计要求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处20万元以上26万元以下的罚款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C1614100B020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造成检验批经有资质的检测机构检测鉴定达不到设计要求，但经原设计单位核算认可能够满足安全和使用功能</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C1614100B030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造成分项、分部工程返修或加固处理，但能满足安全及使用功能要求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处32万元以上38万元以下的罚款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C1614100B040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处38万元以上44万元以下的罚款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C1614100B050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造成较大及以上工程质量事故；或存在其他严重违法情节造成恶劣社会影响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处44万元以上50万元以下的罚款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91</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C1614900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对建设单位未按照国家规定办理工程质量监督手续的行为进行处罚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《建设工程质量管理条例》第十三条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《建设工程质量管理条例》第五十六条第（六）项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C1614900-1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C1614900T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C1614900B010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开工时间不足3个月，建设单位未按照规定办理工程质量监督手续</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处20万元以上26万元以下的罚款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C1614900B020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开工时间3-6个月，建设单位未按照规定办理工程质量监督手续</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C1614900B030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开工时间6-9个月，建设单位未按照规定办理工程质量监督手续</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处32万元以上38万元以下的罚款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C1614900B040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开工时间9-12个月，建设单位未按照规定办理工程质量监督手续</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处38万元以上44万元以下的罚款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C1614900B050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开工时间超过12个月，建设单位未按照规定办理工程质量监督手续</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处44万元以上50万元以下的罚款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92</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C1615600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对建设单位明示或者暗示施工单位使用不符合施工图设计文件要求的墙体材料、保温材料、门窗、采暖制冷系统和照明设备的行为进行处罚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《民用建筑节能条例》第十四条第一款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《民用建筑节能条例》第三十七条第（二）项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C1615600-1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C1615600T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C1615600B010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造成检验批返工或返修，或经有资质的检测机构检测鉴定能够达到设计要求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处20万元以上26万元以下的罚款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C1615600B020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造成检验批经有资质的检测机构检测鉴定达不到设计要求，但经原设计单位核算认可能够满足安全和使用功能</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C1615600B030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造成分项、分部工程返修或加固处理，但能满足安全及使用功能要求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处32万元以上38万元以下的罚款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C1615600B040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处38万元以上44万元以下的罚款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C1615600B050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造成较大及以上工程质量事故；或存在其他严重违法情节造成恶劣社会影响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处44万元以上50万元以下的罚款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93</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C1615700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对建设单位采购不符合施工图设计文件要求的墙体材料、保温材料、门窗、采暖制冷系统和照明设备的行为进行处罚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《民用建筑节能条例》第十四条第二款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《民用建筑节能条例》第三十七条第（三）项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C1615700-1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C1615700T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C1615700B010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造成检验批返工或返修，或经有资质的检测机构检测鉴定能够达到设计要求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处20万元以上26万元以下的罚款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C1615700B020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造成检验批经有资质的检测机构检测鉴定达不到设计要求，但经原设计单位核算认可能够满足安全和使用功能</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C1615700B030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造成分项、分部工程返修或加固处理，但能满足安全及使用功能要求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处32万元以上38万元以下的罚款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C1615700B040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处38万元以上44万元以下的罚款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C1615700B050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造成较大及以上工程质量事故；或存在其他严重违法情节造成恶劣社会影响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处44万元以上50万元以下的罚款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94</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C1615800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对建设单位明示或者暗示设计单位、施工单位违反民用建筑节能强制性标准进行设计、施工的行为进行处罚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《民用建筑节能条例》第十四条第一款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《民用建筑节能条例》第三十七条第（一）项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C1615800-1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C1615800T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C1615800B010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造成检验批返工或返修，或经有资质的检测机构检测鉴定能够达到设计要求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处20万元以上26万元以下的罚款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C1615800B020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造成检验批经有资质的检测机构检测鉴定达不到设计要求，但经原设计单位核算认可能够满足安全和使用功能</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C1615800B030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造成分项、分部工程返修或加固处理，但能满足安全及使用功能要求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处32万元以上38万元以下的罚款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C1615800B040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处38万元以上44万元以下的罚款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C1615800B050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造成较大及以上工程质量事故；或存在其他严重违法情节造成恶劣社会影响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处44万元以上50万元以下的罚款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95</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C1616200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对墙体、屋面保温工程施工时，工程监理单位未采取旁站、巡视和平行检验等形式实施监理的行为进行处罚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《民用建筑节能条例》第十六条第三款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《民用建筑节能条例》第四十二条第一款第（二）项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C1616200-1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C1616200T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C1616200A010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未采取旁站、巡视和平行检验等形式实施监理，且逾期未改正</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C1616200A020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已形成检验批质量验收记录，且逾期未改正</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处14万元以上18万元以下的罚款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C1616200A030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已形成分项工程质量验收记录，且逾期未改正</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处18万元以上22万元以下的罚款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C1616200A040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已形成分部（子分部）工程质量验收记录，且逾期未改正</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处22万元以上26万元以下的罚款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C1616200A050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已形成单位工程质量竣工（预）验收记录，且逾期未改正</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处26万元以上30万元以下的罚款，由颁发资质证书的部门责令停业整顿，降低资质等级或者吊销资质证书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96</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C1616300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对工程监理单位未按照民用建筑节能强制性标准实施监理的行为进行处罚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《民用建筑节能条例》第十五条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《民用建筑节能条例》第四十二条第一款第（一）项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C1616300-1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C1616300T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C1616300A010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造成检验批返工或返修，或经有资质的检测机构检测鉴定能够达到设计要求，且逾期未改正</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C1616300A020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造成检验批经有资质的检测机构检测鉴定达不到设计要求，但经原设计单位核算认可能够满足安全和使用功能，且逾期未改正</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处14万元以上18万元以下的罚款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C1616300A030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造成分项、分部工程返修或加固处理，但能满足安全及使用功能要求,且逾期未改正</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处18万元以上22万元以下的罚款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C1616300A040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造成一般工程质量事故，且逾期未改正</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处22万元以上26万元以下的罚款，由颁发资质证书的部门责令停业整顿，降低资质等级或者吊销资质证书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C1616300A050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造成较大及以上工程质量事故，或存在其他严重违法情节造成恶劣社会影响，且逾期未改正</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处26万元以上30万元以下的罚款，由颁发资质证书的部门责令停业整顿，降低资质等级或者吊销资质证书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97</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C1616400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对施工单位使用不符合施工图设计文件要求的墙体材料、保温材料、门窗、采暖制冷系统和照明设备的行为进行处罚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《民用建筑节能条例》第十六条第一款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《民用建筑节能条例》第四十一条第（二）项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C1616400-1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C1616400T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C1616400A010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造成检验批返工或返修，或经有资质的检测机构检测鉴定能够达到设计要求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C1616400A020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造成检验批经有资质的检测机构检测鉴定达不到设计要求，但经原设计单位核算认可能够满足安全和使用功能</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处12万元以上14万元以下的罚款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C1616400A030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造成分项、分部工程返修或加固处理，但能满足安全及使用功能要求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处14万元以上16万元以下的罚款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C1616400A040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处16万元以上18万元以下的罚款，由颁发资质证书的部门责令停业整顿，降低资质等级或者吊销资质证书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C1616400A050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造成较大及以上工程质量事故；或存在其他严重违法情节造成恶劣社会影响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处18万元以上20万元以下的罚款，由颁发资质证书的部门责令停业整顿，降低资质等级或者吊销资质证书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98</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C1616600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对施工单位未对进入施工现场的墙体材料、保温材料、门窗、采暖制冷系统和照明设备进行查验的行为进行处罚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《民用建筑节能条例》第十六条第一款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《民用建筑节能条例》第四十一条第（一）项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C1616600-1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C1616600T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C1616600A010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未按照施工技术标准进行检验</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C1616600A020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当工程设计要求严于施工技术标准时，未按照工程设计要求进行检验</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处12万元以上14万元以下的罚款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C1616600A030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当合同约定严于工程设计要求时，未按照合同约定进行检验</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处14万元以上16万元以下的罚款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C1616600A040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已全部使用</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处16万元以上18万元以下的罚款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C1616600A050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处18万元以上20万元以下的罚款，由颁发资质证书的部门责令停业整顿，降低资质等级或者吊销资质证书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99</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C1616700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对工程监理单位将不符合施工图设计文件要求的墙体材料、保温材料、门窗、采暖制冷系统和照明设备，按照符合施工图设计文件要求签字的行为进行处罚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《民用建筑节能条例》第四十二条第二款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《建设工程质量管理条例》第六十七条第（二）项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C1616700-1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C1616700T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C1616700A010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造成检验批返工或返修，或经有资质的检测机构检测鉴定能够达到设计要求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处50万元以上60万元以下的罚款，降低资质等级或者吊销资质证书；有违法所得的，予以没收</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C1616700A020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造成检验批经有资质的检测机构检测鉴定达不到设计要求，但经原设计单位核算认可能够满足安全和使用功能</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处60万元以上70万元以下的罚款，降低资质等级或者吊销资质证书；有违法所得的，予以没收</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C1616700A030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造成分项、分部工程返修或加固处理，但能满足安全及使用功能要求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处70万元以上80万元以下的罚款，降低资质等级或者吊销资质证书；有违法所得的，予以没收</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C1616700A040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处80万元以上90万元以下的罚款，降低资质等级或者吊销资质证书；有违法所得的，予以没收</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C1616700A050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造成较大及以上工程质量事故；或存在其他严重违法情节造成恶劣社会影响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处90万元以上100万元以下的罚款，降低资质等级或者吊销资质证书；有违法所得的，予以没收</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100</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C1617100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对在施工工地现场违法搅拌混凝土、砂浆或者未按照规定使用散装预拌砂浆的行为进行处罚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《北京市大气污染防治条例》第八十八条第一款；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《北京市建设工程施工现场管理办法》第二十六条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《北京市大气污染防治条例》第一百二十四条第一款；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《北京市建设工程施工现场管理办法》第三十九条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C1617100-1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C1617100T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C1617100A010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违法行为发生在无大风预警或无北京市空气重污染预警期间</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处2万元以上6万元以下罚款；逾期未改正的，责令停工整顿</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C1617100A020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违法行为发生在大风蓝色预警期间或北京市空气重污染黄色预警期间</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处6万元以上9万元以下罚款；逾期未改正的，责令停工整顿</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C1617100A030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违法行为发生在大风黄色预警期间或北京市空气重污染橙色预警期间</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处9万元以上13万元以下罚款；逾期未改正的，责令停工整顿</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C1617100A040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违法行为发生在大风橙色预警期间或北京市空气重污染红色预警期间</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处13万元以上16万元以下罚款；逾期未改正的，责令停工整顿</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C1617100A050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违法行为发生在大风红色预警期间或重大活动以及其他重要时期；或存在其他严重违法情节造成恶劣社会影响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处16万元以上20万元以下罚款；逾期未改正的，责令停工整顿</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101</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C1635700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对建筑施工企业未取得安全生产许可证擅自从事建筑施工活动的和行为进行处罚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《安全生产许可证条例》第七条第一款；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《建筑施工企业安全生产许可证管理规定》第二条第二款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《安全生产许可证条例》第十九条；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《建筑施工企业安全生产许可证管理规定》第二十四条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C1635700-1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C1635700T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C1635700A010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未造成生产安全事故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责令其在建项目停止施工，没收违法所得，并处10万元以上18万元以下的罚款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C1635700A020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责令其在建项目停止施工，没收违法所得，并处18万元以上26万元以下的罚款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C1635700A030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责令其在建项目停止施工，没收违法所得，并处26万元以上34万元以下的罚款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C1635700A040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责令其在建项目停止施工，没收违法所得，并处34万元以上42万元以下的罚款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C1635700A050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造成特别重大生产安全事故；或存在其他严重违法情节造成恶劣社会影响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责令其在建项目停止施工，没收违法所得，并处42万元以上50万元以下的罚款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102</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C1646800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对建设单位明示或暗示施工单位违反建筑节能设计强制性标准，降低工程建设质量的行为进行处罚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《民用建筑节能管理规定》第十七条第二款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《民用建筑节能管理规定》二十五条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C1646800-1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C1646800T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C1646800B010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造成检验批返工或返修，或经有资质的检测机构检测鉴定能够达到设计要求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处20万元以上26万元以下的罚款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C1646800B020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造成检验批经有资质的检测机构检测鉴定达不到设计要求，但经原设计单位核算认可能够满足安全和使用功能</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C1646800B030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造成分项、分部工程返修或加固处理，但能满足安全及使用功能要求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处32万元以上38万元以下的罚款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C1646800B040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处38万元以上44万元以下的罚款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C1646800B050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造成较大及以上工程质量事故；或存在其他严重违法情节造成恶劣社会影响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处44万元以上50万元以下的罚款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103</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C1655200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对建设单位未按照规定委托检测单位进行检测的行为进行处罚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《北京市建设工程质量条例》第四十一条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《北京市建设工程质量条例》第八十八条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C1655200-1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C1655200T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C1655200B010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建设单位已委托检测单位进行检测，但委托的检测项目不全</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C1655200B020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建设单位已委托检测单位进行检测，但委托的检测单位不具备相应资质</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处14万元以上18万元以下罚款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C1655200B030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未按规定委托检测的项目涉及地基与基础分部工程或者主体结构分部工程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处18万元以上22万元以下罚款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C1655200B040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建设单位未委托相应资质的检测单位进行检测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处22万元以上26万元以下罚款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C1655200B050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104</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C1662100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对建设单位采购混凝土预制构件、钢筋和钢结构构件，未组织到货检验或采购的建筑材料、建筑构配件和设备不合格且用于工程的行为进行处罚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《北京市建设工程质量条例》第三十九条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《北京市建设工程质量条例》第八十六条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C1662100-1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C1662100T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C1662100B010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建设单位采购混凝土预制构件、钢筋和钢结构构件，未组织到货检验，且已用于工程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处10万以上15万以下的罚款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C1662100B020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建设单位采购混凝土预制构件、钢筋和钢结构构件，未组织到货检验，且全部用于工程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处15万以上20万以下的罚款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C1662100B030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建设单位采购的建筑材料、建筑构配件和设备不合格，且已用于工程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处20万以上28万以下的罚款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C1662100B040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建设单位采购的建筑材料、建筑构配件和设备不合格，且已全部用于工程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处28万以上36万以下的罚款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C1662100B050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处36万以上44万以下的罚款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C1662100B060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造成较大及以上工程质量事故；或存在其他严重违法情节造成恶劣社会影响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处44万元以上50万元以下的罚款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105</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C1662400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对建设单位违反规定，要求建筑设计单位或者建筑施工企业违反建筑工程质量、安全标准，降低工程质量的行为进行处罚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《中华人民共和国建筑法》第五十四条第一款；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《建设工程质量管理条例》第十条第二款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《中华人民共和国建筑法》第七十二条；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《建设工程质量管理条例》第五十六条第（三）项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C1662400-1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C1662400T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C1662400B010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造成检验批返工或返修，或经有资质的检测机构检测鉴定能够达到设计要求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处20万元以上26万元以下的罚款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C1662400B020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造成检验批经有资质的检测机构检测鉴定达不到设计要求，但经原设计单位核算认可能够满足安全和使用功能</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C1662400B030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造成分项、分部工程返修或加固处理，但能满足安全及使用功能要求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处32万元以上38万元以下的罚款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C1662400B040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处38万元以上44万元以下的罚款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C1662400B050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造成较大及以上工程质量事故；或存在其他严重违法情节造成恶劣社会影响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处44万元以上50万元以下的罚款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106</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C1665400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对建设、施工、监理单位将不合格的建设工程按照合格工程验收的行为进行处罚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《北京市建设工程质量条例》第四十七条第二款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《北京市建设工程质量条例》第九十三条第一款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C1665400-1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C1665400T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C1665400B010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未造成工程质量事故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对建设单位处单位工程合同价款2%的罚款，对施工、监理单位处10万元以上12万元以下罚款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C1665400B020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对建设单位处单位工程合同价款2%以上2.5%以下罚款，对施工、监理单位处12万元以上14万元以下罚款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C1665400B030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对建设单位处单位工程合同价款2.5%以上3.5%以下罚款，对施工、监理单位处14万元以上16万元以下罚款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C1665400B040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对建设单位处单位工程合同价款3.5%以上4%以下罚款，对施工、监理单位处16万元以上18万元以下罚款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C1665400B050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造成特别重大工程质量事故；或存在其他严重违法情节造成恶劣社会影响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对建设单位处单位工程合同价款4%的罚款，对施工、监理单位处18万元以上20万元以下罚款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107</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C1665700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对工程监理单位与建设单位或者建筑施工企业串通，弄虚作假、降低工程质量的行为进行处罚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《中华人民共和国建筑法》第三十四条第二款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《中华人民共和国建筑法》第六十九条第一款；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《建设工程质量管理条例》第六十七条第（一）项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C1665700-1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C1665700T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C1665700A010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造成检验批返工或返修，或经有资质的检测机构检测鉴定能够达到设计要求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处50万元以上60万元以下的罚款，降低资质等级或者吊销资质证书；有违法所得的，予以没收</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C1665700A020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造成检验批经有资质的检测机构检测鉴定达不到设计要求，但经原设计单位核算认可能够满足安全和使用功能</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处60万元以上70万元以下的罚款，降低资质等级或者吊销资质证书；有违法所得的，予以没收</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C1665700A030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造成分项、分部工程返修或加固处理，但能满足安全及使用功能要求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处70万元以上80万元以下的罚款，降低资质等级或者吊销资质证书；有违法所得的，予以没收</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C1665700A040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处80万元以上90万元以下的罚款，降低资质等级或者吊销资质证书；有违法所得的，予以没收</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C1665700A050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造成较大及以上工程质量事故；或存在其他严重违法情节造成恶劣社会影响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处90万元以上100万元以下的罚款，降低资质等级或者吊销资质证书；有违法所得的，予以没收</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108 </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C0585600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对建设单位验收后经备案抽查不合格不停止使用的行为进行处罚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《中华人民共和国消防法》第十三条第三款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《中华人民共和国消防法》第五十八条第一款第(三)项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C0585600-1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C0585600T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C0585600A010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未造成工程质量、生产安全事故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责令停止施工、停止使用，并处3万元以上9万元以下罚款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C0585600A020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责令停止施工、停止使用，并处9万元以上14万元以下罚款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C0585600A030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造成较大工程质量、生产安全事故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责令停止施工、停止使用，并处14万元以上19万元以下罚款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C0585600A040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造成重大工程质量、生产安全事故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责令停止施工、停止使用，并处19万元以上24万元以下罚款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C0585600A050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造成特别重大工程质量、生产安全事故；或存在其他严重违法情节造成恶劣社会影响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责令停止施工、停止使用，并处24万元以上30万元以下罚款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109 </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C1669100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对建设单位未经消防验收或者消防验收不合格擅自投入使用的行为进行处罚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《中华人民共和国消防法》第十三条第三款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《中华人民共和国消防法》第五十八条第一款第(二)项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C1669100-1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C1669100T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C1669100A010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建设单位未经消防验收或者消防验收不合格擅自投入使用，未造成工程质量、生产安全事故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责令停止施工、停止使用，并处3万元以上9万元以下罚款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C1669100A020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责令停止施工、停止使用，并处9万元以上14万元以下罚款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C1669100A030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造成较大工程质量、生产安全事故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责令停止施工、停止使用，并处14万元以上19万元以下罚款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C1669100A040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造成重大工程质量、生产安全事故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责令停止施工、停止使用，并处19万元以上24万元以下罚款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C1669100A050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造成特别重大工程质量、生产安全事故；或存在其他严重违法情节造成恶劣社会影响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责令停止施工、停止使用，并处24万元以上30万元以下罚款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110</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C1663900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对预拌混凝土生产单位未进行配合比设计或者未按照配合比通知单生产、使用未经检验或者检验不合格的原材料、供应未经验收或者验收不合格的预拌混凝土的行为进行处罚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《北京市建设工程质量条例》第十七条第二款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《北京市建设工程质量条例》第七十九条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C1663900-1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C1663900T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C1663900A010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存在以下违法行为之一的：</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1.未按照配合比通知单生产；</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2.使用未经检验的原材料；</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3.供应未经验收的预拌混凝土</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处10万元以上12万元以下罚款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C1663900A020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存在以下违法行为之一的：</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1.未进行配合比设计；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2.使用检验不合格的原材料；</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3.供应不合格的预拌混凝土</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处12万元以上14万元以下罚款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C1663900A030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造成一般或较大工程质量事故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处14万元以上16万元以下罚款，情节严重的，责令停业整顿或者吊销资质证书。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C1663900A040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处16万元以上18万元以下罚款，情节严重的，责令停业整顿或者吊销资质证书。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C1663900A050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造成特别重大工程质量事故；或存在其他严重违法情节造成恶劣社会影响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处18万元以上20万元以下罚款，情节严重的，责令停业整顿或者吊销资质证书。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111</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C1666100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对施工单位的主要负责人和安全生产管理人员未按照规定经考核合格的行为进行处罚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《中华人民共和国安全生产法》第二十七条第二款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《中华人民共和国安全生产法》第九十七条第（二）项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C1666100-1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C1666100T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违法行为轻微并及时改正，没有造成危害后果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C1666100A010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施工单位安全生产管理人员已按规定经考核合格，但主要负责人未按照规定经考核合格</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C1666100A020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施工单位主要负责人已按照规定经考核合格，但安全生产管理人员未按照规定经考核合格</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处3万元以上7万元以下的罚款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C1666100A030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施工单位的主要负责人和安全生产管理人员均未按照规定经考核合格</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处7万元以上10万元以下的罚款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C1666100A040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逾期未改正，未造成生产安全事故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责令停产停业整顿，并处10万元以上13万元以下的罚款，对其直接负责的主管人员和其他直接责任人员处2万元以上3万元以下的罚款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C1666100A050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责令停产停业整顿，并处13万元以上17万元以下的罚款，对其直接负责的主管人员和其他直接责任人员处3万元以上4万元以下的罚款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C1666100A060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逾期未改正，造成较大及以上生产安全事故；或存在其他严重违法情节造成恶劣社会影响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责令停产停业整顿，并处17万元以上20万元以下的罚款，对其直接负责的主管人员和其他直接责任人员处4万元以上5万元以下的罚款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112</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C1602200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对施工单位等生产经营单位未按照规定设置安全生产管理机构或者配备安全生产管理人员的行为进行处罚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《中华人民共和国安全生产法》第二十四条第一款、第二款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《中华人民共和国安全生产法》第九十七条第（一）项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C1602200-1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C1602200T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违法行为轻微并及时改正，没有造成危害后果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C1602200A010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未按照规定配齐安全生产管理人员</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C1602200A020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未设置安全生产管理机构或未配备安全生产管理人员</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处5万元以上10万元以下的罚款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C1602200A030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逾期未改正，未造成生产安全事故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责令停产停业整顿，并处10万元以上13万元以下的罚款，对其直接负责的主管人员和其他直接责任人员处2万元以上3万元以下的罚款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C1602200A040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责令停产停业整顿，并处13万元以上17万元以下的罚款，对其直接负责的主管人员和其他直接责任人员处3万元以上4万元以下的罚款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C1602200A050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逾期未改正，造成较大及以上生产安全事故；或存在其他严重违法情节造成恶劣社会影响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责令停产停业整顿，并处17万元以上20万元以下的罚款，对其直接负责的主管人员和其他直接责任人员处4万元以上5万元以下的罚款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113</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C1602400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对施工单位等生产经营单位未在有较大危险因素的生产经营场所和有关设施、设备上设置明显的安全警示标志的行为进行处罚</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《中华人民共和国安全生产法》第三十五条</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《中华人民共和国安全生产法》第九十九条第（一）项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C1602400-1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《北京市生产经营单位安全生产主体责任规定》第二十二条</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《北京市生产经营单位安全生产主体责任规定》第四十四条</w:t>
            </w: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C1602400T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违法行为轻微并及时改正，没有造成危害后果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《危险性较大的分部分项工程安全管理规定》第十四条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《危险性较大的分部分项工程安全管理规定》第三十三条第（二）项</w:t>
            </w: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C1602400A010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未在有较大危险因素的生产经营场所和有关设施、设备上设置明显的安全警示标志</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C1602400A020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逾期未改正，且未造成生产安全事故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处5万元以上9万元以下的罚款，对其直接负责的主管人员和其他直接责任人员处1万元以上2万元以下的罚款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C1602400A030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责令停产停业整顿，处9万元以上13万元以下的罚款，对其直接负责的主管人员和其他直接责任人员处1万元以上2万元以下的罚款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C1602400A040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逾期未改正，且造成较大生产安全事故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责令停产停业整顿，处13万元以上17万元以下的罚款，对其直接负责的主管人员和其他直接责任人员处1万元以上2万元以下的罚款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C1602400A050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逾期未改正，且造成重大生产安全事故或者特别重大生产安全事故；或存在其他严重违法情节造成恶劣社会影响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责令停产停业整顿，处17万元以上20万元以下的罚款，对其直接负责的主管人员和其他直接责任人员处2万元的罚款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114</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C1602500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对施工单位等生产经营单位未为从业人员提供符合国家标准或者行业标准的劳动防护用品的行为进行处罚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《中华人民共和国安全生产法》第四十五条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《中华人民共和国安全生产法》第九十九条第（五）项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C1602500-1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C1602500T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违法行为轻微并及时改正，没有造成危害后果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C1602500A010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未为从业人员提供符合国家标准或者行业标准的劳动防护用品</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C1602500A020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逾期未改正，未造成生产安全事故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处5万元以上8万元以下的罚款，对其直接负责的主管人员和其他直接责任人员处1万元以上2万元以下的罚款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C1602500A030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处8万元以上11万元以下的罚款，对其直接负责的主管人员和其他直接责任人员处1万元以上2万元以下的罚款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C1602500A040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逾期未改正，造成较大生产安全事故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处11万元以上14万元以下的罚款，对其直接负责的主管人员和其他直接责任人员处1万元以上2万元以下的罚款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C1602500A050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责令停产停业整顿，处14万元以上17万元以下的罚款，对其直接负责的主管人员和其他直接责任人员处1万元以上2万元以下的罚款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C1602500A060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逾期未改正，造成特别重大生产安全事故；或存在其他严重违法情节造成恶劣社会影响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责令停产停业整顿，处17万元以上20万元以下的罚款，对其直接负责的主管人员和其他直接责任人员处2万元的罚款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115</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C1602600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对施工单位等生产经营单位使用应当淘汰的危及生产安全的工艺、设备的行为进行处罚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《中华人民共和国安全生产法》第三十八条第三款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《中华人民共和国安全生产法》第九十九条第（七）项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C1602600-1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C1602600T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违法行为轻微并及时改正，没有造成危害后果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C1602600A010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使用应当淘汰的危及生产安全的工艺、设备</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C1602600A020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逾期未改正，未造成生产安全事故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处5万元以上8万元以下的罚款，对其直接负责的主管人员和其他直接责任人员处1万元以上2万元以下的罚款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C1602600A030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处8万元以上11万元以下的罚款，对其直接负责的主管人员和其他直接责任人员处1万元以上2万元以下的罚款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C1602600A040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逾期未改正，造成较大生产安全事故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处11万元以上14万元以下的罚款，对其直接负责的主管人员和其他直接责任人员处1万元以上2万元以下的罚款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C1602600A050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责令停产停业整顿，处14万元以上17万元以下的罚款，对其直接负责的主管人员和其他直接责任人员处1万元以上2万元以下的罚款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C1602600A060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逾期未改正，造成特别重大生产安全事故；或存在其他严重违法情节造成恶劣社会影响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责令停产停业整顿，处17万元以上20万元以下的罚款，对其直接负责的主管人员和其他直接责任人员处2万元的罚款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116</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C1611500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对施工单位等生产经营单位的主要负责人未履行安全生产管理职责的行为进行处罚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《中华人民共和国安全生产法》第二十一条第（一）、（二）、（三）、（四）、（五）、（六）、（七）项</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《中华人民共和国安全生产法》第九十四条第一款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C1611500-1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C1611500T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违法行为轻微并及时改正，没有造成危害后果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C1611500A010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施工单位等生产经营单位的主要负责人未履行安全生产管理职责</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处2万元以上5万元以下的罚款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C1611500A020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逾期未改正，未造成生产安全事故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处5万元以上6万元以下的罚款，责令生产经营单位停产停业整顿</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C1611500A030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处6万元以上7万元以下的罚款，责令生产经营单位停产停业整顿</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C1611500A040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逾期未改正，造成较大生产安全事故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处7万元以上8万元以下的罚款，责令生产经营单位停产停业整顿</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C1611500A050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逾期未改正，造成重大生产安全事故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处8万元以上9万元以下的罚款，责令生产经营单位停产停业整顿</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C1611500A060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逾期未改正，造成特别重大生产安全事故；或存在其他严重违法情节造成恶劣社会影响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处9万元以上10万元以下的罚款，责令生产经营单位停产停业整顿</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117</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C1662200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对生产经营单位未按照规定对从业人员、被派遣劳动者、实习学生进行安全生产教育和培训，或者未按照规定如实告知有关的安全生产事项的行为进行处罚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《中华人民共和国安全生产法》第二十八条第一款、第二款、第三款，第四十四条第一款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《中华人民共和国安全生产法》第九十七条第（三）项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C1662200-1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C1662200T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违法行为轻微并及时改正，没有造成危害后果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C1662200A010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对从业人员、被派遣劳动者、实习学生进行了安全生产教育和培训或者告知了有关的安全生产事项，但不符合相关规定</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C1662200A020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未对从业人员、被派遣劳动者、实习学生进行安全生产教育和培训，或者未告知有关的安全生产事项</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处5万元以上10万元以下的罚款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C1662200A030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逾期未改正，未造成生产安全事故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责令停产停业整顿，并处10万元以上13万元以下的罚款，对其直接负责的主管人员和其他直接责任人员处2万元以上3万元以下的罚款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C1662200A040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逾期未改正，造成一般生产安全事故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责令停产停业整顿，并处13万元以上17万元以下的罚款，对其直接负责的主管人员和其他直接责任人员处3万元以上4万元以下的罚款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C1662200A050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逾期未改正，造成较大及以上生产安全事故；或存在其他严重违法情节造成恶劣社会影响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责令停产停业整顿，并处17万元以上20万元以下的罚款，对其直接负责的主管人员和其他直接责任人员处4万元以上5万元以下的罚款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118</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C1630400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对检测机构转包或者违法分包建设工程质量检测业务的行为进行处罚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《建设工程质量检测管理办法》第三十条第一款第（二）项</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《建设工程质量检测管理办法》第四十四条第一款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C1630400-1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C1630400T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C1630400B010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转包或者违法分包检测业务合同金额不足5万元</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处5万元以上7.5万元以下的罚款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C1630400B020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转包或者违法分包检测业务合同金额5-10万元的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处7.5万元以上10万元以下的罚款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C1630400B030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转包或者违法分包检测业务合同金额超过10万元的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处10万元以上13万元以下的罚款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C1630400B040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处13万元以上17万元以下的罚款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C1630400B050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造成较大及以上工程质量事故；或存在其他严重违法情节造成恶劣社会影响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处17万元以上20万元以下的罚款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119</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C1630500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对检测机构涂改、倒卖、出租、出借或者以其他形式非法转让资质证书的行为进行处罚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《建设工程质量检测管理办法》第三十条第一款第（三）项</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《建设工程质量检测管理办法》第四十四条第一款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C1630500-1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C1630500-T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C1630500B010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未造成工程质量事故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处5万元以上7.5万元以下的罚款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C1630500B020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处7.5万元以上10万元以下的罚款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C1630500B030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处10万元以上13万元以下的罚款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C1630500B040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处13万元以上17万元以下的罚款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C1630500B050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造成特别重大工程质量事故；或存在其他严重违法情节造成恶劣社会影响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处17万元以上20万元以下的罚款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120</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C1630800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对检测机构使用不能满足所开展建设工程质量检测活动要求的检测人员或者仪器设备的行为进行处罚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《建设工程质量检测管理办法》第三十条第一款第（五）项</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《建设工程质量检测管理办法》第四十四条第一款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C1630800-1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C1630800T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C1630800B010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未出具检测报告</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处5万元以上7.5万元以下的罚款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C1630800B020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已出具检测报告</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处7.5万元以上10万元以下的罚款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C1630800B030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处10万元以上13万元以下的罚款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C1630800B040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处13万元以上17万元以下的罚款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C1630800B050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造成重大及以上工程质量事故；或存在其他严重违法情节造成恶劣社会影响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处17万元以上20万元以下的罚款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121</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C1631100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对检测机构超出资质许可范围从事建设工程质量检测活动的行为进行处罚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《建设工程质量检测管理办法》第三十条第一款（一）</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《建设工程质量检测管理办法》第三十九条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C1631100-1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C1631100T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C1631100B010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未出具检测报告</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处5万元以上7.5万元以下的罚款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C1631100B020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已出具检测报告</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处7.5万元以上10万元以下的罚款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C1631100B030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处10万元以上13万元以下的罚款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C1631100B040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处13万元以上17万元以下的罚款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C1631100B050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造成重大及以上工程质量事故；或存在其他严重违法情节造成恶劣社会影响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处17万元以上20万元以下的罚款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122</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C1631200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对未取得相应资质、资质证书已过有效期从事建设工程质量检测活动的行为进行处罚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《建设工程质量检测管理办法》第三条第二款、第十条、第十二条第一款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《建设工程质量检测管理办法》第三十九条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C1631200-1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C1631200T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C1631200B010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未出具检测报告</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处5万元以上7.5万元以下的罚款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C1631200B020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已出具检测报告</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处7.5万元以上10万元以下的罚款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C1631200B030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处10万元以上13万元以下的罚款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C1631200B040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处13万元以上17万元以下的罚款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C1631200B050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造成重大及以上工程质量事故；或存在其他严重违法情节造成恶劣社会影响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处17万元以上20万元以下的罚款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123</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C1631700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对建设、施工、监理等单位提供的检测试样不满足符合性、真实性、代表性要求或取样、制样、送检试样不符合规定和工程建设强制性标准的行为进行处罚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《建设工程质量检测管理办法》第十九条、第二十条第一款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《建设工程质量检测管理办法》第四十七条第一款（四）项、（七）项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C1631700-1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C1631700T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C1631700B010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检测试样不涉及地基与基础分部工程和主体结构分部工程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处3万元以上6万元以下罚款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C1631700B020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检测试样涉及地基与基础分部工程或者主体结构分部工程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处6万元以上10万元以下罚款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C1631700B030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处10万元以上13万元以下罚款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C1631700B040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处13万元以上17万元以下罚款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C1631700B050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造成重大及以上工程质量事故；或存在其他严重违法情节造成恶劣社会影响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处17万元以上20万元以下罚款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124</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C1631800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对建设、施工、监理等单位委托未取得相应资质的检测机构进行检测的行为进行处罚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《建设工程质量检测管理办法》第十六条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《建设工程质量检测管理办法》第四十七条第一款第（一）项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C1631800-1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C1631800T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C1631800B010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未出具检测报告</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处3万元以上6元以下罚款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C1631800B020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已出具检测报告</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处6万元以上10元以下罚款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C1631800B030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处10万元以上13万元以下罚款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C1631800B040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处13万元以上17万元以下罚款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C1631800B050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造成重大及以上工程质量事故；或存在其他严重违法情节造成恶劣社会影响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处17万元以上20万元以下罚款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125</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C1665000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对建设、施工、监理等单位明示或者暗示检测机构出具虚假检测报告，篡改或者伪造检测报告的行为进行处罚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《建设工程质量检测管理办法》第二十三条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《建设工程质量检测管理办法》第四十七条第一款第（五）（六）项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C1665000-1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C1665000T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C1665000B010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检测报告不涉及地基与基础分部工程和主体结构分部工程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处3万元以上6元以下罚款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C1665000B020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检测报告涉及地基与基础分部工程或者主体结构分部工程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处6万元以上10元以下罚款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C1665000B030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处10万元以上13万元以下罚款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C1665000B040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处13万元以上17万元以下罚款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C1665000B050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造成重大及以上工程质量事故；或存在其他严重违法情节造成恶劣社会影响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处17万元以上20万元以下罚款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126</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C1673000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工程质量检测机构违反《建设工程抗震管理条例》出具虚假的检测数据或者检测报告的行为进行处罚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《建设工程抗震管理条例》第十八条第三款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《建设工程抗震管理条例》第四十四条第二款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C1673000-1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C1673000T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C1673000A010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工程质量检测机构违反《建设工程抗震管理条例》出具虚假的检测数据或者检测报告</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C1673000A020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处14万元以上18万元以下的罚款，吊销资质证书和负有直接责任的注册执业人员的执业资格证书，其直接负责的主管人员和其他直接责任人员终身禁止从事工程质量检测业务</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C1673000A030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处18万元以上22万元以下的罚款，吊销资质证书和负有直接责任的注册执业人员的执业资格证书，其直接负责的主管人员和其他直接责任人员终身禁止从事工程质量检测业务</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C1673000A040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处22万元以上26万元以下的罚款，吊销资质证书和负有直接责任的注册执业人员的执业资格证书，其直接负责的主管人员和其他直接责任人员终身禁止从事工程质量检测业务</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C1673000A050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造成特别重大工程质量事故；或存在其他严重违法情节造成恶劣社会影响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处26万元以上30万元以下的罚款，吊销资质证书和负有直接责任的注册执业人员的执业资格证书，其直接负责的主管人员和其他直接责任人员终身禁止从事工程质量检测业务</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127</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C1673500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对建设工程质量检测单位出具虚假的检测数据或者检测报告的行为进行处罚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《建设工程质量检测管理办法》三十条第一款（六）项</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《建设工程质量检测管理办法》第四十三条第一款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C1673500-1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C1673500T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C1673500B010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建设工程质量检测单位出具的虚假检测数据或者检测报告，不涉及地基与基础分部工程和主体结构分部工程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处5万元以上7.5万元以下罚款，一年内暂停承接工程质量检测业务</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《北京市建设工程质量条例》第十四条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《北京市建设工程质量条例》第七十六条第二款</w:t>
            </w: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C1673500B020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建设工程质量检测单位出具的虚假检测数据或者检测报告，涉及地基与基础分部工程或者主体结构分部工程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处7.5万元以上10万元以下罚款，一年内暂停承接工程质量检测业务</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C1673500B030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处10万元以上13万元以下罚款，一年内暂停承接工程质量检测业务</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C1673500B040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处13万元以上17万元以下罚款，一年内暂停承接工程质量检测业务</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C1673500B050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造成重大及以上工程质量事故；或存在其他严重违法情节造成恶劣社会影响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处17万元以上20万元以下罚款，一年内暂停承接工程质量检测业务；情节严重的，依法吊销资质证书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128</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C1673100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对检测机构未建立建设工程过程数据和结果数据、检测影像资料及检测报告记录与留存制度的行为进行处罚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《建设工程质量检测管理办法》第二十二条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《建设工程质量检测管理办法》第四十三条第一款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C1673100-1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C1673100T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C1673100B010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建设工程过程数据和结果数据、检测影像资料及检测报告记录与留存制度建立不全</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处5万元以上7.5万元以下罚款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C1673100B020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建设工程过程数据和结果数据、检测影像资料及检测报告记录与留存制度均未建立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处7.5万元以上10万元以下罚款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C1673100B030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处10万元以上13万元以下罚款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C1673100B040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处13万元以上17万元以下罚款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C1673100B050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造成重大及以上工程质量事故；或存在其他严重违法情节造成恶劣社会影响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处17万元以上20万元以下罚款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129</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C1674700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检测机构未按照有关法律法规、工程建设标准开展检测、鉴定活动的行为进行处罚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《建设工程质量检测管理办法》第三十条第一款（四）</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《建设工程质量检测管理办法》第四十四条第一款</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C1674700-1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C1674700T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C1674700A010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未按照有关法律法规、工程建设标准开展的检测活动，不涉及地基与基础分部工程和主体结构分部工程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责令限期改正，并处1万元以上2万元以下的罚款（违反工程建设强制性标准的，处5万元以上7.5万元以下的罚款），暂停承接相关业务3个月至6个月</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《北京市建设工程质量条例》第十四条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《北京市建设工程质量条例》第七十六条第一款</w:t>
            </w: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C1674700A020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未按照有关法律法规、工程建设标准开展的检测活动，涉及地基与基础分部工程或者主体结构分部工程</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责令限期改正，并处2万元以上3万元以下的罚款（违反工程建设强制性标准的，处7.5万元以上10万元以下的罚款），暂停承接相关业务6个月至9个月</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C1674700A030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责令限期改正，并处10万元以上13万元以下的罚款，暂停承接相关业务6个月至9个月</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C1674700A040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责令限期改正，并处13万元以上17万元以下的罚款，暂停承接相关业务6个月至9个月</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C1674700A050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造成重大及以上工程质量事故；或存在其他严重违法情节造成恶劣社会影响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责令限期改正，并处17万元以上20万元以下罚款，暂停承接相关业务6个月至9个月</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130</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C1615900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对建设单位使用列入禁止使用目录的技术、工艺、材料和设备的行为进行处罚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《民用建筑节能条例》第十一条第三款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《北京市建筑绿色发展条例》第十五条第三款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《民用建筑节能条例》第三十七条第（四）项</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《北京市建筑绿色发展条例》第五十三条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C1615900-1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C1615900T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C1615900B010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造成检验批返工或返修，或经有资质的检测机构检测鉴定能够达到设计要求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处20万元以上26万元以下的罚款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C1615900B020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造成检验批经有资质的检测机构检测鉴定达不到设计要求，但经原设计单位核算认可能够满足安全和使用功能</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处26万元以上32万元以下的罚款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C1615900B030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造成分项、分部工程返修或加固处理，但能满足安全及使用功能要求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处32万元以上38万元以下的罚款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C1615900B040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处38万元以上44万元以下的罚款，由颁发资质证书的部门责令停业整顿，降低资质等级或者吊销资质证书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C1615900B050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造成较大及以上工程质量事故；或存在其他严重违法情节造成恶劣社会影响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处44万元以上50万元以下的罚款，由颁发资质证书的部门责令停业整顿，降低资质等级或者吊销资质证书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131</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C1616500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对施工单位使用列入禁止使用目录的技术、工艺、材料和设备的行为进行处罚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《民用建筑节能条例》第十一条第三款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《北京市建筑绿色发展条例》第十五条第三款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《民用建筑节能条例》第四十一条第（三）项</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《北京市建筑绿色发展条例》第五十三条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C1616500-1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C1616500T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C1616500A010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造成检验批返工或返修，或经有资质的检测机构检测鉴定能够达到设计要求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处10万元以上12万元以下的罚款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C1616500A020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造成检验批经有资质的检测机构检测鉴定达不到设计要求，但经原设计单位核算认可能够满足安全和使用功能</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处12万元以上14万元以下的罚款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C1616500A030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造成分项、分部工程返修或加固处理，但能满足安全及使用功能要求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处14万元以上16万元以下的罚款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C1616500A040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造成一般工程质量事故</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处16万元以上18万元以下的罚款，由颁发资质证书的部门责令停业整顿，降低资质等级或者吊销资质证书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C1616500A050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造成较大及以上工程质量事故；或存在其他严重违法情节造成恶劣社会影响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处18万元以上20万元以下的罚款，由颁发资质证书的部门责令停业整顿，降低资质等级或者吊销资质证书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132</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C1675400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对居民住宅区安装共用设施设备，设置不合理或者未采取减少振动、降低噪声的措施，不符合民用建筑隔声设计相关标准要求的行为进行处罚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《中华人民共和国噪声污染防治法》第六十八条第一款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《中华人民共和国噪声污染防治法》第八十四条第一款第一项</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C1675400-1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C1675400T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C1675400B010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居民住宅区安装共用设施设备，设置不合理或者未采取减少振动、降低噪声的措施，不符合民用建筑隔声设计相关标准要求</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处5千元以上5万元以下的罚款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C1675400B020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拒不改正，且未造成群众投诉和信访</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处5万元以上9万元以下的罚款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C1675400B030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拒不改正，造成群众投诉或信访</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处9万元以上13万元以下的罚款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C1675400B040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拒不改正，引发群体性事件</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处13万元以上17万元以下的罚款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C1675400B050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拒不改正，存在其他严重违法情节，造成恶劣社会影响</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处17万元以上20万元以下的罚款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133</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C1616800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对房地产估价机构或者房地产估价师出具虚假或者有重大差错的评估报告的行为进行处罚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《国有土地上房屋征收与补偿条例》第二十条第二款</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《国有土地上房屋征收与补偿条例》第三十四条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C1616800-1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C1616800T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C1616800A010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房地产价格评估机构或者房地产估价师出具过失导致重大差错评估报告，非故意虚假，估价程序、估价对象、技术路线、估价案例、估价参数5项内容中1项存在错误，主动整改修正报告，未造成损失的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给予警告，对房地产价格评估机构并处5万元以上8万元以下罚款；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对房地产估价师并处1万元以上3万元以下罚款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C1616800A020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房地产价格评估机构或者房地产估价师出具过失导致重大差错评估报告，非故意虚假，估价程序、估价对象、技术路线、估价案例、估价参数5项内容中2-5项存在错误</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给予警告，对房地产价格评估机构并处8万元以上11万元以下罚款；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对房地产估价师并处1万元以上3万元以下罚款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C1616800A030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房地产价格评估机构或者房地产估价师出具虚假评估报告，估价程序、估价对象、技术路线、估价案例、估价参数5项内容中1项存在虚假内容，或到期未整改</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给予警告，对房地产价格评估机构并处11万元以上14万元以下罚款；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对房地产估价师并处1万元以上3万元以下罚款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C1616800A040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房地产价格评估机构或者房地产估价师出具虚假评估报告，估价程序、估价对象、技术路线、估价案例、估价参数5项内容中2-3项存在虚假内容，或拒不配合整改</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给予警告，对房地产价格评估机构并处14万元以上17万元以下罚款；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对房地产估价师并处1万元以上3万元以下罚款；吊销资质证书、注册证书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C1616800A050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房地产价格评估机构或者房地产估价师出具虚假评估报告，估价程序、估价对象、技术路线、估价案例、估价参数5项内容中4-5项存在虚假内容</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给予警告，对房地产价格评估机构并处17万元以上20万元以下罚款；</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对房地产估价师并处1万元以上3万元以下罚款；吊销资质证书、注册证书</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严重</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24个月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134</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C1661400</w:t>
            </w:r>
          </w:p>
        </w:tc>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对在销售房屋时未向购买人明示所售房屋的节能措施、保温工程保修期等信息、对以上信息作虚假宣传的行为进行处罚</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《中华人民共和国节约能源法》第三十六条；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《民用建筑节能条例》第二十二条；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《北京市民用建筑节能管理办法》第二十二条</w:t>
            </w:r>
          </w:p>
        </w:tc>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《中华人民共和国节约能源法》第八十条；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《民用建筑节能条例》第四十三条；</w:t>
            </w:r>
            <w:r>
              <w:rPr>
                <w:rFonts w:hint="eastAsia" w:ascii="仿宋_GB2312" w:hAnsi="仿宋_GB2312" w:eastAsia="仿宋_GB2312" w:cs="仿宋_GB2312"/>
                <w:i w:val="0"/>
                <w:iCs w:val="0"/>
                <w:color w:val="000000"/>
                <w:kern w:val="0"/>
                <w:sz w:val="18"/>
                <w:szCs w:val="18"/>
                <w:u w:val="none"/>
                <w:lang w:val="en-US" w:eastAsia="zh-CN" w:bidi="ar"/>
              </w:rPr>
              <w:br w:type="textWrapping"/>
            </w:r>
            <w:r>
              <w:rPr>
                <w:rFonts w:hint="eastAsia" w:ascii="仿宋_GB2312" w:hAnsi="仿宋_GB2312" w:eastAsia="仿宋_GB2312" w:cs="仿宋_GB2312"/>
                <w:i w:val="0"/>
                <w:iCs w:val="0"/>
                <w:color w:val="000000"/>
                <w:kern w:val="0"/>
                <w:sz w:val="18"/>
                <w:szCs w:val="18"/>
                <w:u w:val="none"/>
                <w:lang w:val="en-US" w:eastAsia="zh-CN" w:bidi="ar"/>
              </w:rPr>
              <w:t>《北京市民用建筑节能管理办法》第三十八条</w:t>
            </w:r>
          </w:p>
        </w:tc>
        <w:tc>
          <w:tcPr>
            <w:tcW w:w="24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市级,区级</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C1661400-1</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发现违法行为</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责令限期改正</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C1661400T</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违法行为轻微并及时纠正，没有造成危害后果</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不予行政处罚</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C1661400B010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房地产开发企业在销售房屋时未向购买人明示所售房屋的节能措施、保温工程保修期等信息，未向购买人明示所售商品房能源消耗指标或者向购买人明示的所售商品房能源消耗指标与实际能源消耗不符，涉及房屋≤10套，且责令改正期限届满后7日内改正的；对所售房屋的节能措施、保温工程保修期等信息作虚假宣传，未按照规定履行相关信息告知义务，涉及房屋≤10套，且在责令改正期限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房地产开发企业在销售房屋时未向购买人明示所售房屋的节能措施、保温工程保修期等信息的，处3万元以上4万元以下罚款；对未向购买人明示所售商品房能源消耗指标或者向购买人明示的所售商品房能源消耗指标与实际能源消耗不符的,处交付使用房屋销售总额1%以下罚款；建设单位未在房屋销售场所、房屋买卖合同、住宅质量保证书、住宅使用说明书中明示所售房屋的建筑节能设计指标、绿色建筑星级、可再生能源利用情况、供热方式、供热单位及供热计量收费方式、节能设施的使用与保护要求等基本信息，处1万元以上2万元以下罚款；对所售房屋的节能措施、保温工程保修期等信息作虚假宣传的，处5万元以上8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C1661400B020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房地产开发企业在销售房屋时未向购买人明示所售房屋的节能措施、保温工程保修期等信息，未向购买人明示所售商品房能源消耗指标或者向购买人明示的所售商品房能源消耗指标与实际能源消耗不符，涉及房屋11-30套，且责令改正期限届满后7日内改正的；对所售房屋的节能措施、保温工程保修期等信息作虚假宣传，未按照规定履行相关信息告知义务，涉及房屋11-30套，且在责令改正期限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房地产开发企业在销售房屋时未向购买人明示所售房屋的节能措施、保温工程保修期等信息的，处3万元以上4万元以下罚款；对未向购买人明示所售商品房能源消耗指标或者向购买人明示的所售商品房能源消耗指标与实际能源消耗不符的,处交付使用房屋销售总额1%以下罚款；建设单位未在房屋销售场所、房屋买卖合同、住宅质量保证书、住宅使用说明书中明示所售房屋的建筑节能设计指标、绿色建筑星级、可再生能源利用情况、供热方式、供热单位及供热计量收费方式、节能设施的使用与保护要求等基本信息，处1万元以上2万元以下罚款；对所售房屋的节能措施、保温工程保修期等信息作虚假宣传的，处8万元以上11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C1661400B030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房地产开发企业在销售房屋时未向购买人明示所售房屋的节能措施、保温工程保修期等信息，未向购买人明示所售商品房能源消耗指标或者向购买人明示的所售商品房能源消耗指标与实际能源消耗不符，涉及房屋＞30套，且责令改正期限届满后7日内改正的；对所售房屋的节能措施、保温工程保修期等信息作虚假宣传，未按照规定履行相关信息告知义务，涉及房屋＞30套，且在责令改正期限内改正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房地产开发企业在销售房屋时未向购买人明示所售房屋的节能措施、保温工程保修期等信息的，处3万元以上4万元以下罚款；对未向购买人明示所售商品房能源消耗指标或者向购买人明示的所售商品房能源消耗指标与实际能源消耗不符的,处交付使用房屋销售总额1%以下罚款；建设单位未在房屋销售场所、房屋买卖合同、住宅质量保证书、住宅使用说明书中明示所售房屋的建筑节能设计指标、绿色建筑星级、可再生能源利用情况、供热方式、供热单位及供热计量收费方式、节能设施的使用与保护要求等基本信息，处1万元以上2万元以下罚款；对所售房屋的节能措施、保温工程保修期等信息作虚假宣传的，处11万元以上14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C1661400B040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房地产开发企业在销售房屋时未向购买人明示所售房屋的节能措施、保温工程保修期等信息，未向购买人明示所售商品房能源消耗指标或者向购买人明示的所售商品房能源消耗指标与实际能源消耗不符，涉及房屋≤10套，责令改正期限届满后超过7日仍未改正的；对所售房屋的节能措施、保温工程保修期等信息作虚假宣传，未按照规定履行相关信息告知义务，涉及房屋≤10套，经责令改正逾期未改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房地产开发企业在销售房屋时未向购买人明示所售房屋的节能措施、保温工程保修期等信息的，处4万元以上5万元以下罚款；对未向购买人明示所售商品房能源消耗指标或者向购买人明示的所售商品房能源消耗指标与实际能源消耗不符的,处交付使用房屋销售总额1%以上2%以下罚款；建设单位未在房屋销售场所、房屋买卖合同、住宅质量保证书、住宅使用说明书中明示所售房屋的建筑节能设计指标、绿色建筑星级、可再生能源利用情况、供热方式、供热单位及供热计量收费方式、节能设施的使用与保护要求等基本信息，处2万元以上3万元以下罚款；对所售房屋的节能措施、保温工程保修期等信息作虚假宣传的，处14万元以上17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trPr>
        <w:tc>
          <w:tcPr>
            <w:tcW w:w="1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4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C1661400B050</w:t>
            </w:r>
          </w:p>
        </w:tc>
        <w:tc>
          <w:tcPr>
            <w:tcW w:w="11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房地产开发企业在销售房屋时未向购买人明示所售房屋的节能措施、保温工程保修期等信息，未向购买人明示所售商品房能源消耗指标或者向购买人明示的所售商品房能源消耗指标与实际能源消耗不符，涉及房屋＞10套，责令改正期限届满后超过7日仍未改正的；对所售房屋的节能措施、保温工程保修期等信息作虚假宣传，未按照规定履行相关信息告知义务，涉及房屋＞10套，经责令改正逾期未改的</w:t>
            </w:r>
          </w:p>
        </w:tc>
        <w:tc>
          <w:tcPr>
            <w:tcW w:w="9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对房地产开发企业在销售房屋时未向购买人明示所售房屋的节能措施、保温工程保修期等信息的，处4万元以上5万元以下罚款；对未向购买人明示所售商品房能源消耗指标或者向购买人明示的所售商品房能源消耗指标与实际能源消耗不符的,处交付使用房屋销售总额1%以上2%以下罚款；建设单位未在房屋销售场所、房屋买卖合同、住宅质量保证书、住宅使用说明书中明示所售房屋的建筑节能设计指标、绿色建筑星级、可再生能源利用情况、供热方式、供热单位及供热计量收费方式、节能设施的使用与保护要求等基本信息，处2万元以上3万元以下罚款；对所售房屋的节能措施、保温工程保修期等信息作虚假宣传的，处17万元以上20万元以下罚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一般</w:t>
            </w: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6个月</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3个月</w:t>
            </w:r>
          </w:p>
        </w:tc>
      </w:tr>
    </w:tbl>
    <w:p/>
    <w:p>
      <w:pPr>
        <w:pStyle w:val="3"/>
        <w:rPr>
          <w:rFonts w:hint="eastAsia"/>
        </w:rPr>
      </w:pPr>
    </w:p>
    <w:sectPr>
      <w:headerReference r:id="rId3" w:type="default"/>
      <w:footerReference r:id="rId4"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Tahoma">
    <w:altName w:val="DejaVu Sans"/>
    <w:panose1 w:val="020B0604030504040204"/>
    <w:charset w:val="00"/>
    <w:family w:val="swiss"/>
    <w:pitch w:val="default"/>
    <w:sig w:usb0="00000000" w:usb1="00000000" w:usb2="00000029" w:usb3="00000000" w:csb0="0001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CESI黑体-GB2312">
    <w:panose1 w:val="02000500000000000000"/>
    <w:charset w:val="86"/>
    <w:family w:val="auto"/>
    <w:pitch w:val="default"/>
    <w:sig w:usb0="800002BF" w:usb1="184F6CF8" w:usb2="00000012" w:usb3="00000000" w:csb0="0004000F" w:csb1="00000000"/>
  </w:font>
  <w:font w:name="DejaVu Sans">
    <w:panose1 w:val="020B0603030804020204"/>
    <w:charset w:val="00"/>
    <w:family w:val="auto"/>
    <w:pitch w:val="default"/>
    <w:sig w:usb0="E7006EFF" w:usb1="D200FDFF" w:usb2="0A246029" w:usb3="0400200C" w:csb0="600001FF" w:csb1="D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ind w:left="420" w:leftChars="200" w:right="420" w:rightChars="200"/>
      <w:rPr>
        <w:rStyle w:val="16"/>
        <w:rFonts w:ascii="宋体" w:hAnsi="宋体"/>
        <w:sz w:val="28"/>
        <w:szCs w:val="28"/>
      </w:rPr>
    </w:pPr>
    <w:r>
      <w:rPr>
        <w:rStyle w:val="16"/>
        <w:rFonts w:ascii="宋体" w:hAnsi="宋体"/>
        <w:sz w:val="28"/>
        <w:szCs w:val="28"/>
      </w:rPr>
      <w:fldChar w:fldCharType="begin"/>
    </w:r>
    <w:r>
      <w:rPr>
        <w:rStyle w:val="16"/>
        <w:rFonts w:ascii="宋体" w:hAnsi="宋体"/>
        <w:sz w:val="28"/>
        <w:szCs w:val="28"/>
      </w:rPr>
      <w:instrText xml:space="preserve">PAGE  </w:instrText>
    </w:r>
    <w:r>
      <w:rPr>
        <w:rStyle w:val="16"/>
        <w:rFonts w:ascii="宋体" w:hAnsi="宋体"/>
        <w:sz w:val="28"/>
        <w:szCs w:val="28"/>
      </w:rPr>
      <w:fldChar w:fldCharType="separate"/>
    </w:r>
    <w:r>
      <w:rPr>
        <w:rStyle w:val="16"/>
        <w:rFonts w:ascii="宋体" w:hAnsi="宋体"/>
        <w:sz w:val="28"/>
        <w:szCs w:val="28"/>
      </w:rPr>
      <w:t>- 2 -</w:t>
    </w:r>
    <w:r>
      <w:rPr>
        <w:rStyle w:val="16"/>
        <w:rFonts w:ascii="宋体" w:hAnsi="宋体"/>
        <w:sz w:val="28"/>
        <w:szCs w:val="28"/>
      </w:rPr>
      <w:fldChar w:fldCharType="end"/>
    </w:r>
  </w:p>
  <w:p>
    <w:pPr>
      <w:pStyle w:val="8"/>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BreakWrappedTables/>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EE9"/>
    <w:rsid w:val="000221F0"/>
    <w:rsid w:val="00027416"/>
    <w:rsid w:val="000669C5"/>
    <w:rsid w:val="00077581"/>
    <w:rsid w:val="00090270"/>
    <w:rsid w:val="000B19B4"/>
    <w:rsid w:val="000B25D9"/>
    <w:rsid w:val="000E1BD7"/>
    <w:rsid w:val="000F3449"/>
    <w:rsid w:val="00172D94"/>
    <w:rsid w:val="001B7849"/>
    <w:rsid w:val="00286978"/>
    <w:rsid w:val="002A0860"/>
    <w:rsid w:val="002C095A"/>
    <w:rsid w:val="002E082D"/>
    <w:rsid w:val="002E619B"/>
    <w:rsid w:val="00300679"/>
    <w:rsid w:val="00304F79"/>
    <w:rsid w:val="003229F6"/>
    <w:rsid w:val="00327E54"/>
    <w:rsid w:val="00333AD9"/>
    <w:rsid w:val="0033483C"/>
    <w:rsid w:val="00352EE9"/>
    <w:rsid w:val="003677AB"/>
    <w:rsid w:val="0038415A"/>
    <w:rsid w:val="003B45B2"/>
    <w:rsid w:val="003D5A98"/>
    <w:rsid w:val="004047D8"/>
    <w:rsid w:val="00492736"/>
    <w:rsid w:val="004A3D47"/>
    <w:rsid w:val="004B3426"/>
    <w:rsid w:val="004C7FC3"/>
    <w:rsid w:val="004E3786"/>
    <w:rsid w:val="004F1EF3"/>
    <w:rsid w:val="0051412A"/>
    <w:rsid w:val="005300ED"/>
    <w:rsid w:val="00540E6B"/>
    <w:rsid w:val="005F086B"/>
    <w:rsid w:val="00616B00"/>
    <w:rsid w:val="00624203"/>
    <w:rsid w:val="00626CCA"/>
    <w:rsid w:val="006309FF"/>
    <w:rsid w:val="00635158"/>
    <w:rsid w:val="006611AB"/>
    <w:rsid w:val="006B2F19"/>
    <w:rsid w:val="00702173"/>
    <w:rsid w:val="00705580"/>
    <w:rsid w:val="0071529B"/>
    <w:rsid w:val="007A6D21"/>
    <w:rsid w:val="007A7D90"/>
    <w:rsid w:val="007D0CEC"/>
    <w:rsid w:val="00803706"/>
    <w:rsid w:val="008603CF"/>
    <w:rsid w:val="008A0020"/>
    <w:rsid w:val="00901BD0"/>
    <w:rsid w:val="00927A5B"/>
    <w:rsid w:val="00950805"/>
    <w:rsid w:val="009566C7"/>
    <w:rsid w:val="00974237"/>
    <w:rsid w:val="00977A61"/>
    <w:rsid w:val="009B7501"/>
    <w:rsid w:val="009D08FF"/>
    <w:rsid w:val="00A03017"/>
    <w:rsid w:val="00A14CC3"/>
    <w:rsid w:val="00A46CFD"/>
    <w:rsid w:val="00A64073"/>
    <w:rsid w:val="00AA66C1"/>
    <w:rsid w:val="00AB0E20"/>
    <w:rsid w:val="00AD5848"/>
    <w:rsid w:val="00B120FB"/>
    <w:rsid w:val="00B94D52"/>
    <w:rsid w:val="00BB6BA0"/>
    <w:rsid w:val="00BB745B"/>
    <w:rsid w:val="00BD78AF"/>
    <w:rsid w:val="00C43AD6"/>
    <w:rsid w:val="00C5518F"/>
    <w:rsid w:val="00C728E5"/>
    <w:rsid w:val="00C777C3"/>
    <w:rsid w:val="00C9285D"/>
    <w:rsid w:val="00CE1F76"/>
    <w:rsid w:val="00D06F54"/>
    <w:rsid w:val="00D147CE"/>
    <w:rsid w:val="00D30F4A"/>
    <w:rsid w:val="00D4169E"/>
    <w:rsid w:val="00D57679"/>
    <w:rsid w:val="00DF44B0"/>
    <w:rsid w:val="00E11AA4"/>
    <w:rsid w:val="00E159C4"/>
    <w:rsid w:val="00E54075"/>
    <w:rsid w:val="00E655A9"/>
    <w:rsid w:val="00E87368"/>
    <w:rsid w:val="00F078C1"/>
    <w:rsid w:val="00F26454"/>
    <w:rsid w:val="00FF2142"/>
    <w:rsid w:val="3FDFCB60"/>
    <w:rsid w:val="66DAC01F"/>
    <w:rsid w:val="6CCBC88B"/>
    <w:rsid w:val="74BE7705"/>
    <w:rsid w:val="75FFB6B4"/>
    <w:rsid w:val="7EF6BB66"/>
    <w:rsid w:val="AFBC7BDA"/>
    <w:rsid w:val="CCCB8B0B"/>
    <w:rsid w:val="DFDFCF58"/>
    <w:rsid w:val="EFD37E5A"/>
    <w:rsid w:val="FBBDAC9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Document Map"/>
    <w:basedOn w:val="1"/>
    <w:semiHidden/>
    <w:qFormat/>
    <w:uiPriority w:val="0"/>
    <w:pPr>
      <w:shd w:val="clear" w:color="auto" w:fill="000080"/>
    </w:pPr>
  </w:style>
  <w:style w:type="paragraph" w:styleId="3">
    <w:name w:val="Body Text"/>
    <w:basedOn w:val="1"/>
    <w:next w:val="1"/>
    <w:qFormat/>
    <w:uiPriority w:val="0"/>
    <w:pPr>
      <w:jc w:val="center"/>
    </w:pPr>
    <w:rPr>
      <w:sz w:val="24"/>
      <w:szCs w:val="20"/>
    </w:rPr>
  </w:style>
  <w:style w:type="paragraph" w:styleId="4">
    <w:name w:val="Body Text Indent"/>
    <w:basedOn w:val="1"/>
    <w:qFormat/>
    <w:uiPriority w:val="0"/>
    <w:pPr>
      <w:spacing w:after="120"/>
      <w:ind w:left="420" w:leftChars="200"/>
    </w:pPr>
  </w:style>
  <w:style w:type="paragraph" w:styleId="5">
    <w:name w:val="Plain Text"/>
    <w:basedOn w:val="1"/>
    <w:qFormat/>
    <w:uiPriority w:val="0"/>
    <w:rPr>
      <w:rFonts w:ascii="宋体" w:hAnsi="Courier New"/>
      <w:szCs w:val="20"/>
    </w:rPr>
  </w:style>
  <w:style w:type="paragraph" w:styleId="6">
    <w:name w:val="Date"/>
    <w:basedOn w:val="1"/>
    <w:next w:val="1"/>
    <w:qFormat/>
    <w:uiPriority w:val="0"/>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Body Text Indent 3"/>
    <w:basedOn w:val="1"/>
    <w:qFormat/>
    <w:uiPriority w:val="0"/>
    <w:pPr>
      <w:spacing w:after="120"/>
      <w:ind w:left="420"/>
    </w:pPr>
    <w:rPr>
      <w:sz w:val="16"/>
      <w:szCs w:val="16"/>
    </w:rPr>
  </w:style>
  <w:style w:type="paragraph" w:styleId="11">
    <w:name w:val="Body Text 2"/>
    <w:basedOn w:val="1"/>
    <w:qFormat/>
    <w:uiPriority w:val="0"/>
    <w:pPr>
      <w:spacing w:after="120" w:line="480" w:lineRule="auto"/>
    </w:pPr>
  </w:style>
  <w:style w:type="paragraph" w:styleId="12">
    <w:name w:val="Normal (Web)"/>
    <w:basedOn w:val="1"/>
    <w:qFormat/>
    <w:uiPriority w:val="0"/>
    <w:pPr>
      <w:widowControl/>
      <w:spacing w:before="100" w:beforeAutospacing="1" w:after="100" w:afterAutospacing="1"/>
      <w:jc w:val="left"/>
    </w:pPr>
    <w:rPr>
      <w:rFonts w:ascii="宋体" w:hAnsi="宋体"/>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paragraph" w:customStyle="1" w:styleId="17">
    <w:name w:val="表格内容"/>
    <w:basedOn w:val="1"/>
    <w:qFormat/>
    <w:uiPriority w:val="0"/>
    <w:pPr>
      <w:suppressLineNumbers/>
      <w:suppressAutoHyphens/>
    </w:pPr>
    <w:rPr>
      <w:szCs w:val="20"/>
    </w:rPr>
  </w:style>
  <w:style w:type="paragraph" w:customStyle="1" w:styleId="18">
    <w:name w:val=" 字元 字元 Char Char"/>
    <w:basedOn w:val="2"/>
    <w:qFormat/>
    <w:uiPriority w:val="0"/>
    <w:pPr>
      <w:adjustRightInd w:val="0"/>
      <w:spacing w:line="436" w:lineRule="exact"/>
      <w:ind w:left="357"/>
      <w:jc w:val="left"/>
      <w:outlineLvl w:val="3"/>
    </w:pPr>
    <w:rPr>
      <w:rFonts w:ascii="Tahoma" w:hAnsi="Tahoma"/>
      <w:b/>
      <w:sz w:val="24"/>
    </w:rPr>
  </w:style>
  <w:style w:type="paragraph" w:customStyle="1" w:styleId="19">
    <w:name w:val="标题1"/>
    <w:basedOn w:val="1"/>
    <w:next w:val="3"/>
    <w:qFormat/>
    <w:uiPriority w:val="0"/>
    <w:pPr>
      <w:keepNext/>
      <w:keepLines/>
      <w:suppressAutoHyphens/>
      <w:spacing w:before="240" w:after="60"/>
    </w:pPr>
    <w:rPr>
      <w:rFonts w:ascii="Arial" w:hAnsi="Arial" w:cs="Tahoma"/>
      <w:b/>
      <w:bCs/>
      <w:sz w:val="32"/>
      <w:szCs w:val="32"/>
    </w:rPr>
  </w:style>
  <w:style w:type="paragraph" w:customStyle="1" w:styleId="20">
    <w:name w:val="普通文字"/>
    <w:basedOn w:val="1"/>
    <w:qFormat/>
    <w:uiPriority w:val="0"/>
    <w:rPr>
      <w:rFonts w:hint="eastAsia" w:ascii="宋体" w:hAnsi="宋体" w:eastAsia="仿宋_GB2312"/>
      <w:kern w:val="1"/>
      <w:sz w:val="32"/>
      <w:szCs w:val="20"/>
    </w:rPr>
  </w:style>
  <w:style w:type="paragraph" w:customStyle="1" w:styleId="21">
    <w:name w:val="WW-普通文字"/>
    <w:basedOn w:val="1"/>
    <w:qFormat/>
    <w:uiPriority w:val="0"/>
    <w:pPr>
      <w:suppressAutoHyphens/>
    </w:pPr>
    <w:rPr>
      <w:rFonts w:hint="eastAsia" w:ascii="宋体" w:hAnsi="宋体" w:cs="Tahoma"/>
      <w:kern w:val="1"/>
      <w:szCs w:val="20"/>
    </w:rPr>
  </w:style>
  <w:style w:type="paragraph" w:customStyle="1" w:styleId="22">
    <w:name w:val=" Char"/>
    <w:basedOn w:val="2"/>
    <w:qFormat/>
    <w:uiPriority w:val="0"/>
    <w:pPr>
      <w:adjustRightInd w:val="0"/>
      <w:spacing w:line="436" w:lineRule="exact"/>
      <w:ind w:left="357"/>
      <w:jc w:val="left"/>
      <w:outlineLvl w:val="3"/>
    </w:pPr>
    <w:rPr>
      <w:rFonts w:ascii="Tahoma" w:hAnsi="Tahoma"/>
      <w:b/>
      <w:sz w:val="24"/>
    </w:rPr>
  </w:style>
  <w:style w:type="paragraph" w:customStyle="1" w:styleId="23">
    <w:name w:val="Char Char Char Char"/>
    <w:basedOn w:val="1"/>
    <w:qFormat/>
    <w:uiPriority w:val="0"/>
    <w:pPr>
      <w:adjustRightInd w:val="0"/>
      <w:spacing w:line="360" w:lineRule="auto"/>
    </w:pPr>
    <w:rPr>
      <w:kern w:val="0"/>
      <w:sz w:val="24"/>
      <w:szCs w:val="20"/>
    </w:rPr>
  </w:style>
  <w:style w:type="paragraph" w:customStyle="1" w:styleId="24">
    <w:name w:val="WW-日期1"/>
    <w:basedOn w:val="1"/>
    <w:qFormat/>
    <w:uiPriority w:val="0"/>
    <w:rPr>
      <w:rFonts w:hint="eastAsia"/>
      <w:spacing w:val="20"/>
      <w:kern w:val="1"/>
      <w:sz w:val="32"/>
      <w:szCs w:val="20"/>
    </w:rPr>
  </w:style>
  <w:style w:type="paragraph" w:styleId="25">
    <w:name w:val="List Paragraph"/>
    <w:basedOn w:val="1"/>
    <w:qFormat/>
    <w:uiPriority w:val="0"/>
    <w:pPr>
      <w:ind w:firstLine="420" w:firstLineChars="200"/>
    </w:pPr>
    <w:rPr>
      <w:rFonts w:ascii="Calibri" w:hAnsi="Calibri"/>
      <w:szCs w:val="20"/>
    </w:rPr>
  </w:style>
  <w:style w:type="paragraph" w:customStyle="1" w:styleId="26">
    <w:name w:val="Char Char Char"/>
    <w:basedOn w:val="2"/>
    <w:qFormat/>
    <w:uiPriority w:val="0"/>
    <w:pPr>
      <w:adjustRightInd w:val="0"/>
      <w:spacing w:line="436" w:lineRule="exact"/>
      <w:ind w:left="357"/>
      <w:jc w:val="left"/>
      <w:outlineLvl w:val="3"/>
    </w:pPr>
    <w:rPr>
      <w:rFonts w:ascii="Calibri" w:hAnsi="Calibri"/>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SZAQ</Company>
  <Pages>115</Pages>
  <Words>39</Words>
  <Characters>227</Characters>
  <Lines>1</Lines>
  <Paragraphs>1</Paragraphs>
  <TotalTime>3</TotalTime>
  <ScaleCrop>false</ScaleCrop>
  <LinksUpToDate>false</LinksUpToDate>
  <CharactersWithSpaces>265</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2018-06-18T00:51:00Z</dcterms:created>
  <dc:creator>ABD</dc:creator>
  <cp:lastModifiedBy>user</cp:lastModifiedBy>
  <cp:lastPrinted>2026-07-02T01:53:00Z</cp:lastPrinted>
  <dcterms:modified xsi:type="dcterms:W3CDTF">2026-07-21T10:14:54Z</dcterms:modified>
  <dc:title>地铁应急抢险大队</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CD3503CD790A321C8FFF456A3B7C3729_43</vt:lpwstr>
  </property>
</Properties>
</file>