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北京市大兴区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魏善庄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镇人民政府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jc w:val="center"/>
        <w:textAlignment w:val="auto"/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年上半年行政执法过程信息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jc w:val="both"/>
        <w:textAlignment w:val="auto"/>
      </w:pPr>
      <w:r>
        <w:t> 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firstLine="64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年上半年北京市大兴区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eastAsia="zh-CN"/>
        </w:rPr>
        <w:t>魏善庄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镇人民政府不存在行政执法过程信息。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640" w:lineRule="exact"/>
        <w:ind w:left="0" w:firstLine="42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 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640" w:lineRule="exact"/>
        <w:jc w:val="right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北京市大兴区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eastAsia="zh-CN"/>
        </w:rPr>
        <w:t>魏善庄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镇人民政府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640" w:lineRule="exact"/>
        <w:ind w:left="0" w:firstLine="480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9A2840"/>
    <w:rsid w:val="3A243F90"/>
    <w:rsid w:val="501F5847"/>
    <w:rsid w:val="50D670FB"/>
    <w:rsid w:val="623C4C8C"/>
    <w:rsid w:val="649A2840"/>
    <w:rsid w:val="6DCB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2024-06-21T06:14:00Z</dcterms:created>
  <dc:creator>Administrator</dc:creator>
  <cp:lastModifiedBy>Administrator</cp:lastModifiedBy>
  <dcterms:modified xsi:type="dcterms:W3CDTF">2026-06-29T00:03:30Z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