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677DF">
      <w:pPr>
        <w:spacing w:line="240" w:lineRule="exact"/>
        <w:rPr>
          <w:rFonts w:ascii="黑体" w:hAnsi="黑体" w:eastAsia="黑体" w:cs="宋体"/>
          <w:sz w:val="32"/>
          <w:szCs w:val="32"/>
        </w:rPr>
      </w:pPr>
    </w:p>
    <w:p w14:paraId="1A2B6F4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北京市大兴区</w:t>
      </w:r>
      <w:r>
        <w:rPr>
          <w:rFonts w:hint="eastAsia" w:ascii="方正小标宋简体" w:hAnsi="方正小标宋简体" w:eastAsia="方正小标宋简体" w:cs="方正小标宋简体"/>
          <w:sz w:val="44"/>
          <w:szCs w:val="44"/>
        </w:rPr>
        <w:t>生态环境局</w:t>
      </w:r>
    </w:p>
    <w:tbl>
      <w:tblPr>
        <w:tblStyle w:val="4"/>
        <w:tblpPr w:leftFromText="180" w:rightFromText="180" w:vertAnchor="page" w:horzAnchor="page" w:tblpX="1552" w:tblpY="3438"/>
        <w:tblW w:w="9039" w:type="dxa"/>
        <w:tblInd w:w="0" w:type="dxa"/>
        <w:tblLayout w:type="fixed"/>
        <w:tblCellMar>
          <w:top w:w="0" w:type="dxa"/>
          <w:left w:w="108" w:type="dxa"/>
          <w:bottom w:w="0" w:type="dxa"/>
          <w:right w:w="108" w:type="dxa"/>
        </w:tblCellMar>
      </w:tblPr>
      <w:tblGrid>
        <w:gridCol w:w="1985"/>
        <w:gridCol w:w="7054"/>
      </w:tblGrid>
      <w:tr w14:paraId="30D2A9AD">
        <w:tblPrEx>
          <w:tblCellMar>
            <w:top w:w="0" w:type="dxa"/>
            <w:left w:w="108" w:type="dxa"/>
            <w:bottom w:w="0" w:type="dxa"/>
            <w:right w:w="108" w:type="dxa"/>
          </w:tblCellMar>
        </w:tblPrEx>
        <w:trPr>
          <w:trHeight w:val="570" w:hRule="atLeast"/>
        </w:trPr>
        <w:tc>
          <w:tcPr>
            <w:tcW w:w="1985" w:type="dxa"/>
            <w:tcBorders>
              <w:top w:val="single" w:color="auto" w:sz="4" w:space="0"/>
              <w:left w:val="single" w:color="auto" w:sz="4" w:space="0"/>
              <w:bottom w:val="single" w:color="auto" w:sz="4" w:space="0"/>
              <w:right w:val="single" w:color="auto" w:sz="4" w:space="0"/>
            </w:tcBorders>
            <w:vAlign w:val="center"/>
          </w:tcPr>
          <w:p w14:paraId="4ACE0753">
            <w:pPr>
              <w:widowControl/>
              <w:spacing w:line="460" w:lineRule="exact"/>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法制审核目录</w:t>
            </w:r>
          </w:p>
        </w:tc>
        <w:tc>
          <w:tcPr>
            <w:tcW w:w="7054" w:type="dxa"/>
            <w:tcBorders>
              <w:top w:val="single" w:color="auto" w:sz="4" w:space="0"/>
              <w:left w:val="nil"/>
              <w:bottom w:val="single" w:color="auto" w:sz="4" w:space="0"/>
              <w:right w:val="single" w:color="auto" w:sz="4" w:space="0"/>
            </w:tcBorders>
            <w:vAlign w:val="center"/>
          </w:tcPr>
          <w:p w14:paraId="6BE623DF">
            <w:pPr>
              <w:widowControl/>
              <w:spacing w:line="460" w:lineRule="exact"/>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具体要求</w:t>
            </w:r>
          </w:p>
        </w:tc>
      </w:tr>
      <w:tr w14:paraId="7DCD9CC5">
        <w:tblPrEx>
          <w:tblCellMar>
            <w:top w:w="0" w:type="dxa"/>
            <w:left w:w="108" w:type="dxa"/>
            <w:bottom w:w="0" w:type="dxa"/>
            <w:right w:w="108" w:type="dxa"/>
          </w:tblCellMar>
        </w:tblPrEx>
        <w:trPr>
          <w:trHeight w:val="1879" w:hRule="atLeast"/>
        </w:trPr>
        <w:tc>
          <w:tcPr>
            <w:tcW w:w="1985" w:type="dxa"/>
            <w:tcBorders>
              <w:top w:val="nil"/>
              <w:left w:val="single" w:color="auto" w:sz="4" w:space="0"/>
              <w:bottom w:val="single" w:color="auto" w:sz="4" w:space="0"/>
              <w:right w:val="single" w:color="auto" w:sz="4" w:space="0"/>
            </w:tcBorders>
            <w:vAlign w:val="center"/>
          </w:tcPr>
          <w:p w14:paraId="119ABFBD">
            <w:pPr>
              <w:widowControl/>
              <w:spacing w:line="460" w:lineRule="exact"/>
              <w:jc w:val="left"/>
              <w:rPr>
                <w:rFonts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重大行政许可</w:t>
            </w:r>
          </w:p>
        </w:tc>
        <w:tc>
          <w:tcPr>
            <w:tcW w:w="7054" w:type="dxa"/>
            <w:tcBorders>
              <w:top w:val="nil"/>
              <w:left w:val="nil"/>
              <w:bottom w:val="single" w:color="auto" w:sz="4" w:space="0"/>
              <w:right w:val="single" w:color="auto" w:sz="4" w:space="0"/>
            </w:tcBorders>
            <w:vAlign w:val="center"/>
          </w:tcPr>
          <w:p w14:paraId="7DB44C59">
            <w:pPr>
              <w:widowControl/>
              <w:spacing w:line="460" w:lineRule="exact"/>
              <w:jc w:val="left"/>
              <w:rPr>
                <w:rFonts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 采取招标、拍卖等方式作出的行政许可决定；</w:t>
            </w:r>
          </w:p>
          <w:p w14:paraId="0A65C18F">
            <w:pPr>
              <w:widowControl/>
              <w:spacing w:line="46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 经过听证作出的行政许可决定；</w:t>
            </w:r>
          </w:p>
          <w:p w14:paraId="6660486E">
            <w:pPr>
              <w:widowControl/>
              <w:spacing w:line="460" w:lineRule="exact"/>
              <w:jc w:val="left"/>
              <w:rPr>
                <w:rFonts w:hint="default" w:ascii="仿宋_GB2312" w:hAnsi="仿宋" w:eastAsia="仿宋_GB2312" w:cs="宋体"/>
                <w:color w:val="000000"/>
                <w:kern w:val="0"/>
                <w:sz w:val="28"/>
                <w:szCs w:val="28"/>
                <w:lang w:val="en-US" w:eastAsia="zh-CN"/>
              </w:rPr>
            </w:pPr>
            <w:r>
              <w:rPr>
                <w:rFonts w:hint="eastAsia" w:ascii="仿宋_GB2312" w:hAnsi="仿宋" w:eastAsia="仿宋_GB2312" w:cs="宋体"/>
                <w:color w:val="000000"/>
                <w:kern w:val="0"/>
                <w:sz w:val="28"/>
                <w:szCs w:val="28"/>
                <w:lang w:val="en-US" w:eastAsia="zh-CN"/>
              </w:rPr>
              <w:t>3.</w:t>
            </w:r>
            <w:r>
              <w:rPr>
                <w:rFonts w:hint="eastAsia" w:ascii="仿宋_GB2312" w:hAnsi="仿宋" w:eastAsia="仿宋_GB2312" w:cs="宋体"/>
                <w:color w:val="000000"/>
                <w:kern w:val="0"/>
                <w:sz w:val="28"/>
                <w:szCs w:val="28"/>
              </w:rPr>
              <w:t xml:space="preserve"> 撤回或者撤销行政许可的决定；</w:t>
            </w:r>
          </w:p>
          <w:p w14:paraId="2FAD6C0D">
            <w:pPr>
              <w:widowControl/>
              <w:spacing w:line="460" w:lineRule="exact"/>
              <w:jc w:val="left"/>
              <w:rPr>
                <w:rFonts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lang w:val="en-US" w:eastAsia="zh-CN"/>
              </w:rPr>
              <w:t>4</w:t>
            </w:r>
            <w:r>
              <w:rPr>
                <w:rFonts w:hint="eastAsia" w:ascii="仿宋_GB2312" w:hAnsi="仿宋" w:eastAsia="仿宋_GB2312" w:cs="宋体"/>
                <w:color w:val="000000"/>
                <w:kern w:val="0"/>
                <w:sz w:val="28"/>
                <w:szCs w:val="28"/>
              </w:rPr>
              <w:t>. 法律、法规、规章规定的其他情形。</w:t>
            </w:r>
          </w:p>
        </w:tc>
      </w:tr>
      <w:tr w14:paraId="7B288508">
        <w:tblPrEx>
          <w:tblCellMar>
            <w:top w:w="0" w:type="dxa"/>
            <w:left w:w="108" w:type="dxa"/>
            <w:bottom w:w="0" w:type="dxa"/>
            <w:right w:w="108" w:type="dxa"/>
          </w:tblCellMar>
        </w:tblPrEx>
        <w:trPr>
          <w:trHeight w:val="3555" w:hRule="atLeast"/>
        </w:trPr>
        <w:tc>
          <w:tcPr>
            <w:tcW w:w="1985" w:type="dxa"/>
            <w:tcBorders>
              <w:top w:val="nil"/>
              <w:left w:val="single" w:color="auto" w:sz="4" w:space="0"/>
              <w:bottom w:val="single" w:color="auto" w:sz="4" w:space="0"/>
              <w:right w:val="single" w:color="auto" w:sz="4" w:space="0"/>
            </w:tcBorders>
            <w:vAlign w:val="center"/>
          </w:tcPr>
          <w:p w14:paraId="14D4E340">
            <w:pPr>
              <w:widowControl/>
              <w:spacing w:line="460" w:lineRule="exact"/>
              <w:jc w:val="left"/>
              <w:rPr>
                <w:rFonts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重大行政处罚决定</w:t>
            </w:r>
          </w:p>
        </w:tc>
        <w:tc>
          <w:tcPr>
            <w:tcW w:w="7054" w:type="dxa"/>
            <w:tcBorders>
              <w:top w:val="nil"/>
              <w:left w:val="nil"/>
              <w:bottom w:val="single" w:color="auto" w:sz="4" w:space="0"/>
              <w:right w:val="single" w:color="auto" w:sz="4" w:space="0"/>
            </w:tcBorders>
            <w:vAlign w:val="center"/>
          </w:tcPr>
          <w:p w14:paraId="43148F14">
            <w:pPr>
              <w:widowControl/>
              <w:spacing w:line="46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1.</w:t>
            </w:r>
            <w:r>
              <w:rPr>
                <w:rFonts w:hint="eastAsia" w:ascii="仿宋_GB2312" w:hAnsi="仿宋" w:eastAsia="仿宋_GB2312" w:cs="宋体"/>
                <w:color w:val="000000"/>
                <w:kern w:val="0"/>
                <w:sz w:val="28"/>
                <w:szCs w:val="28"/>
                <w:lang w:eastAsia="zh-CN"/>
              </w:rPr>
              <w:t>案情复杂或者罚款（没收违法所得、没收非法财物）数额较大且经过听证程序作出的行政处罚决定</w:t>
            </w:r>
            <w:r>
              <w:rPr>
                <w:rFonts w:hint="eastAsia" w:ascii="仿宋_GB2312" w:hAnsi="仿宋" w:eastAsia="仿宋_GB2312" w:cs="宋体"/>
                <w:color w:val="000000"/>
                <w:kern w:val="0"/>
                <w:sz w:val="28"/>
                <w:szCs w:val="28"/>
              </w:rPr>
              <w:t>；</w:t>
            </w:r>
          </w:p>
          <w:p w14:paraId="489E700A">
            <w:pPr>
              <w:widowControl/>
              <w:spacing w:line="46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2.责令停产停业的；</w:t>
            </w:r>
          </w:p>
          <w:p w14:paraId="70AD45D4">
            <w:pPr>
              <w:widowControl/>
              <w:spacing w:line="46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3.暂扣或者吊销许可证的；</w:t>
            </w:r>
          </w:p>
          <w:p w14:paraId="5C810734">
            <w:pPr>
              <w:widowControl/>
              <w:spacing w:line="460" w:lineRule="exact"/>
              <w:jc w:val="left"/>
              <w:rPr>
                <w:rFonts w:hint="eastAsia" w:ascii="仿宋_GB2312" w:hAnsi="仿宋" w:eastAsia="仿宋_GB2312" w:cs="宋体"/>
                <w:color w:val="000000"/>
                <w:kern w:val="0"/>
                <w:sz w:val="28"/>
                <w:szCs w:val="28"/>
                <w:lang w:eastAsia="zh-CN"/>
              </w:rPr>
            </w:pPr>
            <w:r>
              <w:rPr>
                <w:rFonts w:hint="eastAsia" w:ascii="仿宋_GB2312" w:hAnsi="仿宋" w:eastAsia="仿宋_GB2312" w:cs="宋体"/>
                <w:color w:val="000000"/>
                <w:kern w:val="0"/>
                <w:sz w:val="28"/>
                <w:szCs w:val="28"/>
                <w:lang w:val="en-US" w:eastAsia="zh-CN"/>
              </w:rPr>
              <w:t>4.</w:t>
            </w:r>
            <w:r>
              <w:rPr>
                <w:rFonts w:hint="eastAsia" w:ascii="仿宋_GB2312" w:hAnsi="仿宋" w:eastAsia="仿宋_GB2312" w:cs="宋体"/>
                <w:color w:val="000000"/>
                <w:kern w:val="0"/>
                <w:sz w:val="28"/>
                <w:szCs w:val="28"/>
              </w:rPr>
              <w:t>依据《中华人民共和国环境保护法》第六十三条规定需要移送公安机关对相关人员处以行政拘留的；</w:t>
            </w:r>
          </w:p>
          <w:p w14:paraId="3ECF6D67">
            <w:pPr>
              <w:widowControl/>
              <w:spacing w:line="46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lang w:val="en-US" w:eastAsia="zh-CN"/>
              </w:rPr>
              <w:t>5.</w:t>
            </w:r>
            <w:r>
              <w:rPr>
                <w:rFonts w:hint="eastAsia" w:ascii="仿宋_GB2312" w:hAnsi="仿宋" w:eastAsia="仿宋_GB2312" w:cs="宋体"/>
                <w:color w:val="000000"/>
                <w:kern w:val="0"/>
                <w:sz w:val="28"/>
                <w:szCs w:val="28"/>
              </w:rPr>
              <w:t>依据《最高人民法院最高人民检察院关于办理环境污染刑事案件适用法律若干问题的解释》规定，需要移送公安机关涉嫌环境犯罪案件的；</w:t>
            </w:r>
          </w:p>
          <w:p w14:paraId="1EBE91B8">
            <w:pPr>
              <w:widowControl/>
              <w:spacing w:line="46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lang w:val="en-US" w:eastAsia="zh-CN"/>
              </w:rPr>
              <w:t>6</w:t>
            </w:r>
            <w:r>
              <w:rPr>
                <w:rFonts w:hint="eastAsia" w:ascii="仿宋_GB2312" w:hAnsi="仿宋" w:eastAsia="仿宋_GB2312" w:cs="宋体"/>
                <w:color w:val="000000"/>
                <w:kern w:val="0"/>
                <w:sz w:val="28"/>
                <w:szCs w:val="28"/>
              </w:rPr>
              <w:t>.向监察机关移送涉嫌职务违法、职务犯罪案件的</w:t>
            </w:r>
            <w:r>
              <w:rPr>
                <w:rFonts w:hint="eastAsia" w:ascii="仿宋_GB2312" w:hAnsi="仿宋" w:eastAsia="仿宋_GB2312" w:cs="宋体"/>
                <w:color w:val="000000"/>
                <w:kern w:val="0"/>
                <w:sz w:val="28"/>
                <w:szCs w:val="28"/>
                <w:lang w:eastAsia="zh-CN"/>
              </w:rPr>
              <w:t>决定，属于重大行政执法决定</w:t>
            </w:r>
            <w:r>
              <w:rPr>
                <w:rFonts w:hint="eastAsia" w:ascii="仿宋_GB2312" w:hAnsi="仿宋" w:eastAsia="仿宋_GB2312" w:cs="宋体"/>
                <w:color w:val="000000"/>
                <w:kern w:val="0"/>
                <w:sz w:val="28"/>
                <w:szCs w:val="28"/>
              </w:rPr>
              <w:t>；</w:t>
            </w:r>
          </w:p>
          <w:p w14:paraId="7C4C91EC">
            <w:pPr>
              <w:widowControl/>
              <w:spacing w:line="46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lang w:val="en-US" w:eastAsia="zh-CN"/>
              </w:rPr>
              <w:t>7</w:t>
            </w:r>
            <w:r>
              <w:rPr>
                <w:rFonts w:hint="eastAsia" w:ascii="仿宋_GB2312" w:hAnsi="仿宋" w:eastAsia="仿宋_GB2312" w:cs="宋体"/>
                <w:color w:val="000000"/>
                <w:kern w:val="0"/>
                <w:sz w:val="28"/>
                <w:szCs w:val="28"/>
              </w:rPr>
              <w:t>．依据《中华人民共和国环境保护法》第六十条规定需要实施限制生产、停产整治的；</w:t>
            </w:r>
          </w:p>
          <w:p w14:paraId="5492EBD2">
            <w:pPr>
              <w:widowControl/>
              <w:spacing w:line="460" w:lineRule="exact"/>
              <w:jc w:val="left"/>
              <w:rPr>
                <w:rFonts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lang w:val="en-US" w:eastAsia="zh-CN"/>
              </w:rPr>
              <w:t>9</w:t>
            </w:r>
            <w:r>
              <w:rPr>
                <w:rFonts w:hint="eastAsia" w:ascii="仿宋_GB2312" w:hAnsi="仿宋" w:eastAsia="仿宋_GB2312" w:cs="宋体"/>
                <w:color w:val="000000"/>
                <w:kern w:val="0"/>
                <w:sz w:val="28"/>
                <w:szCs w:val="28"/>
              </w:rPr>
              <w:t>.法律、法规、规章规定的其他情形。</w:t>
            </w:r>
            <w:bookmarkStart w:id="0" w:name="_GoBack"/>
            <w:bookmarkEnd w:id="0"/>
          </w:p>
        </w:tc>
      </w:tr>
      <w:tr w14:paraId="39B5BCC2">
        <w:tblPrEx>
          <w:tblCellMar>
            <w:top w:w="0" w:type="dxa"/>
            <w:left w:w="108" w:type="dxa"/>
            <w:bottom w:w="0" w:type="dxa"/>
            <w:right w:w="108" w:type="dxa"/>
          </w:tblCellMar>
        </w:tblPrEx>
        <w:trPr>
          <w:trHeight w:val="984" w:hRule="atLeast"/>
        </w:trPr>
        <w:tc>
          <w:tcPr>
            <w:tcW w:w="1985" w:type="dxa"/>
            <w:tcBorders>
              <w:top w:val="nil"/>
              <w:left w:val="single" w:color="auto" w:sz="4" w:space="0"/>
              <w:bottom w:val="single" w:color="auto" w:sz="4" w:space="0"/>
              <w:right w:val="single" w:color="auto" w:sz="4" w:space="0"/>
            </w:tcBorders>
            <w:vAlign w:val="center"/>
          </w:tcPr>
          <w:p w14:paraId="13AFABED">
            <w:pPr>
              <w:widowControl/>
              <w:spacing w:line="46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rPr>
              <w:t>行政强制决定</w:t>
            </w:r>
          </w:p>
        </w:tc>
        <w:tc>
          <w:tcPr>
            <w:tcW w:w="7054" w:type="dxa"/>
            <w:tcBorders>
              <w:top w:val="nil"/>
              <w:left w:val="nil"/>
              <w:bottom w:val="single" w:color="auto" w:sz="4" w:space="0"/>
              <w:right w:val="single" w:color="auto" w:sz="4" w:space="0"/>
            </w:tcBorders>
            <w:vAlign w:val="center"/>
          </w:tcPr>
          <w:p w14:paraId="3533CA46">
            <w:pPr>
              <w:widowControl/>
              <w:spacing w:line="460" w:lineRule="exact"/>
              <w:jc w:val="left"/>
              <w:rPr>
                <w:rFonts w:hint="eastAsia" w:ascii="仿宋_GB2312" w:hAnsi="仿宋" w:eastAsia="仿宋_GB2312" w:cs="宋体"/>
                <w:color w:val="000000"/>
                <w:kern w:val="0"/>
                <w:sz w:val="28"/>
                <w:szCs w:val="28"/>
              </w:rPr>
            </w:pPr>
            <w:r>
              <w:rPr>
                <w:rFonts w:hint="eastAsia" w:ascii="仿宋_GB2312" w:hAnsi="仿宋" w:eastAsia="仿宋_GB2312" w:cs="宋体"/>
                <w:color w:val="000000"/>
                <w:kern w:val="0"/>
                <w:sz w:val="28"/>
                <w:szCs w:val="28"/>
                <w:lang w:val="en-US" w:eastAsia="zh-CN"/>
              </w:rPr>
              <w:t>所有权责清单中的行政强制事项（查封、扣押、强制拆除等）。</w:t>
            </w:r>
          </w:p>
        </w:tc>
      </w:tr>
    </w:tbl>
    <w:p w14:paraId="5E2AFB0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sz w:val="44"/>
          <w:szCs w:val="44"/>
        </w:rPr>
      </w:pPr>
      <w:r>
        <w:rPr>
          <w:rFonts w:hint="eastAsia" w:ascii="方正小标宋简体" w:hAnsi="方正小标宋简体" w:eastAsia="方正小标宋简体" w:cs="方正小标宋简体"/>
          <w:sz w:val="44"/>
          <w:szCs w:val="44"/>
          <w:lang w:val="en-US" w:eastAsia="zh-CN"/>
        </w:rPr>
        <w:t>重大执法决定法制审核目录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DejaVu Sans">
    <w:panose1 w:val="020B0606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0MmY0NmU4NjZmNWFhNjEzZjk4OGMxNTgzYzkyOTQifQ=="/>
  </w:docVars>
  <w:rsids>
    <w:rsidRoot w:val="6C8C38DF"/>
    <w:rsid w:val="5D0716D9"/>
    <w:rsid w:val="6C8C38DF"/>
    <w:rsid w:val="777DB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pPr>
  </w:style>
  <w:style w:type="paragraph" w:styleId="3">
    <w:name w:val="Body Text"/>
    <w:basedOn w:val="1"/>
    <w:qFormat/>
    <w:uiPriority w:val="0"/>
    <w:pPr>
      <w:spacing w:after="120" w:afterLines="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494</Words>
  <Characters>517</Characters>
  <Lines>0</Lines>
  <Paragraphs>0</Paragraphs>
  <TotalTime>5</TotalTime>
  <ScaleCrop>false</ScaleCrop>
  <LinksUpToDate>false</LinksUpToDate>
  <CharactersWithSpaces>523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2022-10-28T11:47:00Z</dcterms:created>
  <dc:creator>gy</dc:creator>
  <cp:lastModifiedBy>LiuX</cp:lastModifiedBy>
  <dcterms:modified xsi:type="dcterms:W3CDTF">2026-06-22T15:27:25Z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3CEB9B88E20747A78316BFF1E604876A_12</vt:lpwstr>
  </property>
</Properties>
</file>