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北京市大兴区魏善庄镇人民政府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2024年执法统计年报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执法主体名称：北京市大兴区魏善庄镇人民政府。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执法数量：1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各执法主体的执法岗位设置及执法人员在岗情况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执法岗位设置为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个，实际在岗人员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执法力量投入情况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年度本单位</w:t>
      </w:r>
      <w:r>
        <w:rPr>
          <w:rFonts w:hint="eastAsia"/>
          <w:lang w:eastAsia="zh-CN"/>
        </w:rPr>
        <w:t>执法</w:t>
      </w:r>
      <w:r>
        <w:rPr>
          <w:rFonts w:hint="eastAsia"/>
        </w:rPr>
        <w:t>人员参与执法率100%。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执法检查计划执行情况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年结合魏善庄镇中心工作和执法重点，主要从以下几方面开展执法：一.对责任单位、临街门店的燃气安全、门前三包、垃圾分类、控烟责任落实等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.占道经营类违法行为的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方面的执法检查。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、建筑垃圾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运输车的检查力度，加强对重点点位及主要道路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管控。202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年计划完成3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执法职权的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检查任务，实际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开展执法检查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2854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次，涉及341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职权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，完成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年办理行政处罚案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1288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，其中按照一般程序立案处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照简易程序当场处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依法不予处罚案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件1030件，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已全部执行完毕并结案。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投诉、举报案件的受理和分类办理情况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年共受理投诉与举报案件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件，均已按照相关要求进行了处置。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行政执法机关认为需要公示的其他情况。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A62C0"/>
    <w:multiLevelType w:val="singleLevel"/>
    <w:tmpl w:val="8F3A62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B645A9C"/>
    <w:rsid w:val="17F23B12"/>
    <w:rsid w:val="196B603D"/>
    <w:rsid w:val="232B4B6B"/>
    <w:rsid w:val="305C5E49"/>
    <w:rsid w:val="31DE47EC"/>
    <w:rsid w:val="395F6A03"/>
    <w:rsid w:val="3B2F6208"/>
    <w:rsid w:val="4A1A154B"/>
    <w:rsid w:val="543D2A9D"/>
    <w:rsid w:val="5DB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Administrator</cp:lastModifiedBy>
  <cp:lastPrinted>2025-01-02T02:40:29Z</cp:lastPrinted>
  <dcterms:modified xsi:type="dcterms:W3CDTF">2025-01-02T02:41:14Z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