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1" w:beforeLines="500" w:line="1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pacing w:val="29"/>
          <w:w w:val="75"/>
          <w:kern w:val="0"/>
          <w:sz w:val="88"/>
          <w:szCs w:val="88"/>
          <w:fitText w:val="8430" w:id="0"/>
          <w:lang w:eastAsia="zh-CN"/>
        </w:rPr>
      </w:pPr>
      <w:r>
        <w:rPr>
          <w:rFonts w:hint="eastAsia" w:ascii="方正小标宋简体" w:hAnsi="方正小标宋简体" w:eastAsia="方正小标宋简体" w:cs="方正小标宋简体"/>
          <w:color w:val="FF0000"/>
          <w:spacing w:val="1"/>
          <w:w w:val="73"/>
          <w:kern w:val="0"/>
          <w:sz w:val="88"/>
          <w:szCs w:val="88"/>
          <w:fitText w:val="8430" w:id="0"/>
        </w:rPr>
        <w:t>北京市</w:t>
      </w:r>
      <w:r>
        <w:rPr>
          <w:rFonts w:hint="eastAsia" w:ascii="方正小标宋简体" w:hAnsi="方正小标宋简体" w:eastAsia="方正小标宋简体" w:cs="方正小标宋简体"/>
          <w:color w:val="FF0000"/>
          <w:spacing w:val="1"/>
          <w:w w:val="73"/>
          <w:kern w:val="0"/>
          <w:sz w:val="88"/>
          <w:szCs w:val="88"/>
          <w:fitText w:val="8430" w:id="0"/>
          <w:lang w:eastAsia="zh-CN"/>
        </w:rPr>
        <w:t>大兴区农业农村局文</w:t>
      </w:r>
      <w:r>
        <w:rPr>
          <w:rFonts w:hint="eastAsia" w:ascii="方正小标宋简体" w:hAnsi="方正小标宋简体" w:eastAsia="方正小标宋简体" w:cs="方正小标宋简体"/>
          <w:color w:val="FF0000"/>
          <w:spacing w:val="47"/>
          <w:w w:val="73"/>
          <w:kern w:val="0"/>
          <w:sz w:val="88"/>
          <w:szCs w:val="88"/>
          <w:fitText w:val="8430" w:id="0"/>
          <w:lang w:eastAsia="zh-CN"/>
        </w:rPr>
        <w:t>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color w:val="FF0000"/>
          <w:spacing w:val="5"/>
          <w:w w:val="75"/>
          <w:kern w:val="0"/>
          <w:sz w:val="32"/>
          <w:szCs w:val="32"/>
          <w:fitText w:val="8430" w:id="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p>
    <w:p>
      <w:pPr>
        <w:spacing w:line="560" w:lineRule="exact"/>
        <w:jc w:val="center"/>
        <w:rPr>
          <w:rFonts w:ascii="文星标宋" w:hAnsi="文星标宋" w:eastAsia="文星标宋"/>
          <w:sz w:val="40"/>
          <w:szCs w:val="40"/>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99060</wp:posOffset>
                </wp:positionV>
                <wp:extent cx="5691505"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91505" cy="762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05pt;margin-top:7.8pt;height:0.6pt;width:448.15pt;z-index:251658240;mso-width-relative:page;mso-height-relative:page;" filled="f" stroked="t" coordsize="21600,21600" o:gfxdata="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A14MdkAAAAIAQAADwAAAAAAAAABACAAAAAiAAAAZHJzL2Rvd25yZXYueG1sUEsBAhQAFAAA&#10;AAgAh07iQCaWpdvuAQAAsgMAAA4AAAAAAAAAAQAgAAAAKAEAAGRycy9lMm9Eb2MueG1sUEsFBgAA&#10;AAAGAAYAWQEAAIg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2024年执法统计年报</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right="0" w:rightChars="0"/>
        <w:jc w:val="both"/>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行政执法机关情况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323232"/>
          <w:spacing w:val="0"/>
          <w:sz w:val="32"/>
          <w:szCs w:val="32"/>
          <w:u w:val="none"/>
          <w:shd w:val="clear" w:fill="FFFFFF"/>
          <w:lang w:eastAsia="zh-CN"/>
        </w:rPr>
      </w:pPr>
      <w:r>
        <w:rPr>
          <w:rFonts w:hint="eastAsia" w:ascii="仿宋_GB2312" w:hAnsi="仿宋_GB2312" w:eastAsia="仿宋_GB2312" w:cs="仿宋_GB2312"/>
          <w:kern w:val="2"/>
          <w:sz w:val="32"/>
          <w:szCs w:val="32"/>
          <w:lang w:val="en-US" w:eastAsia="zh-CN" w:bidi="ar-SA"/>
        </w:rPr>
        <w:t>我局共有行政执法主体1个，为北京市大兴区农业农村局。执行主体1个，为北京市大兴区农业综合执法大队。</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（一）深化法治思想学习。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一是</w:t>
      </w:r>
      <w:r>
        <w:rPr>
          <w:rFonts w:hint="eastAsia" w:ascii="仿宋_GB2312" w:hAnsi="仿宋_GB2312" w:eastAsia="仿宋_GB2312" w:cs="仿宋_GB2312"/>
          <w:kern w:val="2"/>
          <w:sz w:val="32"/>
          <w:szCs w:val="32"/>
          <w:lang w:val="en-US" w:eastAsia="zh-CN" w:bidi="ar-SA"/>
        </w:rPr>
        <w:t>持续推动学习贯彻习近平法治思想走深走实。将《习近平谈治国理政》《习近平法治思想学习纲要》，纳入局班子会前学法4次。</w:t>
      </w:r>
      <w:r>
        <w:rPr>
          <w:rFonts w:hint="eastAsia" w:ascii="仿宋_GB2312" w:eastAsia="仿宋_GB2312" w:cs="仿宋_GB2312"/>
          <w:sz w:val="32"/>
          <w:szCs w:val="32"/>
          <w:lang w:val="en-US" w:eastAsia="zh-CN"/>
        </w:rPr>
        <w:t>二</w:t>
      </w:r>
      <w:r>
        <w:rPr>
          <w:rFonts w:hint="eastAsia" w:ascii="仿宋_GB2312" w:eastAsia="仿宋_GB2312" w:cs="仿宋_GB2312"/>
          <w:b/>
          <w:bCs/>
          <w:sz w:val="32"/>
          <w:szCs w:val="32"/>
          <w:lang w:val="en-US" w:eastAsia="zh-CN"/>
        </w:rPr>
        <w:t>是</w:t>
      </w:r>
      <w:r>
        <w:rPr>
          <w:rFonts w:hint="eastAsia" w:ascii="仿宋_GB2312" w:eastAsia="仿宋_GB2312" w:cs="仿宋_GB2312"/>
          <w:b w:val="0"/>
          <w:bCs w:val="0"/>
          <w:sz w:val="32"/>
          <w:szCs w:val="32"/>
          <w:lang w:val="en-US" w:eastAsia="zh-CN"/>
        </w:rPr>
        <w:t>强化学习培训。</w:t>
      </w:r>
      <w:r>
        <w:rPr>
          <w:rFonts w:hint="eastAsia" w:ascii="仿宋_GB2312" w:eastAsia="仿宋_GB2312" w:cs="仿宋_GB2312"/>
          <w:sz w:val="32"/>
          <w:szCs w:val="32"/>
          <w:lang w:val="en-US" w:eastAsia="zh-CN"/>
        </w:rPr>
        <w:t>组织全体党员干部学习《行政处罚法》</w:t>
      </w:r>
      <w:r>
        <w:rPr>
          <w:rFonts w:hint="eastAsia" w:ascii="仿宋_GB2312" w:cs="仿宋_GB2312"/>
          <w:sz w:val="32"/>
          <w:szCs w:val="32"/>
          <w:lang w:val="en-US" w:eastAsia="zh-CN"/>
        </w:rPr>
        <w:t>、</w:t>
      </w:r>
      <w:r>
        <w:rPr>
          <w:rFonts w:hint="eastAsia" w:ascii="仿宋_GB2312" w:eastAsia="仿宋_GB2312" w:cs="仿宋_GB2312"/>
          <w:sz w:val="32"/>
          <w:szCs w:val="32"/>
          <w:lang w:val="en-US" w:eastAsia="zh-CN"/>
        </w:rPr>
        <w:t>《乡村振兴法》等法律法规10次，交流探讨4次，</w:t>
      </w:r>
      <w:r>
        <w:rPr>
          <w:rFonts w:hint="eastAsia" w:ascii="仿宋_GB2312" w:cs="仿宋_GB2312"/>
          <w:sz w:val="32"/>
          <w:szCs w:val="32"/>
          <w:lang w:val="en-US" w:eastAsia="zh-CN"/>
        </w:rPr>
        <w:t>岗位大练兵4</w:t>
      </w:r>
      <w:r>
        <w:rPr>
          <w:rFonts w:hint="eastAsia" w:ascii="仿宋_GB2312" w:eastAsia="仿宋_GB2312" w:cs="仿宋_GB2312"/>
          <w:sz w:val="32"/>
          <w:szCs w:val="32"/>
          <w:lang w:val="en-US" w:eastAsia="zh-CN"/>
        </w:rPr>
        <w:t>次，</w:t>
      </w:r>
      <w:r>
        <w:rPr>
          <w:rFonts w:hint="eastAsia" w:ascii="仿宋_GB2312" w:cs="仿宋_GB2312"/>
          <w:sz w:val="32"/>
          <w:szCs w:val="32"/>
          <w:lang w:val="en-US" w:eastAsia="zh-CN"/>
        </w:rPr>
        <w:t>以案释法</w:t>
      </w:r>
      <w:r>
        <w:rPr>
          <w:rFonts w:hint="eastAsia" w:ascii="仿宋_GB2312" w:eastAsia="仿宋_GB2312" w:cs="仿宋_GB2312"/>
          <w:sz w:val="32"/>
          <w:szCs w:val="32"/>
          <w:lang w:val="en-US" w:eastAsia="zh-CN"/>
        </w:rPr>
        <w:t>4次，参观展览和教育基地2次，强化法治思维</w:t>
      </w:r>
      <w:r>
        <w:rPr>
          <w:rFonts w:hint="eastAsia" w:ascii="仿宋_GB2312" w:cs="仿宋_GB2312"/>
          <w:sz w:val="32"/>
          <w:szCs w:val="32"/>
          <w:lang w:val="en-US" w:eastAsia="zh-CN"/>
        </w:rPr>
        <w:t>,</w:t>
      </w:r>
      <w:r>
        <w:rPr>
          <w:rFonts w:hint="eastAsia" w:ascii="仿宋_GB2312" w:eastAsia="仿宋_GB2312" w:cs="仿宋_GB2312"/>
          <w:sz w:val="32"/>
          <w:szCs w:val="32"/>
          <w:lang w:val="en-US" w:eastAsia="zh-CN"/>
        </w:rPr>
        <w:t>促进</w:t>
      </w:r>
      <w:r>
        <w:rPr>
          <w:rFonts w:hint="eastAsia" w:ascii="仿宋_GB2312" w:cs="仿宋_GB2312"/>
          <w:sz w:val="32"/>
          <w:szCs w:val="32"/>
          <w:lang w:val="en-US" w:eastAsia="zh-CN"/>
        </w:rPr>
        <w:t>了</w:t>
      </w:r>
      <w:r>
        <w:rPr>
          <w:rFonts w:hint="eastAsia" w:ascii="仿宋_GB2312" w:eastAsia="仿宋_GB2312" w:cs="仿宋_GB2312"/>
          <w:sz w:val="32"/>
          <w:szCs w:val="32"/>
          <w:lang w:val="en-US" w:eastAsia="zh-CN"/>
        </w:rPr>
        <w:t>全体人员法治意识进一步提升。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（二）加强法治政府建设。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cs="仿宋_GB2312"/>
          <w:b/>
          <w:bCs/>
          <w:sz w:val="32"/>
          <w:szCs w:val="32"/>
          <w:lang w:val="en-US" w:eastAsia="zh-CN"/>
        </w:rPr>
        <w:t>一是</w:t>
      </w:r>
      <w:r>
        <w:rPr>
          <w:rFonts w:hint="eastAsia" w:ascii="仿宋_GB2312" w:cs="仿宋_GB2312"/>
          <w:sz w:val="32"/>
          <w:szCs w:val="32"/>
          <w:lang w:val="en-US" w:eastAsia="zh-CN"/>
        </w:rPr>
        <w:t>落实公平竞争审查制度。遵循“谁制定、谁审查、谁负责”的原则，持续加强合同、行政规范性文件和重大行政决策合法性审查，及时清理规范性文件。截至12月底，共审查合同113份，其他文件81份。二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行政规范性文件均按要求30日内向区政府报备，在备案审查中未发生无合法性问题。同时按要求开展行政规范性文件库建设等专项工作，将行政规范性文件修改、废止情况及时向司法局报备。</w:t>
      </w:r>
      <w:r>
        <w:rPr>
          <w:rFonts w:hint="eastAsia" w:ascii="仿宋_GB2312" w:hAnsi="仿宋_GB2312" w:cs="仿宋_GB2312"/>
          <w:sz w:val="32"/>
          <w:szCs w:val="32"/>
          <w:lang w:eastAsia="zh-CN"/>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按要求参加全区组织的依法行政培训、旁听实训及学法考法活动。执法人员业务培训均达到</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lang w:eastAsia="zh-CN"/>
        </w:rPr>
        <w:t>学时。履行复议答复、应诉职责，</w:t>
      </w:r>
      <w:r>
        <w:rPr>
          <w:rFonts w:hint="eastAsia" w:ascii="仿宋_GB2312" w:hAnsi="仿宋_GB2312" w:eastAsia="仿宋_GB2312" w:cs="仿宋_GB2312"/>
          <w:sz w:val="32"/>
          <w:szCs w:val="32"/>
          <w:lang w:val="en-US" w:eastAsia="zh-CN"/>
        </w:rPr>
        <w:t>2024年发生</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起行政复议案件。未发生行政诉讼案件。</w:t>
      </w:r>
      <w:r>
        <w:rPr>
          <w:rFonts w:hint="eastAsia" w:ascii="仿宋_GB2312" w:cs="仿宋_GB2312"/>
          <w:b/>
          <w:bCs/>
          <w:sz w:val="32"/>
          <w:szCs w:val="32"/>
          <w:lang w:val="en-US" w:eastAsia="zh-CN"/>
        </w:rPr>
        <w:t>四</w:t>
      </w:r>
      <w:r>
        <w:rPr>
          <w:rFonts w:hint="eastAsia" w:ascii="仿宋_GB2312" w:eastAsia="仿宋_GB2312" w:cs="仿宋_GB2312"/>
          <w:b/>
          <w:bCs/>
          <w:sz w:val="32"/>
          <w:szCs w:val="32"/>
          <w:lang w:val="en-US" w:eastAsia="zh-CN"/>
        </w:rPr>
        <w:t>是</w:t>
      </w:r>
      <w:r>
        <w:rPr>
          <w:rFonts w:hint="eastAsia" w:ascii="仿宋_GB2312" w:eastAsia="仿宋_GB2312" w:cs="仿宋_GB2312"/>
          <w:sz w:val="32"/>
          <w:szCs w:val="32"/>
          <w:lang w:val="en-US" w:eastAsia="zh-CN"/>
        </w:rPr>
        <w:t>严格执行行政机关重大决策集体讨论决定机制。深化落实区委农工委、区农业农村局会议议事规则，明确会议和议题类别、议题征集报送流程、会议要求和督办措施等事项，不断提升议事质量和效率。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（三）深化执法规范化建设。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仿宋_GB2312" w:hAnsi="仿宋_GB2312" w:eastAsia="仿宋_GB2312" w:cs="仿宋_GB2312"/>
          <w:strike w:val="0"/>
          <w:dstrike w:val="0"/>
          <w:sz w:val="32"/>
          <w:szCs w:val="32"/>
          <w:highlight w:val="none"/>
          <w:lang w:val="en"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color w:val="auto"/>
          <w:sz w:val="32"/>
          <w:szCs w:val="32"/>
          <w:highlight w:val="none"/>
          <w:lang w:val="en-US" w:eastAsia="zh-CN"/>
        </w:rPr>
        <w:t>进一步</w:t>
      </w:r>
      <w:r>
        <w:rPr>
          <w:rFonts w:hint="eastAsia" w:ascii="仿宋_GB2312" w:hAnsi="仿宋_GB2312" w:cs="仿宋_GB2312"/>
          <w:b w:val="0"/>
          <w:bCs/>
          <w:color w:val="auto"/>
          <w:sz w:val="32"/>
          <w:szCs w:val="32"/>
          <w:highlight w:val="none"/>
          <w:lang w:val="en-US" w:eastAsia="zh-CN"/>
        </w:rPr>
        <w:t>深化</w:t>
      </w:r>
      <w:r>
        <w:rPr>
          <w:rFonts w:hint="eastAsia" w:ascii="仿宋_GB2312" w:hAnsi="仿宋_GB2312" w:eastAsia="仿宋_GB2312" w:cs="仿宋_GB2312"/>
          <w:b w:val="0"/>
          <w:bCs/>
          <w:color w:val="auto"/>
          <w:sz w:val="32"/>
          <w:szCs w:val="32"/>
          <w:highlight w:val="none"/>
          <w:lang w:val="en-US" w:eastAsia="zh-CN"/>
        </w:rPr>
        <w:t>“2+5+5”执法模式，做到案件数量、质量双提升。</w:t>
      </w:r>
      <w:r>
        <w:rPr>
          <w:rFonts w:hint="eastAsia" w:ascii="仿宋_GB2312" w:hAnsi="仿宋_GB2312" w:eastAsia="仿宋_GB2312" w:cs="仿宋_GB2312"/>
          <w:b w:val="0"/>
          <w:bCs w:val="0"/>
          <w:strike w:val="0"/>
          <w:dstrike w:val="0"/>
          <w:color w:val="000000"/>
          <w:sz w:val="32"/>
          <w:szCs w:val="32"/>
          <w:highlight w:val="none"/>
          <w:lang w:val="en-US" w:eastAsia="zh-CN"/>
        </w:rPr>
        <w:t>加强执法规范监督</w:t>
      </w:r>
      <w:r>
        <w:rPr>
          <w:rFonts w:hint="eastAsia" w:ascii="仿宋_GB2312" w:hAnsi="仿宋_GB2312" w:cs="仿宋_GB2312"/>
          <w:b w:val="0"/>
          <w:bCs w:val="0"/>
          <w:strike w:val="0"/>
          <w:dstrike w:val="0"/>
          <w:color w:val="000000"/>
          <w:sz w:val="32"/>
          <w:szCs w:val="32"/>
          <w:highlight w:val="none"/>
          <w:lang w:val="en-US" w:eastAsia="zh-CN"/>
        </w:rPr>
        <w:t>，</w:t>
      </w:r>
      <w:r>
        <w:rPr>
          <w:rFonts w:hint="eastAsia" w:ascii="仿宋_GB2312" w:hAnsi="仿宋_GB2312" w:eastAsia="仿宋_GB2312" w:cs="仿宋_GB2312"/>
          <w:i w:val="0"/>
          <w:caps w:val="0"/>
          <w:color w:val="323232"/>
          <w:spacing w:val="0"/>
          <w:sz w:val="32"/>
          <w:szCs w:val="32"/>
          <w:u w:val="none"/>
          <w:shd w:val="clear" w:fill="FFFFFF"/>
          <w:lang w:val="en-US" w:eastAsia="zh-CN"/>
        </w:rPr>
        <w:t>202</w:t>
      </w:r>
      <w:r>
        <w:rPr>
          <w:rFonts w:hint="eastAsia" w:ascii="仿宋_GB2312" w:hAnsi="仿宋_GB2312" w:cs="仿宋_GB2312"/>
          <w:i w:val="0"/>
          <w:caps w:val="0"/>
          <w:color w:val="323232"/>
          <w:spacing w:val="0"/>
          <w:sz w:val="32"/>
          <w:szCs w:val="32"/>
          <w:u w:val="none"/>
          <w:shd w:val="clear" w:fill="FFFFFF"/>
          <w:lang w:val="en-US" w:eastAsia="zh-CN"/>
        </w:rPr>
        <w:t>4</w:t>
      </w:r>
      <w:r>
        <w:rPr>
          <w:rFonts w:hint="eastAsia" w:ascii="仿宋_GB2312" w:hAnsi="仿宋_GB2312" w:eastAsia="仿宋_GB2312" w:cs="仿宋_GB2312"/>
          <w:i w:val="0"/>
          <w:caps w:val="0"/>
          <w:color w:val="323232"/>
          <w:spacing w:val="0"/>
          <w:sz w:val="32"/>
          <w:szCs w:val="32"/>
          <w:u w:val="none"/>
          <w:shd w:val="clear" w:fill="FFFFFF"/>
          <w:lang w:val="en-US" w:eastAsia="zh-CN"/>
        </w:rPr>
        <w:t>年，我局共关联设置行政执法业务岗（A岗）核定人数68人，实际在岗68人</w:t>
      </w:r>
      <w:r>
        <w:rPr>
          <w:rFonts w:hint="eastAsia" w:ascii="仿宋_GB2312" w:hAnsi="仿宋_GB2312" w:eastAsia="仿宋_GB2312" w:cs="仿宋_GB2312"/>
          <w:b w:val="0"/>
          <w:bCs w:val="0"/>
          <w:strike w:val="0"/>
          <w:dstrike w:val="0"/>
          <w:color w:val="000000"/>
          <w:sz w:val="32"/>
          <w:szCs w:val="32"/>
          <w:highlight w:val="none"/>
          <w:lang w:val="en-US" w:eastAsia="zh-CN"/>
        </w:rPr>
        <w:t>。</w:t>
      </w:r>
      <w:r>
        <w:rPr>
          <w:rFonts w:hint="eastAsia" w:ascii="仿宋_GB2312" w:eastAsia="仿宋_GB2312" w:cs="仿宋_GB2312"/>
          <w:sz w:val="32"/>
          <w:szCs w:val="32"/>
          <w:lang w:val="en-US" w:eastAsia="zh-CN"/>
        </w:rPr>
        <w:t>截至1</w:t>
      </w:r>
      <w:r>
        <w:rPr>
          <w:rFonts w:hint="eastAsia" w:ascii="仿宋_GB2312" w:cs="仿宋_GB2312"/>
          <w:sz w:val="32"/>
          <w:szCs w:val="32"/>
          <w:lang w:val="en-US" w:eastAsia="zh-CN"/>
        </w:rPr>
        <w:t>2</w:t>
      </w:r>
      <w:r>
        <w:rPr>
          <w:rFonts w:hint="eastAsia" w:ascii="仿宋_GB2312" w:eastAsia="仿宋_GB2312" w:cs="仿宋_GB2312"/>
          <w:sz w:val="32"/>
          <w:szCs w:val="32"/>
          <w:lang w:val="en-US" w:eastAsia="zh-CN"/>
        </w:rPr>
        <w:t>月底</w:t>
      </w:r>
      <w:r>
        <w:rPr>
          <w:rFonts w:hint="eastAsia" w:ascii="仿宋_GB2312" w:hAnsi="仿宋_GB2312" w:eastAsia="仿宋_GB2312" w:cs="仿宋_GB2312"/>
          <w:b w:val="0"/>
          <w:bCs w:val="0"/>
          <w:strike w:val="0"/>
          <w:dstrike w:val="0"/>
          <w:color w:val="000000"/>
          <w:sz w:val="32"/>
          <w:szCs w:val="32"/>
          <w:highlight w:val="none"/>
          <w:lang w:val="en-US" w:eastAsia="zh-CN"/>
        </w:rPr>
        <w:t>，共做出行政处罚138件，罚没款共计118108.88元。综合监管e码查绑定率、应用率、扫码率、A岗人员参与执法率均为100%。部门双随机检查146家，完成率100%。</w:t>
      </w:r>
      <w:r>
        <w:rPr>
          <w:rFonts w:hint="eastAsia" w:ascii="仿宋_GB2312" w:hAnsi="仿宋_GB2312" w:eastAsia="仿宋_GB2312" w:cs="仿宋_GB2312"/>
          <w:b/>
          <w:bCs/>
          <w:strike w:val="0"/>
          <w:dstrike w:val="0"/>
          <w:color w:val="000000"/>
          <w:sz w:val="32"/>
          <w:szCs w:val="32"/>
          <w:highlight w:val="none"/>
          <w:lang w:val="en-US" w:eastAsia="zh-CN"/>
        </w:rPr>
        <w:t>二是</w:t>
      </w:r>
      <w:r>
        <w:rPr>
          <w:rFonts w:hint="eastAsia" w:ascii="仿宋_GB2312" w:hAnsi="仿宋_GB2312" w:cs="仿宋_GB2312"/>
          <w:b w:val="0"/>
          <w:bCs w:val="0"/>
          <w:strike w:val="0"/>
          <w:dstrike w:val="0"/>
          <w:color w:val="000000"/>
          <w:sz w:val="32"/>
          <w:szCs w:val="32"/>
          <w:highlight w:val="none"/>
          <w:lang w:val="en-US" w:eastAsia="zh-CN"/>
        </w:rPr>
        <w:t>投诉、举报处理工作</w:t>
      </w:r>
      <w:r>
        <w:rPr>
          <w:rFonts w:hint="eastAsia" w:ascii="仿宋_GB2312" w:hAnsi="仿宋_GB2312" w:eastAsia="仿宋_GB2312" w:cs="仿宋_GB2312"/>
          <w:b w:val="0"/>
          <w:bCs w:val="0"/>
          <w:strike w:val="0"/>
          <w:dstrike w:val="0"/>
          <w:color w:val="000000"/>
          <w:sz w:val="32"/>
          <w:szCs w:val="32"/>
          <w:highlight w:val="none"/>
          <w:lang w:val="en-US" w:eastAsia="zh-CN"/>
        </w:rPr>
        <w:t>向前一步。加大纠纷调解力度，通过群众举报全面梳理各领域存在的问题，召开</w:t>
      </w:r>
      <w:r>
        <w:rPr>
          <w:rFonts w:hint="eastAsia" w:ascii="仿宋_GB2312" w:hAnsi="仿宋_GB2312" w:cs="仿宋_GB2312"/>
          <w:b w:val="0"/>
          <w:bCs w:val="0"/>
          <w:strike w:val="0"/>
          <w:dstrike w:val="0"/>
          <w:color w:val="000000"/>
          <w:sz w:val="32"/>
          <w:szCs w:val="32"/>
          <w:highlight w:val="none"/>
          <w:lang w:val="en-US" w:eastAsia="zh-CN"/>
        </w:rPr>
        <w:t>投诉、举报案件</w:t>
      </w:r>
      <w:r>
        <w:rPr>
          <w:rFonts w:hint="eastAsia" w:ascii="仿宋_GB2312" w:hAnsi="仿宋_GB2312" w:eastAsia="仿宋_GB2312" w:cs="仿宋_GB2312"/>
          <w:b w:val="0"/>
          <w:bCs w:val="0"/>
          <w:strike w:val="0"/>
          <w:dstrike w:val="0"/>
          <w:color w:val="000000"/>
          <w:sz w:val="32"/>
          <w:szCs w:val="32"/>
          <w:highlight w:val="none"/>
          <w:lang w:val="en-US" w:eastAsia="zh-CN"/>
        </w:rPr>
        <w:t>典型案例学习研讨会6次，涉及典型案例14件，通过查找执法领域内存在的典型问题，复盘典型案例的处置流程，形成闭环管理，“模板化”推进</w:t>
      </w:r>
      <w:r>
        <w:rPr>
          <w:rFonts w:hint="eastAsia" w:ascii="仿宋_GB2312" w:hAnsi="仿宋_GB2312" w:cs="仿宋_GB2312"/>
          <w:b w:val="0"/>
          <w:bCs w:val="0"/>
          <w:strike w:val="0"/>
          <w:dstrike w:val="0"/>
          <w:color w:val="000000"/>
          <w:sz w:val="32"/>
          <w:szCs w:val="32"/>
          <w:highlight w:val="none"/>
          <w:lang w:val="en-US" w:eastAsia="zh-CN"/>
        </w:rPr>
        <w:t>投诉、举报</w:t>
      </w:r>
      <w:r>
        <w:rPr>
          <w:rFonts w:hint="eastAsia" w:ascii="仿宋_GB2312" w:hAnsi="仿宋_GB2312" w:eastAsia="仿宋_GB2312" w:cs="仿宋_GB2312"/>
          <w:b w:val="0"/>
          <w:bCs w:val="0"/>
          <w:strike w:val="0"/>
          <w:dstrike w:val="0"/>
          <w:color w:val="000000"/>
          <w:sz w:val="32"/>
          <w:szCs w:val="32"/>
          <w:highlight w:val="none"/>
          <w:lang w:val="en-US" w:eastAsia="zh-CN"/>
        </w:rPr>
        <w:t>工作</w:t>
      </w:r>
      <w:r>
        <w:rPr>
          <w:rFonts w:hint="eastAsia" w:ascii="仿宋_GB2312" w:hAnsi="仿宋_GB2312" w:cs="仿宋_GB2312"/>
          <w:b w:val="0"/>
          <w:bCs w:val="0"/>
          <w:strike w:val="0"/>
          <w:dstrike w:val="0"/>
          <w:color w:val="000000"/>
          <w:sz w:val="32"/>
          <w:szCs w:val="32"/>
          <w:highlight w:val="none"/>
          <w:lang w:val="en-US" w:eastAsia="zh-CN"/>
        </w:rPr>
        <w:t>处理</w:t>
      </w:r>
      <w:r>
        <w:rPr>
          <w:rFonts w:hint="eastAsia" w:ascii="仿宋_GB2312" w:hAnsi="仿宋_GB2312" w:eastAsia="仿宋_GB2312" w:cs="仿宋_GB2312"/>
          <w:b w:val="0"/>
          <w:bCs w:val="0"/>
          <w:strike w:val="0"/>
          <w:dstrike w:val="0"/>
          <w:color w:val="000000"/>
          <w:sz w:val="32"/>
          <w:szCs w:val="32"/>
          <w:highlight w:val="none"/>
          <w:lang w:val="en-US" w:eastAsia="zh-CN"/>
        </w:rPr>
        <w:t>。</w:t>
      </w:r>
      <w:r>
        <w:rPr>
          <w:rFonts w:hint="eastAsia" w:ascii="仿宋_GB2312" w:hAnsi="仿宋_GB2312" w:eastAsia="仿宋_GB2312" w:cs="仿宋_GB2312"/>
          <w:b/>
          <w:bCs/>
          <w:strike w:val="0"/>
          <w:dstrike w:val="0"/>
          <w:sz w:val="32"/>
          <w:szCs w:val="32"/>
          <w:highlight w:val="none"/>
          <w:lang w:val="en-US" w:eastAsia="zh-CN"/>
        </w:rPr>
        <w:t>三是</w:t>
      </w:r>
      <w:r>
        <w:rPr>
          <w:rFonts w:hint="eastAsia" w:ascii="仿宋_GB2312" w:hAnsi="仿宋_GB2312" w:eastAsia="仿宋_GB2312" w:cs="仿宋_GB2312"/>
          <w:b w:val="0"/>
          <w:bCs w:val="0"/>
          <w:strike w:val="0"/>
          <w:dstrike w:val="0"/>
          <w:kern w:val="0"/>
          <w:sz w:val="32"/>
          <w:szCs w:val="32"/>
          <w:highlight w:val="none"/>
          <w:lang w:val="en-US" w:eastAsia="zh-CN" w:bidi="ar"/>
        </w:rPr>
        <w:t>拓宽网络执法监管渠道，</w:t>
      </w:r>
      <w:r>
        <w:rPr>
          <w:rFonts w:hint="eastAsia" w:ascii="仿宋_GB2312" w:hAnsi="仿宋_GB2312" w:eastAsia="仿宋_GB2312" w:cs="仿宋_GB2312"/>
          <w:strike w:val="0"/>
          <w:dstrike w:val="0"/>
          <w:sz w:val="32"/>
          <w:szCs w:val="32"/>
          <w:highlight w:val="none"/>
          <w:lang w:val="en-US" w:eastAsia="zh-CN"/>
        </w:rPr>
        <w:t>推进非现场监管工作，</w:t>
      </w:r>
      <w:r>
        <w:rPr>
          <w:rFonts w:hint="eastAsia" w:ascii="仿宋_GB2312" w:hAnsi="仿宋_GB2312" w:eastAsia="仿宋_GB2312" w:cs="仿宋_GB2312"/>
          <w:b w:val="0"/>
          <w:bCs w:val="0"/>
          <w:strike w:val="0"/>
          <w:dstrike w:val="0"/>
          <w:kern w:val="0"/>
          <w:sz w:val="32"/>
          <w:szCs w:val="32"/>
          <w:highlight w:val="none"/>
          <w:lang w:val="en-US" w:eastAsia="zh-CN" w:bidi="ar"/>
        </w:rPr>
        <w:t>统筹各分队使用管理的检疫出证、农机、农药备案等系统线上筛查违法违规行为，</w:t>
      </w:r>
      <w:r>
        <w:rPr>
          <w:rFonts w:hint="eastAsia" w:ascii="仿宋_GB2312" w:hAnsi="仿宋_GB2312" w:eastAsia="仿宋_GB2312" w:cs="仿宋_GB2312"/>
          <w:b w:val="0"/>
          <w:bCs w:val="0"/>
          <w:strike w:val="0"/>
          <w:dstrike w:val="0"/>
          <w:color w:val="000000"/>
          <w:sz w:val="32"/>
          <w:szCs w:val="32"/>
          <w:highlight w:val="none"/>
          <w:lang w:val="en-US" w:eastAsia="zh-CN"/>
        </w:rPr>
        <w:t>“一码检查”已开展执法检查1139家次，非现场占比50.04%，问题发现率34.24%。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（四）提升政务服务水平。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contextualSpacing/>
        <w:jc w:val="both"/>
        <w:textAlignment w:val="auto"/>
        <w:outlineLvl w:val="9"/>
        <w:rPr>
          <w:rFonts w:hint="eastAsia" w:ascii="仿宋_GB2312" w:eastAsia="仿宋_GB2312" w:cs="仿宋_GB2312"/>
          <w:sz w:val="32"/>
          <w:szCs w:val="32"/>
          <w:lang w:val="en-US" w:eastAsia="zh-CN"/>
        </w:rPr>
      </w:pPr>
      <w:r>
        <w:rPr>
          <w:rFonts w:hint="eastAsia" w:ascii="仿宋_GB2312" w:cs="仿宋_GB2312"/>
          <w:b/>
          <w:bCs/>
          <w:sz w:val="32"/>
          <w:szCs w:val="32"/>
          <w:lang w:val="en-US" w:eastAsia="zh-CN"/>
        </w:rPr>
        <w:t>一是</w:t>
      </w:r>
      <w:r>
        <w:rPr>
          <w:rFonts w:hint="eastAsia" w:ascii="仿宋_GB2312" w:eastAsia="仿宋_GB2312" w:cs="仿宋_GB2312"/>
          <w:sz w:val="32"/>
          <w:szCs w:val="32"/>
          <w:lang w:val="en-US" w:eastAsia="zh-CN"/>
        </w:rPr>
        <w:t>完成“一件事”场景建设，开展窗口工作人员业务培训3次，完成“一把手”走流程工作</w:t>
      </w:r>
      <w:r>
        <w:rPr>
          <w:rFonts w:hint="eastAsia" w:ascii="仿宋_GB2312" w:cs="仿宋_GB2312"/>
          <w:sz w:val="32"/>
          <w:szCs w:val="32"/>
          <w:lang w:val="en-US" w:eastAsia="zh-CN"/>
        </w:rPr>
        <w:t>。</w:t>
      </w:r>
      <w:r>
        <w:rPr>
          <w:rFonts w:hint="eastAsia" w:ascii="仿宋_GB2312" w:eastAsia="仿宋_GB2312" w:cs="仿宋_GB2312"/>
          <w:sz w:val="32"/>
          <w:szCs w:val="32"/>
          <w:lang w:val="en-US" w:eastAsia="zh-CN"/>
        </w:rPr>
        <w:t>对综合窗口工作人员培训</w:t>
      </w:r>
      <w:r>
        <w:rPr>
          <w:rFonts w:hint="eastAsia" w:ascii="仿宋_GB2312" w:cs="仿宋_GB2312"/>
          <w:sz w:val="32"/>
          <w:szCs w:val="32"/>
          <w:lang w:val="en-US" w:eastAsia="zh-CN"/>
        </w:rPr>
        <w:t>3</w:t>
      </w:r>
      <w:r>
        <w:rPr>
          <w:rFonts w:hint="eastAsia" w:ascii="仿宋_GB2312" w:eastAsia="仿宋_GB2312" w:cs="仿宋_GB2312"/>
          <w:sz w:val="32"/>
          <w:szCs w:val="32"/>
          <w:lang w:val="en-US" w:eastAsia="zh-CN"/>
        </w:rPr>
        <w:t>次，及时将更新的法律法规政策进行解读</w:t>
      </w:r>
      <w:r>
        <w:rPr>
          <w:rFonts w:hint="eastAsia" w:ascii="仿宋_GB2312" w:cs="仿宋_GB2312"/>
          <w:sz w:val="32"/>
          <w:szCs w:val="32"/>
          <w:lang w:val="en-US" w:eastAsia="zh-CN"/>
        </w:rPr>
        <w:t>。二</w:t>
      </w:r>
      <w:r>
        <w:rPr>
          <w:rFonts w:hint="eastAsia" w:ascii="仿宋_GB2312" w:eastAsia="仿宋_GB2312" w:cs="仿宋_GB2312"/>
          <w:b/>
          <w:bCs/>
          <w:sz w:val="32"/>
          <w:szCs w:val="32"/>
          <w:lang w:val="en-US" w:eastAsia="zh-CN"/>
        </w:rPr>
        <w:t>是</w:t>
      </w:r>
      <w:r>
        <w:rPr>
          <w:rFonts w:hint="eastAsia" w:ascii="仿宋_GB2312" w:eastAsia="仿宋_GB2312" w:cs="仿宋_GB2312"/>
          <w:sz w:val="32"/>
          <w:szCs w:val="32"/>
          <w:lang w:val="en-US" w:eastAsia="zh-CN"/>
        </w:rPr>
        <w:t>坚持“服务优质、办事高效、依法行政、群众满意”的工作目标。截至12月底，共接待群众来访和咨询1460余人，办理行政许可416件</w:t>
      </w:r>
      <w:r>
        <w:rPr>
          <w:rFonts w:hint="eastAsia" w:ascii="仿宋_GB2312" w:cs="仿宋_GB2312"/>
          <w:sz w:val="32"/>
          <w:szCs w:val="32"/>
          <w:lang w:val="en-US" w:eastAsia="zh-CN"/>
        </w:rPr>
        <w:t>，</w:t>
      </w:r>
      <w:r>
        <w:rPr>
          <w:rFonts w:hint="eastAsia" w:ascii="仿宋_GB2312" w:eastAsia="仿宋_GB2312" w:cs="仿宋_GB2312"/>
          <w:sz w:val="32"/>
          <w:szCs w:val="32"/>
          <w:lang w:val="en-US" w:eastAsia="zh-CN"/>
        </w:rPr>
        <w:t>开展年审现场核查证照78家。</w:t>
      </w:r>
      <w:r>
        <w:rPr>
          <w:rFonts w:hint="eastAsia" w:ascii="仿宋_GB2312" w:eastAsia="仿宋_GB2312" w:cs="仿宋_GB2312"/>
          <w:b/>
          <w:bCs/>
          <w:sz w:val="32"/>
          <w:szCs w:val="32"/>
          <w:lang w:val="en-US" w:eastAsia="zh-CN"/>
        </w:rPr>
        <w:t>三是</w:t>
      </w:r>
      <w:r>
        <w:rPr>
          <w:rFonts w:hint="eastAsia" w:ascii="仿宋_GB2312" w:eastAsia="仿宋_GB2312" w:cs="仿宋_GB2312"/>
          <w:sz w:val="32"/>
          <w:szCs w:val="32"/>
          <w:lang w:val="en-US" w:eastAsia="zh-CN"/>
        </w:rPr>
        <w:t>实行“一站式”审批，按时报送《政务服务体验工作情况汇总清单》及工作总结。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（五）巩固依法普法治理成效。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rPr>
          <w:rFonts w:hint="eastAsia" w:ascii="仿宋_GB2312" w:eastAsia="仿宋_GB2312" w:cs="仿宋_GB2312"/>
          <w:sz w:val="32"/>
          <w:szCs w:val="32"/>
          <w:lang w:val="en-US" w:eastAsia="zh-CN"/>
        </w:rPr>
      </w:pPr>
      <w:r>
        <w:rPr>
          <w:rFonts w:hint="eastAsia" w:ascii="仿宋_GB2312" w:cs="仿宋_GB2312"/>
          <w:b/>
          <w:bCs/>
          <w:sz w:val="32"/>
          <w:szCs w:val="32"/>
          <w:lang w:val="en-US" w:eastAsia="zh-CN"/>
        </w:rPr>
        <w:t>一是</w:t>
      </w:r>
      <w:r>
        <w:rPr>
          <w:rFonts w:hint="eastAsia" w:ascii="仿宋_GB2312" w:eastAsia="仿宋_GB2312" w:cs="仿宋_GB2312"/>
          <w:sz w:val="32"/>
          <w:szCs w:val="32"/>
          <w:lang w:val="en-US" w:eastAsia="zh-CN"/>
        </w:rPr>
        <w:t>运用“报、网、端、微、屏”等资源和平台开展普法，增强传播力、影响力，落实媒体公益普法责任，深化“法律进乡村”工作。</w:t>
      </w:r>
      <w:r>
        <w:rPr>
          <w:rFonts w:hint="eastAsia" w:ascii="仿宋_GB2312" w:cs="仿宋_GB2312"/>
          <w:b/>
          <w:bCs/>
          <w:sz w:val="32"/>
          <w:szCs w:val="32"/>
          <w:lang w:val="en-US" w:eastAsia="zh-CN"/>
        </w:rPr>
        <w:t>二是</w:t>
      </w:r>
      <w:r>
        <w:rPr>
          <w:rFonts w:hint="eastAsia" w:ascii="仿宋_GB2312" w:hAnsi="仿宋_GB2312" w:eastAsia="仿宋_GB2312" w:cs="仿宋_GB2312"/>
          <w:color w:val="auto"/>
          <w:kern w:val="2"/>
          <w:sz w:val="32"/>
          <w:szCs w:val="32"/>
          <w:lang w:val="en-US" w:eastAsia="zh-CN" w:bidi="ar"/>
        </w:rPr>
        <w:t>按照“谁执法谁普法”责任制，将普法</w:t>
      </w:r>
      <w:r>
        <w:rPr>
          <w:rFonts w:hint="default" w:ascii="仿宋_GB2312" w:hAnsi="仿宋_GB2312" w:eastAsia="仿宋_GB2312" w:cs="仿宋_GB2312"/>
          <w:color w:val="auto"/>
          <w:kern w:val="2"/>
          <w:sz w:val="32"/>
          <w:szCs w:val="32"/>
          <w:lang w:eastAsia="zh-CN" w:bidi="ar"/>
        </w:rPr>
        <w:t>融入执法，</w:t>
      </w:r>
      <w:r>
        <w:rPr>
          <w:rFonts w:hint="eastAsia" w:ascii="仿宋_GB2312" w:hAnsi="仿宋_GB2312" w:eastAsia="仿宋_GB2312" w:cs="仿宋_GB2312"/>
          <w:color w:val="auto"/>
          <w:kern w:val="2"/>
          <w:sz w:val="32"/>
          <w:szCs w:val="32"/>
          <w:lang w:val="en-US" w:eastAsia="zh-CN" w:bidi="ar"/>
        </w:rPr>
        <w:t>不断扩大农法覆盖面</w:t>
      </w:r>
      <w:r>
        <w:rPr>
          <w:rFonts w:hint="eastAsia" w:ascii="仿宋_GB2312" w:hAnsi="仿宋_GB2312" w:eastAsia="仿宋_GB2312" w:cs="仿宋_GB2312"/>
          <w:color w:val="auto"/>
          <w:kern w:val="2"/>
          <w:sz w:val="32"/>
          <w:szCs w:val="32"/>
          <w:highlight w:val="none"/>
          <w:lang w:val="en-US" w:eastAsia="zh-CN" w:bidi="ar"/>
        </w:rPr>
        <w:t>和影响力，</w:t>
      </w:r>
      <w:r>
        <w:rPr>
          <w:rFonts w:hint="default" w:ascii="仿宋_GB2312" w:hAnsi="仿宋_GB2312" w:eastAsia="仿宋_GB2312" w:cs="仿宋_GB2312"/>
          <w:color w:val="auto"/>
          <w:kern w:val="2"/>
          <w:sz w:val="32"/>
          <w:szCs w:val="32"/>
          <w:highlight w:val="none"/>
          <w:lang w:eastAsia="zh-CN" w:bidi="ar"/>
        </w:rPr>
        <w:t>共</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highlight w:val="none"/>
          <w:lang w:val="en-US" w:eastAsia="zh-CN"/>
        </w:rPr>
        <w:t>“打击假劣农资 护航春耕备耕”安全月、</w:t>
      </w:r>
      <w:r>
        <w:rPr>
          <w:rFonts w:hint="eastAsia" w:ascii="仿宋_GB2312" w:hAnsi="仿宋_GB2312" w:eastAsia="仿宋_GB2312" w:cs="仿宋_GB2312"/>
          <w:sz w:val="32"/>
          <w:szCs w:val="32"/>
          <w:lang w:val="en-US" w:eastAsia="zh-CN"/>
        </w:rPr>
        <w:t>“农产品安全周”</w:t>
      </w:r>
      <w:r>
        <w:rPr>
          <w:rFonts w:hint="eastAsia" w:ascii="仿宋_GB2312" w:hAnsi="仿宋_GB2312" w:eastAsia="仿宋_GB2312" w:cs="仿宋_GB2312"/>
          <w:color w:val="000000"/>
          <w:spacing w:val="0"/>
          <w:w w:val="100"/>
          <w:kern w:val="0"/>
          <w:position w:val="0"/>
          <w:sz w:val="32"/>
          <w:szCs w:val="32"/>
          <w:highlight w:val="none"/>
          <w:shd w:val="clear" w:color="auto" w:fill="auto"/>
          <w:lang w:val="en-US" w:eastAsia="zh-CN" w:bidi="en-US"/>
        </w:rPr>
        <w:t>“民法典宣传月”</w:t>
      </w:r>
      <w:r>
        <w:rPr>
          <w:rFonts w:hint="eastAsia" w:ascii="仿宋_GB2312" w:hAnsi="仿宋_GB2312" w:eastAsia="仿宋_GB2312" w:cs="仿宋_GB2312"/>
          <w:color w:val="000000"/>
          <w:sz w:val="32"/>
          <w:szCs w:val="32"/>
          <w:highlight w:val="none"/>
          <w:lang w:val="en-US" w:eastAsia="zh-CN"/>
        </w:rPr>
        <w:t>“依法文明养犬”</w:t>
      </w:r>
      <w:r>
        <w:rPr>
          <w:rFonts w:hint="eastAsia" w:ascii="仿宋_GB2312" w:hAnsi="仿宋_GB2312" w:eastAsia="仿宋_GB2312" w:cs="仿宋_GB2312"/>
          <w:sz w:val="32"/>
          <w:szCs w:val="32"/>
          <w:highlight w:val="none"/>
          <w:lang w:val="en-US" w:eastAsia="zh-CN"/>
        </w:rPr>
        <w:t>等主题宣传活动35场次</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发放宣传资料共8500余份。</w:t>
      </w:r>
      <w:r>
        <w:rPr>
          <w:rFonts w:hint="eastAsia" w:ascii="仿宋_GB2312" w:hAnsi="仿宋_GB2312" w:cs="仿宋_GB2312"/>
          <w:b/>
          <w:bCs/>
          <w:color w:val="auto"/>
          <w:kern w:val="2"/>
          <w:sz w:val="32"/>
          <w:szCs w:val="32"/>
          <w:highlight w:val="none"/>
          <w:lang w:val="en-US" w:eastAsia="zh-CN" w:bidi="ar"/>
        </w:rPr>
        <w:t>三是</w:t>
      </w:r>
      <w:r>
        <w:rPr>
          <w:rFonts w:hint="eastAsia" w:ascii="仿宋_GB2312" w:hAnsi="仿宋_GB2312" w:eastAsia="仿宋_GB2312" w:cs="仿宋_GB2312"/>
          <w:color w:val="auto"/>
          <w:kern w:val="2"/>
          <w:sz w:val="32"/>
          <w:szCs w:val="32"/>
          <w:highlight w:val="none"/>
          <w:lang w:val="en-US" w:eastAsia="zh-CN" w:bidi="ar"/>
        </w:rPr>
        <w:t>为进一步落实《北京市养犬管理规定》，依法规范养犬行为，</w:t>
      </w:r>
      <w:r>
        <w:rPr>
          <w:rFonts w:hint="eastAsia" w:ascii="仿宋_GB2312" w:hAnsi="仿宋_GB2312" w:eastAsia="仿宋_GB2312" w:cs="仿宋_GB2312"/>
          <w:sz w:val="32"/>
          <w:szCs w:val="32"/>
          <w:lang w:val="en-US" w:eastAsia="zh-CN"/>
        </w:rPr>
        <w:t>对未佩戴免疫标识等不良行为的犬主劝导和告诫40余人次，</w:t>
      </w:r>
      <w:r>
        <w:rPr>
          <w:rFonts w:hint="eastAsia" w:ascii="仿宋_GB2312" w:eastAsia="仿宋_GB2312" w:cs="仿宋_GB2312"/>
          <w:sz w:val="32"/>
          <w:szCs w:val="32"/>
          <w:lang w:val="en-US" w:eastAsia="zh-CN"/>
        </w:rPr>
        <w:t>有力提升了普法宣传效果。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三、存在问题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eastAsia="仿宋_GB2312" w:cs="仿宋_GB2312"/>
          <w:b/>
          <w:bCs/>
          <w:sz w:val="32"/>
          <w:szCs w:val="32"/>
          <w:lang w:val="en-US" w:eastAsia="zh-CN"/>
        </w:rPr>
        <w:t>一方面，</w:t>
      </w:r>
      <w:r>
        <w:rPr>
          <w:rFonts w:hint="eastAsia" w:ascii="仿宋_GB2312" w:hAnsi="仿宋_GB2312" w:eastAsia="仿宋_GB2312" w:cs="仿宋_GB2312"/>
          <w:color w:val="auto"/>
          <w:kern w:val="2"/>
          <w:sz w:val="32"/>
          <w:szCs w:val="32"/>
          <w:highlight w:val="none"/>
          <w:lang w:val="en-US" w:eastAsia="zh-CN" w:bidi="ar"/>
        </w:rPr>
        <w:t>行政复议与行政诉讼应具备行政法、行政管理和民法等多方面的专业知识，需加强相关人员专业培训。</w:t>
      </w:r>
      <w:r>
        <w:rPr>
          <w:rFonts w:ascii="Arial" w:hAnsi="Arial" w:eastAsia="Arial" w:cs="Arial"/>
          <w:i w:val="0"/>
          <w:caps w:val="0"/>
          <w:color w:val="333333"/>
          <w:spacing w:val="0"/>
          <w:sz w:val="21"/>
          <w:szCs w:val="21"/>
          <w:shd w:val="clear" w:fill="FFFFFF"/>
        </w:rPr>
        <w:t>‌</w:t>
      </w:r>
      <w:r>
        <w:rPr>
          <w:rFonts w:hint="eastAsia" w:ascii="仿宋_GB2312" w:eastAsia="仿宋_GB2312" w:cs="仿宋_GB2312"/>
          <w:b/>
          <w:bCs/>
          <w:sz w:val="32"/>
          <w:szCs w:val="32"/>
          <w:lang w:val="en-US" w:eastAsia="zh-CN"/>
        </w:rPr>
        <w:t>另一方面，</w:t>
      </w:r>
      <w:r>
        <w:rPr>
          <w:rFonts w:hint="eastAsia" w:ascii="仿宋_GB2312" w:hAnsi="仿宋_GB2312" w:eastAsia="仿宋_GB2312" w:cs="仿宋_GB2312"/>
          <w:color w:val="auto"/>
          <w:kern w:val="2"/>
          <w:sz w:val="32"/>
          <w:szCs w:val="32"/>
          <w:highlight w:val="none"/>
          <w:lang w:val="en-US" w:eastAsia="zh-CN" w:bidi="ar"/>
        </w:rPr>
        <w:t>小部分执法人员执法观念有些滞后，办案业务还不够熟悉，执法能力水平跟不上，需加强思想意识引导。</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line="560" w:lineRule="exact"/>
        <w:ind w:right="0" w:rightChars="0" w:firstLine="640" w:firstLineChars="200"/>
        <w:jc w:val="both"/>
        <w:textAlignment w:val="baseline"/>
        <w:outlineLvl w:val="0"/>
        <w:rPr>
          <w:rFonts w:hint="eastAsia" w:ascii="黑体" w:hAnsi="黑体" w:eastAsia="黑体" w:cs="仿宋"/>
          <w:sz w:val="32"/>
          <w:szCs w:val="32"/>
          <w:lang w:eastAsia="zh-CN"/>
        </w:rPr>
      </w:pPr>
      <w:r>
        <w:rPr>
          <w:rFonts w:hint="eastAsia" w:ascii="黑体" w:hAnsi="黑体" w:eastAsia="黑体" w:cs="仿宋"/>
          <w:sz w:val="32"/>
          <w:szCs w:val="32"/>
          <w:lang w:eastAsia="zh-CN"/>
        </w:rPr>
        <w:t>四、</w:t>
      </w:r>
      <w:r>
        <w:rPr>
          <w:rFonts w:hint="eastAsia" w:ascii="黑体" w:hAnsi="黑体" w:eastAsia="黑体" w:cs="仿宋"/>
          <w:sz w:val="32"/>
          <w:szCs w:val="32"/>
          <w:lang w:val="en-US" w:eastAsia="zh-CN"/>
        </w:rPr>
        <w:t>2025年</w:t>
      </w:r>
      <w:r>
        <w:rPr>
          <w:rFonts w:hint="eastAsia" w:ascii="黑体" w:hAnsi="黑体" w:eastAsia="黑体" w:cs="仿宋"/>
          <w:sz w:val="32"/>
          <w:szCs w:val="32"/>
          <w:lang w:eastAsia="zh-CN"/>
        </w:rPr>
        <w:t>工作计划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line="560" w:lineRule="exact"/>
        <w:ind w:right="0" w:rightChars="0" w:firstLine="640" w:firstLineChars="200"/>
        <w:jc w:val="both"/>
        <w:textAlignment w:val="baseline"/>
        <w:outlineLvl w:val="0"/>
        <w:rPr>
          <w:rFonts w:hint="eastAsia" w:ascii="仿宋_GB2312" w:eastAsia="仿宋_GB2312" w:cs="仿宋_GB2312"/>
          <w:sz w:val="32"/>
          <w:szCs w:val="32"/>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（一）不断提高政治站位。</w:t>
      </w:r>
      <w:r>
        <w:rPr>
          <w:rFonts w:hint="eastAsia" w:ascii="仿宋_GB2312" w:eastAsia="仿宋_GB2312" w:cs="仿宋_GB2312"/>
          <w:sz w:val="32"/>
          <w:szCs w:val="32"/>
          <w:lang w:val="en-US" w:eastAsia="zh-CN"/>
        </w:rPr>
        <w:t>以习近平法治思想作为学习纲要，坚决做到“两个维护”，进一步学习贯彻落实习近平法治思想的深度、广度和力度。落实领导班子带头学法、全体干部职工学法普法工作机制，巩固提升依法决策能力，全面增强依法行政工作质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line="560" w:lineRule="exact"/>
        <w:ind w:right="0" w:rightChars="0" w:firstLine="640" w:firstLineChars="200"/>
        <w:jc w:val="both"/>
        <w:textAlignment w:val="baseline"/>
        <w:outlineLvl w:val="0"/>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color w:val="auto"/>
          <w:kern w:val="2"/>
          <w:sz w:val="32"/>
          <w:szCs w:val="32"/>
          <w:highlight w:val="none"/>
          <w:lang w:val="en-US" w:eastAsia="zh-CN" w:bidi="ar-SA"/>
        </w:rPr>
        <w:t>（二）提升法治政府规范性建设。</w:t>
      </w:r>
      <w:r>
        <w:rPr>
          <w:rFonts w:hint="eastAsia" w:ascii="仿宋_GB2312" w:eastAsia="仿宋_GB2312" w:cs="仿宋_GB2312"/>
          <w:sz w:val="32"/>
          <w:szCs w:val="32"/>
          <w:lang w:val="en-US" w:eastAsia="zh-CN"/>
        </w:rPr>
        <w:t>严格贯彻规范性文件合法性审核、政府信息公开要求，深化综合执法与规范化建设。确保高质量完成执法考评监测指标任务。全面推进普法依法治理工作。落实“谁执法谁普法”普法责任制，持续开展法律法规进乡村等法治宣传活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line="560" w:lineRule="exact"/>
        <w:ind w:right="0" w:rightChars="0" w:firstLine="640" w:firstLineChars="200"/>
        <w:jc w:val="both"/>
        <w:textAlignment w:val="baseline"/>
        <w:outlineLvl w:val="0"/>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color w:val="auto"/>
          <w:kern w:val="2"/>
          <w:sz w:val="32"/>
          <w:szCs w:val="32"/>
          <w:highlight w:val="none"/>
          <w:lang w:val="en-US" w:eastAsia="zh-CN" w:bidi="ar-SA"/>
        </w:rPr>
        <w:t>（三）高质量完成乡村振兴任务指标。</w:t>
      </w:r>
      <w:r>
        <w:rPr>
          <w:rFonts w:hint="eastAsia" w:ascii="仿宋_GB2312" w:hAnsi="仿宋_GB2312" w:eastAsia="仿宋_GB2312" w:cs="仿宋_GB2312"/>
          <w:color w:val="000000"/>
          <w:kern w:val="2"/>
          <w:sz w:val="32"/>
          <w:szCs w:val="32"/>
          <w:highlight w:val="none"/>
          <w:lang w:val="en-US" w:eastAsia="zh-CN" w:bidi="ar-SA"/>
        </w:rPr>
        <w:t>按照年度乡村振兴重点任务责任分工，积极完成各项工作任务。进一步加强农业执法信息化建设，逐步推进科技执法数字化转型，强化移动终端的运用，通过数字赋能，提升办案效率。同时加大对假劣种子违法生产经营等行为的查处力度，以首善标准护航</w:t>
      </w:r>
      <w:r>
        <w:rPr>
          <w:rFonts w:hint="eastAsia" w:ascii="仿宋_GB2312" w:hAnsi="仿宋_GB2312" w:eastAsia="仿宋_GB2312" w:cs="仿宋_GB2312"/>
          <w:b w:val="0"/>
          <w:bCs w:val="0"/>
          <w:color w:val="auto"/>
          <w:spacing w:val="0"/>
          <w:sz w:val="32"/>
          <w:szCs w:val="32"/>
          <w:highlight w:val="none"/>
          <w:shd w:val="clear" w:color="auto" w:fill="auto"/>
          <w:lang w:eastAsia="zh-CN"/>
        </w:rPr>
        <w:t>首都</w:t>
      </w:r>
      <w:r>
        <w:rPr>
          <w:rFonts w:hint="eastAsia" w:ascii="仿宋_GB2312" w:hAnsi="仿宋_GB2312" w:eastAsia="仿宋_GB2312" w:cs="仿宋_GB2312"/>
          <w:b w:val="0"/>
          <w:bCs w:val="0"/>
          <w:color w:val="auto"/>
          <w:spacing w:val="0"/>
          <w:sz w:val="32"/>
          <w:szCs w:val="32"/>
          <w:highlight w:val="none"/>
          <w:shd w:val="clear" w:color="auto" w:fill="auto"/>
          <w:lang w:val="en-US" w:eastAsia="zh-CN"/>
        </w:rPr>
        <w:t>“三农”高质量发展。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line="560" w:lineRule="exact"/>
        <w:ind w:right="0" w:rightChars="0" w:firstLine="640" w:firstLineChars="200"/>
        <w:jc w:val="both"/>
        <w:textAlignment w:val="baseline"/>
        <w:outlineLvl w:val="0"/>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（四）加强法治文化建设。</w:t>
      </w:r>
      <w:r>
        <w:rPr>
          <w:rFonts w:hint="eastAsia" w:ascii="仿宋_GB2312" w:hAnsi="仿宋_GB2312" w:eastAsia="仿宋_GB2312" w:cs="仿宋_GB2312"/>
          <w:b w:val="0"/>
          <w:bCs w:val="0"/>
          <w:color w:val="auto"/>
          <w:sz w:val="32"/>
          <w:szCs w:val="32"/>
          <w:highlight w:val="none"/>
          <w:lang w:val="en-US" w:eastAsia="zh-CN"/>
        </w:rPr>
        <w:t>培育和弘扬法治精神，营造尊法、守法、用法的社会氛围，形成全社会共同推动法治建设的良好风尚，通过加强法律意识教育，提高人民群众的法律素养，增强全民法治观念，培养良好的遵法意识。</w:t>
      </w:r>
    </w:p>
    <w:p>
      <w:pPr>
        <w:keepNext w:val="0"/>
        <w:keepLines w:val="0"/>
        <w:pageBreakBefore w:val="0"/>
        <w:pBdr>
          <w:bottom w:val="single" w:color="FFFFFF" w:sz="4" w:space="31"/>
        </w:pBdr>
        <w:kinsoku/>
        <w:wordWrap/>
        <w:overflowPunct/>
        <w:topLinePunct w:val="0"/>
        <w:autoSpaceDE/>
        <w:autoSpaceDN/>
        <w:bidi w:val="0"/>
        <w:adjustRightInd/>
        <w:snapToGrid w:val="0"/>
        <w:spacing w:line="560" w:lineRule="exact"/>
        <w:ind w:right="0" w:rightChars="0" w:firstLine="640" w:firstLineChars="200"/>
        <w:textAlignment w:val="baseline"/>
        <w:outlineLvl w:val="0"/>
        <w:rPr>
          <w:rFonts w:hint="eastAsia" w:ascii="仿宋_GB2312" w:hAnsi="仿宋_GB2312" w:eastAsia="仿宋_GB2312" w:cs="仿宋_GB2312"/>
          <w:b/>
          <w:bCs/>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五、行政执法机关认为需要公示的其他情况</w:t>
      </w:r>
    </w:p>
    <w:p>
      <w:pPr>
        <w:keepNext w:val="0"/>
        <w:keepLines w:val="0"/>
        <w:pageBreakBefore w:val="0"/>
        <w:pBdr>
          <w:bottom w:val="single" w:color="FFFFFF" w:sz="4" w:space="31"/>
        </w:pBdr>
        <w:kinsoku/>
        <w:wordWrap/>
        <w:overflowPunct/>
        <w:topLinePunct w:val="0"/>
        <w:autoSpaceDE/>
        <w:autoSpaceDN/>
        <w:bidi w:val="0"/>
        <w:adjustRightInd/>
        <w:snapToGrid w:val="0"/>
        <w:spacing w:line="560" w:lineRule="exact"/>
        <w:ind w:left="0" w:leftChars="0" w:right="0" w:rightChars="0" w:firstLine="640" w:firstLineChars="200"/>
        <w:textAlignment w:val="baseline"/>
        <w:outlineLvl w:val="0"/>
        <w:rPr>
          <w:rFonts w:hint="eastAsia" w:ascii="仿宋_GB2312" w:hAnsi="仿宋" w:eastAsia="仿宋_GB2312" w:cs="仿宋"/>
          <w:bCs/>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按照《北京市行政执法公示办法》的要求，其他公示事项我局将定期在大兴区政府网站进行。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 w:eastAsia="仿宋_GB2312" w:cs="仿宋"/>
          <w:bCs/>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480" w:firstLineChars="1400"/>
        <w:textAlignment w:val="auto"/>
        <w:rPr>
          <w:rFonts w:hint="eastAsia" w:ascii="仿宋_GB2312" w:hAnsi="仿宋" w:eastAsia="仿宋_GB2312" w:cs="仿宋"/>
          <w:bCs/>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4480" w:firstLineChars="14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北京市大兴区农业农村局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eastAsia="仿宋_GB2312"/>
          <w:lang w:val="en-US" w:eastAsia="zh-CN"/>
        </w:rPr>
      </w:pPr>
      <w:r>
        <w:rPr>
          <w:rFonts w:hint="eastAsia" w:ascii="仿宋_GB2312" w:hAnsi="仿宋" w:eastAsia="仿宋_GB2312" w:cs="仿宋"/>
          <w:bCs/>
          <w:sz w:val="32"/>
          <w:szCs w:val="32"/>
          <w:lang w:val="en-US" w:eastAsia="zh-CN"/>
        </w:rPr>
        <w:t xml:space="preserve">                </w:t>
      </w:r>
      <w:r>
        <w:rPr>
          <w:rFonts w:hint="eastAsia" w:ascii="仿宋_GB2312" w:hAnsi="仿宋" w:cs="仿宋"/>
          <w:bCs/>
          <w:sz w:val="32"/>
          <w:szCs w:val="32"/>
          <w:lang w:val="en-US" w:eastAsia="zh-CN"/>
        </w:rPr>
        <w:t xml:space="preserve">       </w:t>
      </w:r>
      <w:r>
        <w:rPr>
          <w:rFonts w:hint="eastAsia" w:ascii="仿宋_GB2312" w:hAnsi="仿宋" w:eastAsia="仿宋_GB2312" w:cs="仿宋"/>
          <w:bCs/>
          <w:sz w:val="32"/>
          <w:szCs w:val="32"/>
          <w:lang w:val="en-US" w:eastAsia="zh-CN"/>
        </w:rPr>
        <w:t xml:space="preserve"> </w:t>
      </w:r>
      <w:r>
        <w:rPr>
          <w:rFonts w:hint="eastAsia" w:ascii="仿宋_GB2312" w:hAnsi="仿宋" w:cs="仿宋"/>
          <w:bCs/>
          <w:sz w:val="32"/>
          <w:szCs w:val="32"/>
          <w:lang w:val="en-US" w:eastAsia="zh-CN"/>
        </w:rPr>
        <w:t xml:space="preserve">   </w:t>
      </w:r>
      <w:r>
        <w:rPr>
          <w:rFonts w:hint="eastAsia" w:ascii="仿宋_GB2312" w:hAnsi="仿宋" w:eastAsia="仿宋_GB2312" w:cs="仿宋"/>
          <w:bCs/>
          <w:sz w:val="32"/>
          <w:szCs w:val="32"/>
          <w:lang w:val="en-US" w:eastAsia="zh-CN"/>
        </w:rPr>
        <w:t>202</w:t>
      </w:r>
      <w:r>
        <w:rPr>
          <w:rFonts w:hint="eastAsia" w:ascii="仿宋_GB2312" w:hAnsi="仿宋" w:cs="仿宋"/>
          <w:bCs/>
          <w:sz w:val="32"/>
          <w:szCs w:val="32"/>
          <w:lang w:val="en-US" w:eastAsia="zh-CN"/>
        </w:rPr>
        <w:t>5</w:t>
      </w:r>
      <w:r>
        <w:rPr>
          <w:rFonts w:hint="eastAsia" w:ascii="仿宋_GB2312" w:hAnsi="仿宋" w:eastAsia="仿宋_GB2312" w:cs="仿宋"/>
          <w:bCs/>
          <w:sz w:val="32"/>
          <w:szCs w:val="32"/>
          <w:lang w:val="en-US" w:eastAsia="zh-CN"/>
        </w:rPr>
        <w:t>年</w:t>
      </w:r>
      <w:r>
        <w:rPr>
          <w:rFonts w:hint="eastAsia" w:ascii="仿宋_GB2312" w:hAnsi="仿宋" w:cs="仿宋"/>
          <w:bCs/>
          <w:sz w:val="32"/>
          <w:szCs w:val="32"/>
          <w:lang w:val="en-US" w:eastAsia="zh-CN"/>
        </w:rPr>
        <w:t>1</w:t>
      </w:r>
      <w:r>
        <w:rPr>
          <w:rFonts w:hint="eastAsia" w:ascii="仿宋_GB2312" w:hAnsi="仿宋" w:eastAsia="仿宋_GB2312" w:cs="仿宋"/>
          <w:bCs/>
          <w:sz w:val="32"/>
          <w:szCs w:val="32"/>
          <w:lang w:val="en-US" w:eastAsia="zh-CN"/>
        </w:rPr>
        <w:t>月</w:t>
      </w:r>
      <w:r>
        <w:rPr>
          <w:rFonts w:hint="eastAsia" w:ascii="仿宋_GB2312" w:hAnsi="仿宋" w:cs="仿宋"/>
          <w:bCs/>
          <w:sz w:val="32"/>
          <w:szCs w:val="32"/>
          <w:lang w:val="en-US" w:eastAsia="zh-CN"/>
        </w:rPr>
        <w:t>14</w:t>
      </w:r>
      <w:r>
        <w:rPr>
          <w:rFonts w:hint="eastAsia" w:ascii="仿宋_GB2312" w:hAnsi="仿宋" w:eastAsia="仿宋_GB2312" w:cs="仿宋"/>
          <w:bCs/>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2000000000000000000"/>
    <w:charset w:val="86"/>
    <w:family w:val="roman"/>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FangSong_GB2312">
    <w:altName w:val="仿宋_GB2312"/>
    <w:panose1 w:val="02010609030101010101"/>
    <w:charset w:val="86"/>
    <w:family w:val="modern"/>
    <w:pitch w:val="default"/>
    <w:sig w:usb0="00000000" w:usb1="00000000" w:usb2="00000000" w:usb3="00000000" w:csb0="00040000" w:csb1="00000000"/>
  </w:font>
  <w:font w:name="KaiTi_GB2312">
    <w:altName w:val="宋体"/>
    <w:panose1 w:val="02010609030101010101"/>
    <w:charset w:val="86"/>
    <w:family w:val="modern"/>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文星标宋">
    <w:altName w:val="宋体"/>
    <w:panose1 w:val="02010604000101010101"/>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2BD3"/>
    <w:multiLevelType w:val="singleLevel"/>
    <w:tmpl w:val="61DE2BD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D2A9D"/>
    <w:rsid w:val="01D97C1E"/>
    <w:rsid w:val="12012BBE"/>
    <w:rsid w:val="1A4A5F5F"/>
    <w:rsid w:val="1FC66580"/>
    <w:rsid w:val="242A233A"/>
    <w:rsid w:val="2774C2CE"/>
    <w:rsid w:val="2CB12D77"/>
    <w:rsid w:val="2EAD1460"/>
    <w:rsid w:val="318D5FA8"/>
    <w:rsid w:val="357A4770"/>
    <w:rsid w:val="3765A0BC"/>
    <w:rsid w:val="3AE301B1"/>
    <w:rsid w:val="469751C7"/>
    <w:rsid w:val="4BBB402F"/>
    <w:rsid w:val="4D590D54"/>
    <w:rsid w:val="506F2D5A"/>
    <w:rsid w:val="50E647A8"/>
    <w:rsid w:val="52FD7926"/>
    <w:rsid w:val="543D2A9D"/>
    <w:rsid w:val="57E71171"/>
    <w:rsid w:val="580D6FD9"/>
    <w:rsid w:val="59B22EDD"/>
    <w:rsid w:val="59E910A0"/>
    <w:rsid w:val="5BFFEBB4"/>
    <w:rsid w:val="5DC03901"/>
    <w:rsid w:val="5FD72D22"/>
    <w:rsid w:val="61795DE3"/>
    <w:rsid w:val="61AC19F3"/>
    <w:rsid w:val="65583C91"/>
    <w:rsid w:val="6A500CD2"/>
    <w:rsid w:val="6D7E3433"/>
    <w:rsid w:val="7336293A"/>
    <w:rsid w:val="74BD2305"/>
    <w:rsid w:val="76034462"/>
    <w:rsid w:val="77C32A3C"/>
    <w:rsid w:val="77EF2765"/>
    <w:rsid w:val="78555B5D"/>
    <w:rsid w:val="7AB7737E"/>
    <w:rsid w:val="7BB3E41A"/>
    <w:rsid w:val="7EAC3906"/>
    <w:rsid w:val="87DFCDDD"/>
    <w:rsid w:val="9FFE165C"/>
    <w:rsid w:val="DDDA1F64"/>
    <w:rsid w:val="FAF725B5"/>
    <w:rsid w:val="FDBB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szCs w:val="20"/>
    </w:rPr>
  </w:style>
  <w:style w:type="paragraph" w:styleId="3">
    <w:name w:val="Body Text First Indent"/>
    <w:basedOn w:val="2"/>
    <w:qFormat/>
    <w:uiPriority w:val="0"/>
    <w:pPr>
      <w:ind w:firstLine="420"/>
    </w:pPr>
  </w:style>
  <w:style w:type="paragraph" w:styleId="4">
    <w:name w:val="annotation text"/>
    <w:basedOn w:val="1"/>
    <w:qFormat/>
    <w:uiPriority w:val="0"/>
    <w:pPr>
      <w:jc w:val="left"/>
    </w:pPr>
  </w:style>
  <w:style w:type="paragraph" w:styleId="5">
    <w:name w:val="Block Text"/>
    <w:basedOn w:val="1"/>
    <w:next w:val="1"/>
    <w:qFormat/>
    <w:uiPriority w:val="0"/>
    <w:pPr>
      <w:spacing w:after="120"/>
      <w:ind w:left="1440" w:leftChars="700" w:right="144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2021-11-16T19:11:00Z</dcterms:created>
  <dc:creator>法制办公文</dc:creator>
  <cp:lastModifiedBy>admin</cp:lastModifiedBy>
  <cp:lastPrinted>2023-01-13T22:06:00Z</cp:lastPrinted>
  <dcterms:modified xsi:type="dcterms:W3CDTF">2025-01-14T07:27:48Z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