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after="0"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北京市大兴区住房和城乡建设委员会</w:t>
      </w:r>
    </w:p>
    <w:p>
      <w:pPr>
        <w:pStyle w:val="3"/>
        <w:adjustRightInd w:val="0"/>
        <w:spacing w:after="0"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年执法统计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年报</w:t>
      </w:r>
    </w:p>
    <w:p>
      <w:pPr>
        <w:pStyle w:val="3"/>
        <w:adjustRightInd w:val="0"/>
        <w:spacing w:before="240" w:line="560" w:lineRule="exact"/>
        <w:jc w:val="center"/>
        <w:rPr>
          <w:rFonts w:ascii="楷体_GB2312" w:hAnsi="华文中宋" w:eastAsia="楷体_GB2312"/>
          <w:color w:val="00000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2"/>
        </w:rPr>
        <w:t>（202</w:t>
      </w:r>
      <w:r>
        <w:rPr>
          <w:rFonts w:hint="eastAsia" w:ascii="楷体_GB2312" w:hAnsi="华文中宋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华文中宋" w:eastAsia="楷体_GB2312"/>
          <w:color w:val="000000"/>
          <w:sz w:val="32"/>
          <w:szCs w:val="32"/>
        </w:rPr>
        <w:t>年1月）</w:t>
      </w:r>
    </w:p>
    <w:p>
      <w:pPr>
        <w:pStyle w:val="3"/>
        <w:adjustRightInd w:val="0"/>
        <w:spacing w:before="240"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一、行政执法机关的执法主体名称和数量情况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本行政执法机关共有行政执法主体1个，名称为北京市大兴区住房和城乡建设委员会。</w:t>
      </w:r>
      <w:bookmarkStart w:id="0" w:name="_GoBack"/>
      <w:bookmarkEnd w:id="0"/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二、执法岗位设置、执法人员在岗及执法力量投入情况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共设置执法岗位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4个，分别为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：房屋市场管理科政务服务业务承办岗、监督站政务服务业务承办岗、物业管理科政务服务业务承办岗、房地产开发管理科政务服务业务承办岗、 建筑业服务中心政务服务业务承办岗、住房保障事务中心政务服务业务承办岗、建筑材料行业管理中心政务服务业务承办岗、区级住房和城乡建设领域政务服务审查决定岗、工程质量和施工安全管理科政务服务业务承办岗、工程建设与建筑市场管理科政务服务业务承办岗、房屋征收拆迁管理科政务服务业务承办岗、 房屋租赁管理科政务服务业务承办岗、普通地下室管理中心政务服务业务承办岗、物业服务指导中心政务服务业务承办岗、建设工程招标投标管理事务中心政务服务业务承办岗、执法-科业务承办岗、住保审核决定岗、监督站业务承办岗、普通地下室管理中心业务承办岗、出租房屋管理服务中心业务承办岗、监督站审核决定岗、工程科业务承办岗、物业服务指导中心业务承办岗、执法二科业务承办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4个执法岗位共核定人员56人，实际在岗人员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人，在岗率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83.9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%。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三、政务服务事项的办理情况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政务服务事项的办理情况 2024年共办理政务服务事项32239件，其中行政许可2168件，行政给付1231件，行政确认454件，行政裁决0件，其他行政权力13617件，公共服务14769件。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四、执法检查及行政处罚情况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年度按照执法检查计划，全委共开展执法检查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5048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1日推行综合监管一码查工作以来，我委实现扫码率100%,“无事不扰”企业零打扰。非现场检查占比31.6%（7月起执法检查共计2442起，其中非现场检查772起），非现场问题发现率6.3%（非现场检查发现问题的共计49起）。  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共实施行政处罚案件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件，其中适用简易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处罚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件、适用一般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处罚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,不予处罚18件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五、投诉举报案件的受理和分类办理情况</w:t>
      </w:r>
    </w:p>
    <w:p>
      <w:pPr>
        <w:keepNext w:val="0"/>
        <w:keepLines w:val="0"/>
        <w:widowControl/>
        <w:suppressLineNumbers w:val="0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2024年大兴区住建委全年共处置12345工单13627件。</w:t>
      </w:r>
    </w:p>
    <w:p>
      <w:pPr>
        <w:keepNext w:val="0"/>
        <w:keepLines w:val="0"/>
        <w:widowControl/>
        <w:suppressLineNumbers w:val="0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按照工单来源分类，包括热线类10894件，网络类2502，领导信箱174件，地方领导留言板57件。已全部办结。</w:t>
      </w:r>
    </w:p>
    <w:p>
      <w:pPr>
        <w:keepNext w:val="0"/>
        <w:keepLines w:val="0"/>
        <w:widowControl/>
        <w:suppressLineNumbers w:val="0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按照工单类别分类，包括投诉类424件，诉求类12753件，咨询类221件，建议类40件，表扬类13件，其他176件。已全部办结。</w:t>
      </w:r>
    </w:p>
    <w:p>
      <w:pPr>
        <w:pStyle w:val="3"/>
        <w:adjustRightInd w:val="0"/>
        <w:spacing w:afterLines="50"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六、需要公示的其他情况</w:t>
      </w:r>
    </w:p>
    <w:p>
      <w:pPr>
        <w:pStyle w:val="13"/>
        <w:spacing w:afterLines="50" w:line="560" w:lineRule="exact"/>
      </w:pPr>
      <w:r>
        <w:t>窗体顶端</w:t>
      </w:r>
    </w:p>
    <w:p>
      <w:pPr>
        <w:pStyle w:val="14"/>
        <w:spacing w:afterLines="50" w:line="560" w:lineRule="exact"/>
      </w:pPr>
      <w:r>
        <w:t>窗体底端</w:t>
      </w:r>
    </w:p>
    <w:p>
      <w:pPr>
        <w:widowControl/>
        <w:spacing w:afterLines="5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无。</w:t>
      </w:r>
    </w:p>
    <w:p>
      <w:pPr>
        <w:spacing w:afterLines="5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NjZTIwZWJjMGNjMjliNWZjZDVmZjE0N2YzMmI1MjcifQ=="/>
  </w:docVars>
  <w:rsids>
    <w:rsidRoot w:val="6F0B7180"/>
    <w:rsid w:val="0004492A"/>
    <w:rsid w:val="0004624C"/>
    <w:rsid w:val="00086DF6"/>
    <w:rsid w:val="000877C8"/>
    <w:rsid w:val="000A35DE"/>
    <w:rsid w:val="000D5E44"/>
    <w:rsid w:val="000E2F46"/>
    <w:rsid w:val="001362EA"/>
    <w:rsid w:val="00140C96"/>
    <w:rsid w:val="001E23A8"/>
    <w:rsid w:val="001E23C1"/>
    <w:rsid w:val="00207FC1"/>
    <w:rsid w:val="002672FC"/>
    <w:rsid w:val="002F1A2E"/>
    <w:rsid w:val="00322960"/>
    <w:rsid w:val="00347FB3"/>
    <w:rsid w:val="00365EA0"/>
    <w:rsid w:val="00381235"/>
    <w:rsid w:val="003A1095"/>
    <w:rsid w:val="003F656B"/>
    <w:rsid w:val="0040529E"/>
    <w:rsid w:val="0044474B"/>
    <w:rsid w:val="00461968"/>
    <w:rsid w:val="004D510B"/>
    <w:rsid w:val="005007F7"/>
    <w:rsid w:val="00582B8F"/>
    <w:rsid w:val="005B321B"/>
    <w:rsid w:val="005B7E71"/>
    <w:rsid w:val="005F22CB"/>
    <w:rsid w:val="005F5527"/>
    <w:rsid w:val="00633309"/>
    <w:rsid w:val="00663C56"/>
    <w:rsid w:val="006A4F9F"/>
    <w:rsid w:val="006B3B70"/>
    <w:rsid w:val="006B4798"/>
    <w:rsid w:val="00766926"/>
    <w:rsid w:val="007A2D4B"/>
    <w:rsid w:val="007E3DF3"/>
    <w:rsid w:val="00853F20"/>
    <w:rsid w:val="0086434C"/>
    <w:rsid w:val="008A4EB9"/>
    <w:rsid w:val="008C4033"/>
    <w:rsid w:val="008E1B39"/>
    <w:rsid w:val="008E4D97"/>
    <w:rsid w:val="008F284E"/>
    <w:rsid w:val="009E3D3F"/>
    <w:rsid w:val="009F72B5"/>
    <w:rsid w:val="00AC7910"/>
    <w:rsid w:val="00B41DBE"/>
    <w:rsid w:val="00B46268"/>
    <w:rsid w:val="00B6379B"/>
    <w:rsid w:val="00B80835"/>
    <w:rsid w:val="00B906B0"/>
    <w:rsid w:val="00BA2A22"/>
    <w:rsid w:val="00BE04D4"/>
    <w:rsid w:val="00C240B3"/>
    <w:rsid w:val="00CC1AEF"/>
    <w:rsid w:val="00CD6C9B"/>
    <w:rsid w:val="00CE41BE"/>
    <w:rsid w:val="00D23976"/>
    <w:rsid w:val="00D358C0"/>
    <w:rsid w:val="00E33713"/>
    <w:rsid w:val="00E46CD9"/>
    <w:rsid w:val="00F33F90"/>
    <w:rsid w:val="00F56F2B"/>
    <w:rsid w:val="00F7051B"/>
    <w:rsid w:val="00F918C3"/>
    <w:rsid w:val="00FC6622"/>
    <w:rsid w:val="25D828DA"/>
    <w:rsid w:val="4000778A"/>
    <w:rsid w:val="40D06C0B"/>
    <w:rsid w:val="41CF4EFB"/>
    <w:rsid w:val="6F0B7180"/>
    <w:rsid w:val="6FAF104F"/>
    <w:rsid w:val="75150886"/>
    <w:rsid w:val="757E3C30"/>
    <w:rsid w:val="777879C6"/>
    <w:rsid w:val="77BD24CC"/>
    <w:rsid w:val="7FB751B6"/>
    <w:rsid w:val="AD7E32FC"/>
    <w:rsid w:val="ADE627BB"/>
    <w:rsid w:val="DFFF4831"/>
    <w:rsid w:val="E175065C"/>
    <w:rsid w:val="FE777212"/>
    <w:rsid w:val="FF61CA26"/>
    <w:rsid w:val="FF8E2A5C"/>
    <w:rsid w:val="FF9FD8CE"/>
    <w:rsid w:val="FFB2BED8"/>
    <w:rsid w:val="FFBF3E75"/>
    <w:rsid w:val="FFEF2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2"/>
    </w:rPr>
  </w:style>
  <w:style w:type="paragraph" w:customStyle="1" w:styleId="13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1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法制办</Company>
  <Pages>2</Pages>
  <Words>74</Words>
  <Characters>424</Characters>
  <Lines>3</Lines>
  <Paragraphs>1</Paragraphs>
  <TotalTime>15</TotalTime>
  <ScaleCrop>false</ScaleCrop>
  <LinksUpToDate>false</LinksUpToDate>
  <CharactersWithSpaces>497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2022-01-24T07:36:00Z</dcterms:created>
  <dc:creator>张萌</dc:creator>
  <cp:lastModifiedBy>user</cp:lastModifiedBy>
  <cp:lastPrinted>2025-01-21T15:11:44Z</cp:lastPrinted>
  <dcterms:modified xsi:type="dcterms:W3CDTF">2025-01-21T15:13:33Z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DC2873D7EE8841B3AB59BED9C9ACC253_12</vt:lpwstr>
  </property>
</Properties>
</file>