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年执法统计年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一、行政执法机关的执法主体名称和数量情况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/>
        <w:textAlignment w:val="auto"/>
        <w:rPr>
          <w:rFonts w:hint="default"/>
          <w:color w:val="auto"/>
          <w:lang w:val="en"/>
        </w:rPr>
      </w:pPr>
      <w:r>
        <w:rPr>
          <w:rFonts w:hint="default"/>
          <w:color w:val="auto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本单位对外执法主体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北京市大兴区城市管理综合行政执法局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本单位共有执法队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lang w:val="en" w:eastAsia="zh-CN" w:bidi="ar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个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分别是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执法一队、执法二队、执法三队、执法四队、执法五队、大兴机场执法队、督察队、水务执法队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。在岗执法人员数量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75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" w:eastAsia="zh-CN" w:bidi="ar"/>
        </w:rPr>
        <w:t>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三、执法力量投入情况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年，本单位A岗人员参与执法率</w:t>
      </w:r>
      <w:r>
        <w:rPr>
          <w:rFonts w:hint="eastAsia" w:ascii="仿宋_GB2312" w:hAnsi="仿宋_GB2312" w:cs="仿宋_GB2312"/>
          <w:color w:val="auto"/>
          <w:lang w:val="en-US" w:eastAsia="zh-CN"/>
        </w:rPr>
        <w:t>98.5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，本单位共办理企业上市合法合规查询业务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五、执法检查计划执行情况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年,本单位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执法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检查单录入情况：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市容环境卫生管理方面检查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3105件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；市政管理方面检查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508件；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公用事业管理方面检查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901件；园林绿化管理方面检查40件；环境保护管理方面检查655件；施工现场管理方面检查89件；停车管理方面检查8件；能源运行管理方面检查144件；市场监督管理方面检查592件；交通运输管理方面检查258件；水务管理方面检查138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按照《大兴区城市管理综合行政执法局2024年双随机检查计划》,本单位开展双随机执法检查12次,抽取执法人员103人次,在城市规划、市场监督管理、交通运输、停车场管理、园林绿化、施工现场、环境保护、市政管理、市容环境卫生、公用事业管理10方面抽取执法检查对象283个,录入检查单637个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其中两条检查不合格，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其他均为合格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六、行政处罚、行政强制等案件的办理情况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年，本单位依法办理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</w:rPr>
        <w:t>处罚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案件</w:t>
      </w:r>
      <w:r>
        <w:rPr>
          <w:rFonts w:hint="eastAsia" w:ascii="仿宋_GB2312" w:hAnsi="仿宋_GB2312" w:cs="仿宋_GB2312"/>
          <w:color w:va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</w:rPr>
        <w:t>起，罚款</w:t>
      </w:r>
      <w:r>
        <w:rPr>
          <w:rFonts w:hint="eastAsia" w:ascii="仿宋_GB2312" w:hAnsi="仿宋_GB2312" w:cs="仿宋_GB2312"/>
          <w:color w:val="auto"/>
          <w:lang w:val="en-US" w:eastAsia="zh-CN"/>
        </w:rPr>
        <w:t>37.01</w:t>
      </w:r>
      <w:r>
        <w:rPr>
          <w:rFonts w:hint="eastAsia" w:ascii="仿宋_GB2312" w:hAnsi="仿宋_GB2312" w:eastAsia="仿宋_GB2312" w:cs="仿宋_GB2312"/>
          <w:color w:val="auto"/>
        </w:rPr>
        <w:t>万元。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全年无行政强制案件。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七、投诉、举报案件的受理和分类办理情况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2024年，我局共受理热线举报24件，同比（30件）下降20%。目前全部办结，办结率为100%。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2024年，共梳理直派街乡的涉及城管行业问题举报5324件，同比（6944件）下降23.33%。回访三率情况为：响应率100%；解决率91.95%；满意率91.70%。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本单位</w:t>
      </w:r>
      <w:r>
        <w:rPr>
          <w:rFonts w:hint="eastAsia"/>
          <w:color w:val="auto"/>
        </w:rPr>
        <w:t>应当公示的其他事项，按照《北京市行政执法公示办法》的要求，定期在大兴区政府网站进行公示。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3200" w:firstLineChars="10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北京市大兴区城市管理综合行政执法局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202</w:t>
      </w:r>
      <w:r>
        <w:rPr>
          <w:rFonts w:hint="eastAsia" w:ascii="仿宋_GB2312" w:hAnsi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年1月</w:t>
      </w:r>
      <w:r>
        <w:rPr>
          <w:rFonts w:hint="eastAsia" w:ascii="仿宋_GB2312" w:hAnsi="仿宋_GB2312" w:cs="仿宋_GB2312"/>
          <w:color w:val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3EF0D73"/>
    <w:rsid w:val="17FD0924"/>
    <w:rsid w:val="1F7FC906"/>
    <w:rsid w:val="2DDBD2C0"/>
    <w:rsid w:val="2F67136E"/>
    <w:rsid w:val="2FF75DEF"/>
    <w:rsid w:val="326D7AD0"/>
    <w:rsid w:val="359E5B99"/>
    <w:rsid w:val="37D2857A"/>
    <w:rsid w:val="39396576"/>
    <w:rsid w:val="3BFE9102"/>
    <w:rsid w:val="3EDBA651"/>
    <w:rsid w:val="3F55CEA8"/>
    <w:rsid w:val="42CAF9DF"/>
    <w:rsid w:val="52BC0DA4"/>
    <w:rsid w:val="543D2A9D"/>
    <w:rsid w:val="56DD2747"/>
    <w:rsid w:val="597F5208"/>
    <w:rsid w:val="5EB76767"/>
    <w:rsid w:val="5F5E6D66"/>
    <w:rsid w:val="5FC77E6D"/>
    <w:rsid w:val="5FEE51FD"/>
    <w:rsid w:val="5FFD2E0F"/>
    <w:rsid w:val="63E63B81"/>
    <w:rsid w:val="66FD1DF8"/>
    <w:rsid w:val="69E7881E"/>
    <w:rsid w:val="6A4629B6"/>
    <w:rsid w:val="6BE0CCDD"/>
    <w:rsid w:val="6CF9A8AD"/>
    <w:rsid w:val="6EF72C3B"/>
    <w:rsid w:val="6F3F1B01"/>
    <w:rsid w:val="6FDEB681"/>
    <w:rsid w:val="6FFDAAA6"/>
    <w:rsid w:val="73E78B29"/>
    <w:rsid w:val="7B7EA746"/>
    <w:rsid w:val="7BFFB418"/>
    <w:rsid w:val="7DEFAA32"/>
    <w:rsid w:val="7ED7F1F1"/>
    <w:rsid w:val="7F0D50B3"/>
    <w:rsid w:val="7F7F450D"/>
    <w:rsid w:val="7FEE17AB"/>
    <w:rsid w:val="7FFA7F05"/>
    <w:rsid w:val="7FFFB170"/>
    <w:rsid w:val="ACB1D5EA"/>
    <w:rsid w:val="B0FF1D31"/>
    <w:rsid w:val="B67D4A16"/>
    <w:rsid w:val="B6EF8E43"/>
    <w:rsid w:val="C87DEDB2"/>
    <w:rsid w:val="C93F979D"/>
    <w:rsid w:val="CADB3281"/>
    <w:rsid w:val="CFFE281B"/>
    <w:rsid w:val="D8D9F0D7"/>
    <w:rsid w:val="DB4F1789"/>
    <w:rsid w:val="DBD775F9"/>
    <w:rsid w:val="DE6E1949"/>
    <w:rsid w:val="DEBF666D"/>
    <w:rsid w:val="DFC5D1D1"/>
    <w:rsid w:val="EDCB0E8D"/>
    <w:rsid w:val="EFF6C55B"/>
    <w:rsid w:val="F6E72841"/>
    <w:rsid w:val="F7F7C6D1"/>
    <w:rsid w:val="F7FB46D4"/>
    <w:rsid w:val="FB5D0687"/>
    <w:rsid w:val="FBFCC88F"/>
    <w:rsid w:val="FDCAB170"/>
    <w:rsid w:val="FDFB32CC"/>
    <w:rsid w:val="FE5F791D"/>
    <w:rsid w:val="FEFF390E"/>
    <w:rsid w:val="FF5F3F71"/>
    <w:rsid w:val="FF772185"/>
    <w:rsid w:val="FFFFD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2021-11-20T19:11:00Z</dcterms:created>
  <dc:creator>法制办公文</dc:creator>
  <cp:lastModifiedBy>user</cp:lastModifiedBy>
  <cp:lastPrinted>2023-01-20T09:33:00Z</cp:lastPrinted>
  <dcterms:modified xsi:type="dcterms:W3CDTF">2025-01-14T16:04:53Z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