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中华人民共和国河道管理条例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1988</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6</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10</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日中华人民共和国国务院令第</w:t>
      </w:r>
      <w:r>
        <w:rPr>
          <w:rFonts w:hint="default" w:ascii="'Times New Roman'" w:hAnsi="'Times New Roman'" w:eastAsia="'Times New Roman'" w:cs="'Times New Roman'"/>
          <w:i w:val="0"/>
          <w:caps w:val="0"/>
          <w:color w:val="000000"/>
          <w:spacing w:val="0"/>
          <w:sz w:val="24"/>
          <w:szCs w:val="24"/>
          <w:bdr w:val="none" w:color="auto" w:sz="0" w:space="0"/>
          <w:shd w:val="clear" w:fill="FFFFFF"/>
        </w:rPr>
        <w:t>3</w:t>
      </w:r>
      <w:r>
        <w:rPr>
          <w:rFonts w:hint="default" w:ascii="'楷体_GB2312'" w:hAnsi="'楷体_GB2312'" w:eastAsia="'楷体_GB2312'" w:cs="'楷体_GB2312'"/>
          <w:i w:val="0"/>
          <w:caps w:val="0"/>
          <w:color w:val="000000"/>
          <w:spacing w:val="0"/>
          <w:sz w:val="24"/>
          <w:szCs w:val="24"/>
          <w:bdr w:val="none" w:color="auto" w:sz="0" w:space="0"/>
          <w:shd w:val="clear" w:fill="FFFFFF"/>
        </w:rPr>
        <w:t>号发布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日《国务院关于废止和修改部分行政法规的决定》修订）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12"/>
        <w:rPr>
          <w:rFonts w:hint="eastAsia" w:ascii="微软雅黑" w:hAnsi="微软雅黑" w:eastAsia="微软雅黑" w:cs="微软雅黑"/>
          <w:i w:val="0"/>
          <w:caps w:val="0"/>
          <w:color w:val="404040"/>
          <w:spacing w:val="0"/>
          <w:sz w:val="24"/>
          <w:szCs w:val="24"/>
        </w:rPr>
      </w:pPr>
      <w:r>
        <w:rPr>
          <w:rFonts w:ascii="'宋体'" w:hAnsi="'宋体'" w:eastAsia="'宋体'" w:cs="'宋体'"/>
          <w:b/>
          <w:i w:val="0"/>
          <w:caps w:val="0"/>
          <w:smallCaps/>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为加强河道管理，保障防洪安全，发挥江河湖泊的综合效益，根据《中华人民共和国水法》，制定本条例。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本条例适用于中华人民共和国领域内的河道（包括湖泊、人工水道、行洪区、蓄洪区，滞洪区）。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河道内的航道，同时适用《中华人民共和国航道管理条例》。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开发利用江河湖泊水资源和防治水害，应当全面规划、统筹兼顾、综合利用、讲求效益，服从防洪的总体安排，促进各项事业的发展。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国务院水利行政主管部门是全国河道的主管机关。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各省、自治区、直辖市的水利行政主管部门是该行政区域的河道主管机关。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国家对河道实行按水系统一管理和分级管理相结合的原则。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长江、黄河、淮河、海河、珠江、松花江、辽河等大江大河的主要河段，跨省、自治区、直辖市的重要河段，省、自治区、直辖市之间的边界河道以及国境边界河道，由国家授权的江河流域管理机构实施管理，或者由上述江河所在省、自治区、直辖市的河道主管机关根据流域统一规划实施管理。其他河道由省、自治区、直辖市或者市、县的河道主管机关实施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河道划分等级。河道等级标准由国务院水利行政主管部门制定。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河道防汛和清障工作实行地方人民政府行政首长负责制。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各级人民政府河道主管机关以及河道监理人员，必须按照国家法律、法规，加强河道管理，执行供水计划和防洪调度命令，维护水工程和人民生命财产安全。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一切单位和个人都有保护河道堤防安全和参加防汛抢险的义务。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河道整治与建设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河道的整治与建设，应当服从流域综合规划，符合国家规定的防洪标准、通航标准和其他有关技术要求，维护堤防安全，保持河势稳定和行洪、航运通畅。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修建开发水利、防治水害、整治河道的各类工程和跨河、穿河、穿堤、临河的桥梁、码头、道路、渡口、管道、缆线等建筑物及设施，建设单位必须按照河道管理权限，将工程建设方案报送河道主管机关审查同意后，方可按照基本建设程序履行审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建设项目经批准后，建设单位应当将施工安排告知河道主管机关。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修建桥梁、码头和其他设施，必须按照国家规定的防洪标准所确定的河宽进行，不得缩窄行洪通道。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桥梁和栈桥的梁底必须高于设计洪水位，并按照防洪和航运的要求，留有一定的超高。设计洪水位由河道主管机关根据防洪规划确定。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跨越河道的管道、线路的净空高度必须符合防洪和航运的要求。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交通部门进行航道整治，应当符合防洪安全要求，并事先征求河道主管机关对有关设计和计划的意见。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水利部门进行河道整治，涉及航道的，应当兼顾航运的需要，并事先征求交通部门对有关设计和计划的意见。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在国家规定可以流放竹木的河流和重要的渔业水域进行河道、航道整治，建设单位应当兼顾竹木水运和渔业发展的需要，并事先将有关设计和计划送同级林业、渔业主管部门征求意见。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堤防上已修建的涵闸、泵站和埋设的穿堤管道、缆线等建筑物及设施，河道主管机关应当定期检查，对不符合工程安全要求的，限期改建。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在堤防上新建前款所指建筑物及设施，必须经河道主管机关验收合格后方可启用，并服从河道主管机关的安全管理。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确需利用堤顶或者戗台兼做公路的，必须经上级河道主管机关批准。堤身和堤顶公路的管理和维护办法，由河道主管机关商交通部门制定。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城镇建设和发展不得占用河道滩地。城镇规划的临河界限，由河道主管机关会同城镇规划等有关部门确定。沿河城镇在编制和审查城镇规划时，应当事先征求河道主管机关的意见。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河道岸线的利用和建设，应当服从河道整治规划和航道整治规划。计划部门在审批利用河道岸线的建设项目时，应当事先征求河道主管机关的意见。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河道岸线的界限，由河道主管机关会同交通等有关部门报县级以上地方人民政府划定。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河道清淤和加固堤防取土以及按照防洪规划进行河道整治需要占用的土地，由当地人民政府调剂解决。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因修建水库、整治河道所增加的可利用土地，属于国家所有，可以由县级以上人民政府用于移民安置和河道整治工程。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省、自治区、直辖市以河道为边界的，在河道两岸外侧各十公里之内，以及跨省、自治区、直辖市的河道，未经有关各方达成协议或者国务院水利行政主管部门批准，禁止单方面修建排水、阻水、引水、蓄水工程以及河道整治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河道保护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有堤防的河道，其管理范围为两岸堤防之间的水域、沙洲、滩地（包括可耕地）、行洪区，两岸堤防及护堤地。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无堤防的河道，其管理范围根据历史最高洪水位或者设计洪水位确定。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河道的具体管理范围，由县级以上地方人民政府负责划定。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在河道管理范围内，水域和土地的利用应当符合江河行洪、输水和航运的要求；滩地的利用，应当由河道主管机关会同土地管理等有关部门制定规划，报县级以上地方人民政府批准后实施。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禁止损毁堤防、护岸、闸坝等水工程建筑物和防汛设施、水文监测和测量设施、河岸地质监测设施以及通信照明等设施。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在防汛抢险期间，无关人员和车辆不得上堤。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因降雨雪等造成堤顶泥泞期间，禁止车辆通行，但防汛抢险车辆除外。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禁止非管理人员操作河道上的涵闸闸门，禁止任何组织和个人干扰河道管理单位的正常工作。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在河道管理范围内，禁止修建围堤、阻水渠道、阻水道路；种植高杆农作物、芦苇、杞柳、荻柴和树木（堤防防护林除外）；设置拦河渔具；弃置矿渣、石渣、煤灰、泥土、垃圾等。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在堤防和护堤地，禁止建房、放牧、开渠、打井、挖窖、葬坟、晒粮、存放物料、开采地下资源、进行考古发掘以及开展集市贸易活动。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在河道管理范围内进行下列活动，必须报经河道主管机关批准；涉及其他部门的，由河道主管机关会同有关部门批准：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（一）采砂、取土、淘金、弃置砂石或者淤泥；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（二）爆破、钻探、挖筑鱼塘；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（三）在河道滩地存放物料、修建厂房或者其他建筑设施；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（四）在河道滩地开采地下资源及进行考古发掘。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根据堤防的重要程度、堤基土质条件等，河道主管机关报经县级以上人民政府批准，可以在河道管理范围的相连地域划定堤防安全保护区。在堤防安全保护区内，禁止进行打井、钻探、爆破、挖筑鱼塘、采石、取土等危害堤防安全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禁止围湖造田。已经围垦的，应当按照国家规定的防洪标准进行治理，逐步退田还湖。湖泊的开发利用规划必须经河道主管机关审查同意。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3"/>
          <w:sz w:val="24"/>
          <w:szCs w:val="24"/>
          <w:bdr w:val="none" w:color="auto" w:sz="0" w:space="0"/>
          <w:shd w:val="clear" w:fill="FFFFFF"/>
        </w:rPr>
        <w:t>禁止围垦河流，确需围垦的，必须经过科学论证，并经省级以上人民政府批准。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加强河道滩地、堤防和河岸的水土保持工作，防止水土流失、河道淤积。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江河的故道、旧堤、原有工程设施等，非经河道主管机关批准，不得填堵、占用或者拆毁。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护堤护岸林木，由河道管理单位组织营造和管理，其他任何单位和个人不得侵占、砍伐或者破坏。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河道管理单位对护堤护岸林木进行抚育和更新性质的采伐及用于防汛抢险的采伐，根据国家有关规定免交育林基金。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在为保证堤岸安全需要限制航速的河段，河道主管机关应当会同交通部门设立限制航速的标志，通行的船舶不得超速行驶。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在汛期，船舶的行驶和停靠必须遵守防汛指挥部的规定。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山区河道有山体滑坡、崩岸、泥石流等自然灾害的河段，河道主管机关应当会同地质、交通等部门加强监测。在上述河段，禁止从事开山采石、采矿、开荒等危及山体稳定的活动。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在河道中流放竹木，不得影响行洪、航运和水工程安全，并服从当地河道主管机关的安全管理。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在汛期，河道主管机关有权对河道上的竹木和其他漂流物进行紧急处置。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第三四条</w:t>
      </w:r>
      <w:r>
        <w:rPr>
          <w:rFonts w:hint="default" w:ascii="'宋体'" w:hAnsi="'宋体'" w:eastAsia="'宋体'" w:cs="'宋体'"/>
          <w:i w:val="0"/>
          <w:caps w:val="0"/>
          <w:color w:val="000000"/>
          <w:spacing w:val="0"/>
          <w:sz w:val="24"/>
          <w:szCs w:val="24"/>
          <w:bdr w:val="none" w:color="auto" w:sz="0" w:space="0"/>
          <w:shd w:val="clear" w:fill="FFFFFF"/>
        </w:rPr>
        <w:t>　向河道、湖泊排污的排污口的设置和扩大，排污单位在向环境保护部门申报之前，应当征得河道主管机关的同意。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在河道管理范围内，禁止堆放、倾倒、掩埋、排放污染水体的物体。禁止在河道内清洗装贮过油类或者有毒污染物的车辆、容器。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河道主管机关应当开展河道水质监测工作，协同环境保护部门对水污染防治实施监督管理。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河道清障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对河道管理范围内的阻水障碍物，按照“谁设障，谁清除”的原则，由河道主管机关提出清障计划和实施方案，由防汛指挥部责令设障者在规定的期限内清除。逾期不清除的，由防汛指挥部组织强行清除，并由设障者负担全部清障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对壅水、阻水严重的桥梁、引道、码头和其他跨河工程设施，根据国家规定的防洪标准，由河道主管机关提出意见并报经人民政府批准，责成原建设单位在规定的期限内改建或者拆除。汛期影响防洪安全的，必须服从防汛指挥部的紧急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经　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河道堤防的防汛岁修费，按照分级管理的原则，分别由中央财政和地方财政负担，列入中央和地方年度财政预算。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受益范围明确的堤防、护岸、水闸、圩垸、海塘和排涝工程设施，河道主管机关可以向受益的工商企业等单位和农户收取河道工程修建维护管理费，其标准应当根据工程修建和维护管理费用确定。收费的具体标准和计收办法由省、自治区、直辖市人民政府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在河道管理范围内采砂、取土、淘金，必须按照经批准的范围和作业方式进行，并向河道主管机关缴纳管理费。收费的标准和计收办法由国务院水利行政主管部门会同国务院财政主管部门制定。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任何单位和个人，凡对堤防、护岸和其他水工程设施造成损坏或者造成河道淤积的，由责任者负责修复、清淤或者承担维修费用。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河道主管机关收取的各项费用，用于河道堤防工程的建设、管理、维修和设施的更新改造。结余资金可以连年结转使用，任何部门不得截取或者挪用。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河道两岸的城镇和农村，当地县级以上人民政府可以在汛期组织堤防保护区域内的单位和个人义务出工，对河道堤防工程进行维修和加固。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（一）在河道管理范围内弃置、堆放阻碍行洪物体的；种植阻碍行洪的林木或者高杆植物的；修建围堤、阻水渠道、阻水道路的；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（二）在堤防、护堤地建房、放牧、开渠、打井、挖窖、葬坟、晒粮、存放物料、开采地下资源、进行考古发掘以及开展集市贸易活动的；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（三）未经批准或者不按照国家规定的防洪标准、工程安全标准整治河道或者修建水工程建筑物和其他设施的；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（四）未经批准或者不按照河道主管机关的规定在河道管理范围内采砂、取土、淘金、弃置砂石或者淤泥、爆破、钻探、挖筑鱼塘的；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（五）未经批准在河道滩地存放物料、修建厂房或者其他建筑设施，以及开采地下资源或者进行考古发掘的；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（六）违反本条例第二十七条的规定，围垦湖泊、河流的；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（七）擅自砍伐护堤护岸林木的；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（八）汛期违反防汛指挥部的规定或者指令的。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违反本条例规定，有下列行为之一的，县级以上地方人民政府河道主管机关除责令纠正违法行为、赔偿损失、采取补救措施外，可以并处警告、罚款；应当给予治安管理处罚的，按照《中华人民共和国治安管理处罚法》的规定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（一）损毁堤防、护岸、闸坝、水工程建筑物，损毁防汛设施、水文监测和测量设施、河岸地质监测设施以及通信照明等设施；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（二）在堤防安全保护区内进行打井、钻探、爆破、挖筑鱼塘、采石、取土等危害堤防安全的活动的；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（三）非管理人员操作河道上的涵闸闸门或者干扰河道管理单位正常工作的。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当事人对行政处罚决定不服的，可以在接到处罚通知之日起十五日内，向作出处罚决定的机关的上一级机关申请复议，对复议决定不服的，可以在接到复议决定之日起十五日内，向人民法院起诉。当事人也可以在接到处罚通知之日起十五日内，直接向人民法院起诉。当事人逾期不申请复议或者不向人民法院起诉又不履行处罚决定的，由作出处罚决定的机关申请人民法院强制执行。对治安管理处罚不服的，按照《中华人民共和国治安管理处罚法》的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对违反本条例规定，造成国家、集体、个人经济损失的，受害方可以请求县级以上河道主管机关处理。受害方也可以直接向人民法院起诉。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当事人对河道主管机关的处理决定不服的，可以在接到通知之日起，十五日内向人民法院起诉。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河道主管机关的工作人员以及河道监理人员玩忽职守、滥用职权、徇私舞弊的，由其所在单位或者上级主管机关给予行政处分；对公共财产、国家和人民利益造成重大损失的，依法追究刑事责任。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各省、自治区、直辖市人民政府，可以根据本条例的规定，结合本地区的实际情况，制定实施办法。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本条例由国务院水利行政主管部门负责解释。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smallCaps/>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本条例自发布之日起施行。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43867"/>
    <w:rsid w:val="60643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2021-06-23T02:01:00Z</dcterms:created>
  <dc:creator>Administrator</dc:creator>
  <cp:lastModifiedBy>Administrator</cp:lastModifiedBy>
  <dcterms:modified xsi:type="dcterms:W3CDTF">2021-06-23T02:01:28Z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