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snapToGrid w:val="0"/>
        <w:spacing w:line="520" w:lineRule="atLeast"/>
        <w:jc w:val="center"/>
        <w:rPr>
          <w:rFonts w:ascii="方正小标宋简体" w:hAnsi="宋体" w:eastAsia="方正小标宋简体"/>
          <w:sz w:val="44"/>
          <w:szCs w:val="44"/>
        </w:rPr>
      </w:pPr>
      <w:bookmarkStart w:id="0" w:name="RiseOffice_body"/>
    </w:p>
    <w:p>
      <w:pPr>
        <w:topLinePunct/>
        <w:snapToGrid w:val="0"/>
        <w:spacing w:line="540" w:lineRule="exact"/>
        <w:jc w:val="center"/>
        <w:rPr>
          <w:rFonts w:ascii="方正小标宋简体" w:hAnsi="宋体" w:eastAsia="方正小标宋简体"/>
          <w:sz w:val="44"/>
          <w:szCs w:val="44"/>
        </w:rPr>
      </w:pPr>
      <w:bookmarkStart w:id="1" w:name="_GoBack"/>
      <w:r>
        <w:rPr>
          <w:rFonts w:hint="eastAsia" w:ascii="方正小标宋简体" w:hAnsi="宋体" w:eastAsia="方正小标宋简体"/>
          <w:sz w:val="44"/>
          <w:szCs w:val="44"/>
        </w:rPr>
        <w:t>北京市水行政处罚裁量基准</w:t>
      </w:r>
      <w:bookmarkEnd w:id="1"/>
    </w:p>
    <w:p>
      <w:pPr>
        <w:pStyle w:val="9"/>
        <w:widowControl/>
        <w:topLinePunct/>
        <w:spacing w:line="540" w:lineRule="exact"/>
        <w:ind w:firstLine="353"/>
        <w:jc w:val="center"/>
        <w:rPr>
          <w:rFonts w:ascii="宋体" w:hAnsi="宋体"/>
          <w:b/>
          <w:kern w:val="0"/>
          <w:sz w:val="18"/>
          <w:szCs w:val="18"/>
        </w:rPr>
      </w:pPr>
    </w:p>
    <w:p>
      <w:pPr>
        <w:topLinePunct/>
        <w:spacing w:before="289" w:after="289" w:line="540" w:lineRule="exact"/>
        <w:jc w:val="center"/>
        <w:rPr>
          <w:rFonts w:ascii="黑体" w:hAnsi="黑体" w:eastAsia="黑体"/>
          <w:szCs w:val="32"/>
        </w:rPr>
      </w:pPr>
      <w:r>
        <w:rPr>
          <w:rFonts w:hint="eastAsia" w:ascii="黑体" w:hAnsi="黑体" w:eastAsia="黑体"/>
          <w:szCs w:val="32"/>
        </w:rPr>
        <w:t>第一章  总  则</w:t>
      </w:r>
    </w:p>
    <w:p>
      <w:pPr>
        <w:topLinePunct/>
        <w:spacing w:line="540" w:lineRule="exact"/>
        <w:ind w:firstLine="632" w:firstLineChars="200"/>
        <w:rPr>
          <w:rFonts w:ascii="仿宋_GB2312" w:hAnsi="仿宋"/>
          <w:szCs w:val="32"/>
        </w:rPr>
      </w:pPr>
      <w:r>
        <w:rPr>
          <w:rFonts w:hint="eastAsia" w:ascii="仿宋_GB2312" w:hAnsi="仿宋"/>
          <w:b/>
          <w:szCs w:val="32"/>
        </w:rPr>
        <w:t>第一条</w:t>
      </w:r>
      <w:r>
        <w:rPr>
          <w:rFonts w:hint="eastAsia" w:ascii="仿宋_GB2312" w:hAnsi="仿宋"/>
          <w:szCs w:val="32"/>
        </w:rPr>
        <w:t xml:space="preserve">  为了规范本市水行政处罚裁量基准，保证水务系统在实施行政处罚时公平、公正、合理地行使自由裁量权，促进水务依法行政工作，根据《中华人民共和国行政处罚法》、国家和本市行政处罚裁量基准有关规范规定，结合本市水务工作实际情况，制定本基准。</w:t>
      </w:r>
    </w:p>
    <w:p>
      <w:pPr>
        <w:topLinePunct/>
        <w:spacing w:line="540" w:lineRule="exact"/>
        <w:ind w:firstLine="632" w:firstLineChars="200"/>
        <w:rPr>
          <w:rFonts w:ascii="仿宋_GB2312" w:hAnsi="仿宋"/>
          <w:szCs w:val="32"/>
        </w:rPr>
      </w:pPr>
      <w:r>
        <w:rPr>
          <w:rFonts w:hint="eastAsia" w:ascii="仿宋_GB2312" w:hAnsi="仿宋"/>
          <w:b/>
          <w:szCs w:val="32"/>
        </w:rPr>
        <w:t>第二条</w:t>
      </w:r>
      <w:r>
        <w:rPr>
          <w:rFonts w:hint="eastAsia" w:ascii="仿宋_GB2312" w:hAnsi="仿宋"/>
          <w:szCs w:val="32"/>
        </w:rPr>
        <w:t xml:space="preserve">  市、区水行政主管部门或者水库移民业务主管部门及其派出机构实施行政处罚，适用本基准。</w:t>
      </w:r>
    </w:p>
    <w:p>
      <w:pPr>
        <w:topLinePunct/>
        <w:spacing w:line="540" w:lineRule="exact"/>
        <w:ind w:firstLine="632" w:firstLineChars="200"/>
        <w:rPr>
          <w:rFonts w:ascii="仿宋_GB2312" w:hAnsi="仿宋"/>
          <w:szCs w:val="32"/>
        </w:rPr>
      </w:pPr>
      <w:r>
        <w:rPr>
          <w:rFonts w:hint="eastAsia" w:ascii="仿宋_GB2312" w:hAnsi="仿宋"/>
          <w:b/>
          <w:szCs w:val="32"/>
        </w:rPr>
        <w:t>第三条</w:t>
      </w:r>
      <w:r>
        <w:rPr>
          <w:rFonts w:hint="eastAsia" w:ascii="仿宋_GB2312" w:hAnsi="仿宋"/>
          <w:szCs w:val="32"/>
        </w:rPr>
        <w:t xml:space="preserve">  市级水行政执法主体为北京市水务局。</w:t>
      </w:r>
    </w:p>
    <w:p>
      <w:pPr>
        <w:topLinePunct/>
        <w:spacing w:line="540" w:lineRule="exact"/>
        <w:ind w:firstLine="632" w:firstLineChars="200"/>
        <w:rPr>
          <w:rFonts w:ascii="仿宋_GB2312" w:hAnsi="仿宋"/>
          <w:szCs w:val="32"/>
        </w:rPr>
      </w:pPr>
      <w:r>
        <w:rPr>
          <w:rFonts w:hint="eastAsia" w:ascii="仿宋_GB2312" w:hAnsi="仿宋"/>
          <w:szCs w:val="32"/>
        </w:rPr>
        <w:t>北京市水务局派出机构（市级水行政执法责任主体）为北京市水政监察大队、北京市南水北调工程执法大队、北京市官厅水库管理处、北京市密云水库管理处、北京市十三陵水库管理处、北京市永定河管理处、北京市潮白河管理处、北京市北运河管理处、北京市京密引水管理处、北京市节约用水管理中心、北京市水利工程质量与安全监督中心站、北京市水土保持工作总站、北京市水文总站、北京市水务工程建设与管理中心、北京市水库移民事务中心、北京市排水管理事务中心、北京市城市河湖管理处、北京市凉水河管理处、北京市东水西调管理处、北京市西郊雨洪调蓄工程管理处。</w:t>
      </w:r>
    </w:p>
    <w:p>
      <w:pPr>
        <w:topLinePunct/>
        <w:spacing w:line="540" w:lineRule="exact"/>
        <w:ind w:firstLine="632" w:firstLineChars="200"/>
        <w:rPr>
          <w:rFonts w:ascii="仿宋_GB2312" w:hAnsi="仿宋"/>
          <w:szCs w:val="32"/>
        </w:rPr>
      </w:pPr>
      <w:r>
        <w:rPr>
          <w:rFonts w:hint="eastAsia" w:ascii="仿宋_GB2312" w:hAnsi="仿宋"/>
          <w:b/>
          <w:szCs w:val="32"/>
        </w:rPr>
        <w:t>第四条</w:t>
      </w:r>
      <w:r>
        <w:rPr>
          <w:rFonts w:hint="eastAsia" w:ascii="仿宋_GB2312" w:hAnsi="仿宋"/>
          <w:szCs w:val="32"/>
        </w:rPr>
        <w:t xml:space="preserve">  区级水行政执法主体为北京市东城区水务局、北京市西城区水务局、北京市朝阳区水务局、北京市海淀区水务局、北京市丰台区水务局、北京市石景山区水务局、北京市通州区水务局、北京市大兴区水务局、北京市房山区水务局、北京市门头沟区水务局、北京市昌平区水务局、北京市顺义区水务局、北京市怀柔区水务局、北京市密云区水务局、北京市平谷区水务局、北京市延庆区水务局、北京经济技术开发区管理委员会。</w:t>
      </w:r>
    </w:p>
    <w:p>
      <w:pPr>
        <w:topLinePunct/>
        <w:spacing w:line="540" w:lineRule="exact"/>
        <w:ind w:firstLine="632" w:firstLineChars="200"/>
        <w:rPr>
          <w:rFonts w:ascii="仿宋_GB2312" w:hAnsi="仿宋"/>
          <w:szCs w:val="32"/>
        </w:rPr>
      </w:pPr>
      <w:r>
        <w:rPr>
          <w:rFonts w:hint="eastAsia" w:ascii="仿宋_GB2312" w:hAnsi="仿宋"/>
          <w:szCs w:val="32"/>
        </w:rPr>
        <w:t>区级水行政执法责任主体由区水行政主管部门确定并公布。</w:t>
      </w:r>
    </w:p>
    <w:p>
      <w:pPr>
        <w:topLinePunct/>
        <w:spacing w:line="540" w:lineRule="exact"/>
        <w:ind w:firstLine="632" w:firstLineChars="200"/>
        <w:rPr>
          <w:rFonts w:ascii="仿宋_GB2312" w:hAnsi="仿宋"/>
          <w:szCs w:val="32"/>
        </w:rPr>
      </w:pPr>
      <w:r>
        <w:rPr>
          <w:rFonts w:hint="eastAsia" w:ascii="仿宋_GB2312" w:hAnsi="仿宋"/>
          <w:szCs w:val="32"/>
        </w:rPr>
        <w:t>东城区、西城区、密云区水库移民业务的行政执法主体，分别为东城区人力资源和社会保障局、西城区人力资源和社会保障局、密云区农业农村局，执法责任主体由主管部门自行确定并公布。</w:t>
      </w:r>
    </w:p>
    <w:p>
      <w:pPr>
        <w:topLinePunct/>
        <w:spacing w:line="540" w:lineRule="exact"/>
        <w:ind w:firstLine="632" w:firstLineChars="200"/>
        <w:rPr>
          <w:rFonts w:ascii="仿宋_GB2312" w:hAnsi="仿宋"/>
          <w:szCs w:val="32"/>
        </w:rPr>
      </w:pPr>
      <w:r>
        <w:rPr>
          <w:rFonts w:hint="eastAsia" w:ascii="仿宋_GB2312" w:hAnsi="仿宋"/>
          <w:szCs w:val="32"/>
        </w:rPr>
        <w:t>市人民政府决定由街道办事处和乡镇人民政府、有关执法机构相对集中行使行政处罚权实行综合执法的，从其规定。</w:t>
      </w:r>
    </w:p>
    <w:p>
      <w:pPr>
        <w:topLinePunct/>
        <w:spacing w:line="540" w:lineRule="exact"/>
        <w:ind w:firstLine="632" w:firstLineChars="200"/>
        <w:rPr>
          <w:rFonts w:ascii="仿宋_GB2312" w:hAnsi="仿宋"/>
          <w:szCs w:val="32"/>
        </w:rPr>
      </w:pPr>
      <w:r>
        <w:rPr>
          <w:rFonts w:hint="eastAsia" w:ascii="仿宋_GB2312" w:hAnsi="仿宋"/>
          <w:b/>
          <w:szCs w:val="32"/>
        </w:rPr>
        <w:t>第五条</w:t>
      </w:r>
      <w:r>
        <w:rPr>
          <w:rFonts w:hint="eastAsia" w:ascii="仿宋_GB2312" w:hAnsi="仿宋"/>
          <w:szCs w:val="32"/>
        </w:rPr>
        <w:t xml:space="preserve">  行政处罚自由裁量基准，是指各级水行政主管部门或者水库移民业务主管部门及其派出机构实施行政处罚时，在法律、法规或者规章规定的处罚种类、处罚幅度内，综合考虑违法情节、违法手段、违法后果等因素，合理适用处罚种类、处罚幅度的权限。</w:t>
      </w:r>
    </w:p>
    <w:p>
      <w:pPr>
        <w:topLinePunct/>
        <w:spacing w:line="540" w:lineRule="exact"/>
        <w:ind w:firstLine="632" w:firstLineChars="200"/>
        <w:rPr>
          <w:rFonts w:ascii="仿宋_GB2312" w:hAnsi="仿宋"/>
          <w:szCs w:val="32"/>
        </w:rPr>
      </w:pPr>
      <w:r>
        <w:rPr>
          <w:rFonts w:hint="eastAsia" w:ascii="仿宋_GB2312" w:hAnsi="仿宋"/>
          <w:b/>
          <w:szCs w:val="32"/>
        </w:rPr>
        <w:t>第六条</w:t>
      </w:r>
      <w:r>
        <w:rPr>
          <w:rFonts w:hint="eastAsia" w:ascii="仿宋_GB2312" w:hAnsi="仿宋"/>
          <w:szCs w:val="32"/>
        </w:rPr>
        <w:t xml:space="preserve">  适用行政处罚自由裁量基准，应当遵循处罚法定、过罚相当原则。</w:t>
      </w:r>
    </w:p>
    <w:p>
      <w:pPr>
        <w:topLinePunct/>
        <w:spacing w:line="540" w:lineRule="exact"/>
        <w:ind w:firstLine="632" w:firstLineChars="200"/>
        <w:rPr>
          <w:rFonts w:ascii="仿宋_GB2312" w:hAnsi="仿宋"/>
          <w:szCs w:val="32"/>
        </w:rPr>
      </w:pPr>
      <w:r>
        <w:rPr>
          <w:rFonts w:hint="eastAsia" w:ascii="仿宋_GB2312" w:hAnsi="仿宋"/>
          <w:szCs w:val="32"/>
        </w:rPr>
        <w:t>实施行政处罚必须以事实为依据，以法律为准绳，在行使自由裁量权时应当考虑违法行为的事实、性质、情节以及社会危害程度等，作出的行政处罚要与违法行为相当。</w:t>
      </w:r>
    </w:p>
    <w:p>
      <w:pPr>
        <w:topLinePunct/>
        <w:spacing w:line="540" w:lineRule="exact"/>
        <w:ind w:firstLine="632" w:firstLineChars="200"/>
        <w:rPr>
          <w:rFonts w:ascii="仿宋_GB2312" w:hAnsi="仿宋"/>
          <w:szCs w:val="32"/>
        </w:rPr>
      </w:pPr>
      <w:r>
        <w:rPr>
          <w:rFonts w:hint="eastAsia" w:ascii="仿宋_GB2312" w:hAnsi="仿宋"/>
          <w:szCs w:val="32"/>
        </w:rPr>
        <w:t>同一办案机关对于性质相同、情节相近、危害后果基本相当、违法主体同类的案件，在实施行政处罚行使自由裁量权时，适用的法律依据、处罚种类及处罚幅度应当基本相同。</w:t>
      </w:r>
    </w:p>
    <w:p>
      <w:pPr>
        <w:topLinePunct/>
        <w:spacing w:line="540" w:lineRule="exact"/>
        <w:ind w:firstLine="632" w:firstLineChars="200"/>
        <w:rPr>
          <w:rFonts w:ascii="仿宋_GB2312" w:hAnsi="仿宋"/>
          <w:szCs w:val="32"/>
        </w:rPr>
      </w:pPr>
      <w:r>
        <w:rPr>
          <w:rFonts w:hint="eastAsia" w:ascii="仿宋_GB2312" w:hAnsi="仿宋"/>
          <w:b/>
          <w:szCs w:val="32"/>
        </w:rPr>
        <w:t>第七条</w:t>
      </w:r>
      <w:r>
        <w:rPr>
          <w:rFonts w:hint="eastAsia" w:ascii="仿宋_GB2312" w:hAnsi="仿宋"/>
          <w:szCs w:val="32"/>
        </w:rPr>
        <w:t xml:space="preserve">  适用行政处罚自由裁量基准，应当基于正当目的，遵循公平、公正原则。</w:t>
      </w:r>
    </w:p>
    <w:p>
      <w:pPr>
        <w:topLinePunct/>
        <w:spacing w:line="540" w:lineRule="exact"/>
        <w:ind w:firstLine="632" w:firstLineChars="200"/>
        <w:rPr>
          <w:rFonts w:ascii="仿宋_GB2312" w:hAnsi="仿宋"/>
          <w:szCs w:val="32"/>
        </w:rPr>
      </w:pPr>
      <w:r>
        <w:rPr>
          <w:rFonts w:hint="eastAsia" w:ascii="仿宋_GB2312" w:hAnsi="仿宋"/>
          <w:b/>
          <w:szCs w:val="32"/>
        </w:rPr>
        <w:t>第八条</w:t>
      </w:r>
      <w:r>
        <w:rPr>
          <w:rFonts w:hint="eastAsia" w:ascii="仿宋_GB2312" w:hAnsi="仿宋"/>
          <w:szCs w:val="32"/>
        </w:rPr>
        <w:t xml:space="preserve">  适用行政处罚自由裁量基准，应当遵循教育与处罚相结合原则。对情节轻微的违法行为以教育为主、处罚为辅。</w:t>
      </w:r>
    </w:p>
    <w:p>
      <w:pPr>
        <w:topLinePunct/>
        <w:spacing w:line="540" w:lineRule="exact"/>
        <w:ind w:firstLine="632" w:firstLineChars="200"/>
        <w:rPr>
          <w:rFonts w:ascii="仿宋_GB2312" w:hAnsi="仿宋"/>
          <w:szCs w:val="32"/>
        </w:rPr>
      </w:pPr>
      <w:r>
        <w:rPr>
          <w:rFonts w:hint="eastAsia" w:ascii="仿宋_GB2312" w:hAnsi="仿宋"/>
          <w:szCs w:val="32"/>
        </w:rPr>
        <w:t>违法行为法律责任有“责令限期改正，逾期未改正的，给予行政处罚”要求的，应当以书面形式向当事人送达相关法律文书，在规定期限内改正的，不得直接实施行政处罚；逾期不改正的，依法作出处罚决定。</w:t>
      </w:r>
    </w:p>
    <w:p>
      <w:pPr>
        <w:topLinePunct/>
        <w:spacing w:line="540" w:lineRule="exact"/>
        <w:ind w:firstLine="632" w:firstLineChars="200"/>
        <w:rPr>
          <w:rFonts w:ascii="仿宋_GB2312" w:hAnsi="仿宋"/>
          <w:szCs w:val="32"/>
        </w:rPr>
      </w:pPr>
      <w:r>
        <w:rPr>
          <w:rFonts w:hint="eastAsia" w:ascii="仿宋_GB2312" w:hAnsi="仿宋"/>
          <w:szCs w:val="32"/>
        </w:rPr>
        <w:t>限期改正的期限应当根据正常情况下改正违法行为所需时间确定。法律、法规、规章对责令改正的期限有明确规定的，从其规定。</w:t>
      </w:r>
    </w:p>
    <w:p>
      <w:pPr>
        <w:topLinePunct/>
        <w:spacing w:line="540" w:lineRule="exact"/>
        <w:ind w:firstLine="632" w:firstLineChars="200"/>
        <w:rPr>
          <w:rFonts w:ascii="仿宋_GB2312" w:hAnsi="仿宋"/>
          <w:szCs w:val="32"/>
        </w:rPr>
      </w:pPr>
      <w:r>
        <w:rPr>
          <w:rFonts w:hint="eastAsia" w:ascii="仿宋_GB2312" w:hAnsi="仿宋"/>
          <w:b/>
          <w:szCs w:val="32"/>
        </w:rPr>
        <w:t>第九条</w:t>
      </w:r>
      <w:r>
        <w:rPr>
          <w:rFonts w:hint="eastAsia" w:ascii="仿宋_GB2312" w:hAnsi="仿宋"/>
          <w:szCs w:val="32"/>
        </w:rPr>
        <w:t xml:space="preserve">  适用行政处罚自由裁量基准，应当遵循程序正当原则，严格遵守行政处罚的法定程序。</w:t>
      </w:r>
    </w:p>
    <w:p>
      <w:pPr>
        <w:topLinePunct/>
        <w:spacing w:line="540" w:lineRule="exact"/>
        <w:ind w:firstLine="632" w:firstLineChars="200"/>
        <w:rPr>
          <w:rFonts w:ascii="仿宋_GB2312" w:hAnsi="仿宋"/>
          <w:szCs w:val="32"/>
        </w:rPr>
      </w:pPr>
      <w:r>
        <w:rPr>
          <w:rFonts w:hint="eastAsia" w:ascii="仿宋_GB2312" w:hAnsi="仿宋"/>
          <w:b/>
          <w:szCs w:val="32"/>
        </w:rPr>
        <w:t>第十条</w:t>
      </w:r>
      <w:r>
        <w:rPr>
          <w:rFonts w:hint="eastAsia" w:ascii="仿宋_GB2312" w:hAnsi="仿宋"/>
          <w:szCs w:val="32"/>
        </w:rPr>
        <w:t xml:space="preserve">  适用行政处罚自由裁量基准，应当遵循综合裁量原则。</w:t>
      </w:r>
    </w:p>
    <w:p>
      <w:pPr>
        <w:topLinePunct/>
        <w:spacing w:line="540" w:lineRule="exact"/>
        <w:ind w:firstLine="632" w:firstLineChars="200"/>
        <w:rPr>
          <w:rFonts w:ascii="仿宋_GB2312" w:hAnsi="仿宋"/>
          <w:szCs w:val="32"/>
        </w:rPr>
      </w:pPr>
      <w:r>
        <w:rPr>
          <w:rFonts w:hint="eastAsia" w:ascii="仿宋_GB2312" w:hAnsi="仿宋"/>
          <w:szCs w:val="32"/>
        </w:rPr>
        <w:t>全面分析违法行为的主体、客体、主观方面、客观方面及社会危害后果等因素，应用逻辑、公理、常理和经验，对违法行为处罚与否以及处罚的种类和幅度进行判断，并作出相应的处理决定。</w:t>
      </w:r>
    </w:p>
    <w:p>
      <w:pPr>
        <w:topLinePunct/>
        <w:spacing w:line="540" w:lineRule="exact"/>
        <w:ind w:firstLine="632" w:firstLineChars="200"/>
        <w:rPr>
          <w:rFonts w:ascii="仿宋_GB2312" w:hAnsi="仿宋"/>
          <w:szCs w:val="32"/>
        </w:rPr>
      </w:pPr>
      <w:r>
        <w:rPr>
          <w:rFonts w:hint="eastAsia" w:ascii="仿宋_GB2312" w:hAnsi="仿宋"/>
          <w:b/>
          <w:szCs w:val="32"/>
        </w:rPr>
        <w:t>第十一条</w:t>
      </w:r>
      <w:r>
        <w:rPr>
          <w:rFonts w:hint="eastAsia" w:ascii="仿宋_GB2312" w:hAnsi="仿宋"/>
          <w:szCs w:val="32"/>
        </w:rPr>
        <w:t xml:space="preserve">  法律、法规、规章规定的处罚种类可以单处或可以并处的，可以选择适用。规定应当并处的，不得选择适用。</w:t>
      </w:r>
    </w:p>
    <w:p>
      <w:pPr>
        <w:topLinePunct/>
        <w:spacing w:line="540" w:lineRule="exact"/>
        <w:ind w:firstLine="620" w:firstLineChars="200"/>
        <w:rPr>
          <w:rFonts w:ascii="仿宋_GB2312" w:hAnsi="仿宋"/>
          <w:szCs w:val="32"/>
        </w:rPr>
      </w:pPr>
      <w:r>
        <w:rPr>
          <w:rFonts w:hint="eastAsia" w:ascii="仿宋_GB2312" w:hAnsi="仿宋"/>
          <w:spacing w:val="-3"/>
          <w:szCs w:val="32"/>
        </w:rPr>
        <w:t>法律、法规规定应当没收违法（非法）所得，再作其他处罚的，不得选择适用</w:t>
      </w:r>
      <w:r>
        <w:rPr>
          <w:rFonts w:hint="eastAsia" w:ascii="仿宋_GB2312" w:hAnsi="仿宋"/>
          <w:szCs w:val="32"/>
        </w:rPr>
        <w:t>。</w:t>
      </w:r>
    </w:p>
    <w:p>
      <w:pPr>
        <w:topLinePunct/>
        <w:spacing w:line="540" w:lineRule="exact"/>
        <w:ind w:firstLine="632" w:firstLineChars="200"/>
        <w:rPr>
          <w:rFonts w:ascii="仿宋_GB2312" w:hAnsi="仿宋"/>
          <w:szCs w:val="32"/>
        </w:rPr>
      </w:pPr>
      <w:r>
        <w:rPr>
          <w:rFonts w:hint="eastAsia" w:ascii="仿宋_GB2312" w:hAnsi="仿宋"/>
          <w:b/>
          <w:szCs w:val="32"/>
        </w:rPr>
        <w:t>第十二条</w:t>
      </w:r>
      <w:r>
        <w:rPr>
          <w:rFonts w:hint="eastAsia" w:ascii="仿宋_GB2312" w:hAnsi="仿宋"/>
          <w:szCs w:val="32"/>
        </w:rPr>
        <w:t xml:space="preserve">  同一违法行为违反了不同法律规范的，在适用法律、法规、规章时应当遵循下列原则掌握：</w:t>
      </w:r>
    </w:p>
    <w:p>
      <w:pPr>
        <w:topLinePunct/>
        <w:spacing w:line="540" w:lineRule="exact"/>
        <w:ind w:firstLine="632" w:firstLineChars="200"/>
        <w:rPr>
          <w:rFonts w:ascii="仿宋_GB2312" w:hAnsi="仿宋"/>
          <w:szCs w:val="32"/>
        </w:rPr>
      </w:pPr>
      <w:r>
        <w:rPr>
          <w:rFonts w:hint="eastAsia" w:ascii="仿宋_GB2312" w:hAnsi="仿宋"/>
          <w:szCs w:val="32"/>
        </w:rPr>
        <w:t>（一）优先适用效力高的法律规范；</w:t>
      </w:r>
    </w:p>
    <w:p>
      <w:pPr>
        <w:topLinePunct/>
        <w:spacing w:line="540" w:lineRule="exact"/>
        <w:ind w:firstLine="632" w:firstLineChars="200"/>
        <w:rPr>
          <w:rFonts w:ascii="仿宋_GB2312" w:hAnsi="仿宋"/>
          <w:szCs w:val="32"/>
        </w:rPr>
      </w:pPr>
      <w:r>
        <w:rPr>
          <w:rFonts w:hint="eastAsia" w:ascii="仿宋_GB2312" w:hAnsi="仿宋"/>
          <w:szCs w:val="32"/>
        </w:rPr>
        <w:t>（二）法律规范效力相同，属于特别规定的优先适用；</w:t>
      </w:r>
    </w:p>
    <w:p>
      <w:pPr>
        <w:topLinePunct/>
        <w:spacing w:line="540" w:lineRule="exact"/>
        <w:ind w:firstLine="632" w:firstLineChars="200"/>
        <w:rPr>
          <w:rFonts w:ascii="仿宋_GB2312" w:hAnsi="仿宋"/>
          <w:szCs w:val="32"/>
        </w:rPr>
      </w:pPr>
      <w:r>
        <w:rPr>
          <w:rFonts w:hint="eastAsia" w:ascii="仿宋_GB2312" w:hAnsi="仿宋"/>
          <w:szCs w:val="32"/>
        </w:rPr>
        <w:t>（三）法律规范效力相同，时间在后的优先适用。</w:t>
      </w:r>
    </w:p>
    <w:p>
      <w:pPr>
        <w:topLinePunct/>
        <w:spacing w:line="540" w:lineRule="exact"/>
        <w:ind w:firstLine="632" w:firstLineChars="200"/>
        <w:rPr>
          <w:rFonts w:ascii="仿宋_GB2312" w:hAnsi="仿宋"/>
          <w:szCs w:val="32"/>
        </w:rPr>
      </w:pPr>
      <w:r>
        <w:rPr>
          <w:rFonts w:hint="eastAsia" w:ascii="仿宋_GB2312" w:hAnsi="仿宋"/>
          <w:szCs w:val="32"/>
        </w:rPr>
        <w:t>同一违法行为违反了不同法律规范，不同法律规范规定的处罚种类不同，可以根据情况同时适用不同的法律规范给予处罚，但不得重复适用处罚种类。</w:t>
      </w:r>
    </w:p>
    <w:p>
      <w:pPr>
        <w:topLinePunct/>
        <w:spacing w:before="289" w:after="289" w:line="540" w:lineRule="exact"/>
        <w:ind w:firstLine="643"/>
        <w:jc w:val="center"/>
        <w:rPr>
          <w:rFonts w:ascii="黑体" w:hAnsi="黑体" w:eastAsia="黑体"/>
        </w:rPr>
      </w:pPr>
      <w:r>
        <w:rPr>
          <w:rFonts w:hint="eastAsia" w:ascii="黑体" w:hAnsi="黑体" w:eastAsia="黑体"/>
          <w:szCs w:val="32"/>
        </w:rPr>
        <w:t>第二章  违法行为裁量档次</w:t>
      </w:r>
    </w:p>
    <w:p>
      <w:pPr>
        <w:topLinePunct/>
        <w:spacing w:line="540" w:lineRule="exact"/>
        <w:ind w:firstLine="632" w:firstLineChars="200"/>
        <w:rPr>
          <w:rFonts w:ascii="仿宋_GB2312" w:hAnsi="仿宋"/>
          <w:szCs w:val="32"/>
        </w:rPr>
      </w:pPr>
      <w:r>
        <w:rPr>
          <w:rFonts w:hint="eastAsia" w:ascii="仿宋_GB2312" w:hAnsi="仿宋"/>
          <w:b/>
          <w:szCs w:val="32"/>
        </w:rPr>
        <w:t>第十三条</w:t>
      </w:r>
      <w:r>
        <w:rPr>
          <w:rFonts w:hint="eastAsia" w:ascii="仿宋_GB2312" w:hAnsi="仿宋"/>
          <w:szCs w:val="32"/>
        </w:rPr>
        <w:t xml:space="preserve">  违法行为裁量档次，列入《北京市常用水行政处罚裁量基准表》（以下简称《基准表》）的，按照《基准表》执行。 </w:t>
      </w:r>
    </w:p>
    <w:p>
      <w:pPr>
        <w:topLinePunct/>
        <w:spacing w:line="540" w:lineRule="exact"/>
        <w:ind w:firstLine="632" w:firstLineChars="200"/>
        <w:rPr>
          <w:rFonts w:ascii="仿宋_GB2312" w:hAnsi="仿宋"/>
          <w:szCs w:val="32"/>
        </w:rPr>
      </w:pPr>
      <w:r>
        <w:rPr>
          <w:rFonts w:hint="eastAsia" w:ascii="仿宋_GB2312" w:hAnsi="仿宋"/>
          <w:b/>
          <w:szCs w:val="32"/>
        </w:rPr>
        <w:t>第十四条</w:t>
      </w:r>
      <w:r>
        <w:rPr>
          <w:rFonts w:hint="eastAsia" w:ascii="仿宋_GB2312" w:hAnsi="仿宋"/>
          <w:szCs w:val="32"/>
        </w:rPr>
        <w:t xml:space="preserve">  法律、法规、规章设定的罚款处罚数额有一定幅度，且《基准表》未作规定的，在幅度范围内综合考虑法定依据、违法情形、性质情节、危害程度、处罚种类、处罚幅度等因素研究确定。 </w:t>
      </w:r>
    </w:p>
    <w:p>
      <w:pPr>
        <w:topLinePunct/>
        <w:spacing w:line="540" w:lineRule="exact"/>
        <w:ind w:firstLine="632" w:firstLineChars="200"/>
        <w:rPr>
          <w:rFonts w:ascii="仿宋_GB2312" w:hAnsi="仿宋"/>
          <w:szCs w:val="32"/>
        </w:rPr>
      </w:pPr>
      <w:r>
        <w:rPr>
          <w:rFonts w:hint="eastAsia" w:ascii="仿宋_GB2312" w:hAnsi="仿宋"/>
          <w:szCs w:val="32"/>
        </w:rPr>
        <w:t xml:space="preserve">罚款的从重处罚适用，可处以法定处罚幅度内三分之二以上数额的罚款；从轻处罚适用，可处以法定处罚幅度内三分之一以下数额的罚款；一般处罚适用，可处以法定处罚幅度内三分之一以上、三分之二以下数额的罚款。 </w:t>
      </w:r>
    </w:p>
    <w:p>
      <w:pPr>
        <w:topLinePunct/>
        <w:spacing w:before="289" w:after="289" w:line="540" w:lineRule="exact"/>
        <w:jc w:val="center"/>
        <w:rPr>
          <w:rFonts w:ascii="黑体" w:hAnsi="黑体" w:eastAsia="黑体"/>
          <w:szCs w:val="32"/>
        </w:rPr>
      </w:pPr>
      <w:r>
        <w:rPr>
          <w:rFonts w:hint="eastAsia" w:ascii="黑体" w:hAnsi="黑体" w:eastAsia="黑体"/>
          <w:szCs w:val="32"/>
        </w:rPr>
        <w:t>第三章  免于及从轻、从重、一般处罚的适用</w:t>
      </w:r>
    </w:p>
    <w:p>
      <w:pPr>
        <w:topLinePunct/>
        <w:spacing w:line="540" w:lineRule="exact"/>
        <w:ind w:firstLine="632" w:firstLineChars="200"/>
        <w:rPr>
          <w:rFonts w:ascii="仿宋_GB2312" w:hAnsi="仿宋"/>
          <w:szCs w:val="32"/>
        </w:rPr>
      </w:pPr>
      <w:r>
        <w:rPr>
          <w:rFonts w:hint="eastAsia" w:ascii="仿宋_GB2312" w:hAnsi="仿宋"/>
          <w:b/>
          <w:szCs w:val="32"/>
        </w:rPr>
        <w:t>第十五条</w:t>
      </w:r>
      <w:r>
        <w:rPr>
          <w:rFonts w:hint="eastAsia" w:ascii="仿宋_GB2312" w:hAnsi="仿宋"/>
          <w:szCs w:val="32"/>
        </w:rPr>
        <w:t xml:space="preserve">  不予处罚情形：</w:t>
      </w:r>
    </w:p>
    <w:p>
      <w:pPr>
        <w:topLinePunct/>
        <w:spacing w:line="540" w:lineRule="exact"/>
        <w:ind w:firstLine="632" w:firstLineChars="200"/>
        <w:rPr>
          <w:rFonts w:ascii="仿宋_GB2312" w:hAnsi="仿宋"/>
          <w:szCs w:val="32"/>
        </w:rPr>
      </w:pPr>
      <w:r>
        <w:rPr>
          <w:rFonts w:hint="eastAsia" w:ascii="仿宋_GB2312" w:hAnsi="仿宋"/>
          <w:szCs w:val="32"/>
        </w:rPr>
        <w:t>（一）不满14周岁的人有违法行为的；</w:t>
      </w:r>
    </w:p>
    <w:p>
      <w:pPr>
        <w:topLinePunct/>
        <w:spacing w:line="540" w:lineRule="exact"/>
        <w:ind w:firstLine="632" w:firstLineChars="200"/>
        <w:rPr>
          <w:rFonts w:ascii="仿宋_GB2312" w:hAnsi="仿宋"/>
          <w:szCs w:val="32"/>
        </w:rPr>
      </w:pPr>
      <w:r>
        <w:rPr>
          <w:rFonts w:hint="eastAsia" w:ascii="仿宋_GB2312" w:hAnsi="仿宋"/>
          <w:szCs w:val="32"/>
        </w:rPr>
        <w:t>（二）精神病人在不能辨认或者不能控制自己行为时有违法行为的；</w:t>
      </w:r>
    </w:p>
    <w:p>
      <w:pPr>
        <w:topLinePunct/>
        <w:spacing w:line="540" w:lineRule="exact"/>
        <w:ind w:firstLine="632" w:firstLineChars="200"/>
        <w:rPr>
          <w:rFonts w:ascii="仿宋_GB2312" w:hAnsi="仿宋"/>
          <w:szCs w:val="32"/>
        </w:rPr>
      </w:pPr>
      <w:r>
        <w:rPr>
          <w:rFonts w:hint="eastAsia" w:ascii="仿宋_GB2312" w:hAnsi="仿宋"/>
          <w:szCs w:val="32"/>
        </w:rPr>
        <w:t>（三）违法行为轻微并及时纠正，没有造成危害后果的；</w:t>
      </w:r>
    </w:p>
    <w:p>
      <w:pPr>
        <w:topLinePunct/>
        <w:spacing w:line="540" w:lineRule="exact"/>
        <w:ind w:firstLine="632" w:firstLineChars="200"/>
        <w:rPr>
          <w:rFonts w:ascii="仿宋_GB2312" w:hAnsi="仿宋"/>
          <w:szCs w:val="32"/>
        </w:rPr>
      </w:pPr>
      <w:r>
        <w:rPr>
          <w:rFonts w:hint="eastAsia" w:ascii="仿宋_GB2312" w:hAnsi="仿宋"/>
          <w:szCs w:val="32"/>
        </w:rPr>
        <w:t>（四）违法行为在二年内未被发现的，不再给予行政处罚。法律另有规定的除外。</w:t>
      </w:r>
    </w:p>
    <w:p>
      <w:pPr>
        <w:topLinePunct/>
        <w:spacing w:line="540" w:lineRule="exact"/>
        <w:ind w:firstLine="632" w:firstLineChars="200"/>
        <w:rPr>
          <w:rFonts w:ascii="仿宋_GB2312" w:hAnsi="仿宋"/>
          <w:szCs w:val="32"/>
        </w:rPr>
      </w:pPr>
      <w:r>
        <w:rPr>
          <w:rFonts w:hint="eastAsia" w:ascii="仿宋_GB2312" w:hAnsi="仿宋"/>
          <w:b/>
          <w:szCs w:val="32"/>
        </w:rPr>
        <w:t>第十六条</w:t>
      </w:r>
      <w:r>
        <w:rPr>
          <w:rFonts w:hint="eastAsia" w:ascii="仿宋_GB2312" w:hAnsi="仿宋"/>
          <w:szCs w:val="32"/>
        </w:rPr>
        <w:t xml:space="preserve">  从轻处罚情形：</w:t>
      </w:r>
    </w:p>
    <w:p>
      <w:pPr>
        <w:topLinePunct/>
        <w:spacing w:line="540" w:lineRule="exact"/>
        <w:ind w:firstLine="632" w:firstLineChars="200"/>
        <w:rPr>
          <w:rFonts w:ascii="仿宋_GB2312" w:hAnsi="仿宋"/>
          <w:szCs w:val="32"/>
        </w:rPr>
      </w:pPr>
      <w:r>
        <w:rPr>
          <w:rFonts w:hint="eastAsia" w:ascii="仿宋_GB2312" w:hAnsi="仿宋"/>
          <w:szCs w:val="32"/>
        </w:rPr>
        <w:t>（一）已满14周岁不满18周岁的；</w:t>
      </w:r>
    </w:p>
    <w:p>
      <w:pPr>
        <w:topLinePunct/>
        <w:spacing w:line="540" w:lineRule="exact"/>
        <w:ind w:firstLine="632" w:firstLineChars="200"/>
        <w:rPr>
          <w:rFonts w:ascii="仿宋_GB2312" w:hAnsi="仿宋"/>
          <w:szCs w:val="32"/>
        </w:rPr>
      </w:pPr>
      <w:r>
        <w:rPr>
          <w:rFonts w:hint="eastAsia" w:ascii="仿宋_GB2312" w:hAnsi="仿宋"/>
          <w:szCs w:val="32"/>
        </w:rPr>
        <w:t>（二）主动减轻或者消除违法行为危害后果的；</w:t>
      </w:r>
    </w:p>
    <w:p>
      <w:pPr>
        <w:topLinePunct/>
        <w:spacing w:line="540" w:lineRule="exact"/>
        <w:ind w:firstLine="632" w:firstLineChars="200"/>
        <w:rPr>
          <w:rFonts w:ascii="仿宋_GB2312" w:hAnsi="仿宋"/>
          <w:szCs w:val="32"/>
        </w:rPr>
      </w:pPr>
      <w:r>
        <w:rPr>
          <w:rFonts w:hint="eastAsia" w:ascii="仿宋_GB2312" w:hAnsi="仿宋"/>
          <w:szCs w:val="32"/>
        </w:rPr>
        <w:t>（三）受他人胁迫、诱骗而实施违法行为的；</w:t>
      </w:r>
    </w:p>
    <w:p>
      <w:pPr>
        <w:topLinePunct/>
        <w:spacing w:line="540" w:lineRule="exact"/>
        <w:ind w:firstLine="632" w:firstLineChars="200"/>
        <w:rPr>
          <w:rFonts w:ascii="仿宋_GB2312" w:hAnsi="仿宋"/>
          <w:szCs w:val="32"/>
        </w:rPr>
      </w:pPr>
      <w:r>
        <w:rPr>
          <w:rFonts w:hint="eastAsia" w:ascii="仿宋_GB2312" w:hAnsi="仿宋"/>
          <w:szCs w:val="32"/>
        </w:rPr>
        <w:t>（四）配合查处违法行为，有立功表现的；</w:t>
      </w:r>
    </w:p>
    <w:p>
      <w:pPr>
        <w:topLinePunct/>
        <w:spacing w:line="540" w:lineRule="exact"/>
        <w:ind w:firstLine="632" w:firstLineChars="200"/>
        <w:rPr>
          <w:rFonts w:ascii="仿宋_GB2312" w:hAnsi="仿宋"/>
          <w:szCs w:val="32"/>
        </w:rPr>
      </w:pPr>
      <w:r>
        <w:rPr>
          <w:rFonts w:hint="eastAsia" w:ascii="仿宋_GB2312" w:hAnsi="仿宋"/>
          <w:szCs w:val="32"/>
        </w:rPr>
        <w:t>（五）积极改正违法行为的；</w:t>
      </w:r>
    </w:p>
    <w:p>
      <w:pPr>
        <w:topLinePunct/>
        <w:spacing w:line="540" w:lineRule="exact"/>
        <w:ind w:firstLine="632" w:firstLineChars="200"/>
        <w:rPr>
          <w:rFonts w:ascii="仿宋_GB2312" w:hAnsi="仿宋"/>
          <w:szCs w:val="32"/>
        </w:rPr>
      </w:pPr>
      <w:r>
        <w:rPr>
          <w:rFonts w:hint="eastAsia" w:ascii="仿宋_GB2312" w:hAnsi="仿宋"/>
          <w:szCs w:val="32"/>
        </w:rPr>
        <w:t>（六）在共同违法行为中起次要或者辅助作用的；</w:t>
      </w:r>
    </w:p>
    <w:p>
      <w:pPr>
        <w:topLinePunct/>
        <w:spacing w:line="540" w:lineRule="exact"/>
        <w:ind w:firstLine="632" w:firstLineChars="200"/>
        <w:rPr>
          <w:rFonts w:ascii="仿宋_GB2312" w:hAnsi="仿宋"/>
          <w:szCs w:val="32"/>
        </w:rPr>
      </w:pPr>
      <w:r>
        <w:rPr>
          <w:rFonts w:hint="eastAsia" w:ascii="仿宋_GB2312" w:hAnsi="仿宋"/>
          <w:szCs w:val="32"/>
        </w:rPr>
        <w:t>（七）法律、法规、规章规定的其他应当从轻或减轻行政处罚情形的。</w:t>
      </w:r>
    </w:p>
    <w:p>
      <w:pPr>
        <w:topLinePunct/>
        <w:spacing w:line="540" w:lineRule="exact"/>
        <w:ind w:firstLine="620" w:firstLineChars="200"/>
        <w:rPr>
          <w:rFonts w:ascii="仿宋_GB2312" w:hAnsi="仿宋"/>
          <w:spacing w:val="-3"/>
          <w:szCs w:val="32"/>
        </w:rPr>
      </w:pPr>
      <w:r>
        <w:rPr>
          <w:rFonts w:hint="eastAsia" w:ascii="仿宋_GB2312" w:hAnsi="仿宋"/>
          <w:spacing w:val="-3"/>
          <w:szCs w:val="32"/>
        </w:rPr>
        <w:t>有上述从轻处罚情节的，一般应当在法定的处罚种类或处罚幅度内，对当事人在几种可能的处罚种类内选择较轻的处罚种类，或者在罚款幅度内从轻处罚适用。</w:t>
      </w:r>
    </w:p>
    <w:p>
      <w:pPr>
        <w:topLinePunct/>
        <w:spacing w:line="540" w:lineRule="exact"/>
        <w:ind w:firstLine="632" w:firstLineChars="200"/>
        <w:rPr>
          <w:rFonts w:ascii="仿宋_GB2312" w:hAnsi="仿宋"/>
          <w:szCs w:val="32"/>
        </w:rPr>
      </w:pPr>
      <w:r>
        <w:rPr>
          <w:rFonts w:hint="eastAsia" w:ascii="仿宋_GB2312" w:hAnsi="仿宋"/>
          <w:b/>
          <w:szCs w:val="32"/>
        </w:rPr>
        <w:t>第十七条</w:t>
      </w:r>
      <w:r>
        <w:rPr>
          <w:rFonts w:hint="eastAsia" w:ascii="仿宋_GB2312" w:hAnsi="仿宋"/>
          <w:szCs w:val="32"/>
        </w:rPr>
        <w:t xml:space="preserve">  从重处罚情形：</w:t>
      </w:r>
    </w:p>
    <w:p>
      <w:pPr>
        <w:topLinePunct/>
        <w:spacing w:line="540" w:lineRule="exact"/>
        <w:ind w:firstLine="632" w:firstLineChars="200"/>
        <w:rPr>
          <w:rFonts w:ascii="仿宋_GB2312" w:hAnsi="仿宋"/>
          <w:szCs w:val="32"/>
        </w:rPr>
      </w:pPr>
      <w:r>
        <w:rPr>
          <w:rFonts w:hint="eastAsia" w:ascii="仿宋_GB2312" w:hAnsi="仿宋"/>
          <w:szCs w:val="32"/>
        </w:rPr>
        <w:t>（一）隐匿、销毁、篡改或者拒不提供有关证据材料的；</w:t>
      </w:r>
    </w:p>
    <w:p>
      <w:pPr>
        <w:topLinePunct/>
        <w:spacing w:line="540" w:lineRule="exact"/>
        <w:ind w:firstLine="632" w:firstLineChars="200"/>
        <w:rPr>
          <w:rFonts w:ascii="仿宋_GB2312" w:hAnsi="仿宋"/>
          <w:szCs w:val="32"/>
        </w:rPr>
      </w:pPr>
      <w:r>
        <w:rPr>
          <w:rFonts w:hint="eastAsia" w:ascii="仿宋_GB2312" w:hAnsi="仿宋"/>
          <w:szCs w:val="32"/>
        </w:rPr>
        <w:t>（二）擅自转移已被采取行政强制措施物品的；</w:t>
      </w:r>
    </w:p>
    <w:p>
      <w:pPr>
        <w:topLinePunct/>
        <w:spacing w:line="540" w:lineRule="exact"/>
        <w:ind w:firstLine="632" w:firstLineChars="200"/>
        <w:rPr>
          <w:rFonts w:ascii="仿宋_GB2312" w:hAnsi="仿宋"/>
          <w:szCs w:val="32"/>
        </w:rPr>
      </w:pPr>
      <w:r>
        <w:rPr>
          <w:rFonts w:hint="eastAsia" w:ascii="仿宋_GB2312" w:hAnsi="仿宋"/>
          <w:szCs w:val="32"/>
        </w:rPr>
        <w:t>（三）作虚假陈述的；</w:t>
      </w:r>
    </w:p>
    <w:p>
      <w:pPr>
        <w:topLinePunct/>
        <w:spacing w:line="540" w:lineRule="exact"/>
        <w:ind w:firstLine="632" w:firstLineChars="200"/>
        <w:rPr>
          <w:rFonts w:ascii="仿宋_GB2312" w:hAnsi="仿宋"/>
          <w:szCs w:val="32"/>
        </w:rPr>
      </w:pPr>
      <w:r>
        <w:rPr>
          <w:rFonts w:hint="eastAsia" w:ascii="仿宋_GB2312" w:hAnsi="仿宋"/>
          <w:szCs w:val="32"/>
        </w:rPr>
        <w:t>（四）妨碍、逃避或者抗拒检查的；</w:t>
      </w:r>
    </w:p>
    <w:p>
      <w:pPr>
        <w:topLinePunct/>
        <w:spacing w:line="540" w:lineRule="exact"/>
        <w:ind w:firstLine="632" w:firstLineChars="200"/>
        <w:rPr>
          <w:rFonts w:ascii="仿宋_GB2312" w:hAnsi="仿宋"/>
          <w:szCs w:val="32"/>
        </w:rPr>
      </w:pPr>
      <w:r>
        <w:rPr>
          <w:rFonts w:hint="eastAsia" w:ascii="仿宋_GB2312" w:hAnsi="仿宋"/>
          <w:szCs w:val="32"/>
        </w:rPr>
        <w:t>（五）围攻或者煽动他人围攻执法人员的；</w:t>
      </w:r>
    </w:p>
    <w:p>
      <w:pPr>
        <w:topLinePunct/>
        <w:spacing w:line="540" w:lineRule="exact"/>
        <w:ind w:firstLine="632" w:firstLineChars="200"/>
        <w:rPr>
          <w:rFonts w:ascii="仿宋_GB2312" w:hAnsi="仿宋"/>
          <w:szCs w:val="32"/>
        </w:rPr>
      </w:pPr>
      <w:r>
        <w:rPr>
          <w:rFonts w:hint="eastAsia" w:ascii="仿宋_GB2312" w:hAnsi="仿宋"/>
          <w:szCs w:val="32"/>
        </w:rPr>
        <w:t>（六）经告诫、劝阻后继续实施违法行为的；</w:t>
      </w:r>
    </w:p>
    <w:p>
      <w:pPr>
        <w:topLinePunct/>
        <w:spacing w:line="540" w:lineRule="exact"/>
        <w:ind w:firstLine="632" w:firstLineChars="200"/>
        <w:rPr>
          <w:rFonts w:ascii="仿宋_GB2312" w:hAnsi="仿宋"/>
          <w:szCs w:val="32"/>
        </w:rPr>
      </w:pPr>
      <w:r>
        <w:rPr>
          <w:rFonts w:hint="eastAsia" w:ascii="仿宋_GB2312" w:hAnsi="仿宋"/>
          <w:szCs w:val="32"/>
        </w:rPr>
        <w:t>（七）违法情节危及国家安全、公共安全、社会安定、人身健康和生命财产安全并造成严重后果的；</w:t>
      </w:r>
    </w:p>
    <w:p>
      <w:pPr>
        <w:topLinePunct/>
        <w:spacing w:line="540" w:lineRule="exact"/>
        <w:ind w:firstLine="632" w:firstLineChars="200"/>
        <w:rPr>
          <w:rFonts w:ascii="仿宋_GB2312" w:hAnsi="仿宋"/>
          <w:szCs w:val="32"/>
        </w:rPr>
      </w:pPr>
      <w:r>
        <w:rPr>
          <w:rFonts w:hint="eastAsia" w:ascii="仿宋_GB2312" w:hAnsi="仿宋"/>
          <w:szCs w:val="32"/>
        </w:rPr>
        <w:t>（八）违法金额较大的；</w:t>
      </w:r>
    </w:p>
    <w:p>
      <w:pPr>
        <w:topLinePunct/>
        <w:spacing w:line="540" w:lineRule="exact"/>
        <w:ind w:firstLine="632" w:firstLineChars="200"/>
        <w:rPr>
          <w:rFonts w:ascii="仿宋_GB2312" w:hAnsi="仿宋"/>
          <w:szCs w:val="32"/>
        </w:rPr>
      </w:pPr>
      <w:r>
        <w:rPr>
          <w:rFonts w:hint="eastAsia" w:ascii="仿宋_GB2312" w:hAnsi="仿宋"/>
          <w:szCs w:val="32"/>
        </w:rPr>
        <w:t>（九）胁迫、诱骗、教唆他人实施违法行为的；</w:t>
      </w:r>
    </w:p>
    <w:p>
      <w:pPr>
        <w:topLinePunct/>
        <w:spacing w:line="540" w:lineRule="exact"/>
        <w:ind w:firstLine="632" w:firstLineChars="200"/>
        <w:rPr>
          <w:rFonts w:ascii="仿宋_GB2312" w:hAnsi="仿宋"/>
          <w:szCs w:val="32"/>
        </w:rPr>
      </w:pPr>
      <w:r>
        <w:rPr>
          <w:rFonts w:hint="eastAsia" w:ascii="仿宋_GB2312" w:hAnsi="仿宋"/>
          <w:szCs w:val="32"/>
        </w:rPr>
        <w:t>（十）恶意串通侵犯他人合法权益的；</w:t>
      </w:r>
    </w:p>
    <w:p>
      <w:pPr>
        <w:topLinePunct/>
        <w:spacing w:line="540" w:lineRule="exact"/>
        <w:ind w:firstLine="632" w:firstLineChars="200"/>
        <w:rPr>
          <w:rFonts w:ascii="仿宋_GB2312" w:hAnsi="仿宋"/>
          <w:szCs w:val="32"/>
        </w:rPr>
      </w:pPr>
      <w:r>
        <w:rPr>
          <w:rFonts w:hint="eastAsia" w:ascii="仿宋_GB2312" w:hAnsi="仿宋"/>
          <w:szCs w:val="32"/>
        </w:rPr>
        <w:t>（十一）共同实施违法行为中起主要作用的；</w:t>
      </w:r>
    </w:p>
    <w:p>
      <w:pPr>
        <w:topLinePunct/>
        <w:spacing w:line="540" w:lineRule="exact"/>
        <w:ind w:firstLine="632" w:firstLineChars="200"/>
        <w:rPr>
          <w:rFonts w:ascii="仿宋_GB2312" w:hAnsi="仿宋"/>
          <w:szCs w:val="32"/>
        </w:rPr>
      </w:pPr>
      <w:r>
        <w:rPr>
          <w:rFonts w:hint="eastAsia" w:ascii="仿宋_GB2312" w:hAnsi="仿宋"/>
          <w:szCs w:val="32"/>
        </w:rPr>
        <w:t>（十二）三次及以上实施违法行为，或者在违法行为被行政处罚后继续实施同一违法行为的；</w:t>
      </w:r>
    </w:p>
    <w:p>
      <w:pPr>
        <w:topLinePunct/>
        <w:spacing w:line="540" w:lineRule="exact"/>
        <w:ind w:firstLine="632" w:firstLineChars="200"/>
        <w:rPr>
          <w:rFonts w:ascii="仿宋_GB2312" w:hAnsi="仿宋"/>
          <w:szCs w:val="32"/>
        </w:rPr>
      </w:pPr>
      <w:r>
        <w:rPr>
          <w:rFonts w:hint="eastAsia" w:ascii="仿宋_GB2312" w:hAnsi="仿宋"/>
          <w:szCs w:val="32"/>
        </w:rPr>
        <w:t>（十三）</w:t>
      </w:r>
      <w:r>
        <w:rPr>
          <w:rFonts w:hint="eastAsia" w:ascii="仿宋_GB2312" w:hAnsi="仿宋"/>
          <w:spacing w:val="-3"/>
          <w:szCs w:val="32"/>
        </w:rPr>
        <w:t>在自然灾害、疾病流行、环境污染等突发公共事件中实施违法行为的；</w:t>
      </w:r>
    </w:p>
    <w:p>
      <w:pPr>
        <w:topLinePunct/>
        <w:spacing w:line="540" w:lineRule="exact"/>
        <w:ind w:firstLine="632" w:firstLineChars="200"/>
        <w:rPr>
          <w:rFonts w:ascii="仿宋_GB2312" w:hAnsi="仿宋"/>
          <w:szCs w:val="32"/>
        </w:rPr>
      </w:pPr>
      <w:r>
        <w:rPr>
          <w:rFonts w:hint="eastAsia" w:ascii="仿宋_GB2312" w:hAnsi="仿宋"/>
          <w:szCs w:val="32"/>
        </w:rPr>
        <w:t>（十四）法律、法规、规章规定的其他应当从重行政处罚情形的。</w:t>
      </w:r>
    </w:p>
    <w:p>
      <w:pPr>
        <w:topLinePunct/>
        <w:spacing w:line="540" w:lineRule="exact"/>
        <w:ind w:firstLine="632" w:firstLineChars="200"/>
        <w:rPr>
          <w:rFonts w:ascii="仿宋_GB2312" w:hAnsi="仿宋"/>
          <w:szCs w:val="32"/>
        </w:rPr>
      </w:pPr>
      <w:r>
        <w:rPr>
          <w:rFonts w:hint="eastAsia" w:ascii="仿宋_GB2312" w:hAnsi="仿宋"/>
          <w:szCs w:val="32"/>
        </w:rPr>
        <w:t>从重行政处罚，应当在法定的处罚种类或处罚幅度内，对当事人在几种可能的处罚种类内选择较重的处罚种类，或者在罚款幅度内从重处罚适用。</w:t>
      </w:r>
    </w:p>
    <w:p>
      <w:pPr>
        <w:topLinePunct/>
        <w:spacing w:line="540" w:lineRule="exact"/>
        <w:ind w:firstLine="632" w:firstLineChars="200"/>
        <w:rPr>
          <w:rFonts w:ascii="仿宋_GB2312" w:hAnsi="仿宋"/>
          <w:szCs w:val="32"/>
        </w:rPr>
      </w:pPr>
      <w:r>
        <w:rPr>
          <w:rFonts w:hint="eastAsia" w:ascii="仿宋_GB2312" w:hAnsi="仿宋"/>
          <w:b/>
          <w:szCs w:val="32"/>
        </w:rPr>
        <w:t>第十八条</w:t>
      </w:r>
      <w:r>
        <w:rPr>
          <w:rFonts w:hint="eastAsia" w:ascii="仿宋_GB2312" w:hAnsi="仿宋"/>
          <w:szCs w:val="32"/>
        </w:rPr>
        <w:t xml:space="preserve">  当事人的违法行为没有减轻、从轻、从重处罚情节的，应当对其予以一般行政处罚。</w:t>
      </w:r>
    </w:p>
    <w:p>
      <w:pPr>
        <w:topLinePunct/>
        <w:spacing w:line="540" w:lineRule="exact"/>
        <w:ind w:firstLine="632" w:firstLineChars="200"/>
        <w:rPr>
          <w:rFonts w:ascii="仿宋_GB2312" w:hAnsi="仿宋"/>
          <w:szCs w:val="32"/>
        </w:rPr>
      </w:pPr>
      <w:r>
        <w:rPr>
          <w:rFonts w:hint="eastAsia" w:ascii="仿宋_GB2312" w:hAnsi="仿宋"/>
          <w:szCs w:val="32"/>
        </w:rPr>
        <w:t>一般行政处罚，应当在法定的处罚种类或处罚幅度内，对当事人在几种可能的处罚种类内选择适当的处罚种类，或者在罚款幅度内一般处罚适用。</w:t>
      </w:r>
    </w:p>
    <w:p>
      <w:pPr>
        <w:topLinePunct/>
        <w:spacing w:line="540" w:lineRule="exact"/>
        <w:jc w:val="center"/>
        <w:rPr>
          <w:rFonts w:ascii="黑体" w:hAnsi="黑体" w:eastAsia="黑体"/>
          <w:szCs w:val="32"/>
        </w:rPr>
      </w:pPr>
      <w:r>
        <w:rPr>
          <w:rFonts w:hint="eastAsia" w:ascii="黑体" w:hAnsi="黑体" w:eastAsia="黑体"/>
          <w:szCs w:val="32"/>
        </w:rPr>
        <w:t>第四章  实施裁量基准的要求</w:t>
      </w:r>
    </w:p>
    <w:p>
      <w:pPr>
        <w:topLinePunct/>
        <w:spacing w:line="540" w:lineRule="exact"/>
        <w:ind w:firstLine="632" w:firstLineChars="200"/>
        <w:rPr>
          <w:rFonts w:ascii="仿宋_GB2312" w:hAnsi="仿宋"/>
          <w:szCs w:val="32"/>
        </w:rPr>
      </w:pPr>
      <w:r>
        <w:rPr>
          <w:rFonts w:hint="eastAsia" w:ascii="仿宋_GB2312" w:hAnsi="仿宋"/>
          <w:b/>
          <w:szCs w:val="32"/>
        </w:rPr>
        <w:t>第十九条</w:t>
      </w:r>
      <w:r>
        <w:rPr>
          <w:rFonts w:hint="eastAsia" w:ascii="仿宋_GB2312" w:hAnsi="仿宋"/>
          <w:szCs w:val="32"/>
        </w:rPr>
        <w:t xml:space="preserve">  当事人的违法行为涉嫌构成刑事犯罪的，应当依法移送司法机关。</w:t>
      </w:r>
    </w:p>
    <w:p>
      <w:pPr>
        <w:topLinePunct/>
        <w:spacing w:line="540" w:lineRule="exact"/>
        <w:ind w:firstLine="632" w:firstLineChars="200"/>
        <w:rPr>
          <w:rFonts w:ascii="仿宋_GB2312" w:hAnsi="仿宋"/>
          <w:szCs w:val="32"/>
        </w:rPr>
      </w:pPr>
      <w:r>
        <w:rPr>
          <w:rFonts w:hint="eastAsia" w:ascii="仿宋_GB2312" w:hAnsi="仿宋"/>
          <w:b/>
          <w:szCs w:val="32"/>
        </w:rPr>
        <w:t>第二十条</w:t>
      </w:r>
      <w:r>
        <w:rPr>
          <w:rFonts w:hint="eastAsia" w:ascii="仿宋_GB2312" w:hAnsi="仿宋"/>
          <w:szCs w:val="32"/>
        </w:rPr>
        <w:t xml:space="preserve">  办案机关应当定期对本机关作出的行政处罚案件进行复查，发现自由裁量权行使不当的，应当主动纠正。</w:t>
      </w:r>
    </w:p>
    <w:p>
      <w:pPr>
        <w:topLinePunct/>
        <w:spacing w:line="540" w:lineRule="exact"/>
        <w:ind w:firstLine="632" w:firstLineChars="200"/>
        <w:rPr>
          <w:rFonts w:ascii="仿宋_GB2312" w:hAnsi="仿宋"/>
          <w:szCs w:val="32"/>
        </w:rPr>
      </w:pPr>
      <w:r>
        <w:rPr>
          <w:rFonts w:hint="eastAsia" w:ascii="仿宋_GB2312" w:hAnsi="仿宋"/>
          <w:szCs w:val="32"/>
        </w:rPr>
        <w:t>办案机关的上级机关应当不定期对其行政处罚自由裁量权行使情况进行检查，发现自由裁量权行使不当的，责令纠正或者直接予以纠正。</w:t>
      </w:r>
    </w:p>
    <w:p>
      <w:pPr>
        <w:topLinePunct/>
        <w:spacing w:line="540" w:lineRule="exact"/>
        <w:ind w:firstLine="632" w:firstLineChars="200"/>
        <w:rPr>
          <w:rFonts w:ascii="仿宋_GB2312" w:hAnsi="仿宋"/>
          <w:szCs w:val="32"/>
        </w:rPr>
      </w:pPr>
      <w:r>
        <w:rPr>
          <w:rFonts w:hint="eastAsia" w:ascii="仿宋_GB2312" w:hAnsi="仿宋"/>
          <w:szCs w:val="32"/>
        </w:rPr>
        <w:t>各级水行政管理机关及其派出机构在行政执法检查中发现自由裁量权行使不当的，应当纠正并予以通报。</w:t>
      </w:r>
    </w:p>
    <w:p>
      <w:pPr>
        <w:topLinePunct/>
        <w:spacing w:line="540" w:lineRule="exact"/>
        <w:ind w:firstLine="632" w:firstLineChars="200"/>
        <w:rPr>
          <w:rFonts w:ascii="仿宋_GB2312" w:hAnsi="仿宋"/>
          <w:szCs w:val="32"/>
        </w:rPr>
      </w:pPr>
      <w:r>
        <w:rPr>
          <w:rFonts w:hint="eastAsia" w:ascii="仿宋_GB2312" w:hAnsi="仿宋"/>
          <w:b/>
          <w:szCs w:val="32"/>
        </w:rPr>
        <w:t>第二十一条</w:t>
      </w:r>
      <w:r>
        <w:rPr>
          <w:rFonts w:hint="eastAsia" w:ascii="仿宋_GB2312" w:hAnsi="仿宋"/>
          <w:szCs w:val="32"/>
        </w:rPr>
        <w:t xml:space="preserve">  办案机关违反本基准规定实施行政处罚，当事人不服申请行政复议的，上级水行政主管部门在审理复议案件时，有权直接予以变更。</w:t>
      </w:r>
    </w:p>
    <w:p>
      <w:pPr>
        <w:topLinePunct/>
        <w:spacing w:line="540" w:lineRule="exact"/>
        <w:ind w:firstLine="632" w:firstLineChars="200"/>
        <w:rPr>
          <w:rFonts w:ascii="仿宋_GB2312" w:hAnsi="仿宋"/>
          <w:szCs w:val="32"/>
        </w:rPr>
      </w:pPr>
      <w:r>
        <w:rPr>
          <w:rFonts w:hint="eastAsia" w:ascii="仿宋_GB2312" w:hAnsi="仿宋"/>
          <w:b/>
          <w:szCs w:val="32"/>
        </w:rPr>
        <w:t>第二十二条</w:t>
      </w:r>
      <w:r>
        <w:rPr>
          <w:rFonts w:hint="eastAsia" w:ascii="仿宋_GB2312" w:hAnsi="仿宋"/>
          <w:szCs w:val="32"/>
        </w:rPr>
        <w:t xml:space="preserve">  有下列情形之一的，构成执法过错，依照相关规定追究有关人员的过错责任：</w:t>
      </w:r>
    </w:p>
    <w:p>
      <w:pPr>
        <w:topLinePunct/>
        <w:spacing w:line="540" w:lineRule="exact"/>
        <w:ind w:firstLine="632" w:firstLineChars="200"/>
        <w:rPr>
          <w:rFonts w:ascii="仿宋_GB2312" w:hAnsi="仿宋"/>
          <w:szCs w:val="32"/>
        </w:rPr>
      </w:pPr>
      <w:r>
        <w:rPr>
          <w:rFonts w:hint="eastAsia" w:ascii="仿宋_GB2312" w:hAnsi="仿宋"/>
          <w:szCs w:val="32"/>
        </w:rPr>
        <w:t>（一）因行使自由裁量权不当，造成行政处罚案件被人民法院终审判决撤销、变更或者确认违法的；</w:t>
      </w:r>
    </w:p>
    <w:p>
      <w:pPr>
        <w:topLinePunct/>
        <w:spacing w:line="540" w:lineRule="exact"/>
        <w:ind w:firstLine="632" w:firstLineChars="200"/>
        <w:rPr>
          <w:rFonts w:ascii="仿宋_GB2312" w:hAnsi="仿宋"/>
          <w:szCs w:val="32"/>
        </w:rPr>
      </w:pPr>
      <w:r>
        <w:rPr>
          <w:rFonts w:hint="eastAsia" w:ascii="仿宋_GB2312" w:hAnsi="仿宋"/>
          <w:szCs w:val="32"/>
        </w:rPr>
        <w:t>（二）因行使自由裁量权不当，造成行政处罚案件被复议机关撤销、变更或者确认违法的；</w:t>
      </w:r>
    </w:p>
    <w:p>
      <w:pPr>
        <w:topLinePunct/>
        <w:spacing w:line="540" w:lineRule="exact"/>
        <w:ind w:firstLine="632" w:firstLineChars="200"/>
        <w:rPr>
          <w:rFonts w:ascii="仿宋_GB2312" w:hAnsi="仿宋"/>
          <w:szCs w:val="32"/>
        </w:rPr>
      </w:pPr>
      <w:r>
        <w:rPr>
          <w:rFonts w:hint="eastAsia" w:ascii="仿宋_GB2312" w:hAnsi="仿宋"/>
          <w:szCs w:val="32"/>
        </w:rPr>
        <w:t>（三）行政处罚案件在行政执法检查中被确认为自由裁量权行使不当的；</w:t>
      </w:r>
    </w:p>
    <w:p>
      <w:pPr>
        <w:topLinePunct/>
        <w:spacing w:line="540" w:lineRule="exact"/>
        <w:ind w:firstLine="632" w:firstLineChars="200"/>
        <w:rPr>
          <w:rFonts w:ascii="仿宋_GB2312" w:hAnsi="仿宋"/>
          <w:szCs w:val="32"/>
        </w:rPr>
      </w:pPr>
      <w:r>
        <w:rPr>
          <w:rFonts w:hint="eastAsia" w:ascii="仿宋_GB2312" w:hAnsi="仿宋"/>
          <w:szCs w:val="32"/>
        </w:rPr>
        <w:t>（四）因行使自由裁量权不当，引起当事人投诉，且造成不良影响的。</w:t>
      </w:r>
    </w:p>
    <w:p>
      <w:pPr>
        <w:topLinePunct/>
        <w:spacing w:line="540" w:lineRule="exact"/>
        <w:ind w:firstLine="632" w:firstLineChars="200"/>
        <w:rPr>
          <w:rFonts w:ascii="仿宋_GB2312" w:hAnsi="仿宋"/>
          <w:szCs w:val="32"/>
        </w:rPr>
      </w:pPr>
      <w:r>
        <w:rPr>
          <w:rFonts w:hint="eastAsia" w:ascii="仿宋_GB2312" w:hAnsi="仿宋"/>
          <w:b/>
          <w:szCs w:val="32"/>
        </w:rPr>
        <w:t>第二十三条</w:t>
      </w:r>
      <w:r>
        <w:rPr>
          <w:rFonts w:hint="eastAsia" w:ascii="仿宋_GB2312" w:hAnsi="仿宋"/>
          <w:szCs w:val="32"/>
        </w:rPr>
        <w:t xml:space="preserve">  本基准与法律、法规、规章规定不一致的，应当适用法律、法规、规章规定。</w:t>
      </w:r>
    </w:p>
    <w:p>
      <w:pPr>
        <w:topLinePunct/>
        <w:spacing w:line="540" w:lineRule="exact"/>
        <w:ind w:firstLine="632" w:firstLineChars="200"/>
        <w:rPr>
          <w:rFonts w:ascii="仿宋_GB2312" w:hAnsi="仿宋"/>
          <w:szCs w:val="32"/>
        </w:rPr>
      </w:pPr>
      <w:r>
        <w:rPr>
          <w:rFonts w:hint="eastAsia" w:ascii="仿宋_GB2312" w:hAnsi="仿宋"/>
          <w:b/>
          <w:szCs w:val="32"/>
        </w:rPr>
        <w:t>第二十四条</w:t>
      </w:r>
      <w:r>
        <w:rPr>
          <w:rFonts w:hint="eastAsia" w:ascii="仿宋_GB2312" w:hAnsi="仿宋"/>
          <w:szCs w:val="32"/>
        </w:rPr>
        <w:t xml:space="preserve">  本基准和《基准表》由市水行政主管部门负责解释。</w:t>
      </w:r>
    </w:p>
    <w:p>
      <w:pPr>
        <w:topLinePunct/>
        <w:spacing w:line="540" w:lineRule="exact"/>
        <w:ind w:firstLine="632" w:firstLineChars="200"/>
        <w:rPr>
          <w:rFonts w:ascii="仿宋_GB2312" w:hAnsi="仿宋"/>
          <w:szCs w:val="32"/>
        </w:rPr>
      </w:pPr>
      <w:r>
        <w:rPr>
          <w:rFonts w:hint="eastAsia" w:ascii="仿宋_GB2312" w:hAnsi="仿宋"/>
          <w:szCs w:val="32"/>
        </w:rPr>
        <w:t>市水行政主管部门根据法律、法规、规章的变化和基层执法实践的积累，可适时补充、修订本基准和《基准表》。</w:t>
      </w:r>
    </w:p>
    <w:p>
      <w:pPr>
        <w:topLinePunct/>
        <w:spacing w:line="540" w:lineRule="exact"/>
        <w:ind w:firstLine="632" w:firstLineChars="200"/>
        <w:rPr>
          <w:rFonts w:hint="eastAsia" w:ascii="仿宋_GB2312" w:hAnsi="仿宋"/>
          <w:szCs w:val="32"/>
        </w:rPr>
      </w:pPr>
      <w:r>
        <w:rPr>
          <w:rFonts w:hint="eastAsia" w:ascii="仿宋_GB2312" w:hAnsi="仿宋"/>
          <w:b/>
          <w:szCs w:val="32"/>
        </w:rPr>
        <w:t>第二十五条</w:t>
      </w:r>
      <w:r>
        <w:rPr>
          <w:rFonts w:hint="eastAsia" w:ascii="仿宋_GB2312" w:hAnsi="仿宋"/>
          <w:szCs w:val="32"/>
        </w:rPr>
        <w:t xml:space="preserve">  本基准自2020年7月1日起施行。《北京市水务局行政处罚自由裁量权适用规则》（京水务法[2007]29号）和《北京市水行政处罚裁量权基准》（京水务法〔2016〕57号）同时废止。</w:t>
      </w:r>
      <w:bookmarkEnd w:id="0"/>
    </w:p>
    <w:sectPr>
      <w:footerReference r:id="rId3" w:type="default"/>
      <w:footerReference r:id="rId4" w:type="even"/>
      <w:pgSz w:w="11907" w:h="16840"/>
      <w:pgMar w:top="2098" w:right="1474" w:bottom="1985" w:left="1588" w:header="1985" w:footer="1531" w:gutter="0"/>
      <w:pgNumType w:start="1"/>
      <w:cols w:space="425"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8</w:t>
    </w:r>
    <w:r>
      <w:rPr>
        <w:rFonts w:ascii="宋体" w:hAnsi="宋体" w:eastAsia="宋体"/>
        <w:sz w:val="28"/>
        <w:szCs w:val="28"/>
      </w:rPr>
      <w:fldChar w:fldCharType="end"/>
    </w:r>
    <w:r>
      <w:rPr>
        <w:rFonts w:ascii="宋体" w:hAnsi="宋体" w:eastAsia="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ascii="宋体" w:hAnsi="宋体" w:eastAsia="宋体"/>
        <w:sz w:val="28"/>
        <w:szCs w:val="28"/>
      </w:rPr>
    </w:pPr>
    <w:r>
      <w:rPr>
        <w:rStyle w:val="5"/>
        <w:rFonts w:ascii="宋体" w:hAnsi="宋体" w:eastAsia="宋体"/>
        <w:sz w:val="28"/>
        <w:szCs w:val="28"/>
      </w:rPr>
      <w:t xml:space="preserve">— </w:t>
    </w:r>
    <w:r>
      <w:rPr>
        <w:rStyle w:val="5"/>
        <w:rFonts w:ascii="宋体" w:hAnsi="宋体" w:eastAsia="宋体"/>
        <w:sz w:val="28"/>
        <w:szCs w:val="28"/>
      </w:rPr>
      <w:fldChar w:fldCharType="begin"/>
    </w:r>
    <w:r>
      <w:rPr>
        <w:rStyle w:val="5"/>
        <w:rFonts w:ascii="宋体" w:hAnsi="宋体" w:eastAsia="宋体"/>
        <w:sz w:val="28"/>
        <w:szCs w:val="28"/>
      </w:rPr>
      <w:instrText xml:space="preserve">PAGE  </w:instrText>
    </w:r>
    <w:r>
      <w:rPr>
        <w:rStyle w:val="5"/>
        <w:rFonts w:ascii="宋体" w:hAnsi="宋体" w:eastAsia="宋体"/>
        <w:sz w:val="28"/>
        <w:szCs w:val="28"/>
      </w:rPr>
      <w:fldChar w:fldCharType="separate"/>
    </w:r>
    <w:r>
      <w:rPr>
        <w:rStyle w:val="5"/>
        <w:rFonts w:ascii="宋体" w:hAnsi="宋体" w:eastAsia="宋体"/>
        <w:sz w:val="28"/>
        <w:szCs w:val="28"/>
      </w:rPr>
      <w:t>10</w:t>
    </w:r>
    <w:r>
      <w:rPr>
        <w:rStyle w:val="5"/>
        <w:rFonts w:ascii="宋体" w:hAnsi="宋体" w:eastAsia="宋体"/>
        <w:sz w:val="28"/>
        <w:szCs w:val="28"/>
      </w:rPr>
      <w:fldChar w:fldCharType="end"/>
    </w:r>
    <w:r>
      <w:rPr>
        <w:rStyle w:val="5"/>
        <w:rFonts w:ascii="宋体" w:hAnsi="宋体" w:eastAsia="宋体"/>
        <w:sz w:val="28"/>
        <w:szCs w:val="28"/>
      </w:rPr>
      <w:t xml:space="preserve"> —</w:t>
    </w:r>
    <w:r>
      <w:rPr>
        <w:rStyle w:val="5"/>
        <w:rFonts w:hint="eastAsia" w:ascii="宋体" w:hAnsi="宋体" w:eastAsia="宋体"/>
        <w:sz w:val="28"/>
        <w:szCs w:val="28"/>
      </w:rPr>
      <w:t xml:space="preserve">  </w:t>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CA9"/>
    <w:rsid w:val="00066AB2"/>
    <w:rsid w:val="00084177"/>
    <w:rsid w:val="00881CA9"/>
    <w:rsid w:val="009D3EEC"/>
    <w:rsid w:val="00D11AE8"/>
    <w:rsid w:val="00D13E54"/>
    <w:rsid w:val="00D87EF6"/>
    <w:rsid w:val="1BE92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4">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uiPriority w:val="0"/>
  </w:style>
  <w:style w:type="character" w:customStyle="1" w:styleId="7">
    <w:name w:val="页眉 字符"/>
    <w:basedOn w:val="4"/>
    <w:link w:val="3"/>
    <w:uiPriority w:val="99"/>
    <w:rPr>
      <w:sz w:val="18"/>
      <w:szCs w:val="18"/>
    </w:rPr>
  </w:style>
  <w:style w:type="character" w:customStyle="1" w:styleId="8">
    <w:name w:val="页脚 字符"/>
    <w:basedOn w:val="4"/>
    <w:link w:val="2"/>
    <w:uiPriority w:val="99"/>
    <w:rPr>
      <w:sz w:val="18"/>
      <w:szCs w:val="18"/>
    </w:rPr>
  </w:style>
  <w:style w:type="paragraph" w:customStyle="1" w:styleId="9">
    <w:name w:val="列出段落1"/>
    <w:basedOn w:val="1"/>
    <w:qFormat/>
    <w:uiPriority w:val="0"/>
    <w:pPr>
      <w:ind w:firstLine="420" w:firstLineChars="200"/>
    </w:pPr>
    <w:rPr>
      <w:rFonts w:eastAsia="宋体"/>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549</Words>
  <Characters>3130</Characters>
  <Lines>26</Lines>
  <Paragraphs>7</Paragraphs>
  <TotalTime>0</TotalTime>
  <ScaleCrop>false</ScaleCrop>
  <LinksUpToDate>false</LinksUpToDate>
  <CharactersWithSpaces>3672</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2020-06-09T03:10:00Z</dcterms:created>
  <dc:creator>刘洁</dc:creator>
  <cp:lastModifiedBy>Administrator</cp:lastModifiedBy>
  <dcterms:modified xsi:type="dcterms:W3CDTF">2021-06-23T01:27:49Z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