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ascii="'方正小标宋简体'" w:hAnsi="'方正小标宋简体'" w:eastAsia="'方正小标宋简体'" w:cs="'方正小标宋简体'"/>
          <w:i w:val="0"/>
          <w:caps w:val="0"/>
          <w:color w:val="404040"/>
          <w:spacing w:val="0"/>
          <w:sz w:val="44"/>
          <w:szCs w:val="44"/>
          <w:bdr w:val="none" w:color="auto" w:sz="0" w:space="0"/>
          <w:shd w:val="clear" w:fill="FFFFFF"/>
        </w:rPr>
        <w:t>北京市河道砂石开采管理暂行规定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ascii="'Calibri'" w:hAnsi="'Calibri'" w:eastAsia="'Calibri'" w:cs="'Calibri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（</w:t>
      </w:r>
      <w:r>
        <w:rPr>
          <w:rFonts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1985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6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19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日北京市人民政府京政发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98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号文件发布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根据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1997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12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31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日北京市人民政府第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12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号令修改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根据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2010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11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27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日北京市人民政府第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226</w:t>
      </w:r>
      <w:r>
        <w:rPr>
          <w:rFonts w:hint="default" w:ascii="'楷体_GB2312'" w:hAnsi="'楷体_GB2312'" w:eastAsia="'楷体_GB2312'" w:cs="'楷体_GB2312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号令第二次修改）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ascii="'黑体'" w:hAnsi="'黑体'" w:eastAsia="'黑体'" w:cs="'黑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第一条</w:t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为确保首都防汛安全，合理开发河道砂石资源，根据国家有关法规，特制定本规定。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黑体'" w:hAnsi="'黑体'" w:eastAsia="'黑体'" w:cs="'黑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第二条</w:t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凡在本市河道开采砂石的单位和个人，均应遵守本规定。市水行政主管部门是全市河道开采砂石管理机关。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黑体'" w:hAnsi="'黑体'" w:eastAsia="'黑体'" w:cs="'黑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第三条</w:t>
      </w:r>
      <w:r>
        <w:rPr>
          <w:rFonts w:hint="default" w:ascii="'宋体'" w:hAnsi="'宋体'" w:eastAsia="'宋体'" w:cs="'宋体'"/>
          <w:b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开采河道砂石，实行统一规划、分级管理。在永定河（含小清河及大宁滞洪区）、潮白河、北运河（含温榆河）等河道内开采砂石，由市水行政主管部门授权的河道管理单位审批，其它河道、湖泊由区、县水行政主管部门审批。由批准机关发给开采许可证。无开采许可证的，不得在河道开采砂石。本规定发布前，已有的开采砂石的单位和个人，应自本规定施行之日起十五日内，按上述规定补办审批手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黑体'" w:hAnsi="'黑体'" w:eastAsia="'黑体'" w:cs="'黑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第四条</w:t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开采河道砂石的单位和个人有维护水利工程和防汛安全的责任，开采砂石时必须做到：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（一）严格按批准机关划定的范围开采，不得擅自扩大开采范围；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（二）严格控制挖掘深度，砂坑底部不得低于堤防基础底部；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（三）开采后的弃料必须按要求及时回填，不得在河道内任意堆积；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（四）开采回填后的河床，必须保持底平、坡顺、无坑、无坨，不得改变河道纵坡和流势，不得影响穿堤涵闸或泵站的正常引水。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黑体'" w:hAnsi="'黑体'" w:eastAsia="'黑体'" w:cs="'黑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第五条</w:t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禁止在下列河段或地区开采砂石：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（一）铁路桥上、下游各五百米以内的河段；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（二）公路桥及重要管线上、下游各三百米以内的河段；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（三）危及引水工程安全的河段；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（四）危及堤防和危险工程安全的范围内（含堤外）。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黑体'" w:hAnsi="'黑体'" w:eastAsia="'黑体'" w:cs="'黑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第六条</w:t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开采河道砂石的单位和个人，每月按实际开采量向批准机关缴纳管理费，具体标准由市价格主管部门会同市财政部门另行制定。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黑体'" w:hAnsi="'黑体'" w:eastAsia="'黑体'" w:cs="'黑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第七条</w:t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凡违反本规定者，水行政主管部门有权令其改正，恢复原貌；对不改正者，按</w:t>
      </w:r>
      <w:r>
        <w:rPr>
          <w:rFonts w:hint="default" w:ascii="'Times New Roman'" w:hAnsi="'Times New Roman'" w:eastAsia="'Times New Roman'" w:cs="'Times New Roman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情节轻重处以1万元以上5万元以下罚款。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黑体'" w:hAnsi="'黑体'" w:eastAsia="'黑体'" w:cs="'黑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第八条</w:t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市、区、县水行政主管部门及其河道管理人员必须严格执行本规定。河道管理人员在执行任务时一律佩带统一标志。河道管理人员认真执行任务，成绩显著者，给予奖励；玩忽职守，造成严重后果者，给予行政处分，直至追究法律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黑体'" w:hAnsi="'黑体'" w:eastAsia="'黑体'" w:cs="'黑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第九条</w:t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本规定的实施细则由北京市水行政主管部门制定。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</w:rPr>
      </w:pPr>
      <w:r>
        <w:rPr>
          <w:rFonts w:hint="default" w:ascii="'黑体'" w:hAnsi="'黑体'" w:eastAsia="'黑体'" w:cs="'黑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第十条</w:t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'宋体'" w:hAnsi="'宋体'" w:eastAsia="'宋体'" w:cs="'宋体'"/>
          <w:i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FFFFF"/>
        </w:rPr>
        <w:t>本规定自一九八五年七月一日起施行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'方正小标宋简体'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'Calibri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'楷体_GB2312'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'宋体'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'黑体'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05550"/>
    <w:rsid w:val="71A0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2021-06-23T01:57:00Z</dcterms:created>
  <dc:creator>Administrator</dc:creator>
  <cp:lastModifiedBy>Administrator</cp:lastModifiedBy>
  <dcterms:modified xsi:type="dcterms:W3CDTF">2021-06-23T01:57:09Z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