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pacing w:beforeLines="0" w:afterLines="0" w:line="416" w:lineRule="exact"/>
        <w:ind w:firstLine="480" w:firstLineChars="200"/>
        <w:rPr>
          <w:rFonts w:cs="Times New Roman" w:asciiTheme="minorEastAsia" w:hAnsiTheme="minorEastAsia"/>
          <w:sz w:val="24"/>
          <w:szCs w:val="24"/>
        </w:rPr>
      </w:pPr>
      <w:bookmarkStart w:id="1711" w:name="_GoBack"/>
      <w:bookmarkEnd w:id="1711"/>
      <w:r>
        <w:rPr>
          <w:rFonts w:hint="eastAsia" w:cs="Times New Roman" w:asciiTheme="minorEastAsia" w:hAnsiTheme="minorEastAsia"/>
          <w:sz w:val="24"/>
          <w:szCs w:val="24"/>
        </w:rPr>
        <w:t xml:space="preserve"> </w:t>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0" w:name="_Toc28252121"/>
      <w:r>
        <w:rPr>
          <w:rFonts w:hint="eastAsia"/>
        </w:rPr>
        <w:t>农业农村法律法规规章汇编</w:t>
      </w:r>
      <w:bookmarkEnd w:id="0"/>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topLinePunct/>
        <w:spacing w:beforeLines="0" w:afterLines="0" w:line="240" w:lineRule="auto"/>
        <w:ind w:firstLine="0" w:firstLineChars="0"/>
        <w:jc w:val="center"/>
        <w:rPr>
          <w:rFonts w:ascii="黑体" w:hAnsi="黑体" w:eastAsia="黑体" w:cs="Times New Roman"/>
          <w:sz w:val="36"/>
          <w:szCs w:val="36"/>
        </w:rPr>
      </w:pPr>
      <w:r>
        <w:rPr>
          <w:rFonts w:ascii="黑体" w:hAnsi="黑体" w:eastAsia="黑体" w:cs="Times New Roman"/>
          <w:kern w:val="0"/>
          <w:sz w:val="36"/>
          <w:szCs w:val="36"/>
        </w:rPr>
        <w:t>北京市</w:t>
      </w:r>
      <w:r>
        <w:rPr>
          <w:rFonts w:hint="eastAsia" w:ascii="黑体" w:hAnsi="黑体" w:eastAsia="黑体" w:cs="Times New Roman"/>
          <w:kern w:val="0"/>
          <w:sz w:val="36"/>
          <w:szCs w:val="36"/>
          <w:lang w:eastAsia="zh-CN"/>
        </w:rPr>
        <w:t>大兴区</w:t>
      </w:r>
      <w:r>
        <w:rPr>
          <w:rFonts w:ascii="黑体" w:hAnsi="黑体" w:eastAsia="黑体" w:cs="Times New Roman"/>
          <w:kern w:val="0"/>
          <w:sz w:val="36"/>
          <w:szCs w:val="36"/>
        </w:rPr>
        <w:t>农业农村局</w:t>
      </w:r>
    </w:p>
    <w:p>
      <w:pPr>
        <w:topLinePunct/>
        <w:spacing w:beforeLines="0" w:afterLines="0" w:line="240" w:lineRule="auto"/>
        <w:ind w:firstLine="0" w:firstLineChars="0"/>
        <w:jc w:val="center"/>
        <w:rPr>
          <w:rFonts w:cs="Times New Roman" w:asciiTheme="minorEastAsia" w:hAnsiTheme="minorEastAsia"/>
          <w:b/>
          <w:bCs/>
          <w:kern w:val="0"/>
          <w:sz w:val="24"/>
          <w:szCs w:val="24"/>
        </w:rPr>
      </w:pPr>
      <w:r>
        <w:rPr>
          <w:rFonts w:hint="eastAsia" w:ascii="黑体" w:hAnsi="黑体" w:eastAsia="黑体" w:cs="Times New Roman"/>
          <w:sz w:val="36"/>
          <w:szCs w:val="36"/>
        </w:rPr>
        <w:t>202</w:t>
      </w:r>
      <w:r>
        <w:rPr>
          <w:rFonts w:hint="eastAsia" w:ascii="黑体" w:hAnsi="黑体" w:eastAsia="黑体" w:cs="Times New Roman"/>
          <w:sz w:val="36"/>
          <w:szCs w:val="36"/>
          <w:lang w:val="en-US" w:eastAsia="zh-CN"/>
        </w:rPr>
        <w:t>1</w:t>
      </w:r>
      <w:r>
        <w:rPr>
          <w:rFonts w:hint="eastAsia" w:ascii="黑体" w:hAnsi="黑体" w:eastAsia="黑体" w:cs="Times New Roman"/>
          <w:sz w:val="36"/>
          <w:szCs w:val="36"/>
        </w:rPr>
        <w:t>年1月</w:t>
      </w:r>
    </w:p>
    <w:p>
      <w:pPr>
        <w:widowControl/>
        <w:spacing w:before="156" w:after="156"/>
        <w:ind w:firstLine="241"/>
        <w:rPr>
          <w:rFonts w:cs="Times New Roman" w:asciiTheme="minorEastAsia" w:hAnsiTheme="minorEastAsia"/>
          <w:b/>
          <w:bCs/>
          <w:kern w:val="0"/>
          <w:sz w:val="24"/>
          <w:szCs w:val="24"/>
        </w:rPr>
      </w:pPr>
    </w:p>
    <w:p>
      <w:pPr>
        <w:pStyle w:val="2"/>
        <w:keepNext w:val="0"/>
        <w:keepLines w:val="0"/>
        <w:topLinePunct/>
        <w:spacing w:line="416" w:lineRule="exact"/>
        <w:ind w:firstLine="482" w:firstLineChars="200"/>
        <w:jc w:val="both"/>
        <w:rPr>
          <w:rFonts w:asciiTheme="minorEastAsia" w:hAnsiTheme="minorEastAsia" w:eastAsiaTheme="minorEastAsia"/>
          <w:sz w:val="24"/>
          <w:szCs w:val="24"/>
        </w:rPr>
        <w:sectPr>
          <w:headerReference r:id="rId7" w:type="first"/>
          <w:footerReference r:id="rId10" w:type="first"/>
          <w:headerReference r:id="rId5" w:type="default"/>
          <w:footerReference r:id="rId8" w:type="default"/>
          <w:headerReference r:id="rId6" w:type="even"/>
          <w:footerReference r:id="rId9" w:type="even"/>
          <w:pgSz w:w="12247" w:h="17180"/>
          <w:pgMar w:top="1814" w:right="1701" w:bottom="1701" w:left="1701" w:header="851" w:footer="1134" w:gutter="0"/>
          <w:cols w:space="425" w:num="1"/>
          <w:docGrid w:type="lines" w:linePitch="312" w:charSpace="0"/>
        </w:sectPr>
      </w:pPr>
      <w:bookmarkStart w:id="1" w:name="_Toc17110"/>
      <w:bookmarkStart w:id="2" w:name="_Toc466579786"/>
      <w:bookmarkStart w:id="3" w:name="OLE_LINK44"/>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4" w:name="_Toc28156927"/>
      <w:bookmarkStart w:id="5" w:name="_Toc28250854"/>
      <w:bookmarkStart w:id="6" w:name="_Toc25648142"/>
      <w:bookmarkStart w:id="7" w:name="_Toc28252123"/>
      <w:bookmarkStart w:id="8" w:name="_Toc25653637"/>
      <w:bookmarkStart w:id="9" w:name="_Toc26347905"/>
      <w:r>
        <w:rPr>
          <w:rFonts w:hint="eastAsia"/>
        </w:rPr>
        <w:t>目  录</w:t>
      </w:r>
      <w:bookmarkEnd w:id="4"/>
      <w:bookmarkEnd w:id="5"/>
      <w:bookmarkEnd w:id="6"/>
      <w:bookmarkEnd w:id="7"/>
      <w:bookmarkEnd w:id="8"/>
      <w:bookmarkEnd w:id="9"/>
    </w:p>
    <w:p>
      <w:pPr>
        <w:pStyle w:val="3"/>
        <w:tabs>
          <w:tab w:val="right" w:leader="dot" w:pos="8820"/>
        </w:tabs>
        <w:spacing w:line="416" w:lineRule="exact"/>
        <w:ind w:firstLine="0" w:firstLineChars="0"/>
        <w:rPr>
          <w:sz w:val="24"/>
          <w:szCs w:val="24"/>
        </w:rPr>
      </w:pPr>
    </w:p>
    <w:p>
      <w:pPr>
        <w:pStyle w:val="19"/>
        <w:tabs>
          <w:tab w:val="right" w:leader="dot" w:pos="8820"/>
          <w:tab w:val="clear" w:pos="8494"/>
        </w:tabs>
        <w:rPr>
          <w:rStyle w:val="32"/>
          <w:color w:val="auto"/>
        </w:rPr>
      </w:pPr>
      <w:r>
        <w:fldChar w:fldCharType="begin"/>
      </w:r>
      <w:r>
        <w:instrText xml:space="preserve"> </w:instrText>
      </w:r>
      <w:r>
        <w:rPr>
          <w:rFonts w:hint="eastAsia"/>
        </w:rPr>
        <w:instrText xml:space="preserve">TOC \h \z \t "章名,3,样式1,1,样式2,2"</w:instrText>
      </w:r>
      <w:r>
        <w:instrText xml:space="preserve"> </w:instrText>
      </w:r>
      <w:r>
        <w:fldChar w:fldCharType="separate"/>
      </w:r>
      <w:r>
        <w:rPr>
          <w:rStyle w:val="32"/>
          <w:rFonts w:hint="eastAsia"/>
          <w:color w:val="auto"/>
        </w:rPr>
        <w:t>一、行政执法</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"_Toc25648144" </w:instrText>
      </w:r>
      <w:r>
        <w:fldChar w:fldCharType="separate"/>
      </w:r>
      <w:r>
        <w:rPr>
          <w:rStyle w:val="32"/>
          <w:rFonts w:hint="eastAsia"/>
          <w:color w:val="auto"/>
          <w:sz w:val="24"/>
          <w:szCs w:val="24"/>
        </w:rPr>
        <w:t>中华人民共和国行政处罚法（2017.9.1修订）</w:t>
      </w:r>
      <w:r>
        <w:rPr>
          <w:sz w:val="24"/>
          <w:szCs w:val="24"/>
        </w:rPr>
        <w:tab/>
      </w:r>
      <w:r>
        <w:rPr>
          <w:sz w:val="24"/>
          <w:szCs w:val="24"/>
        </w:rPr>
        <w:fldChar w:fldCharType="begin"/>
      </w:r>
      <w:r>
        <w:rPr>
          <w:sz w:val="24"/>
          <w:szCs w:val="24"/>
        </w:rPr>
        <w:instrText xml:space="preserve"> PAGEREF _Toc25648144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"_Toc25648145" </w:instrText>
      </w:r>
      <w:r>
        <w:fldChar w:fldCharType="separate"/>
      </w:r>
      <w:r>
        <w:rPr>
          <w:rStyle w:val="32"/>
          <w:rFonts w:hint="eastAsia"/>
          <w:color w:val="auto"/>
          <w:sz w:val="24"/>
          <w:szCs w:val="24"/>
        </w:rPr>
        <w:t>中华人民共和国行政强制法（2011.6.30）</w:t>
      </w:r>
      <w:r>
        <w:rPr>
          <w:sz w:val="24"/>
          <w:szCs w:val="24"/>
        </w:rPr>
        <w:tab/>
      </w:r>
      <w:r>
        <w:rPr>
          <w:sz w:val="24"/>
          <w:szCs w:val="24"/>
        </w:rPr>
        <w:fldChar w:fldCharType="begin"/>
      </w:r>
      <w:r>
        <w:rPr>
          <w:sz w:val="24"/>
          <w:szCs w:val="24"/>
        </w:rPr>
        <w:instrText xml:space="preserve"> PAGEREF _Toc25648145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"_Toc25648146" </w:instrText>
      </w:r>
      <w:r>
        <w:fldChar w:fldCharType="separate"/>
      </w:r>
      <w:r>
        <w:rPr>
          <w:rStyle w:val="32"/>
          <w:rFonts w:hint="eastAsia"/>
          <w:color w:val="auto"/>
          <w:sz w:val="24"/>
          <w:szCs w:val="24"/>
          <w:shd w:val="clear" w:color="auto" w:fill="FFFFFF"/>
        </w:rPr>
        <w:t>中华人民共和国行政许可法（2019.4.23修订）</w:t>
      </w:r>
      <w:r>
        <w:rPr>
          <w:sz w:val="24"/>
          <w:szCs w:val="24"/>
        </w:rPr>
        <w:tab/>
      </w:r>
      <w:r>
        <w:rPr>
          <w:sz w:val="24"/>
          <w:szCs w:val="24"/>
        </w:rPr>
        <w:fldChar w:fldCharType="begin"/>
      </w:r>
      <w:r>
        <w:rPr>
          <w:sz w:val="24"/>
          <w:szCs w:val="24"/>
        </w:rPr>
        <w:instrText xml:space="preserve"> PAGEREF _Toc25648146 \h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"_Toc25648147" </w:instrText>
      </w:r>
      <w:r>
        <w:fldChar w:fldCharType="separate"/>
      </w:r>
      <w:r>
        <w:rPr>
          <w:rStyle w:val="32"/>
          <w:rFonts w:hint="eastAsia"/>
          <w:color w:val="auto"/>
          <w:sz w:val="24"/>
          <w:szCs w:val="24"/>
          <w:shd w:val="clear" w:color="auto" w:fill="FFFFFF"/>
        </w:rPr>
        <w:t>最高人民法院关于审理行政许可案件若干问题的规定（2009.12.14）</w:t>
      </w:r>
      <w:r>
        <w:rPr>
          <w:sz w:val="24"/>
          <w:szCs w:val="24"/>
        </w:rPr>
        <w:tab/>
      </w:r>
      <w:r>
        <w:rPr>
          <w:sz w:val="24"/>
          <w:szCs w:val="24"/>
        </w:rPr>
        <w:fldChar w:fldCharType="begin"/>
      </w:r>
      <w:r>
        <w:rPr>
          <w:sz w:val="24"/>
          <w:szCs w:val="24"/>
        </w:rPr>
        <w:instrText xml:space="preserve"> PAGEREF _Toc25648147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"_Toc25648148" </w:instrText>
      </w:r>
      <w:r>
        <w:fldChar w:fldCharType="separate"/>
      </w:r>
      <w:r>
        <w:rPr>
          <w:rStyle w:val="32"/>
          <w:rFonts w:hint="eastAsia"/>
          <w:color w:val="auto"/>
          <w:sz w:val="24"/>
          <w:szCs w:val="24"/>
        </w:rPr>
        <w:t>中华人民共和国行政复议法（2017.9.1修订）</w:t>
      </w:r>
      <w:r>
        <w:rPr>
          <w:sz w:val="24"/>
          <w:szCs w:val="24"/>
        </w:rPr>
        <w:tab/>
      </w:r>
      <w:r>
        <w:rPr>
          <w:sz w:val="24"/>
          <w:szCs w:val="24"/>
        </w:rPr>
        <w:fldChar w:fldCharType="begin"/>
      </w:r>
      <w:r>
        <w:rPr>
          <w:sz w:val="24"/>
          <w:szCs w:val="24"/>
        </w:rPr>
        <w:instrText xml:space="preserve"> PAGEREF _Toc25648148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"_Toc25648149" </w:instrText>
      </w:r>
      <w:r>
        <w:fldChar w:fldCharType="separate"/>
      </w:r>
      <w:r>
        <w:rPr>
          <w:rStyle w:val="32"/>
          <w:rFonts w:hint="eastAsia"/>
          <w:color w:val="auto"/>
          <w:sz w:val="24"/>
          <w:szCs w:val="24"/>
        </w:rPr>
        <w:t>中华人民共和国行政复议法实施条例（国务院</w:t>
      </w:r>
      <w:r>
        <w:rPr>
          <w:rStyle w:val="32"/>
          <w:color w:val="auto"/>
          <w:sz w:val="24"/>
          <w:szCs w:val="24"/>
        </w:rPr>
        <w:t>2007.5.2</w:t>
      </w:r>
      <w:r>
        <w:rPr>
          <w:rStyle w:val="32"/>
          <w:rFonts w:hint="eastAsia"/>
          <w:color w:val="auto"/>
          <w:sz w:val="24"/>
          <w:szCs w:val="24"/>
        </w:rPr>
        <w:t>9）</w:t>
      </w:r>
      <w:r>
        <w:rPr>
          <w:sz w:val="24"/>
          <w:szCs w:val="24"/>
        </w:rPr>
        <w:tab/>
      </w:r>
      <w:r>
        <w:rPr>
          <w:sz w:val="24"/>
          <w:szCs w:val="24"/>
        </w:rPr>
        <w:fldChar w:fldCharType="begin"/>
      </w:r>
      <w:r>
        <w:rPr>
          <w:sz w:val="24"/>
          <w:szCs w:val="24"/>
        </w:rPr>
        <w:instrText xml:space="preserve"> PAGEREF _Toc25648149 \h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"_Toc25648150" </w:instrText>
      </w:r>
      <w:r>
        <w:fldChar w:fldCharType="separate"/>
      </w:r>
      <w:r>
        <w:rPr>
          <w:rStyle w:val="32"/>
          <w:rFonts w:hint="eastAsia"/>
          <w:color w:val="auto"/>
          <w:sz w:val="24"/>
          <w:szCs w:val="24"/>
        </w:rPr>
        <w:t>中华人民共和国行政诉讼法（2017.6.27修订）</w:t>
      </w:r>
      <w:r>
        <w:rPr>
          <w:sz w:val="24"/>
          <w:szCs w:val="24"/>
        </w:rPr>
        <w:tab/>
      </w:r>
      <w:r>
        <w:rPr>
          <w:sz w:val="24"/>
          <w:szCs w:val="24"/>
        </w:rPr>
        <w:fldChar w:fldCharType="begin"/>
      </w:r>
      <w:r>
        <w:rPr>
          <w:sz w:val="24"/>
          <w:szCs w:val="24"/>
        </w:rPr>
        <w:instrText xml:space="preserve"> PAGEREF _Toc25648150 \h </w:instrText>
      </w:r>
      <w:r>
        <w:rPr>
          <w:sz w:val="24"/>
          <w:szCs w:val="24"/>
        </w:rPr>
        <w:fldChar w:fldCharType="separate"/>
      </w:r>
      <w:r>
        <w:rPr>
          <w:sz w:val="24"/>
          <w:szCs w:val="24"/>
        </w:rPr>
        <w:t>57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"_Toc25648151" </w:instrText>
      </w:r>
      <w:r>
        <w:fldChar w:fldCharType="separate"/>
      </w:r>
      <w:r>
        <w:rPr>
          <w:rStyle w:val="32"/>
          <w:rFonts w:hint="eastAsia"/>
          <w:color w:val="auto"/>
          <w:sz w:val="24"/>
          <w:szCs w:val="24"/>
          <w:shd w:val="clear" w:color="auto" w:fill="FFFFFF"/>
        </w:rPr>
        <w:t>最高人民法院关于适用《中华人民共和国行政诉讼法》的解释（2018.2.6）</w:t>
      </w:r>
      <w:r>
        <w:rPr>
          <w:sz w:val="24"/>
          <w:szCs w:val="24"/>
        </w:rPr>
        <w:tab/>
      </w:r>
      <w:r>
        <w:rPr>
          <w:sz w:val="24"/>
          <w:szCs w:val="24"/>
        </w:rPr>
        <w:fldChar w:fldCharType="begin"/>
      </w:r>
      <w:r>
        <w:rPr>
          <w:sz w:val="24"/>
          <w:szCs w:val="24"/>
        </w:rPr>
        <w:instrText xml:space="preserve"> PAGEREF _Toc25648151 \h </w:instrText>
      </w:r>
      <w:r>
        <w:rPr>
          <w:sz w:val="24"/>
          <w:szCs w:val="24"/>
        </w:rPr>
        <w:fldChar w:fldCharType="separate"/>
      </w:r>
      <w:r>
        <w:rPr>
          <w:sz w:val="24"/>
          <w:szCs w:val="24"/>
        </w:rPr>
        <w:t>72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"_Toc25648152" </w:instrText>
      </w:r>
      <w:r>
        <w:fldChar w:fldCharType="separate"/>
      </w:r>
      <w:r>
        <w:rPr>
          <w:rStyle w:val="32"/>
          <w:rFonts w:hint="eastAsia"/>
          <w:color w:val="auto"/>
          <w:sz w:val="24"/>
          <w:szCs w:val="24"/>
          <w:shd w:val="clear" w:color="auto" w:fill="FFFFFF"/>
        </w:rPr>
        <w:t>中华人民共和国国家赔偿法（2012.10.26修订）</w:t>
      </w:r>
      <w:r>
        <w:rPr>
          <w:sz w:val="24"/>
          <w:szCs w:val="24"/>
        </w:rPr>
        <w:tab/>
      </w:r>
      <w:r>
        <w:rPr>
          <w:sz w:val="24"/>
          <w:szCs w:val="24"/>
        </w:rPr>
        <w:fldChar w:fldCharType="begin"/>
      </w:r>
      <w:r>
        <w:rPr>
          <w:sz w:val="24"/>
          <w:szCs w:val="24"/>
        </w:rPr>
        <w:instrText xml:space="preserve"> PAGEREF _Toc25648152 \h </w:instrText>
      </w:r>
      <w:r>
        <w:rPr>
          <w:sz w:val="24"/>
          <w:szCs w:val="24"/>
        </w:rPr>
        <w:fldChar w:fldCharType="separate"/>
      </w:r>
      <w:r>
        <w:rPr>
          <w:sz w:val="24"/>
          <w:szCs w:val="24"/>
        </w:rPr>
        <w:t>100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"_Toc25648153" </w:instrText>
      </w:r>
      <w:r>
        <w:fldChar w:fldCharType="separate"/>
      </w:r>
      <w:r>
        <w:rPr>
          <w:rStyle w:val="32"/>
          <w:rFonts w:hint="eastAsia"/>
          <w:color w:val="auto"/>
          <w:sz w:val="24"/>
          <w:szCs w:val="24"/>
        </w:rPr>
        <w:t>行政执法机关移送涉嫌犯罪案件的规定（国务院2001.7.9）</w:t>
      </w:r>
      <w:r>
        <w:rPr>
          <w:sz w:val="24"/>
          <w:szCs w:val="24"/>
        </w:rPr>
        <w:tab/>
      </w:r>
      <w:r>
        <w:rPr>
          <w:sz w:val="24"/>
          <w:szCs w:val="24"/>
        </w:rPr>
        <w:fldChar w:fldCharType="begin"/>
      </w:r>
      <w:r>
        <w:rPr>
          <w:sz w:val="24"/>
          <w:szCs w:val="24"/>
        </w:rPr>
        <w:instrText xml:space="preserve"> PAGEREF _Toc25648153 \h </w:instrText>
      </w:r>
      <w:r>
        <w:rPr>
          <w:sz w:val="24"/>
          <w:szCs w:val="24"/>
        </w:rPr>
        <w:fldChar w:fldCharType="separate"/>
      </w:r>
      <w:r>
        <w:rPr>
          <w:sz w:val="24"/>
          <w:szCs w:val="24"/>
        </w:rPr>
        <w:t>108</w:t>
      </w:r>
      <w:r>
        <w:rPr>
          <w:sz w:val="24"/>
          <w:szCs w:val="24"/>
        </w:rPr>
        <w:fldChar w:fldCharType="end"/>
      </w:r>
      <w:r>
        <w:rPr>
          <w:sz w:val="24"/>
          <w:szCs w:val="24"/>
        </w:rPr>
        <w:fldChar w:fldCharType="end"/>
      </w:r>
    </w:p>
    <w:p>
      <w:pPr>
        <w:pStyle w:val="23"/>
        <w:tabs>
          <w:tab w:val="right" w:leader="dot" w:pos="8820"/>
          <w:tab w:val="clear" w:pos="8494"/>
        </w:tabs>
        <w:ind w:left="480" w:hanging="480" w:hangingChars="200"/>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"_Toc25648154" </w:instrText>
      </w:r>
      <w:r>
        <w:fldChar w:fldCharType="separate"/>
      </w:r>
      <w:r>
        <w:rPr>
          <w:rStyle w:val="32"/>
          <w:rFonts w:hint="eastAsia"/>
          <w:color w:val="auto"/>
          <w:sz w:val="24"/>
          <w:szCs w:val="24"/>
        </w:rPr>
        <w:t>北京市行政执法机关移送涉嫌犯罪案件工作办法（市政府2018.4.24修订）</w:t>
      </w:r>
      <w:r>
        <w:rPr>
          <w:sz w:val="24"/>
          <w:szCs w:val="24"/>
        </w:rPr>
        <w:tab/>
      </w:r>
      <w:r>
        <w:rPr>
          <w:sz w:val="24"/>
          <w:szCs w:val="24"/>
        </w:rPr>
        <w:fldChar w:fldCharType="begin"/>
      </w:r>
      <w:r>
        <w:rPr>
          <w:sz w:val="24"/>
          <w:szCs w:val="24"/>
        </w:rPr>
        <w:instrText xml:space="preserve"> PAGEREF _Toc25648154 \h </w:instrText>
      </w:r>
      <w:r>
        <w:rPr>
          <w:sz w:val="24"/>
          <w:szCs w:val="24"/>
        </w:rPr>
        <w:fldChar w:fldCharType="separate"/>
      </w:r>
      <w:r>
        <w:rPr>
          <w:sz w:val="24"/>
          <w:szCs w:val="24"/>
        </w:rPr>
        <w:t>111</w:t>
      </w:r>
      <w:r>
        <w:rPr>
          <w:sz w:val="24"/>
          <w:szCs w:val="24"/>
        </w:rPr>
        <w:fldChar w:fldCharType="end"/>
      </w:r>
      <w:r>
        <w:rPr>
          <w:sz w:val="24"/>
          <w:szCs w:val="24"/>
        </w:rPr>
        <w:fldChar w:fldCharType="end"/>
      </w:r>
    </w:p>
    <w:p>
      <w:pPr>
        <w:pStyle w:val="23"/>
        <w:tabs>
          <w:tab w:val="right" w:leader="dot" w:pos="8820"/>
          <w:tab w:val="clear" w:pos="8494"/>
        </w:tabs>
        <w:ind w:left="480" w:hanging="480" w:hangingChars="200"/>
        <w:rPr>
          <w:rStyle w:val="32"/>
          <w:color w:val="auto"/>
          <w:sz w:val="24"/>
          <w:szCs w:val="24"/>
        </w:rPr>
      </w:pPr>
      <w:r>
        <w:rPr>
          <w:rStyle w:val="32"/>
          <w:rFonts w:hint="eastAsia"/>
          <w:color w:val="auto"/>
          <w:sz w:val="24"/>
          <w:szCs w:val="24"/>
        </w:rPr>
        <w:t>12．北京市人民政府办公厅关于印发《北京市全面推行行政执法公示制度执法</w:t>
      </w:r>
      <w:r>
        <w:rPr>
          <w:rStyle w:val="32"/>
          <w:color w:val="auto"/>
          <w:sz w:val="24"/>
          <w:szCs w:val="24"/>
        </w:rPr>
        <w:br w:type="textWrapping"/>
      </w:r>
      <w:r>
        <w:rPr>
          <w:rStyle w:val="32"/>
          <w:rFonts w:hint="eastAsia"/>
          <w:color w:val="auto"/>
          <w:sz w:val="24"/>
          <w:szCs w:val="24"/>
        </w:rPr>
        <w:t>全过程记录制度重大执法决定法制审核制度实施方案》的通知（2019.5.6）</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_Toc26347917 \h </w:instrText>
      </w:r>
      <w:r>
        <w:rPr>
          <w:rStyle w:val="32"/>
          <w:color w:val="auto"/>
          <w:sz w:val="24"/>
          <w:szCs w:val="24"/>
        </w:rPr>
        <w:fldChar w:fldCharType="separate"/>
      </w:r>
      <w:r>
        <w:rPr>
          <w:rStyle w:val="32"/>
          <w:color w:val="auto"/>
          <w:sz w:val="24"/>
          <w:szCs w:val="24"/>
        </w:rPr>
        <w:t>115</w:t>
      </w:r>
      <w:r>
        <w:rPr>
          <w:rStyle w:val="32"/>
          <w:color w:val="auto"/>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13．</w:t>
      </w:r>
      <w:r>
        <w:fldChar w:fldCharType="begin"/>
      </w:r>
      <w:r>
        <w:instrText xml:space="preserve"> HYPERLINK \l "_Toc25648156" </w:instrText>
      </w:r>
      <w:r>
        <w:fldChar w:fldCharType="separate"/>
      </w:r>
      <w:r>
        <w:rPr>
          <w:rStyle w:val="32"/>
          <w:rFonts w:hint="eastAsia"/>
          <w:color w:val="auto"/>
          <w:sz w:val="24"/>
          <w:szCs w:val="24"/>
        </w:rPr>
        <w:t>农业行政处罚程序规定（农业部2011.12.31修订）</w:t>
      </w:r>
      <w:r>
        <w:rPr>
          <w:sz w:val="24"/>
          <w:szCs w:val="24"/>
        </w:rPr>
        <w:tab/>
      </w:r>
      <w:r>
        <w:rPr>
          <w:sz w:val="24"/>
          <w:szCs w:val="24"/>
        </w:rPr>
        <w:fldChar w:fldCharType="begin"/>
      </w:r>
      <w:r>
        <w:rPr>
          <w:sz w:val="24"/>
          <w:szCs w:val="24"/>
        </w:rPr>
        <w:instrText xml:space="preserve"> PAGEREF _Toc25648156 \h </w:instrText>
      </w:r>
      <w:r>
        <w:rPr>
          <w:sz w:val="24"/>
          <w:szCs w:val="24"/>
        </w:rPr>
        <w:fldChar w:fldCharType="separate"/>
      </w:r>
      <w:r>
        <w:rPr>
          <w:sz w:val="24"/>
          <w:szCs w:val="24"/>
        </w:rPr>
        <w:t>127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14．</w:t>
      </w:r>
      <w:r>
        <w:fldChar w:fldCharType="begin"/>
      </w:r>
      <w:r>
        <w:instrText xml:space="preserve"> HYPERLINK \l "_Toc25648157" </w:instrText>
      </w:r>
      <w:r>
        <w:fldChar w:fldCharType="separate"/>
      </w:r>
      <w:r>
        <w:rPr>
          <w:rStyle w:val="32"/>
          <w:rFonts w:hint="eastAsia"/>
          <w:color w:val="auto"/>
          <w:sz w:val="24"/>
          <w:szCs w:val="24"/>
        </w:rPr>
        <w:t>北京市实施行政处罚程序若干规定（市政府2018.2.12修订）</w:t>
      </w:r>
      <w:r>
        <w:rPr>
          <w:sz w:val="24"/>
          <w:szCs w:val="24"/>
        </w:rPr>
        <w:tab/>
      </w:r>
      <w:r>
        <w:rPr>
          <w:sz w:val="24"/>
          <w:szCs w:val="24"/>
        </w:rPr>
        <w:fldChar w:fldCharType="begin"/>
      </w:r>
      <w:r>
        <w:rPr>
          <w:sz w:val="24"/>
          <w:szCs w:val="24"/>
        </w:rPr>
        <w:instrText xml:space="preserve"> PAGEREF _Toc25648157 \h </w:instrText>
      </w:r>
      <w:r>
        <w:rPr>
          <w:sz w:val="24"/>
          <w:szCs w:val="24"/>
        </w:rPr>
        <w:fldChar w:fldCharType="separate"/>
      </w:r>
      <w:r>
        <w:rPr>
          <w:sz w:val="24"/>
          <w:szCs w:val="24"/>
        </w:rPr>
        <w:t>136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15．</w:t>
      </w:r>
      <w:r>
        <w:fldChar w:fldCharType="begin"/>
      </w:r>
      <w:r>
        <w:instrText xml:space="preserve"> HYPERLINK \l "_Toc25648158" </w:instrText>
      </w:r>
      <w:r>
        <w:fldChar w:fldCharType="separate"/>
      </w:r>
      <w:r>
        <w:rPr>
          <w:rStyle w:val="32"/>
          <w:rFonts w:hint="eastAsia"/>
          <w:color w:val="auto"/>
          <w:sz w:val="24"/>
          <w:szCs w:val="24"/>
        </w:rPr>
        <w:t>北京市行政处罚听证程序实施办法（市政府2018.2.12修订）</w:t>
      </w:r>
      <w:r>
        <w:rPr>
          <w:sz w:val="24"/>
          <w:szCs w:val="24"/>
        </w:rPr>
        <w:tab/>
      </w:r>
      <w:r>
        <w:rPr>
          <w:sz w:val="24"/>
          <w:szCs w:val="24"/>
        </w:rPr>
        <w:fldChar w:fldCharType="begin"/>
      </w:r>
      <w:r>
        <w:rPr>
          <w:sz w:val="24"/>
          <w:szCs w:val="24"/>
        </w:rPr>
        <w:instrText xml:space="preserve"> PAGEREF _Toc25648158 \h </w:instrText>
      </w:r>
      <w:r>
        <w:rPr>
          <w:sz w:val="24"/>
          <w:szCs w:val="24"/>
        </w:rPr>
        <w:fldChar w:fldCharType="separate"/>
      </w:r>
      <w:r>
        <w:rPr>
          <w:sz w:val="24"/>
          <w:szCs w:val="24"/>
        </w:rPr>
        <w:t>140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16．</w:t>
      </w:r>
      <w:r>
        <w:fldChar w:fldCharType="begin"/>
      </w:r>
      <w:r>
        <w:instrText xml:space="preserve"> HYPERLINK \l "_Toc25648159" </w:instrText>
      </w:r>
      <w:r>
        <w:fldChar w:fldCharType="separate"/>
      </w:r>
      <w:r>
        <w:rPr>
          <w:rStyle w:val="32"/>
          <w:rFonts w:hint="eastAsia"/>
          <w:color w:val="auto"/>
          <w:sz w:val="24"/>
          <w:szCs w:val="24"/>
        </w:rPr>
        <w:t>规范农业行政处罚自由裁量权办法（农业农村部2019.5.31）</w:t>
      </w:r>
      <w:r>
        <w:rPr>
          <w:sz w:val="24"/>
          <w:szCs w:val="24"/>
        </w:rPr>
        <w:tab/>
      </w:r>
      <w:r>
        <w:rPr>
          <w:sz w:val="24"/>
          <w:szCs w:val="24"/>
        </w:rPr>
        <w:fldChar w:fldCharType="begin"/>
      </w:r>
      <w:r>
        <w:rPr>
          <w:sz w:val="24"/>
          <w:szCs w:val="24"/>
        </w:rPr>
        <w:instrText xml:space="preserve"> PAGEREF _Toc25648159 \h </w:instrText>
      </w:r>
      <w:r>
        <w:rPr>
          <w:sz w:val="24"/>
          <w:szCs w:val="24"/>
        </w:rPr>
        <w:fldChar w:fldCharType="separate"/>
      </w:r>
      <w:r>
        <w:rPr>
          <w:sz w:val="24"/>
          <w:szCs w:val="24"/>
        </w:rPr>
        <w:t>142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17．</w:t>
      </w:r>
      <w:r>
        <w:fldChar w:fldCharType="begin"/>
      </w:r>
      <w:r>
        <w:instrText xml:space="preserve"> HYPERLINK \l "_Toc25648160" </w:instrText>
      </w:r>
      <w:r>
        <w:fldChar w:fldCharType="separate"/>
      </w:r>
      <w:r>
        <w:rPr>
          <w:rStyle w:val="32"/>
          <w:rFonts w:hint="eastAsia"/>
          <w:color w:val="auto"/>
          <w:sz w:val="24"/>
          <w:szCs w:val="24"/>
        </w:rPr>
        <w:t>农业行政执法证件管理办法（农业部1998.10.15）</w:t>
      </w:r>
      <w:r>
        <w:rPr>
          <w:sz w:val="24"/>
          <w:szCs w:val="24"/>
        </w:rPr>
        <w:tab/>
      </w:r>
      <w:r>
        <w:rPr>
          <w:sz w:val="24"/>
          <w:szCs w:val="24"/>
        </w:rPr>
        <w:fldChar w:fldCharType="begin"/>
      </w:r>
      <w:r>
        <w:rPr>
          <w:sz w:val="24"/>
          <w:szCs w:val="24"/>
        </w:rPr>
        <w:instrText xml:space="preserve"> PAGEREF _Toc25648160 \h </w:instrText>
      </w:r>
      <w:r>
        <w:rPr>
          <w:sz w:val="24"/>
          <w:szCs w:val="24"/>
        </w:rPr>
        <w:fldChar w:fldCharType="separate"/>
      </w:r>
      <w:r>
        <w:rPr>
          <w:sz w:val="24"/>
          <w:szCs w:val="24"/>
        </w:rPr>
        <w:t>146</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"_Toc25648161" </w:instrText>
      </w:r>
      <w:r>
        <w:fldChar w:fldCharType="separate"/>
      </w:r>
      <w:r>
        <w:rPr>
          <w:rStyle w:val="32"/>
          <w:rFonts w:hint="eastAsia"/>
          <w:color w:val="auto"/>
        </w:rPr>
        <w:t>二、农村土地</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"_Toc25648162" </w:instrText>
      </w:r>
      <w:r>
        <w:fldChar w:fldCharType="separate"/>
      </w:r>
      <w:r>
        <w:rPr>
          <w:rStyle w:val="32"/>
          <w:rFonts w:hint="eastAsia"/>
          <w:color w:val="auto"/>
          <w:sz w:val="24"/>
          <w:szCs w:val="24"/>
        </w:rPr>
        <w:t>中华人民共和国土地管理法（2019.8.26修订）</w:t>
      </w:r>
      <w:r>
        <w:rPr>
          <w:sz w:val="24"/>
          <w:szCs w:val="24"/>
        </w:rPr>
        <w:tab/>
      </w:r>
      <w:r>
        <w:rPr>
          <w:sz w:val="24"/>
          <w:szCs w:val="24"/>
        </w:rPr>
        <w:fldChar w:fldCharType="begin"/>
      </w:r>
      <w:r>
        <w:rPr>
          <w:sz w:val="24"/>
          <w:szCs w:val="24"/>
        </w:rPr>
        <w:instrText xml:space="preserve"> PAGEREF _Toc25648162 \h </w:instrText>
      </w:r>
      <w:r>
        <w:rPr>
          <w:sz w:val="24"/>
          <w:szCs w:val="24"/>
        </w:rPr>
        <w:fldChar w:fldCharType="separate"/>
      </w:r>
      <w:r>
        <w:rPr>
          <w:sz w:val="24"/>
          <w:szCs w:val="24"/>
        </w:rPr>
        <w:t>151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"_Toc25648163" </w:instrText>
      </w:r>
      <w:r>
        <w:fldChar w:fldCharType="separate"/>
      </w:r>
      <w:r>
        <w:rPr>
          <w:rStyle w:val="32"/>
          <w:rFonts w:hint="eastAsia"/>
          <w:color w:val="auto"/>
          <w:sz w:val="24"/>
          <w:szCs w:val="24"/>
        </w:rPr>
        <w:t>中华人民共和国土地管理法实施条例（国务院2014.7.29修订）</w:t>
      </w:r>
      <w:r>
        <w:rPr>
          <w:sz w:val="24"/>
          <w:szCs w:val="24"/>
        </w:rPr>
        <w:tab/>
      </w:r>
      <w:r>
        <w:rPr>
          <w:sz w:val="24"/>
          <w:szCs w:val="24"/>
        </w:rPr>
        <w:fldChar w:fldCharType="begin"/>
      </w:r>
      <w:r>
        <w:rPr>
          <w:sz w:val="24"/>
          <w:szCs w:val="24"/>
        </w:rPr>
        <w:instrText xml:space="preserve"> PAGEREF _Toc25648163 \h </w:instrText>
      </w:r>
      <w:r>
        <w:rPr>
          <w:sz w:val="24"/>
          <w:szCs w:val="24"/>
        </w:rPr>
        <w:fldChar w:fldCharType="separate"/>
      </w:r>
      <w:r>
        <w:rPr>
          <w:sz w:val="24"/>
          <w:szCs w:val="24"/>
        </w:rPr>
        <w:t>166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"_Toc25648164" </w:instrText>
      </w:r>
      <w:r>
        <w:fldChar w:fldCharType="separate"/>
      </w:r>
      <w:r>
        <w:rPr>
          <w:rStyle w:val="32"/>
          <w:rFonts w:hint="eastAsia"/>
          <w:color w:val="auto"/>
          <w:sz w:val="24"/>
          <w:szCs w:val="24"/>
        </w:rPr>
        <w:t>基本农田保护条例（国务院2011.1.8修订）</w:t>
      </w:r>
      <w:r>
        <w:rPr>
          <w:sz w:val="24"/>
          <w:szCs w:val="24"/>
        </w:rPr>
        <w:tab/>
      </w:r>
      <w:r>
        <w:rPr>
          <w:sz w:val="24"/>
          <w:szCs w:val="24"/>
        </w:rPr>
        <w:fldChar w:fldCharType="begin"/>
      </w:r>
      <w:r>
        <w:rPr>
          <w:sz w:val="24"/>
          <w:szCs w:val="24"/>
        </w:rPr>
        <w:instrText xml:space="preserve"> PAGEREF _Toc25648164 \h </w:instrText>
      </w:r>
      <w:r>
        <w:rPr>
          <w:sz w:val="24"/>
          <w:szCs w:val="24"/>
        </w:rPr>
        <w:fldChar w:fldCharType="separate"/>
      </w:r>
      <w:r>
        <w:rPr>
          <w:sz w:val="24"/>
          <w:szCs w:val="24"/>
        </w:rPr>
        <w:t>175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"_Toc25648165" </w:instrText>
      </w:r>
      <w:r>
        <w:fldChar w:fldCharType="separate"/>
      </w:r>
      <w:r>
        <w:rPr>
          <w:rStyle w:val="32"/>
          <w:rFonts w:hint="eastAsia"/>
          <w:color w:val="auto"/>
          <w:sz w:val="24"/>
          <w:szCs w:val="24"/>
        </w:rPr>
        <w:t>北京市基本农田保护条例（市人大2016.11.25修订）</w:t>
      </w:r>
      <w:r>
        <w:rPr>
          <w:sz w:val="24"/>
          <w:szCs w:val="24"/>
        </w:rPr>
        <w:tab/>
      </w:r>
      <w:r>
        <w:rPr>
          <w:sz w:val="24"/>
          <w:szCs w:val="24"/>
        </w:rPr>
        <w:fldChar w:fldCharType="begin"/>
      </w:r>
      <w:r>
        <w:rPr>
          <w:sz w:val="24"/>
          <w:szCs w:val="24"/>
        </w:rPr>
        <w:instrText xml:space="preserve"> PAGEREF _Toc25648165 \h </w:instrText>
      </w:r>
      <w:r>
        <w:rPr>
          <w:sz w:val="24"/>
          <w:szCs w:val="24"/>
        </w:rPr>
        <w:fldChar w:fldCharType="separate"/>
      </w:r>
      <w:r>
        <w:rPr>
          <w:sz w:val="24"/>
          <w:szCs w:val="24"/>
        </w:rPr>
        <w:t>180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"_Toc25648166" </w:instrText>
      </w:r>
      <w:r>
        <w:fldChar w:fldCharType="separate"/>
      </w:r>
      <w:r>
        <w:rPr>
          <w:rStyle w:val="32"/>
          <w:rFonts w:hint="eastAsia"/>
          <w:color w:val="auto"/>
          <w:sz w:val="24"/>
          <w:szCs w:val="24"/>
        </w:rPr>
        <w:t>农田建设项目管理办法（农业农村部2019.8.27）</w:t>
      </w:r>
      <w:r>
        <w:rPr>
          <w:sz w:val="24"/>
          <w:szCs w:val="24"/>
        </w:rPr>
        <w:tab/>
      </w:r>
      <w:r>
        <w:rPr>
          <w:sz w:val="24"/>
          <w:szCs w:val="24"/>
        </w:rPr>
        <w:fldChar w:fldCharType="begin"/>
      </w:r>
      <w:r>
        <w:rPr>
          <w:sz w:val="24"/>
          <w:szCs w:val="24"/>
        </w:rPr>
        <w:instrText xml:space="preserve"> PAGEREF _Toc25648166 \h </w:instrText>
      </w:r>
      <w:r>
        <w:rPr>
          <w:sz w:val="24"/>
          <w:szCs w:val="24"/>
        </w:rPr>
        <w:fldChar w:fldCharType="separate"/>
      </w:r>
      <w:r>
        <w:rPr>
          <w:sz w:val="24"/>
          <w:szCs w:val="24"/>
        </w:rPr>
        <w:t>184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"_Toc25648167" </w:instrText>
      </w:r>
      <w:r>
        <w:fldChar w:fldCharType="separate"/>
      </w:r>
      <w:r>
        <w:rPr>
          <w:rStyle w:val="32"/>
          <w:rFonts w:hint="eastAsia"/>
          <w:color w:val="auto"/>
          <w:sz w:val="24"/>
          <w:szCs w:val="24"/>
          <w:shd w:val="clear" w:color="auto" w:fill="FFFFFF"/>
        </w:rPr>
        <w:t>中华人民共和国土壤污染防治法（2018.8.31）</w:t>
      </w:r>
      <w:r>
        <w:rPr>
          <w:sz w:val="24"/>
          <w:szCs w:val="24"/>
        </w:rPr>
        <w:tab/>
      </w:r>
      <w:r>
        <w:rPr>
          <w:sz w:val="24"/>
          <w:szCs w:val="24"/>
        </w:rPr>
        <w:fldChar w:fldCharType="begin"/>
      </w:r>
      <w:r>
        <w:rPr>
          <w:sz w:val="24"/>
          <w:szCs w:val="24"/>
        </w:rPr>
        <w:instrText xml:space="preserve"> PAGEREF _Toc25648167 \h </w:instrText>
      </w:r>
      <w:r>
        <w:rPr>
          <w:sz w:val="24"/>
          <w:szCs w:val="24"/>
        </w:rPr>
        <w:fldChar w:fldCharType="separate"/>
      </w:r>
      <w:r>
        <w:rPr>
          <w:sz w:val="24"/>
          <w:szCs w:val="24"/>
        </w:rPr>
        <w:t>189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"_Toc25648168" </w:instrText>
      </w:r>
      <w:r>
        <w:fldChar w:fldCharType="separate"/>
      </w:r>
      <w:r>
        <w:rPr>
          <w:rStyle w:val="32"/>
          <w:rFonts w:hint="eastAsia"/>
          <w:color w:val="auto"/>
          <w:sz w:val="24"/>
          <w:szCs w:val="24"/>
          <w:shd w:val="clear" w:color="auto" w:fill="FFFFFF"/>
        </w:rPr>
        <w:t>耕地质量调查监测与评价办法（农业部2016.6.21）</w:t>
      </w:r>
      <w:r>
        <w:rPr>
          <w:sz w:val="24"/>
          <w:szCs w:val="24"/>
        </w:rPr>
        <w:tab/>
      </w:r>
      <w:r>
        <w:rPr>
          <w:sz w:val="24"/>
          <w:szCs w:val="24"/>
        </w:rPr>
        <w:fldChar w:fldCharType="begin"/>
      </w:r>
      <w:r>
        <w:rPr>
          <w:sz w:val="24"/>
          <w:szCs w:val="24"/>
        </w:rPr>
        <w:instrText xml:space="preserve"> PAGEREF _Toc25648168 \h </w:instrText>
      </w:r>
      <w:r>
        <w:rPr>
          <w:sz w:val="24"/>
          <w:szCs w:val="24"/>
        </w:rPr>
        <w:fldChar w:fldCharType="separate"/>
      </w:r>
      <w:r>
        <w:rPr>
          <w:sz w:val="24"/>
          <w:szCs w:val="24"/>
        </w:rPr>
        <w:t>205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"_Toc25648169" </w:instrText>
      </w:r>
      <w:r>
        <w:fldChar w:fldCharType="separate"/>
      </w:r>
      <w:r>
        <w:rPr>
          <w:rStyle w:val="32"/>
          <w:rFonts w:hint="eastAsia"/>
          <w:color w:val="auto"/>
          <w:sz w:val="24"/>
          <w:szCs w:val="24"/>
        </w:rPr>
        <w:t>北京市城乡规划条例（市人大2019.3.29修订）</w:t>
      </w:r>
      <w:r>
        <w:rPr>
          <w:sz w:val="24"/>
          <w:szCs w:val="24"/>
        </w:rPr>
        <w:tab/>
      </w:r>
      <w:r>
        <w:rPr>
          <w:sz w:val="24"/>
          <w:szCs w:val="24"/>
        </w:rPr>
        <w:fldChar w:fldCharType="begin"/>
      </w:r>
      <w:r>
        <w:rPr>
          <w:sz w:val="24"/>
          <w:szCs w:val="24"/>
        </w:rPr>
        <w:instrText xml:space="preserve"> PAGEREF _Toc25648169 \h </w:instrText>
      </w:r>
      <w:r>
        <w:rPr>
          <w:sz w:val="24"/>
          <w:szCs w:val="24"/>
        </w:rPr>
        <w:fldChar w:fldCharType="separate"/>
      </w:r>
      <w:r>
        <w:rPr>
          <w:sz w:val="24"/>
          <w:szCs w:val="24"/>
        </w:rPr>
        <w:t>209</w:t>
      </w:r>
      <w:r>
        <w:rPr>
          <w:sz w:val="24"/>
          <w:szCs w:val="24"/>
        </w:rPr>
        <w:fldChar w:fldCharType="end"/>
      </w:r>
      <w:r>
        <w:rPr>
          <w:sz w:val="24"/>
          <w:szCs w:val="24"/>
        </w:rPr>
        <w:fldChar w:fldCharType="end"/>
      </w:r>
    </w:p>
    <w:p>
      <w:pPr>
        <w:pStyle w:val="23"/>
        <w:tabs>
          <w:tab w:val="right" w:leader="dot" w:pos="8820"/>
          <w:tab w:val="clear" w:pos="8494"/>
        </w:tabs>
        <w:ind w:left="240" w:hanging="240" w:hangingChars="100"/>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"_Toc25648170" </w:instrText>
      </w:r>
      <w:r>
        <w:fldChar w:fldCharType="separate"/>
      </w:r>
      <w:r>
        <w:rPr>
          <w:rStyle w:val="32"/>
          <w:rFonts w:hint="eastAsia"/>
          <w:color w:val="auto"/>
          <w:sz w:val="24"/>
          <w:szCs w:val="24"/>
        </w:rPr>
        <w:t>北京市人民政府关于郊区城镇和农村建设规划管理的若干规定</w:t>
      </w:r>
      <w:r>
        <w:rPr>
          <w:rStyle w:val="32"/>
          <w:color w:val="auto"/>
          <w:sz w:val="24"/>
          <w:szCs w:val="24"/>
        </w:rPr>
        <w:br w:type="textWrapping"/>
      </w:r>
      <w:r>
        <w:rPr>
          <w:rStyle w:val="32"/>
          <w:rFonts w:hint="eastAsia"/>
          <w:color w:val="auto"/>
          <w:sz w:val="24"/>
          <w:szCs w:val="24"/>
        </w:rPr>
        <w:t>（2018.2.12修订）</w:t>
      </w:r>
      <w:r>
        <w:rPr>
          <w:sz w:val="24"/>
          <w:szCs w:val="24"/>
        </w:rPr>
        <w:tab/>
      </w:r>
      <w:r>
        <w:rPr>
          <w:sz w:val="24"/>
          <w:szCs w:val="24"/>
        </w:rPr>
        <w:fldChar w:fldCharType="begin"/>
      </w:r>
      <w:r>
        <w:rPr>
          <w:sz w:val="24"/>
          <w:szCs w:val="24"/>
        </w:rPr>
        <w:instrText xml:space="preserve"> PAGEREF _Toc25648170 \h </w:instrText>
      </w:r>
      <w:r>
        <w:rPr>
          <w:sz w:val="24"/>
          <w:szCs w:val="24"/>
        </w:rPr>
        <w:fldChar w:fldCharType="separate"/>
      </w:r>
      <w:r>
        <w:rPr>
          <w:sz w:val="24"/>
          <w:szCs w:val="24"/>
        </w:rPr>
        <w:t>224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"_Toc25648171" </w:instrText>
      </w:r>
      <w:r>
        <w:fldChar w:fldCharType="separate"/>
      </w:r>
      <w:r>
        <w:rPr>
          <w:rStyle w:val="32"/>
          <w:rFonts w:hint="eastAsia"/>
          <w:color w:val="auto"/>
          <w:sz w:val="24"/>
          <w:szCs w:val="24"/>
        </w:rPr>
        <w:t>中华人民共和国农村土地承包法（2018.12.29修订）</w:t>
      </w:r>
      <w:r>
        <w:rPr>
          <w:sz w:val="24"/>
          <w:szCs w:val="24"/>
        </w:rPr>
        <w:tab/>
      </w:r>
      <w:r>
        <w:rPr>
          <w:sz w:val="24"/>
          <w:szCs w:val="24"/>
        </w:rPr>
        <w:fldChar w:fldCharType="begin"/>
      </w:r>
      <w:r>
        <w:rPr>
          <w:sz w:val="24"/>
          <w:szCs w:val="24"/>
        </w:rPr>
        <w:instrText xml:space="preserve"> PAGEREF _Toc25648171 \h </w:instrText>
      </w:r>
      <w:r>
        <w:rPr>
          <w:sz w:val="24"/>
          <w:szCs w:val="24"/>
        </w:rPr>
        <w:fldChar w:fldCharType="separate"/>
      </w:r>
      <w:r>
        <w:rPr>
          <w:sz w:val="24"/>
          <w:szCs w:val="24"/>
        </w:rPr>
        <w:t>225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"_Toc25648172" </w:instrText>
      </w:r>
      <w:r>
        <w:fldChar w:fldCharType="separate"/>
      </w:r>
      <w:r>
        <w:rPr>
          <w:rStyle w:val="32"/>
          <w:rFonts w:hint="eastAsia"/>
          <w:color w:val="auto"/>
          <w:sz w:val="24"/>
          <w:szCs w:val="24"/>
        </w:rPr>
        <w:t>中华人民共和国农村土地承包经营权证管理办法（农业部2003.11.14）</w:t>
      </w:r>
      <w:r>
        <w:rPr>
          <w:sz w:val="24"/>
          <w:szCs w:val="24"/>
        </w:rPr>
        <w:tab/>
      </w:r>
      <w:r>
        <w:rPr>
          <w:sz w:val="24"/>
          <w:szCs w:val="24"/>
        </w:rPr>
        <w:fldChar w:fldCharType="begin"/>
      </w:r>
      <w:r>
        <w:rPr>
          <w:sz w:val="24"/>
          <w:szCs w:val="24"/>
        </w:rPr>
        <w:instrText xml:space="preserve"> PAGEREF _Toc25648172 \h </w:instrText>
      </w:r>
      <w:r>
        <w:rPr>
          <w:sz w:val="24"/>
          <w:szCs w:val="24"/>
        </w:rPr>
        <w:fldChar w:fldCharType="separate"/>
      </w:r>
      <w:r>
        <w:rPr>
          <w:sz w:val="24"/>
          <w:szCs w:val="24"/>
        </w:rPr>
        <w:t>234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12．</w:t>
      </w:r>
      <w:r>
        <w:fldChar w:fldCharType="begin"/>
      </w:r>
      <w:r>
        <w:instrText xml:space="preserve"> HYPERLINK \l "_Toc25648173" </w:instrText>
      </w:r>
      <w:r>
        <w:fldChar w:fldCharType="separate"/>
      </w:r>
      <w:r>
        <w:rPr>
          <w:rStyle w:val="32"/>
          <w:rFonts w:hint="eastAsia"/>
          <w:color w:val="auto"/>
          <w:sz w:val="24"/>
          <w:szCs w:val="24"/>
        </w:rPr>
        <w:t>中华人民共和国农村土地承包经营权流转管理办法（农业部2005.1.19）</w:t>
      </w:r>
      <w:r>
        <w:rPr>
          <w:sz w:val="24"/>
          <w:szCs w:val="24"/>
        </w:rPr>
        <w:tab/>
      </w:r>
      <w:r>
        <w:rPr>
          <w:sz w:val="24"/>
          <w:szCs w:val="24"/>
        </w:rPr>
        <w:fldChar w:fldCharType="begin"/>
      </w:r>
      <w:r>
        <w:rPr>
          <w:sz w:val="24"/>
          <w:szCs w:val="24"/>
        </w:rPr>
        <w:instrText xml:space="preserve"> PAGEREF _Toc25648173 \h </w:instrText>
      </w:r>
      <w:r>
        <w:rPr>
          <w:sz w:val="24"/>
          <w:szCs w:val="24"/>
        </w:rPr>
        <w:fldChar w:fldCharType="separate"/>
      </w:r>
      <w:r>
        <w:rPr>
          <w:sz w:val="24"/>
          <w:szCs w:val="24"/>
        </w:rPr>
        <w:t>238</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13．</w:t>
      </w:r>
      <w:r>
        <w:fldChar w:fldCharType="begin"/>
      </w:r>
      <w:r>
        <w:instrText xml:space="preserve"> HYPERLINK \l "_Toc25648174" </w:instrText>
      </w:r>
      <w:r>
        <w:fldChar w:fldCharType="separate"/>
      </w:r>
      <w:r>
        <w:rPr>
          <w:rStyle w:val="32"/>
          <w:rFonts w:hint="eastAsia"/>
          <w:color w:val="auto"/>
          <w:sz w:val="24"/>
          <w:szCs w:val="24"/>
        </w:rPr>
        <w:t>中华人民共和国农村土地承包经营纠纷调解仲裁法（2009.6.27）</w:t>
      </w:r>
      <w:r>
        <w:rPr>
          <w:sz w:val="24"/>
          <w:szCs w:val="24"/>
        </w:rPr>
        <w:tab/>
      </w:r>
      <w:r>
        <w:rPr>
          <w:sz w:val="24"/>
          <w:szCs w:val="24"/>
        </w:rPr>
        <w:fldChar w:fldCharType="begin"/>
      </w:r>
      <w:r>
        <w:rPr>
          <w:sz w:val="24"/>
          <w:szCs w:val="24"/>
        </w:rPr>
        <w:instrText xml:space="preserve"> PAGEREF _Toc25648174 \h </w:instrText>
      </w:r>
      <w:r>
        <w:rPr>
          <w:sz w:val="24"/>
          <w:szCs w:val="24"/>
        </w:rPr>
        <w:fldChar w:fldCharType="separate"/>
      </w:r>
      <w:r>
        <w:rPr>
          <w:sz w:val="24"/>
          <w:szCs w:val="24"/>
        </w:rPr>
        <w:t>243</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14．</w:t>
      </w:r>
      <w:r>
        <w:fldChar w:fldCharType="begin"/>
      </w:r>
      <w:r>
        <w:instrText xml:space="preserve"> HYPERLINK \l "_Toc25648175" </w:instrText>
      </w:r>
      <w:r>
        <w:fldChar w:fldCharType="separate"/>
      </w:r>
      <w:r>
        <w:rPr>
          <w:rStyle w:val="32"/>
          <w:rFonts w:hint="eastAsia"/>
          <w:color w:val="auto"/>
          <w:sz w:val="24"/>
          <w:szCs w:val="24"/>
        </w:rPr>
        <w:t>农村土地承包仲裁委员会示范章程（农业部、国家林业局2009.12.29）</w:t>
      </w:r>
      <w:r>
        <w:rPr>
          <w:sz w:val="24"/>
          <w:szCs w:val="24"/>
        </w:rPr>
        <w:tab/>
      </w:r>
      <w:r>
        <w:rPr>
          <w:sz w:val="24"/>
          <w:szCs w:val="24"/>
        </w:rPr>
        <w:fldChar w:fldCharType="begin"/>
      </w:r>
      <w:r>
        <w:rPr>
          <w:sz w:val="24"/>
          <w:szCs w:val="24"/>
        </w:rPr>
        <w:instrText xml:space="preserve"> PAGEREF _Toc25648175 \h </w:instrText>
      </w:r>
      <w:r>
        <w:rPr>
          <w:sz w:val="24"/>
          <w:szCs w:val="24"/>
        </w:rPr>
        <w:fldChar w:fldCharType="separate"/>
      </w:r>
      <w:r>
        <w:rPr>
          <w:sz w:val="24"/>
          <w:szCs w:val="24"/>
        </w:rPr>
        <w:t>250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15．</w:t>
      </w:r>
      <w:r>
        <w:fldChar w:fldCharType="begin"/>
      </w:r>
      <w:r>
        <w:instrText xml:space="preserve"> HYPERLINK \l "_Toc25648176" </w:instrText>
      </w:r>
      <w:r>
        <w:fldChar w:fldCharType="separate"/>
      </w:r>
      <w:r>
        <w:rPr>
          <w:rStyle w:val="32"/>
          <w:rFonts w:hint="eastAsia"/>
          <w:color w:val="auto"/>
          <w:sz w:val="24"/>
          <w:szCs w:val="24"/>
        </w:rPr>
        <w:t>农村土地承包经营纠纷仲裁规则（农业部、国家林业局2009.12.29）</w:t>
      </w:r>
      <w:r>
        <w:rPr>
          <w:sz w:val="24"/>
          <w:szCs w:val="24"/>
        </w:rPr>
        <w:tab/>
      </w:r>
      <w:r>
        <w:rPr>
          <w:sz w:val="24"/>
          <w:szCs w:val="24"/>
        </w:rPr>
        <w:fldChar w:fldCharType="begin"/>
      </w:r>
      <w:r>
        <w:rPr>
          <w:sz w:val="24"/>
          <w:szCs w:val="24"/>
        </w:rPr>
        <w:instrText xml:space="preserve"> PAGEREF _Toc25648176 \h </w:instrText>
      </w:r>
      <w:r>
        <w:rPr>
          <w:sz w:val="24"/>
          <w:szCs w:val="24"/>
        </w:rPr>
        <w:fldChar w:fldCharType="separate"/>
      </w:r>
      <w:r>
        <w:rPr>
          <w:sz w:val="24"/>
          <w:szCs w:val="24"/>
        </w:rPr>
        <w:t>253</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16．</w:t>
      </w:r>
      <w:r>
        <w:fldChar w:fldCharType="begin"/>
      </w:r>
      <w:r>
        <w:instrText xml:space="preserve"> HYPERLINK \l "_Toc25648177" </w:instrText>
      </w:r>
      <w:r>
        <w:fldChar w:fldCharType="separate"/>
      </w:r>
      <w:r>
        <w:rPr>
          <w:rStyle w:val="32"/>
          <w:rFonts w:hint="eastAsia"/>
          <w:color w:val="auto"/>
          <w:sz w:val="24"/>
          <w:szCs w:val="24"/>
        </w:rPr>
        <w:t>农业承包合同条例（市人大</w:t>
      </w:r>
      <w:r>
        <w:rPr>
          <w:rStyle w:val="32"/>
          <w:color w:val="auto"/>
          <w:sz w:val="24"/>
          <w:szCs w:val="24"/>
        </w:rPr>
        <w:t>1998.</w:t>
      </w:r>
      <w:r>
        <w:rPr>
          <w:rStyle w:val="32"/>
          <w:rFonts w:hint="eastAsia"/>
          <w:color w:val="auto"/>
          <w:sz w:val="24"/>
          <w:szCs w:val="24"/>
        </w:rPr>
        <w:t>9</w:t>
      </w:r>
      <w:r>
        <w:rPr>
          <w:rStyle w:val="32"/>
          <w:color w:val="auto"/>
          <w:sz w:val="24"/>
          <w:szCs w:val="24"/>
        </w:rPr>
        <w:t>.</w:t>
      </w:r>
      <w:r>
        <w:rPr>
          <w:rStyle w:val="32"/>
          <w:rFonts w:hint="eastAsia"/>
          <w:color w:val="auto"/>
          <w:sz w:val="24"/>
          <w:szCs w:val="24"/>
        </w:rPr>
        <w:t>15）</w:t>
      </w:r>
      <w:r>
        <w:rPr>
          <w:sz w:val="24"/>
          <w:szCs w:val="24"/>
        </w:rPr>
        <w:tab/>
      </w:r>
      <w:r>
        <w:rPr>
          <w:sz w:val="24"/>
          <w:szCs w:val="24"/>
        </w:rPr>
        <w:fldChar w:fldCharType="begin"/>
      </w:r>
      <w:r>
        <w:rPr>
          <w:sz w:val="24"/>
          <w:szCs w:val="24"/>
        </w:rPr>
        <w:instrText xml:space="preserve"> PAGEREF _Toc25648177 \h </w:instrText>
      </w:r>
      <w:r>
        <w:rPr>
          <w:sz w:val="24"/>
          <w:szCs w:val="24"/>
        </w:rPr>
        <w:fldChar w:fldCharType="separate"/>
      </w:r>
      <w:r>
        <w:rPr>
          <w:sz w:val="24"/>
          <w:szCs w:val="24"/>
        </w:rPr>
        <w:t>262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17．</w:t>
      </w:r>
      <w:r>
        <w:fldChar w:fldCharType="begin"/>
      </w:r>
      <w:r>
        <w:instrText xml:space="preserve"> HYPERLINK \l "_Toc25648178" </w:instrText>
      </w:r>
      <w:r>
        <w:fldChar w:fldCharType="separate"/>
      </w:r>
      <w:r>
        <w:rPr>
          <w:rStyle w:val="32"/>
          <w:rFonts w:hint="eastAsia"/>
          <w:color w:val="auto"/>
          <w:sz w:val="24"/>
          <w:szCs w:val="24"/>
        </w:rPr>
        <w:t>北京市农村集体所有荒山荒滩租赁条例（市人大2010.12.23修订）</w:t>
      </w:r>
      <w:r>
        <w:rPr>
          <w:sz w:val="24"/>
          <w:szCs w:val="24"/>
        </w:rPr>
        <w:tab/>
      </w:r>
      <w:r>
        <w:rPr>
          <w:sz w:val="24"/>
          <w:szCs w:val="24"/>
        </w:rPr>
        <w:fldChar w:fldCharType="begin"/>
      </w:r>
      <w:r>
        <w:rPr>
          <w:sz w:val="24"/>
          <w:szCs w:val="24"/>
        </w:rPr>
        <w:instrText xml:space="preserve"> PAGEREF _Toc25648178 \h </w:instrText>
      </w:r>
      <w:r>
        <w:rPr>
          <w:sz w:val="24"/>
          <w:szCs w:val="24"/>
        </w:rPr>
        <w:fldChar w:fldCharType="separate"/>
      </w:r>
      <w:r>
        <w:rPr>
          <w:sz w:val="24"/>
          <w:szCs w:val="24"/>
        </w:rPr>
        <w:t>267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18．</w:t>
      </w:r>
      <w:r>
        <w:fldChar w:fldCharType="begin"/>
      </w:r>
      <w:r>
        <w:instrText xml:space="preserve"> HYPERLINK \l "_Toc25648179" </w:instrText>
      </w:r>
      <w:r>
        <w:fldChar w:fldCharType="separate"/>
      </w:r>
      <w:r>
        <w:rPr>
          <w:rStyle w:val="32"/>
          <w:rFonts w:hint="eastAsia"/>
          <w:color w:val="auto"/>
          <w:sz w:val="24"/>
          <w:szCs w:val="24"/>
        </w:rPr>
        <w:t>北京市建设征地补偿安置办法（市政府2004.5.21）</w:t>
      </w:r>
      <w:r>
        <w:rPr>
          <w:sz w:val="24"/>
          <w:szCs w:val="24"/>
        </w:rPr>
        <w:tab/>
      </w:r>
      <w:r>
        <w:rPr>
          <w:sz w:val="24"/>
          <w:szCs w:val="24"/>
        </w:rPr>
        <w:fldChar w:fldCharType="begin"/>
      </w:r>
      <w:r>
        <w:rPr>
          <w:sz w:val="24"/>
          <w:szCs w:val="24"/>
        </w:rPr>
        <w:instrText xml:space="preserve"> PAGEREF _Toc25648179 \h </w:instrText>
      </w:r>
      <w:r>
        <w:rPr>
          <w:sz w:val="24"/>
          <w:szCs w:val="24"/>
        </w:rPr>
        <w:fldChar w:fldCharType="separate"/>
      </w:r>
      <w:r>
        <w:rPr>
          <w:sz w:val="24"/>
          <w:szCs w:val="24"/>
        </w:rPr>
        <w:t>271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19．</w:t>
      </w:r>
      <w:r>
        <w:fldChar w:fldCharType="begin"/>
      </w:r>
      <w:r>
        <w:instrText xml:space="preserve"> HYPERLINK \l "_Toc25648180" </w:instrText>
      </w:r>
      <w:r>
        <w:fldChar w:fldCharType="separate"/>
      </w:r>
      <w:r>
        <w:rPr>
          <w:rStyle w:val="32"/>
          <w:rFonts w:hint="eastAsia"/>
          <w:color w:val="auto"/>
          <w:sz w:val="24"/>
          <w:szCs w:val="24"/>
        </w:rPr>
        <w:t>北京市湿地保护条例（市人大2019.7.26修订）</w:t>
      </w:r>
      <w:r>
        <w:rPr>
          <w:sz w:val="24"/>
          <w:szCs w:val="24"/>
        </w:rPr>
        <w:tab/>
      </w:r>
      <w:r>
        <w:rPr>
          <w:sz w:val="24"/>
          <w:szCs w:val="24"/>
        </w:rPr>
        <w:fldChar w:fldCharType="begin"/>
      </w:r>
      <w:r>
        <w:rPr>
          <w:sz w:val="24"/>
          <w:szCs w:val="24"/>
        </w:rPr>
        <w:instrText xml:space="preserve"> PAGEREF _Toc25648180 \h </w:instrText>
      </w:r>
      <w:r>
        <w:rPr>
          <w:sz w:val="24"/>
          <w:szCs w:val="24"/>
        </w:rPr>
        <w:fldChar w:fldCharType="separate"/>
      </w:r>
      <w:r>
        <w:rPr>
          <w:sz w:val="24"/>
          <w:szCs w:val="24"/>
        </w:rPr>
        <w:t>278</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"_Toc25648181" </w:instrText>
      </w:r>
      <w:r>
        <w:fldChar w:fldCharType="separate"/>
      </w:r>
      <w:r>
        <w:rPr>
          <w:rStyle w:val="32"/>
          <w:rFonts w:hint="eastAsia"/>
          <w:color w:val="auto"/>
        </w:rPr>
        <w:t>三、农村合作经济</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"_Toc25648182" </w:instrText>
      </w:r>
      <w:r>
        <w:fldChar w:fldCharType="separate"/>
      </w:r>
      <w:r>
        <w:rPr>
          <w:rStyle w:val="32"/>
          <w:rFonts w:hint="eastAsia"/>
          <w:color w:val="auto"/>
          <w:sz w:val="24"/>
          <w:szCs w:val="24"/>
        </w:rPr>
        <w:t>北京市农村集体资产管理条例（市人大2010.12.23修订）</w:t>
      </w:r>
      <w:r>
        <w:rPr>
          <w:sz w:val="24"/>
          <w:szCs w:val="24"/>
        </w:rPr>
        <w:tab/>
      </w:r>
      <w:r>
        <w:rPr>
          <w:sz w:val="24"/>
          <w:szCs w:val="24"/>
        </w:rPr>
        <w:fldChar w:fldCharType="begin"/>
      </w:r>
      <w:r>
        <w:rPr>
          <w:sz w:val="24"/>
          <w:szCs w:val="24"/>
        </w:rPr>
        <w:instrText xml:space="preserve"> PAGEREF _Toc25648182 \h </w:instrText>
      </w:r>
      <w:r>
        <w:rPr>
          <w:sz w:val="24"/>
          <w:szCs w:val="24"/>
        </w:rPr>
        <w:fldChar w:fldCharType="separate"/>
      </w:r>
      <w:r>
        <w:rPr>
          <w:sz w:val="24"/>
          <w:szCs w:val="24"/>
        </w:rPr>
        <w:t>289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"_Toc25648183" </w:instrText>
      </w:r>
      <w:r>
        <w:fldChar w:fldCharType="separate"/>
      </w:r>
      <w:r>
        <w:rPr>
          <w:rStyle w:val="32"/>
          <w:rFonts w:hint="eastAsia"/>
          <w:color w:val="auto"/>
          <w:sz w:val="24"/>
          <w:szCs w:val="24"/>
        </w:rPr>
        <w:t>北京市农村集体经济审计条例（市人大2016.11.25修订）</w:t>
      </w:r>
      <w:r>
        <w:rPr>
          <w:sz w:val="24"/>
          <w:szCs w:val="24"/>
        </w:rPr>
        <w:tab/>
      </w:r>
      <w:r>
        <w:rPr>
          <w:sz w:val="24"/>
          <w:szCs w:val="24"/>
        </w:rPr>
        <w:fldChar w:fldCharType="begin"/>
      </w:r>
      <w:r>
        <w:rPr>
          <w:sz w:val="24"/>
          <w:szCs w:val="24"/>
        </w:rPr>
        <w:instrText xml:space="preserve"> PAGEREF _Toc25648183 \h </w:instrText>
      </w:r>
      <w:r>
        <w:rPr>
          <w:sz w:val="24"/>
          <w:szCs w:val="24"/>
        </w:rPr>
        <w:fldChar w:fldCharType="separate"/>
      </w:r>
      <w:r>
        <w:rPr>
          <w:sz w:val="24"/>
          <w:szCs w:val="24"/>
        </w:rPr>
        <w:t>293</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"_Toc25648184" </w:instrText>
      </w:r>
      <w:r>
        <w:fldChar w:fldCharType="separate"/>
      </w:r>
      <w:r>
        <w:rPr>
          <w:rStyle w:val="32"/>
          <w:rFonts w:hint="eastAsia"/>
          <w:color w:val="auto"/>
          <w:sz w:val="24"/>
          <w:szCs w:val="24"/>
        </w:rPr>
        <w:t>农村集体经济组织审计规定（农业部2007.11.8修订）</w:t>
      </w:r>
      <w:r>
        <w:rPr>
          <w:sz w:val="24"/>
          <w:szCs w:val="24"/>
        </w:rPr>
        <w:tab/>
      </w:r>
      <w:r>
        <w:rPr>
          <w:sz w:val="24"/>
          <w:szCs w:val="24"/>
        </w:rPr>
        <w:fldChar w:fldCharType="begin"/>
      </w:r>
      <w:r>
        <w:rPr>
          <w:sz w:val="24"/>
          <w:szCs w:val="24"/>
        </w:rPr>
        <w:instrText xml:space="preserve"> PAGEREF _Toc25648184 \h </w:instrText>
      </w:r>
      <w:r>
        <w:rPr>
          <w:sz w:val="24"/>
          <w:szCs w:val="24"/>
        </w:rPr>
        <w:fldChar w:fldCharType="separate"/>
      </w:r>
      <w:r>
        <w:rPr>
          <w:sz w:val="24"/>
          <w:szCs w:val="24"/>
        </w:rPr>
        <w:t>297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"_Toc25648185" </w:instrText>
      </w:r>
      <w:r>
        <w:fldChar w:fldCharType="separate"/>
      </w:r>
      <w:r>
        <w:rPr>
          <w:rStyle w:val="32"/>
          <w:rFonts w:hint="eastAsia"/>
          <w:color w:val="auto"/>
          <w:sz w:val="24"/>
          <w:szCs w:val="24"/>
          <w:shd w:val="clear" w:color="auto" w:fill="FFFFFF"/>
        </w:rPr>
        <w:t>农村集体经济组织财务公开规定（农业部、监察部2011.11.21）</w:t>
      </w:r>
      <w:r>
        <w:rPr>
          <w:sz w:val="24"/>
          <w:szCs w:val="24"/>
        </w:rPr>
        <w:tab/>
      </w:r>
      <w:r>
        <w:rPr>
          <w:sz w:val="24"/>
          <w:szCs w:val="24"/>
        </w:rPr>
        <w:fldChar w:fldCharType="begin"/>
      </w:r>
      <w:r>
        <w:rPr>
          <w:sz w:val="24"/>
          <w:szCs w:val="24"/>
        </w:rPr>
        <w:instrText xml:space="preserve"> PAGEREF _Toc25648185 \h </w:instrText>
      </w:r>
      <w:r>
        <w:rPr>
          <w:sz w:val="24"/>
          <w:szCs w:val="24"/>
        </w:rPr>
        <w:fldChar w:fldCharType="separate"/>
      </w:r>
      <w:r>
        <w:rPr>
          <w:sz w:val="24"/>
          <w:szCs w:val="24"/>
        </w:rPr>
        <w:t>301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"_Toc25648186" </w:instrText>
      </w:r>
      <w:r>
        <w:fldChar w:fldCharType="separate"/>
      </w:r>
      <w:r>
        <w:rPr>
          <w:rStyle w:val="32"/>
          <w:rFonts w:hint="eastAsia"/>
          <w:color w:val="auto"/>
          <w:sz w:val="24"/>
          <w:szCs w:val="24"/>
          <w:shd w:val="clear" w:color="auto" w:fill="FFFFFF"/>
        </w:rPr>
        <w:t>中华人民共和国农民专业合作社法（2017.12.27修订）</w:t>
      </w:r>
      <w:r>
        <w:rPr>
          <w:sz w:val="24"/>
          <w:szCs w:val="24"/>
        </w:rPr>
        <w:tab/>
      </w:r>
      <w:r>
        <w:rPr>
          <w:sz w:val="24"/>
          <w:szCs w:val="24"/>
        </w:rPr>
        <w:fldChar w:fldCharType="begin"/>
      </w:r>
      <w:r>
        <w:rPr>
          <w:sz w:val="24"/>
          <w:szCs w:val="24"/>
        </w:rPr>
        <w:instrText xml:space="preserve"> PAGEREF _Toc25648186 \h </w:instrText>
      </w:r>
      <w:r>
        <w:rPr>
          <w:sz w:val="24"/>
          <w:szCs w:val="24"/>
        </w:rPr>
        <w:fldChar w:fldCharType="separate"/>
      </w:r>
      <w:r>
        <w:rPr>
          <w:sz w:val="24"/>
          <w:szCs w:val="24"/>
        </w:rPr>
        <w:t>305</w:t>
      </w:r>
      <w:r>
        <w:rPr>
          <w:sz w:val="24"/>
          <w:szCs w:val="24"/>
        </w:rPr>
        <w:fldChar w:fldCharType="end"/>
      </w:r>
      <w:r>
        <w:rPr>
          <w:sz w:val="24"/>
          <w:szCs w:val="24"/>
        </w:rPr>
        <w:fldChar w:fldCharType="end"/>
      </w:r>
    </w:p>
    <w:p>
      <w:pPr>
        <w:pStyle w:val="23"/>
        <w:tabs>
          <w:tab w:val="right" w:leader="dot" w:pos="8820"/>
          <w:tab w:val="clear" w:pos="8494"/>
        </w:tabs>
        <w:ind w:left="360" w:hanging="360" w:hangingChars="150"/>
      </w:pPr>
      <w:r>
        <w:rPr>
          <w:rStyle w:val="32"/>
          <w:rFonts w:hint="eastAsia"/>
          <w:color w:val="auto"/>
          <w:sz w:val="24"/>
          <w:szCs w:val="24"/>
        </w:rPr>
        <w:t>6．</w:t>
      </w:r>
      <w:r>
        <w:fldChar w:fldCharType="begin"/>
      </w:r>
      <w:r>
        <w:instrText xml:space="preserve"> HYPERLINK \l "_Toc25648187" </w:instrText>
      </w:r>
      <w:r>
        <w:fldChar w:fldCharType="separate"/>
      </w:r>
      <w:r>
        <w:rPr>
          <w:rStyle w:val="32"/>
          <w:rFonts w:hint="eastAsia"/>
          <w:color w:val="auto"/>
          <w:sz w:val="24"/>
          <w:szCs w:val="24"/>
        </w:rPr>
        <w:t>北京市实施《中华人民共和国农民专业合作社法》办法（市人大2009.11.20）</w:t>
      </w:r>
      <w:r>
        <w:rPr>
          <w:rStyle w:val="32"/>
          <w:color w:val="auto"/>
          <w:sz w:val="24"/>
          <w:szCs w:val="24"/>
        </w:rPr>
        <w:br w:type="textWrapping"/>
      </w:r>
      <w:r>
        <w:rPr>
          <w:sz w:val="24"/>
          <w:szCs w:val="24"/>
        </w:rPr>
        <w:tab/>
      </w:r>
      <w:r>
        <w:rPr>
          <w:sz w:val="24"/>
          <w:szCs w:val="24"/>
        </w:rPr>
        <w:fldChar w:fldCharType="begin"/>
      </w:r>
      <w:r>
        <w:rPr>
          <w:sz w:val="24"/>
          <w:szCs w:val="24"/>
        </w:rPr>
        <w:instrText xml:space="preserve"> PAGEREF _Toc25648187 \h </w:instrText>
      </w:r>
      <w:r>
        <w:rPr>
          <w:sz w:val="24"/>
          <w:szCs w:val="24"/>
        </w:rPr>
        <w:fldChar w:fldCharType="separate"/>
      </w:r>
      <w:r>
        <w:rPr>
          <w:sz w:val="24"/>
          <w:szCs w:val="24"/>
        </w:rPr>
        <w:t>315</w:t>
      </w:r>
      <w:r>
        <w:rPr>
          <w:sz w:val="24"/>
          <w:szCs w:val="24"/>
        </w:rPr>
        <w:fldChar w:fldCharType="end"/>
      </w:r>
      <w:r>
        <w:rPr>
          <w:sz w:val="24"/>
          <w:szCs w:val="24"/>
        </w:rPr>
        <w:fldChar w:fldCharType="end"/>
      </w:r>
    </w:p>
    <w:p>
      <w:pPr>
        <w:pStyle w:val="23"/>
        <w:tabs>
          <w:tab w:val="right" w:leader="dot" w:pos="8820"/>
          <w:tab w:val="clear" w:pos="8494"/>
        </w:tabs>
        <w:rPr>
          <w:rStyle w:val="32"/>
          <w:color w:val="auto"/>
          <w:sz w:val="24"/>
          <w:szCs w:val="24"/>
        </w:rPr>
      </w:pPr>
      <w:r>
        <w:rPr>
          <w:rStyle w:val="32"/>
          <w:rFonts w:hint="eastAsia"/>
          <w:color w:val="auto"/>
          <w:sz w:val="24"/>
          <w:szCs w:val="24"/>
        </w:rPr>
        <w:t>7．农民专业合作社登记管理条例（国务院2014.2.19修订）</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_Toc28250897 \h </w:instrText>
      </w:r>
      <w:r>
        <w:rPr>
          <w:rStyle w:val="32"/>
          <w:color w:val="auto"/>
          <w:sz w:val="24"/>
          <w:szCs w:val="24"/>
        </w:rPr>
        <w:fldChar w:fldCharType="separate"/>
      </w:r>
      <w:r>
        <w:rPr>
          <w:rStyle w:val="32"/>
          <w:color w:val="auto"/>
          <w:sz w:val="24"/>
          <w:szCs w:val="24"/>
        </w:rPr>
        <w:t>323</w:t>
      </w:r>
      <w:r>
        <w:rPr>
          <w:rStyle w:val="32"/>
          <w:color w:val="auto"/>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"_Toc25648188" </w:instrText>
      </w:r>
      <w:r>
        <w:fldChar w:fldCharType="separate"/>
      </w:r>
      <w:r>
        <w:rPr>
          <w:rStyle w:val="32"/>
          <w:rFonts w:hint="eastAsia"/>
          <w:color w:val="auto"/>
          <w:sz w:val="24"/>
          <w:szCs w:val="24"/>
        </w:rPr>
        <w:t>中华人民共和国乡镇企业法（1996.10.29）</w:t>
      </w:r>
      <w:r>
        <w:rPr>
          <w:sz w:val="24"/>
          <w:szCs w:val="24"/>
        </w:rPr>
        <w:tab/>
      </w:r>
      <w:r>
        <w:rPr>
          <w:sz w:val="24"/>
          <w:szCs w:val="24"/>
        </w:rPr>
        <w:fldChar w:fldCharType="begin"/>
      </w:r>
      <w:r>
        <w:rPr>
          <w:sz w:val="24"/>
          <w:szCs w:val="24"/>
        </w:rPr>
        <w:instrText xml:space="preserve"> PAGEREF _Toc25648188 \h </w:instrText>
      </w:r>
      <w:r>
        <w:rPr>
          <w:sz w:val="24"/>
          <w:szCs w:val="24"/>
        </w:rPr>
        <w:fldChar w:fldCharType="separate"/>
      </w:r>
      <w:r>
        <w:rPr>
          <w:sz w:val="24"/>
          <w:szCs w:val="24"/>
        </w:rPr>
        <w:t>328</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"_Toc25648189" </w:instrText>
      </w:r>
      <w:r>
        <w:fldChar w:fldCharType="separate"/>
      </w:r>
      <w:r>
        <w:rPr>
          <w:rStyle w:val="32"/>
          <w:rFonts w:hint="eastAsia"/>
          <w:color w:val="auto"/>
          <w:sz w:val="24"/>
          <w:szCs w:val="24"/>
        </w:rPr>
        <w:t>中华人民共和国乡村集体所有制企业条例（国务院2010.12.29修订）</w:t>
      </w:r>
      <w:r>
        <w:rPr>
          <w:sz w:val="24"/>
          <w:szCs w:val="24"/>
        </w:rPr>
        <w:tab/>
      </w:r>
      <w:r>
        <w:rPr>
          <w:sz w:val="24"/>
          <w:szCs w:val="24"/>
        </w:rPr>
        <w:fldChar w:fldCharType="begin"/>
      </w:r>
      <w:r>
        <w:rPr>
          <w:sz w:val="24"/>
          <w:szCs w:val="24"/>
        </w:rPr>
        <w:instrText xml:space="preserve"> PAGEREF _Toc25648189 \h </w:instrText>
      </w:r>
      <w:r>
        <w:rPr>
          <w:sz w:val="24"/>
          <w:szCs w:val="24"/>
        </w:rPr>
        <w:fldChar w:fldCharType="separate"/>
      </w:r>
      <w:r>
        <w:rPr>
          <w:sz w:val="24"/>
          <w:szCs w:val="24"/>
        </w:rPr>
        <w:t>333</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"_Toc25648190" </w:instrText>
      </w:r>
      <w:r>
        <w:fldChar w:fldCharType="separate"/>
      </w:r>
      <w:r>
        <w:rPr>
          <w:rStyle w:val="32"/>
          <w:rFonts w:hint="eastAsia"/>
          <w:color w:val="auto"/>
          <w:sz w:val="24"/>
          <w:szCs w:val="24"/>
        </w:rPr>
        <w:t>北京市农村股份合作企业暂行条例（市人大2016.11.25修订）</w:t>
      </w:r>
      <w:r>
        <w:rPr>
          <w:sz w:val="24"/>
          <w:szCs w:val="24"/>
        </w:rPr>
        <w:tab/>
      </w:r>
      <w:r>
        <w:rPr>
          <w:sz w:val="24"/>
          <w:szCs w:val="24"/>
        </w:rPr>
        <w:fldChar w:fldCharType="begin"/>
      </w:r>
      <w:r>
        <w:rPr>
          <w:sz w:val="24"/>
          <w:szCs w:val="24"/>
        </w:rPr>
        <w:instrText xml:space="preserve"> PAGEREF _Toc25648190 \h </w:instrText>
      </w:r>
      <w:r>
        <w:rPr>
          <w:sz w:val="24"/>
          <w:szCs w:val="24"/>
        </w:rPr>
        <w:fldChar w:fldCharType="separate"/>
      </w:r>
      <w:r>
        <w:rPr>
          <w:sz w:val="24"/>
          <w:szCs w:val="24"/>
        </w:rPr>
        <w:t>339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"_Toc25648191" </w:instrText>
      </w:r>
      <w:r>
        <w:fldChar w:fldCharType="separate"/>
      </w:r>
      <w:r>
        <w:rPr>
          <w:rStyle w:val="32"/>
          <w:rFonts w:hint="eastAsia"/>
          <w:color w:val="auto"/>
          <w:sz w:val="24"/>
          <w:szCs w:val="24"/>
        </w:rPr>
        <w:t>农民承担费用和劳务管理条例（国务院</w:t>
      </w:r>
      <w:r>
        <w:rPr>
          <w:rStyle w:val="32"/>
          <w:color w:val="auto"/>
          <w:sz w:val="24"/>
          <w:szCs w:val="24"/>
        </w:rPr>
        <w:t>1991.1</w:t>
      </w:r>
      <w:r>
        <w:rPr>
          <w:rStyle w:val="32"/>
          <w:rFonts w:hint="eastAsia"/>
          <w:color w:val="auto"/>
          <w:sz w:val="24"/>
          <w:szCs w:val="24"/>
        </w:rPr>
        <w:t>2</w:t>
      </w:r>
      <w:r>
        <w:rPr>
          <w:rStyle w:val="32"/>
          <w:color w:val="auto"/>
          <w:sz w:val="24"/>
          <w:szCs w:val="24"/>
        </w:rPr>
        <w:t>.</w:t>
      </w:r>
      <w:r>
        <w:rPr>
          <w:rStyle w:val="32"/>
          <w:rFonts w:hint="eastAsia"/>
          <w:color w:val="auto"/>
          <w:sz w:val="24"/>
          <w:szCs w:val="24"/>
        </w:rPr>
        <w:t>7）</w:t>
      </w:r>
      <w:r>
        <w:rPr>
          <w:sz w:val="24"/>
          <w:szCs w:val="24"/>
        </w:rPr>
        <w:tab/>
      </w:r>
      <w:r>
        <w:rPr>
          <w:sz w:val="24"/>
          <w:szCs w:val="24"/>
        </w:rPr>
        <w:fldChar w:fldCharType="begin"/>
      </w:r>
      <w:r>
        <w:rPr>
          <w:sz w:val="24"/>
          <w:szCs w:val="24"/>
        </w:rPr>
        <w:instrText xml:space="preserve"> PAGEREF _Toc25648191 \h </w:instrText>
      </w:r>
      <w:r>
        <w:rPr>
          <w:sz w:val="24"/>
          <w:szCs w:val="24"/>
        </w:rPr>
        <w:fldChar w:fldCharType="separate"/>
      </w:r>
      <w:r>
        <w:rPr>
          <w:sz w:val="24"/>
          <w:szCs w:val="24"/>
        </w:rPr>
        <w:t>347</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"_Toc25648192" </w:instrText>
      </w:r>
      <w:r>
        <w:fldChar w:fldCharType="separate"/>
      </w:r>
      <w:r>
        <w:rPr>
          <w:rStyle w:val="32"/>
          <w:rFonts w:hint="eastAsia"/>
          <w:color w:val="auto"/>
        </w:rPr>
        <w:t>四、农业综合</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"_Toc25648193" </w:instrText>
      </w:r>
      <w:r>
        <w:fldChar w:fldCharType="separate"/>
      </w:r>
      <w:r>
        <w:rPr>
          <w:rStyle w:val="32"/>
          <w:rFonts w:hint="eastAsia"/>
          <w:color w:val="auto"/>
          <w:sz w:val="24"/>
          <w:szCs w:val="24"/>
        </w:rPr>
        <w:t>中华人民共和国农业法（2012.12.28修订）</w:t>
      </w:r>
      <w:r>
        <w:rPr>
          <w:sz w:val="24"/>
          <w:szCs w:val="24"/>
        </w:rPr>
        <w:tab/>
      </w:r>
      <w:r>
        <w:rPr>
          <w:sz w:val="24"/>
          <w:szCs w:val="24"/>
        </w:rPr>
        <w:fldChar w:fldCharType="begin"/>
      </w:r>
      <w:r>
        <w:rPr>
          <w:sz w:val="24"/>
          <w:szCs w:val="24"/>
        </w:rPr>
        <w:instrText xml:space="preserve"> PAGEREF _Toc25648193 \h </w:instrText>
      </w:r>
      <w:r>
        <w:rPr>
          <w:sz w:val="24"/>
          <w:szCs w:val="24"/>
        </w:rPr>
        <w:fldChar w:fldCharType="separate"/>
      </w:r>
      <w:r>
        <w:rPr>
          <w:sz w:val="24"/>
          <w:szCs w:val="24"/>
        </w:rPr>
        <w:t>355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"_Toc25648194" </w:instrText>
      </w:r>
      <w:r>
        <w:fldChar w:fldCharType="separate"/>
      </w:r>
      <w:r>
        <w:rPr>
          <w:rStyle w:val="32"/>
          <w:rFonts w:hint="eastAsia"/>
          <w:color w:val="auto"/>
          <w:sz w:val="24"/>
          <w:szCs w:val="24"/>
        </w:rPr>
        <w:t>中华人民共和国农业技术推广法（2012.8.31修订）</w:t>
      </w:r>
      <w:r>
        <w:rPr>
          <w:sz w:val="24"/>
          <w:szCs w:val="24"/>
        </w:rPr>
        <w:tab/>
      </w:r>
      <w:r>
        <w:rPr>
          <w:sz w:val="24"/>
          <w:szCs w:val="24"/>
        </w:rPr>
        <w:fldChar w:fldCharType="begin"/>
      </w:r>
      <w:r>
        <w:rPr>
          <w:sz w:val="24"/>
          <w:szCs w:val="24"/>
        </w:rPr>
        <w:instrText xml:space="preserve"> PAGEREF _Toc25648194 \h </w:instrText>
      </w:r>
      <w:r>
        <w:rPr>
          <w:sz w:val="24"/>
          <w:szCs w:val="24"/>
        </w:rPr>
        <w:fldChar w:fldCharType="separate"/>
      </w:r>
      <w:r>
        <w:rPr>
          <w:sz w:val="24"/>
          <w:szCs w:val="24"/>
        </w:rPr>
        <w:t>370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"_Toc25648195" </w:instrText>
      </w:r>
      <w:r>
        <w:fldChar w:fldCharType="separate"/>
      </w:r>
      <w:r>
        <w:rPr>
          <w:rStyle w:val="32"/>
          <w:rFonts w:hint="eastAsia"/>
          <w:color w:val="auto"/>
          <w:sz w:val="24"/>
          <w:szCs w:val="24"/>
        </w:rPr>
        <w:t>北京市实施《中华人民共和国农业技术推广法》办法（市人大1995.6.8）</w:t>
      </w:r>
      <w:r>
        <w:rPr>
          <w:sz w:val="24"/>
          <w:szCs w:val="24"/>
        </w:rPr>
        <w:tab/>
      </w:r>
      <w:r>
        <w:rPr>
          <w:sz w:val="24"/>
          <w:szCs w:val="24"/>
        </w:rPr>
        <w:fldChar w:fldCharType="begin"/>
      </w:r>
      <w:r>
        <w:rPr>
          <w:sz w:val="24"/>
          <w:szCs w:val="24"/>
        </w:rPr>
        <w:instrText xml:space="preserve"> PAGEREF _Toc25648195 \h </w:instrText>
      </w:r>
      <w:r>
        <w:rPr>
          <w:sz w:val="24"/>
          <w:szCs w:val="24"/>
        </w:rPr>
        <w:fldChar w:fldCharType="separate"/>
      </w:r>
      <w:r>
        <w:rPr>
          <w:sz w:val="24"/>
          <w:szCs w:val="24"/>
        </w:rPr>
        <w:t>376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"_Toc25648196" </w:instrText>
      </w:r>
      <w:r>
        <w:fldChar w:fldCharType="separate"/>
      </w:r>
      <w:r>
        <w:rPr>
          <w:rStyle w:val="32"/>
          <w:rFonts w:hint="eastAsia"/>
          <w:color w:val="auto"/>
          <w:sz w:val="24"/>
          <w:szCs w:val="24"/>
        </w:rPr>
        <w:t>中华人民共和国农产品质量安全法（2018.10.26修订）</w:t>
      </w:r>
      <w:r>
        <w:rPr>
          <w:sz w:val="24"/>
          <w:szCs w:val="24"/>
        </w:rPr>
        <w:tab/>
      </w:r>
      <w:r>
        <w:rPr>
          <w:sz w:val="24"/>
          <w:szCs w:val="24"/>
        </w:rPr>
        <w:fldChar w:fldCharType="begin"/>
      </w:r>
      <w:r>
        <w:rPr>
          <w:sz w:val="24"/>
          <w:szCs w:val="24"/>
        </w:rPr>
        <w:instrText xml:space="preserve"> PAGEREF _Toc25648196 \h </w:instrText>
      </w:r>
      <w:r>
        <w:rPr>
          <w:sz w:val="24"/>
          <w:szCs w:val="24"/>
        </w:rPr>
        <w:fldChar w:fldCharType="separate"/>
      </w:r>
      <w:r>
        <w:rPr>
          <w:sz w:val="24"/>
          <w:szCs w:val="24"/>
        </w:rPr>
        <w:t>380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"_Toc25648197" </w:instrText>
      </w:r>
      <w:r>
        <w:fldChar w:fldCharType="separate"/>
      </w:r>
      <w:r>
        <w:rPr>
          <w:rStyle w:val="32"/>
          <w:rFonts w:hint="eastAsia"/>
          <w:color w:val="auto"/>
          <w:sz w:val="24"/>
          <w:szCs w:val="24"/>
        </w:rPr>
        <w:t>中华人民共和国食品安全法（2018.12.29修订）</w:t>
      </w:r>
      <w:r>
        <w:rPr>
          <w:sz w:val="24"/>
          <w:szCs w:val="24"/>
        </w:rPr>
        <w:tab/>
      </w:r>
      <w:r>
        <w:rPr>
          <w:sz w:val="24"/>
          <w:szCs w:val="24"/>
        </w:rPr>
        <w:fldChar w:fldCharType="begin"/>
      </w:r>
      <w:r>
        <w:rPr>
          <w:sz w:val="24"/>
          <w:szCs w:val="24"/>
        </w:rPr>
        <w:instrText xml:space="preserve"> PAGEREF _Toc25648197 \h </w:instrText>
      </w:r>
      <w:r>
        <w:rPr>
          <w:sz w:val="24"/>
          <w:szCs w:val="24"/>
        </w:rPr>
        <w:fldChar w:fldCharType="separate"/>
      </w:r>
      <w:r>
        <w:rPr>
          <w:sz w:val="24"/>
          <w:szCs w:val="24"/>
        </w:rPr>
        <w:t>387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"_Toc25648198" </w:instrText>
      </w:r>
      <w:r>
        <w:fldChar w:fldCharType="separate"/>
      </w:r>
      <w:r>
        <w:rPr>
          <w:rStyle w:val="32"/>
          <w:rFonts w:hint="eastAsia"/>
          <w:color w:val="auto"/>
          <w:sz w:val="24"/>
          <w:szCs w:val="24"/>
        </w:rPr>
        <w:t>中华人民共和国食品安全法实施条例（国务院2019.10.11修订）</w:t>
      </w:r>
      <w:r>
        <w:rPr>
          <w:sz w:val="24"/>
          <w:szCs w:val="24"/>
        </w:rPr>
        <w:tab/>
      </w:r>
      <w:r>
        <w:rPr>
          <w:sz w:val="24"/>
          <w:szCs w:val="24"/>
        </w:rPr>
        <w:fldChar w:fldCharType="begin"/>
      </w:r>
      <w:r>
        <w:rPr>
          <w:sz w:val="24"/>
          <w:szCs w:val="24"/>
        </w:rPr>
        <w:instrText xml:space="preserve"> PAGEREF _Toc25648198 \h </w:instrText>
      </w:r>
      <w:r>
        <w:rPr>
          <w:sz w:val="24"/>
          <w:szCs w:val="24"/>
        </w:rPr>
        <w:fldChar w:fldCharType="separate"/>
      </w:r>
      <w:r>
        <w:rPr>
          <w:sz w:val="24"/>
          <w:szCs w:val="24"/>
        </w:rPr>
        <w:t>419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"_Toc25648199" </w:instrText>
      </w:r>
      <w:r>
        <w:fldChar w:fldCharType="separate"/>
      </w:r>
      <w:r>
        <w:rPr>
          <w:rStyle w:val="32"/>
          <w:rFonts w:hint="eastAsia"/>
          <w:color w:val="auto"/>
          <w:sz w:val="24"/>
          <w:szCs w:val="24"/>
        </w:rPr>
        <w:t>北京市食品安全条例（市人大2016.11.25修订）</w:t>
      </w:r>
      <w:r>
        <w:rPr>
          <w:sz w:val="24"/>
          <w:szCs w:val="24"/>
        </w:rPr>
        <w:tab/>
      </w:r>
      <w:r>
        <w:rPr>
          <w:sz w:val="24"/>
          <w:szCs w:val="24"/>
        </w:rPr>
        <w:fldChar w:fldCharType="begin"/>
      </w:r>
      <w:r>
        <w:rPr>
          <w:sz w:val="24"/>
          <w:szCs w:val="24"/>
        </w:rPr>
        <w:instrText xml:space="preserve"> PAGEREF _Toc25648199 \h </w:instrText>
      </w:r>
      <w:r>
        <w:rPr>
          <w:sz w:val="24"/>
          <w:szCs w:val="24"/>
        </w:rPr>
        <w:fldChar w:fldCharType="separate"/>
      </w:r>
      <w:r>
        <w:rPr>
          <w:sz w:val="24"/>
          <w:szCs w:val="24"/>
        </w:rPr>
        <w:t>430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"_Toc25648200" </w:instrText>
      </w:r>
      <w:r>
        <w:fldChar w:fldCharType="separate"/>
      </w:r>
      <w:r>
        <w:rPr>
          <w:rStyle w:val="32"/>
          <w:rFonts w:hint="eastAsia"/>
          <w:color w:val="auto"/>
          <w:sz w:val="24"/>
          <w:szCs w:val="24"/>
        </w:rPr>
        <w:t>国务院关于加强食品等产品安全监督管理的特别规定（2007.7.26）</w:t>
      </w:r>
      <w:r>
        <w:rPr>
          <w:sz w:val="24"/>
          <w:szCs w:val="24"/>
        </w:rPr>
        <w:tab/>
      </w:r>
      <w:r>
        <w:rPr>
          <w:sz w:val="24"/>
          <w:szCs w:val="24"/>
        </w:rPr>
        <w:fldChar w:fldCharType="begin"/>
      </w:r>
      <w:r>
        <w:rPr>
          <w:sz w:val="24"/>
          <w:szCs w:val="24"/>
        </w:rPr>
        <w:instrText xml:space="preserve"> PAGEREF _Toc25648200 \h </w:instrText>
      </w:r>
      <w:r>
        <w:rPr>
          <w:sz w:val="24"/>
          <w:szCs w:val="24"/>
        </w:rPr>
        <w:fldChar w:fldCharType="separate"/>
      </w:r>
      <w:r>
        <w:rPr>
          <w:sz w:val="24"/>
          <w:szCs w:val="24"/>
        </w:rPr>
        <w:t>446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"_Toc25648201" </w:instrText>
      </w:r>
      <w:r>
        <w:fldChar w:fldCharType="separate"/>
      </w:r>
      <w:r>
        <w:rPr>
          <w:rStyle w:val="32"/>
          <w:rFonts w:hint="eastAsia"/>
          <w:color w:val="auto"/>
          <w:sz w:val="24"/>
          <w:szCs w:val="24"/>
        </w:rPr>
        <w:t>无公害农产品管理办法（农业部、国家质检总局2007.11.8修订）</w:t>
      </w:r>
      <w:r>
        <w:rPr>
          <w:sz w:val="24"/>
          <w:szCs w:val="24"/>
        </w:rPr>
        <w:tab/>
      </w:r>
      <w:r>
        <w:rPr>
          <w:sz w:val="24"/>
          <w:szCs w:val="24"/>
        </w:rPr>
        <w:fldChar w:fldCharType="begin"/>
      </w:r>
      <w:r>
        <w:rPr>
          <w:sz w:val="24"/>
          <w:szCs w:val="24"/>
        </w:rPr>
        <w:instrText xml:space="preserve"> PAGEREF _Toc25648201 \h </w:instrText>
      </w:r>
      <w:r>
        <w:rPr>
          <w:sz w:val="24"/>
          <w:szCs w:val="24"/>
        </w:rPr>
        <w:fldChar w:fldCharType="separate"/>
      </w:r>
      <w:r>
        <w:rPr>
          <w:sz w:val="24"/>
          <w:szCs w:val="24"/>
        </w:rPr>
        <w:t>451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"_Toc25648202" </w:instrText>
      </w:r>
      <w:r>
        <w:fldChar w:fldCharType="separate"/>
      </w:r>
      <w:r>
        <w:rPr>
          <w:rStyle w:val="32"/>
          <w:rFonts w:hint="eastAsia"/>
          <w:color w:val="auto"/>
          <w:sz w:val="24"/>
          <w:szCs w:val="24"/>
        </w:rPr>
        <w:t>农产品产地安全管理办法（农业部2006.10.17）</w:t>
      </w:r>
      <w:r>
        <w:rPr>
          <w:sz w:val="24"/>
          <w:szCs w:val="24"/>
        </w:rPr>
        <w:tab/>
      </w:r>
      <w:r>
        <w:rPr>
          <w:sz w:val="24"/>
          <w:szCs w:val="24"/>
        </w:rPr>
        <w:fldChar w:fldCharType="begin"/>
      </w:r>
      <w:r>
        <w:rPr>
          <w:sz w:val="24"/>
          <w:szCs w:val="24"/>
        </w:rPr>
        <w:instrText xml:space="preserve"> PAGEREF _Toc25648202 \h </w:instrText>
      </w:r>
      <w:r>
        <w:rPr>
          <w:sz w:val="24"/>
          <w:szCs w:val="24"/>
        </w:rPr>
        <w:fldChar w:fldCharType="separate"/>
      </w:r>
      <w:r>
        <w:rPr>
          <w:sz w:val="24"/>
          <w:szCs w:val="24"/>
        </w:rPr>
        <w:t>456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"_Toc25648203" </w:instrText>
      </w:r>
      <w:r>
        <w:fldChar w:fldCharType="separate"/>
      </w:r>
      <w:r>
        <w:rPr>
          <w:rStyle w:val="32"/>
          <w:rFonts w:hint="eastAsia"/>
          <w:color w:val="auto"/>
          <w:sz w:val="24"/>
          <w:szCs w:val="24"/>
        </w:rPr>
        <w:t>农产品地理标志管理办法（农业农村部2019.4.25修订）</w:t>
      </w:r>
      <w:r>
        <w:rPr>
          <w:sz w:val="24"/>
          <w:szCs w:val="24"/>
        </w:rPr>
        <w:tab/>
      </w:r>
      <w:r>
        <w:rPr>
          <w:sz w:val="24"/>
          <w:szCs w:val="24"/>
        </w:rPr>
        <w:fldChar w:fldCharType="begin"/>
      </w:r>
      <w:r>
        <w:rPr>
          <w:sz w:val="24"/>
          <w:szCs w:val="24"/>
        </w:rPr>
        <w:instrText xml:space="preserve"> PAGEREF _Toc25648203 \h </w:instrText>
      </w:r>
      <w:r>
        <w:rPr>
          <w:sz w:val="24"/>
          <w:szCs w:val="24"/>
        </w:rPr>
        <w:fldChar w:fldCharType="separate"/>
      </w:r>
      <w:r>
        <w:rPr>
          <w:sz w:val="24"/>
          <w:szCs w:val="24"/>
        </w:rPr>
        <w:t>460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12．</w:t>
      </w:r>
      <w:r>
        <w:fldChar w:fldCharType="begin"/>
      </w:r>
      <w:r>
        <w:instrText xml:space="preserve"> HYPERLINK \l "_Toc25648204" </w:instrText>
      </w:r>
      <w:r>
        <w:fldChar w:fldCharType="separate"/>
      </w:r>
      <w:r>
        <w:rPr>
          <w:rStyle w:val="32"/>
          <w:rFonts w:hint="eastAsia"/>
          <w:color w:val="auto"/>
          <w:sz w:val="24"/>
          <w:szCs w:val="24"/>
        </w:rPr>
        <w:t>绿色食品标志管理办法（农业农村部2019.4.25修订）</w:t>
      </w:r>
      <w:r>
        <w:rPr>
          <w:sz w:val="24"/>
          <w:szCs w:val="24"/>
        </w:rPr>
        <w:tab/>
      </w:r>
      <w:r>
        <w:rPr>
          <w:sz w:val="24"/>
          <w:szCs w:val="24"/>
        </w:rPr>
        <w:fldChar w:fldCharType="begin"/>
      </w:r>
      <w:r>
        <w:rPr>
          <w:sz w:val="24"/>
          <w:szCs w:val="24"/>
        </w:rPr>
        <w:instrText xml:space="preserve"> PAGEREF _Toc25648204 \h </w:instrText>
      </w:r>
      <w:r>
        <w:rPr>
          <w:sz w:val="24"/>
          <w:szCs w:val="24"/>
        </w:rPr>
        <w:fldChar w:fldCharType="separate"/>
      </w:r>
      <w:r>
        <w:rPr>
          <w:sz w:val="24"/>
          <w:szCs w:val="24"/>
        </w:rPr>
        <w:t>464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13．</w:t>
      </w:r>
      <w:r>
        <w:fldChar w:fldCharType="begin"/>
      </w:r>
      <w:r>
        <w:instrText xml:space="preserve"> HYPERLINK \l "_Toc25648205" </w:instrText>
      </w:r>
      <w:r>
        <w:fldChar w:fldCharType="separate"/>
      </w:r>
      <w:r>
        <w:rPr>
          <w:rStyle w:val="32"/>
          <w:rFonts w:hint="eastAsia"/>
          <w:color w:val="auto"/>
          <w:sz w:val="24"/>
          <w:szCs w:val="24"/>
        </w:rPr>
        <w:t>农产品包装和标识管理办法（农业部2006.10.17）</w:t>
      </w:r>
      <w:r>
        <w:rPr>
          <w:sz w:val="24"/>
          <w:szCs w:val="24"/>
        </w:rPr>
        <w:tab/>
      </w:r>
      <w:r>
        <w:rPr>
          <w:sz w:val="24"/>
          <w:szCs w:val="24"/>
        </w:rPr>
        <w:fldChar w:fldCharType="begin"/>
      </w:r>
      <w:r>
        <w:rPr>
          <w:sz w:val="24"/>
          <w:szCs w:val="24"/>
        </w:rPr>
        <w:instrText xml:space="preserve"> PAGEREF _Toc25648205 \h </w:instrText>
      </w:r>
      <w:r>
        <w:rPr>
          <w:sz w:val="24"/>
          <w:szCs w:val="24"/>
        </w:rPr>
        <w:fldChar w:fldCharType="separate"/>
      </w:r>
      <w:r>
        <w:rPr>
          <w:sz w:val="24"/>
          <w:szCs w:val="24"/>
        </w:rPr>
        <w:t>469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14．</w:t>
      </w:r>
      <w:r>
        <w:fldChar w:fldCharType="begin"/>
      </w:r>
      <w:r>
        <w:instrText xml:space="preserve"> HYPERLINK \l "_Toc25648206" </w:instrText>
      </w:r>
      <w:r>
        <w:fldChar w:fldCharType="separate"/>
      </w:r>
      <w:r>
        <w:rPr>
          <w:rStyle w:val="32"/>
          <w:rFonts w:hint="eastAsia"/>
          <w:color w:val="auto"/>
          <w:sz w:val="24"/>
          <w:szCs w:val="24"/>
        </w:rPr>
        <w:t>农产品质量安全检测机构考核办法（农业部2017.11.30修订）</w:t>
      </w:r>
      <w:r>
        <w:rPr>
          <w:sz w:val="24"/>
          <w:szCs w:val="24"/>
        </w:rPr>
        <w:tab/>
      </w:r>
      <w:r>
        <w:rPr>
          <w:sz w:val="24"/>
          <w:szCs w:val="24"/>
        </w:rPr>
        <w:fldChar w:fldCharType="begin"/>
      </w:r>
      <w:r>
        <w:rPr>
          <w:sz w:val="24"/>
          <w:szCs w:val="24"/>
        </w:rPr>
        <w:instrText xml:space="preserve"> PAGEREF _Toc25648206 \h </w:instrText>
      </w:r>
      <w:r>
        <w:rPr>
          <w:sz w:val="24"/>
          <w:szCs w:val="24"/>
        </w:rPr>
        <w:fldChar w:fldCharType="separate"/>
      </w:r>
      <w:r>
        <w:rPr>
          <w:sz w:val="24"/>
          <w:szCs w:val="24"/>
        </w:rPr>
        <w:t>472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15．</w:t>
      </w:r>
      <w:r>
        <w:fldChar w:fldCharType="begin"/>
      </w:r>
      <w:r>
        <w:instrText xml:space="preserve"> HYPERLINK \l "_Toc25648207" </w:instrText>
      </w:r>
      <w:r>
        <w:fldChar w:fldCharType="separate"/>
      </w:r>
      <w:r>
        <w:rPr>
          <w:rStyle w:val="32"/>
          <w:rFonts w:hint="eastAsia"/>
          <w:color w:val="auto"/>
          <w:sz w:val="24"/>
          <w:szCs w:val="24"/>
        </w:rPr>
        <w:t>农产品质量安全监测管理办法（农业部2012.8.14）</w:t>
      </w:r>
      <w:r>
        <w:rPr>
          <w:sz w:val="24"/>
          <w:szCs w:val="24"/>
        </w:rPr>
        <w:tab/>
      </w:r>
      <w:r>
        <w:rPr>
          <w:sz w:val="24"/>
          <w:szCs w:val="24"/>
        </w:rPr>
        <w:fldChar w:fldCharType="begin"/>
      </w:r>
      <w:r>
        <w:rPr>
          <w:sz w:val="24"/>
          <w:szCs w:val="24"/>
        </w:rPr>
        <w:instrText xml:space="preserve"> PAGEREF _Toc25648207 \h </w:instrText>
      </w:r>
      <w:r>
        <w:rPr>
          <w:sz w:val="24"/>
          <w:szCs w:val="24"/>
        </w:rPr>
        <w:fldChar w:fldCharType="separate"/>
      </w:r>
      <w:r>
        <w:rPr>
          <w:sz w:val="24"/>
          <w:szCs w:val="24"/>
        </w:rPr>
        <w:t>477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16．</w:t>
      </w:r>
      <w:r>
        <w:fldChar w:fldCharType="begin"/>
      </w:r>
      <w:r>
        <w:instrText xml:space="preserve"> HYPERLINK \l "_Toc25648209" </w:instrText>
      </w:r>
      <w:r>
        <w:fldChar w:fldCharType="separate"/>
      </w:r>
      <w:r>
        <w:rPr>
          <w:rStyle w:val="32"/>
          <w:rFonts w:hint="eastAsia"/>
          <w:color w:val="auto"/>
          <w:sz w:val="24"/>
          <w:szCs w:val="24"/>
          <w:shd w:val="clear" w:color="auto" w:fill="FFFFFF"/>
        </w:rPr>
        <w:t>农业保险条例（国务院2016.2.6修订）</w:t>
      </w:r>
      <w:r>
        <w:rPr>
          <w:sz w:val="24"/>
          <w:szCs w:val="24"/>
        </w:rPr>
        <w:tab/>
      </w:r>
      <w:r>
        <w:rPr>
          <w:sz w:val="24"/>
          <w:szCs w:val="24"/>
        </w:rPr>
        <w:fldChar w:fldCharType="begin"/>
      </w:r>
      <w:r>
        <w:rPr>
          <w:sz w:val="24"/>
          <w:szCs w:val="24"/>
        </w:rPr>
        <w:instrText xml:space="preserve"> PAGEREF _Toc25648209 \h </w:instrText>
      </w:r>
      <w:r>
        <w:rPr>
          <w:sz w:val="24"/>
          <w:szCs w:val="24"/>
        </w:rPr>
        <w:fldChar w:fldCharType="separate"/>
      </w:r>
      <w:r>
        <w:rPr>
          <w:sz w:val="24"/>
          <w:szCs w:val="24"/>
        </w:rPr>
        <w:t>482</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"_Toc25648210" </w:instrText>
      </w:r>
      <w:r>
        <w:fldChar w:fldCharType="separate"/>
      </w:r>
      <w:r>
        <w:rPr>
          <w:rStyle w:val="32"/>
          <w:rFonts w:hint="eastAsia"/>
          <w:color w:val="auto"/>
        </w:rPr>
        <w:t>五、种业</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"_Toc25648211" </w:instrText>
      </w:r>
      <w:r>
        <w:fldChar w:fldCharType="separate"/>
      </w:r>
      <w:r>
        <w:rPr>
          <w:rStyle w:val="32"/>
          <w:rFonts w:hint="eastAsia"/>
          <w:color w:val="auto"/>
          <w:sz w:val="24"/>
          <w:szCs w:val="24"/>
        </w:rPr>
        <w:t>中华人民共和国种子法（2015.11.4修订）</w:t>
      </w:r>
      <w:r>
        <w:rPr>
          <w:sz w:val="24"/>
          <w:szCs w:val="24"/>
        </w:rPr>
        <w:tab/>
      </w:r>
      <w:r>
        <w:rPr>
          <w:sz w:val="24"/>
          <w:szCs w:val="24"/>
        </w:rPr>
        <w:fldChar w:fldCharType="begin"/>
      </w:r>
      <w:r>
        <w:rPr>
          <w:sz w:val="24"/>
          <w:szCs w:val="24"/>
        </w:rPr>
        <w:instrText xml:space="preserve"> PAGEREF _Toc25648211 \h </w:instrText>
      </w:r>
      <w:r>
        <w:rPr>
          <w:sz w:val="24"/>
          <w:szCs w:val="24"/>
        </w:rPr>
        <w:fldChar w:fldCharType="separate"/>
      </w:r>
      <w:r>
        <w:rPr>
          <w:sz w:val="24"/>
          <w:szCs w:val="24"/>
        </w:rPr>
        <w:t>489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"_Toc25648212" </w:instrText>
      </w:r>
      <w:r>
        <w:fldChar w:fldCharType="separate"/>
      </w:r>
      <w:r>
        <w:rPr>
          <w:rStyle w:val="32"/>
          <w:rFonts w:hint="eastAsia"/>
          <w:color w:val="auto"/>
          <w:sz w:val="24"/>
          <w:szCs w:val="24"/>
        </w:rPr>
        <w:t>北京市实施《中华人民共和国种子法》办法（市人大2018.3.30修订）</w:t>
      </w:r>
      <w:r>
        <w:rPr>
          <w:sz w:val="24"/>
          <w:szCs w:val="24"/>
        </w:rPr>
        <w:tab/>
      </w:r>
      <w:r>
        <w:rPr>
          <w:sz w:val="24"/>
          <w:szCs w:val="24"/>
        </w:rPr>
        <w:fldChar w:fldCharType="begin"/>
      </w:r>
      <w:r>
        <w:rPr>
          <w:sz w:val="24"/>
          <w:szCs w:val="24"/>
        </w:rPr>
        <w:instrText xml:space="preserve"> PAGEREF _Toc25648212 \h </w:instrText>
      </w:r>
      <w:r>
        <w:rPr>
          <w:sz w:val="24"/>
          <w:szCs w:val="24"/>
        </w:rPr>
        <w:fldChar w:fldCharType="separate"/>
      </w:r>
      <w:r>
        <w:rPr>
          <w:sz w:val="24"/>
          <w:szCs w:val="24"/>
        </w:rPr>
        <w:t>504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"_Toc25648213" </w:instrText>
      </w:r>
      <w:r>
        <w:fldChar w:fldCharType="separate"/>
      </w:r>
      <w:r>
        <w:rPr>
          <w:rStyle w:val="32"/>
          <w:rFonts w:hint="eastAsia"/>
          <w:color w:val="auto"/>
          <w:sz w:val="24"/>
          <w:szCs w:val="24"/>
        </w:rPr>
        <w:t>农作物种子生产经营许可管理办法（农业农村部2019.4.25修订）</w:t>
      </w:r>
      <w:r>
        <w:rPr>
          <w:sz w:val="24"/>
          <w:szCs w:val="24"/>
        </w:rPr>
        <w:tab/>
      </w:r>
      <w:r>
        <w:rPr>
          <w:sz w:val="24"/>
          <w:szCs w:val="24"/>
        </w:rPr>
        <w:fldChar w:fldCharType="begin"/>
      </w:r>
      <w:r>
        <w:rPr>
          <w:sz w:val="24"/>
          <w:szCs w:val="24"/>
        </w:rPr>
        <w:instrText xml:space="preserve"> PAGEREF _Toc25648213 \h </w:instrText>
      </w:r>
      <w:r>
        <w:rPr>
          <w:sz w:val="24"/>
          <w:szCs w:val="24"/>
        </w:rPr>
        <w:fldChar w:fldCharType="separate"/>
      </w:r>
      <w:r>
        <w:rPr>
          <w:sz w:val="24"/>
          <w:szCs w:val="24"/>
        </w:rPr>
        <w:t>512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"_Toc25648214" </w:instrText>
      </w:r>
      <w:r>
        <w:fldChar w:fldCharType="separate"/>
      </w:r>
      <w:r>
        <w:rPr>
          <w:rStyle w:val="32"/>
          <w:rFonts w:hint="eastAsia"/>
          <w:color w:val="auto"/>
          <w:sz w:val="24"/>
          <w:szCs w:val="24"/>
        </w:rPr>
        <w:t>农作物种质资源管理办法（农业部2004.7.1修订）</w:t>
      </w:r>
      <w:r>
        <w:rPr>
          <w:sz w:val="24"/>
          <w:szCs w:val="24"/>
        </w:rPr>
        <w:tab/>
      </w:r>
      <w:r>
        <w:rPr>
          <w:sz w:val="24"/>
          <w:szCs w:val="24"/>
        </w:rPr>
        <w:fldChar w:fldCharType="begin"/>
      </w:r>
      <w:r>
        <w:rPr>
          <w:sz w:val="24"/>
          <w:szCs w:val="24"/>
        </w:rPr>
        <w:instrText xml:space="preserve"> PAGEREF _Toc25648214 \h </w:instrText>
      </w:r>
      <w:r>
        <w:rPr>
          <w:sz w:val="24"/>
          <w:szCs w:val="24"/>
        </w:rPr>
        <w:fldChar w:fldCharType="separate"/>
      </w:r>
      <w:r>
        <w:rPr>
          <w:sz w:val="24"/>
          <w:szCs w:val="24"/>
        </w:rPr>
        <w:t>522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"_Toc25648215" </w:instrText>
      </w:r>
      <w:r>
        <w:fldChar w:fldCharType="separate"/>
      </w:r>
      <w:r>
        <w:rPr>
          <w:rStyle w:val="32"/>
          <w:rFonts w:hint="eastAsia"/>
          <w:color w:val="auto"/>
          <w:sz w:val="24"/>
          <w:szCs w:val="24"/>
        </w:rPr>
        <w:t>进出口农作物种子（苗）管理暂行办法（农业部1997.3.28）</w:t>
      </w:r>
      <w:r>
        <w:rPr>
          <w:sz w:val="24"/>
          <w:szCs w:val="24"/>
        </w:rPr>
        <w:tab/>
      </w:r>
      <w:r>
        <w:rPr>
          <w:sz w:val="24"/>
          <w:szCs w:val="24"/>
        </w:rPr>
        <w:fldChar w:fldCharType="begin"/>
      </w:r>
      <w:r>
        <w:rPr>
          <w:sz w:val="24"/>
          <w:szCs w:val="24"/>
        </w:rPr>
        <w:instrText xml:space="preserve"> PAGEREF _Toc25648215 \h </w:instrText>
      </w:r>
      <w:r>
        <w:rPr>
          <w:sz w:val="24"/>
          <w:szCs w:val="24"/>
        </w:rPr>
        <w:fldChar w:fldCharType="separate"/>
      </w:r>
      <w:r>
        <w:rPr>
          <w:sz w:val="24"/>
          <w:szCs w:val="24"/>
        </w:rPr>
        <w:t>527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"_Toc25648216" </w:instrText>
      </w:r>
      <w:r>
        <w:fldChar w:fldCharType="separate"/>
      </w:r>
      <w:r>
        <w:rPr>
          <w:rStyle w:val="32"/>
          <w:rFonts w:hint="eastAsia"/>
          <w:color w:val="auto"/>
          <w:sz w:val="24"/>
          <w:szCs w:val="24"/>
        </w:rPr>
        <w:t>农作物种子标签和使用说明管理办法（农业部2016.7.8）</w:t>
      </w:r>
      <w:r>
        <w:rPr>
          <w:sz w:val="24"/>
          <w:szCs w:val="24"/>
        </w:rPr>
        <w:tab/>
      </w:r>
      <w:r>
        <w:rPr>
          <w:sz w:val="24"/>
          <w:szCs w:val="24"/>
        </w:rPr>
        <w:fldChar w:fldCharType="begin"/>
      </w:r>
      <w:r>
        <w:rPr>
          <w:sz w:val="24"/>
          <w:szCs w:val="24"/>
        </w:rPr>
        <w:instrText xml:space="preserve"> PAGEREF _Toc25648216 \h </w:instrText>
      </w:r>
      <w:r>
        <w:rPr>
          <w:sz w:val="24"/>
          <w:szCs w:val="24"/>
        </w:rPr>
        <w:fldChar w:fldCharType="separate"/>
      </w:r>
      <w:r>
        <w:rPr>
          <w:sz w:val="24"/>
          <w:szCs w:val="24"/>
        </w:rPr>
        <w:t>530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"_Toc25648217" </w:instrText>
      </w:r>
      <w:r>
        <w:fldChar w:fldCharType="separate"/>
      </w:r>
      <w:r>
        <w:rPr>
          <w:rStyle w:val="32"/>
          <w:rFonts w:hint="eastAsia"/>
          <w:color w:val="auto"/>
          <w:sz w:val="24"/>
          <w:szCs w:val="24"/>
        </w:rPr>
        <w:t>农作物种子质量纠纷田间现场鉴定办法（农业部2003.7.8）</w:t>
      </w:r>
      <w:r>
        <w:rPr>
          <w:sz w:val="24"/>
          <w:szCs w:val="24"/>
        </w:rPr>
        <w:tab/>
      </w:r>
      <w:r>
        <w:rPr>
          <w:sz w:val="24"/>
          <w:szCs w:val="24"/>
        </w:rPr>
        <w:fldChar w:fldCharType="begin"/>
      </w:r>
      <w:r>
        <w:rPr>
          <w:sz w:val="24"/>
          <w:szCs w:val="24"/>
        </w:rPr>
        <w:instrText xml:space="preserve"> PAGEREF _Toc25648217 \h </w:instrText>
      </w:r>
      <w:r>
        <w:rPr>
          <w:sz w:val="24"/>
          <w:szCs w:val="24"/>
        </w:rPr>
        <w:fldChar w:fldCharType="separate"/>
      </w:r>
      <w:r>
        <w:rPr>
          <w:sz w:val="24"/>
          <w:szCs w:val="24"/>
        </w:rPr>
        <w:t>535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"_Toc25648218" </w:instrText>
      </w:r>
      <w:r>
        <w:fldChar w:fldCharType="separate"/>
      </w:r>
      <w:r>
        <w:rPr>
          <w:rStyle w:val="32"/>
          <w:rFonts w:hint="eastAsia"/>
          <w:color w:val="auto"/>
          <w:sz w:val="24"/>
          <w:szCs w:val="24"/>
        </w:rPr>
        <w:t>农作物种子质量监督抽查管理办法（农业部2005.3.10）</w:t>
      </w:r>
      <w:r>
        <w:rPr>
          <w:sz w:val="24"/>
          <w:szCs w:val="24"/>
        </w:rPr>
        <w:tab/>
      </w:r>
      <w:r>
        <w:rPr>
          <w:sz w:val="24"/>
          <w:szCs w:val="24"/>
        </w:rPr>
        <w:fldChar w:fldCharType="begin"/>
      </w:r>
      <w:r>
        <w:rPr>
          <w:sz w:val="24"/>
          <w:szCs w:val="24"/>
        </w:rPr>
        <w:instrText xml:space="preserve"> PAGEREF _Toc25648218 \h </w:instrText>
      </w:r>
      <w:r>
        <w:rPr>
          <w:sz w:val="24"/>
          <w:szCs w:val="24"/>
        </w:rPr>
        <w:fldChar w:fldCharType="separate"/>
      </w:r>
      <w:r>
        <w:rPr>
          <w:sz w:val="24"/>
          <w:szCs w:val="24"/>
        </w:rPr>
        <w:t>538</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"_Toc25648219" </w:instrText>
      </w:r>
      <w:r>
        <w:fldChar w:fldCharType="separate"/>
      </w:r>
      <w:r>
        <w:rPr>
          <w:rStyle w:val="32"/>
          <w:rFonts w:hint="eastAsia"/>
          <w:color w:val="auto"/>
          <w:sz w:val="24"/>
          <w:szCs w:val="24"/>
        </w:rPr>
        <w:t>食用菌菌种管理办法（农业部2015.4.29修订）</w:t>
      </w:r>
      <w:r>
        <w:rPr>
          <w:sz w:val="24"/>
          <w:szCs w:val="24"/>
        </w:rPr>
        <w:tab/>
      </w:r>
      <w:r>
        <w:rPr>
          <w:sz w:val="24"/>
          <w:szCs w:val="24"/>
        </w:rPr>
        <w:fldChar w:fldCharType="begin"/>
      </w:r>
      <w:r>
        <w:rPr>
          <w:sz w:val="24"/>
          <w:szCs w:val="24"/>
        </w:rPr>
        <w:instrText xml:space="preserve"> PAGEREF _Toc25648219 \h </w:instrText>
      </w:r>
      <w:r>
        <w:rPr>
          <w:sz w:val="24"/>
          <w:szCs w:val="24"/>
        </w:rPr>
        <w:fldChar w:fldCharType="separate"/>
      </w:r>
      <w:r>
        <w:rPr>
          <w:sz w:val="24"/>
          <w:szCs w:val="24"/>
        </w:rPr>
        <w:t>544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"_Toc25648220" </w:instrText>
      </w:r>
      <w:r>
        <w:fldChar w:fldCharType="separate"/>
      </w:r>
      <w:r>
        <w:rPr>
          <w:rStyle w:val="32"/>
          <w:rFonts w:hint="eastAsia"/>
          <w:color w:val="auto"/>
          <w:sz w:val="24"/>
          <w:szCs w:val="24"/>
        </w:rPr>
        <w:t>农作物种子质量检验机构考核管理办法（农业农村部2019.8.27修订）</w:t>
      </w:r>
      <w:r>
        <w:rPr>
          <w:sz w:val="24"/>
          <w:szCs w:val="24"/>
        </w:rPr>
        <w:tab/>
      </w:r>
      <w:r>
        <w:rPr>
          <w:sz w:val="24"/>
          <w:szCs w:val="24"/>
        </w:rPr>
        <w:fldChar w:fldCharType="begin"/>
      </w:r>
      <w:r>
        <w:rPr>
          <w:sz w:val="24"/>
          <w:szCs w:val="24"/>
        </w:rPr>
        <w:instrText xml:space="preserve"> PAGEREF _Toc25648220 \h </w:instrText>
      </w:r>
      <w:r>
        <w:rPr>
          <w:sz w:val="24"/>
          <w:szCs w:val="24"/>
        </w:rPr>
        <w:fldChar w:fldCharType="separate"/>
      </w:r>
      <w:r>
        <w:rPr>
          <w:sz w:val="24"/>
          <w:szCs w:val="24"/>
        </w:rPr>
        <w:t>549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"_Toc25648221" </w:instrText>
      </w:r>
      <w:r>
        <w:fldChar w:fldCharType="separate"/>
      </w:r>
      <w:r>
        <w:rPr>
          <w:rStyle w:val="32"/>
          <w:rFonts w:hint="eastAsia"/>
          <w:color w:val="auto"/>
          <w:sz w:val="24"/>
          <w:szCs w:val="24"/>
        </w:rPr>
        <w:t>中华人民共和国植物新品种保护条例（国务院2014.7.29修订）</w:t>
      </w:r>
      <w:r>
        <w:rPr>
          <w:sz w:val="24"/>
          <w:szCs w:val="24"/>
        </w:rPr>
        <w:tab/>
      </w:r>
      <w:r>
        <w:rPr>
          <w:sz w:val="24"/>
          <w:szCs w:val="24"/>
        </w:rPr>
        <w:fldChar w:fldCharType="begin"/>
      </w:r>
      <w:r>
        <w:rPr>
          <w:sz w:val="24"/>
          <w:szCs w:val="24"/>
        </w:rPr>
        <w:instrText xml:space="preserve"> PAGEREF _Toc25648221 \h </w:instrText>
      </w:r>
      <w:r>
        <w:rPr>
          <w:sz w:val="24"/>
          <w:szCs w:val="24"/>
        </w:rPr>
        <w:fldChar w:fldCharType="separate"/>
      </w:r>
      <w:r>
        <w:rPr>
          <w:sz w:val="24"/>
          <w:szCs w:val="24"/>
        </w:rPr>
        <w:t>555</w:t>
      </w:r>
      <w:r>
        <w:rPr>
          <w:sz w:val="24"/>
          <w:szCs w:val="24"/>
        </w:rPr>
        <w:fldChar w:fldCharType="end"/>
      </w:r>
      <w:r>
        <w:rPr>
          <w:sz w:val="24"/>
          <w:szCs w:val="24"/>
        </w:rPr>
        <w:fldChar w:fldCharType="end"/>
      </w:r>
    </w:p>
    <w:p>
      <w:pPr>
        <w:pStyle w:val="23"/>
        <w:tabs>
          <w:tab w:val="right" w:leader="dot" w:pos="8820"/>
          <w:tab w:val="clear" w:pos="8494"/>
        </w:tabs>
        <w:ind w:left="480" w:hanging="480" w:hangingChars="200"/>
        <w:rPr>
          <w:rFonts w:asciiTheme="minorHAnsi" w:hAnsiTheme="minorHAnsi" w:eastAsiaTheme="minorEastAsia" w:cstheme="minorBidi"/>
          <w:sz w:val="24"/>
          <w:szCs w:val="24"/>
        </w:rPr>
      </w:pPr>
      <w:r>
        <w:rPr>
          <w:rStyle w:val="32"/>
          <w:rFonts w:hint="eastAsia"/>
          <w:color w:val="auto"/>
          <w:sz w:val="24"/>
          <w:szCs w:val="24"/>
        </w:rPr>
        <w:t>12．</w:t>
      </w:r>
      <w:r>
        <w:fldChar w:fldCharType="begin"/>
      </w:r>
      <w:r>
        <w:instrText xml:space="preserve"> HYPERLINK \l "_Toc25648222" </w:instrText>
      </w:r>
      <w:r>
        <w:fldChar w:fldCharType="separate"/>
      </w:r>
      <w:r>
        <w:rPr>
          <w:rStyle w:val="32"/>
          <w:rFonts w:hint="eastAsia"/>
          <w:color w:val="auto"/>
          <w:sz w:val="24"/>
          <w:szCs w:val="24"/>
        </w:rPr>
        <w:t>中华人民共和国植物新品种保护条例实施细则（农业部分）</w:t>
      </w:r>
      <w:r>
        <w:rPr>
          <w:rStyle w:val="32"/>
          <w:color w:val="auto"/>
          <w:sz w:val="24"/>
          <w:szCs w:val="24"/>
        </w:rPr>
        <w:br w:type="textWrapping"/>
      </w:r>
      <w:r>
        <w:rPr>
          <w:rStyle w:val="32"/>
          <w:rFonts w:hint="eastAsia"/>
          <w:color w:val="auto"/>
          <w:sz w:val="24"/>
          <w:szCs w:val="24"/>
        </w:rPr>
        <w:t>（农业部2014.4.25修订）</w:t>
      </w:r>
      <w:r>
        <w:rPr>
          <w:sz w:val="24"/>
          <w:szCs w:val="24"/>
        </w:rPr>
        <w:tab/>
      </w:r>
      <w:r>
        <w:rPr>
          <w:sz w:val="24"/>
          <w:szCs w:val="24"/>
        </w:rPr>
        <w:fldChar w:fldCharType="begin"/>
      </w:r>
      <w:r>
        <w:rPr>
          <w:sz w:val="24"/>
          <w:szCs w:val="24"/>
        </w:rPr>
        <w:instrText xml:space="preserve"> PAGEREF _Toc25648222 \h </w:instrText>
      </w:r>
      <w:r>
        <w:rPr>
          <w:sz w:val="24"/>
          <w:szCs w:val="24"/>
        </w:rPr>
        <w:fldChar w:fldCharType="separate"/>
      </w:r>
      <w:r>
        <w:rPr>
          <w:sz w:val="24"/>
          <w:szCs w:val="24"/>
        </w:rPr>
        <w:t>561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13．</w:t>
      </w:r>
      <w:r>
        <w:fldChar w:fldCharType="begin"/>
      </w:r>
      <w:r>
        <w:instrText xml:space="preserve"> HYPERLINK \l "_Toc25648223" </w:instrText>
      </w:r>
      <w:r>
        <w:fldChar w:fldCharType="separate"/>
      </w:r>
      <w:r>
        <w:rPr>
          <w:rStyle w:val="32"/>
          <w:rFonts w:hint="eastAsia"/>
          <w:color w:val="auto"/>
          <w:sz w:val="24"/>
          <w:szCs w:val="24"/>
        </w:rPr>
        <w:t>农业植物品种命名规定（农业部2012.3.14）</w:t>
      </w:r>
      <w:r>
        <w:rPr>
          <w:sz w:val="24"/>
          <w:szCs w:val="24"/>
        </w:rPr>
        <w:tab/>
      </w:r>
      <w:r>
        <w:rPr>
          <w:sz w:val="24"/>
          <w:szCs w:val="24"/>
        </w:rPr>
        <w:fldChar w:fldCharType="begin"/>
      </w:r>
      <w:r>
        <w:rPr>
          <w:sz w:val="24"/>
          <w:szCs w:val="24"/>
        </w:rPr>
        <w:instrText xml:space="preserve"> PAGEREF _Toc25648223 \h </w:instrText>
      </w:r>
      <w:r>
        <w:rPr>
          <w:sz w:val="24"/>
          <w:szCs w:val="24"/>
        </w:rPr>
        <w:fldChar w:fldCharType="separate"/>
      </w:r>
      <w:r>
        <w:rPr>
          <w:sz w:val="24"/>
          <w:szCs w:val="24"/>
        </w:rPr>
        <w:t>572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14．</w:t>
      </w:r>
      <w:r>
        <w:fldChar w:fldCharType="begin"/>
      </w:r>
      <w:r>
        <w:instrText xml:space="preserve"> HYPERLINK \l "_Toc25648224" </w:instrText>
      </w:r>
      <w:r>
        <w:fldChar w:fldCharType="separate"/>
      </w:r>
      <w:r>
        <w:rPr>
          <w:rStyle w:val="32"/>
          <w:rFonts w:hint="eastAsia"/>
          <w:color w:val="auto"/>
          <w:sz w:val="24"/>
          <w:szCs w:val="24"/>
        </w:rPr>
        <w:t>主要农作物品种审定办法（农业农村部2019.4.25修订）</w:t>
      </w:r>
      <w:r>
        <w:rPr>
          <w:sz w:val="24"/>
          <w:szCs w:val="24"/>
        </w:rPr>
        <w:tab/>
      </w:r>
      <w:r>
        <w:rPr>
          <w:sz w:val="24"/>
          <w:szCs w:val="24"/>
        </w:rPr>
        <w:fldChar w:fldCharType="begin"/>
      </w:r>
      <w:r>
        <w:rPr>
          <w:sz w:val="24"/>
          <w:szCs w:val="24"/>
        </w:rPr>
        <w:instrText xml:space="preserve"> PAGEREF _Toc25648224 \h </w:instrText>
      </w:r>
      <w:r>
        <w:rPr>
          <w:sz w:val="24"/>
          <w:szCs w:val="24"/>
        </w:rPr>
        <w:fldChar w:fldCharType="separate"/>
      </w:r>
      <w:r>
        <w:rPr>
          <w:sz w:val="24"/>
          <w:szCs w:val="24"/>
        </w:rPr>
        <w:t>576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15．</w:t>
      </w:r>
      <w:r>
        <w:fldChar w:fldCharType="begin"/>
      </w:r>
      <w:r>
        <w:instrText xml:space="preserve"> HYPERLINK \l "_Toc25648225" </w:instrText>
      </w:r>
      <w:r>
        <w:fldChar w:fldCharType="separate"/>
      </w:r>
      <w:r>
        <w:rPr>
          <w:rStyle w:val="32"/>
          <w:rFonts w:hint="eastAsia"/>
          <w:color w:val="auto"/>
          <w:sz w:val="24"/>
          <w:szCs w:val="24"/>
        </w:rPr>
        <w:t>非主要农作物品种登记办法（农业部2017.3.30）</w:t>
      </w:r>
      <w:r>
        <w:rPr>
          <w:sz w:val="24"/>
          <w:szCs w:val="24"/>
        </w:rPr>
        <w:tab/>
      </w:r>
      <w:r>
        <w:rPr>
          <w:sz w:val="24"/>
          <w:szCs w:val="24"/>
        </w:rPr>
        <w:fldChar w:fldCharType="begin"/>
      </w:r>
      <w:r>
        <w:rPr>
          <w:sz w:val="24"/>
          <w:szCs w:val="24"/>
        </w:rPr>
        <w:instrText xml:space="preserve"> PAGEREF _Toc25648225 \h </w:instrText>
      </w:r>
      <w:r>
        <w:rPr>
          <w:sz w:val="24"/>
          <w:szCs w:val="24"/>
        </w:rPr>
        <w:fldChar w:fldCharType="separate"/>
      </w:r>
      <w:r>
        <w:rPr>
          <w:sz w:val="24"/>
          <w:szCs w:val="24"/>
        </w:rPr>
        <w:t>584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16．</w:t>
      </w:r>
      <w:r>
        <w:fldChar w:fldCharType="begin"/>
      </w:r>
      <w:r>
        <w:instrText xml:space="preserve"> HYPERLINK \l "_Toc25648226" </w:instrText>
      </w:r>
      <w:r>
        <w:fldChar w:fldCharType="separate"/>
      </w:r>
      <w:r>
        <w:rPr>
          <w:rStyle w:val="32"/>
          <w:rFonts w:hint="eastAsia"/>
          <w:color w:val="auto"/>
          <w:sz w:val="24"/>
          <w:szCs w:val="24"/>
        </w:rPr>
        <w:t>农业植物新品种权侵权案件处理规定（农业部2002.12.30）</w:t>
      </w:r>
      <w:r>
        <w:rPr>
          <w:sz w:val="24"/>
          <w:szCs w:val="24"/>
        </w:rPr>
        <w:tab/>
      </w:r>
      <w:r>
        <w:rPr>
          <w:sz w:val="24"/>
          <w:szCs w:val="24"/>
        </w:rPr>
        <w:fldChar w:fldCharType="begin"/>
      </w:r>
      <w:r>
        <w:rPr>
          <w:sz w:val="24"/>
          <w:szCs w:val="24"/>
        </w:rPr>
        <w:instrText xml:space="preserve"> PAGEREF _Toc25648226 \h </w:instrText>
      </w:r>
      <w:r>
        <w:rPr>
          <w:sz w:val="24"/>
          <w:szCs w:val="24"/>
        </w:rPr>
        <w:fldChar w:fldCharType="separate"/>
      </w:r>
      <w:r>
        <w:rPr>
          <w:sz w:val="24"/>
          <w:szCs w:val="24"/>
        </w:rPr>
        <w:t>588</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17．</w:t>
      </w:r>
      <w:r>
        <w:fldChar w:fldCharType="begin"/>
      </w:r>
      <w:r>
        <w:instrText xml:space="preserve"> HYPERLINK \l "_Toc25648227" </w:instrText>
      </w:r>
      <w:r>
        <w:fldChar w:fldCharType="separate"/>
      </w:r>
      <w:r>
        <w:rPr>
          <w:rStyle w:val="32"/>
          <w:rFonts w:hint="eastAsia"/>
          <w:color w:val="auto"/>
          <w:sz w:val="24"/>
          <w:szCs w:val="24"/>
        </w:rPr>
        <w:t>蚕种管理办法（农业部2006.6.28）</w:t>
      </w:r>
      <w:r>
        <w:rPr>
          <w:sz w:val="24"/>
          <w:szCs w:val="24"/>
        </w:rPr>
        <w:tab/>
      </w:r>
      <w:r>
        <w:rPr>
          <w:sz w:val="24"/>
          <w:szCs w:val="24"/>
        </w:rPr>
        <w:fldChar w:fldCharType="begin"/>
      </w:r>
      <w:r>
        <w:rPr>
          <w:sz w:val="24"/>
          <w:szCs w:val="24"/>
        </w:rPr>
        <w:instrText xml:space="preserve"> PAGEREF _Toc25648227 \h </w:instrText>
      </w:r>
      <w:r>
        <w:rPr>
          <w:sz w:val="24"/>
          <w:szCs w:val="24"/>
        </w:rPr>
        <w:fldChar w:fldCharType="separate"/>
      </w:r>
      <w:r>
        <w:rPr>
          <w:sz w:val="24"/>
          <w:szCs w:val="24"/>
        </w:rPr>
        <w:t>591</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"_Toc25648228" </w:instrText>
      </w:r>
      <w:r>
        <w:fldChar w:fldCharType="separate"/>
      </w:r>
      <w:r>
        <w:rPr>
          <w:rStyle w:val="32"/>
          <w:rFonts w:hint="eastAsia"/>
          <w:color w:val="auto"/>
          <w:kern w:val="0"/>
        </w:rPr>
        <w:t>六、畜牧</w:t>
      </w:r>
      <w:r>
        <w:rPr>
          <w:rStyle w:val="32"/>
          <w:rFonts w:hint="eastAsia"/>
          <w:color w:val="auto"/>
          <w:kern w:val="0"/>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"_Toc25648229" </w:instrText>
      </w:r>
      <w:r>
        <w:fldChar w:fldCharType="separate"/>
      </w:r>
      <w:r>
        <w:rPr>
          <w:rStyle w:val="32"/>
          <w:rFonts w:hint="eastAsia"/>
          <w:color w:val="auto"/>
          <w:sz w:val="24"/>
          <w:szCs w:val="24"/>
        </w:rPr>
        <w:t>中华人民共和国畜牧法（2015.4.24修订）</w:t>
      </w:r>
      <w:r>
        <w:rPr>
          <w:sz w:val="24"/>
          <w:szCs w:val="24"/>
        </w:rPr>
        <w:tab/>
      </w:r>
      <w:r>
        <w:rPr>
          <w:sz w:val="24"/>
          <w:szCs w:val="24"/>
        </w:rPr>
        <w:fldChar w:fldCharType="begin"/>
      </w:r>
      <w:r>
        <w:rPr>
          <w:sz w:val="24"/>
          <w:szCs w:val="24"/>
        </w:rPr>
        <w:instrText xml:space="preserve"> PAGEREF _Toc25648229 \h </w:instrText>
      </w:r>
      <w:r>
        <w:rPr>
          <w:sz w:val="24"/>
          <w:szCs w:val="24"/>
        </w:rPr>
        <w:fldChar w:fldCharType="separate"/>
      </w:r>
      <w:r>
        <w:rPr>
          <w:sz w:val="24"/>
          <w:szCs w:val="24"/>
        </w:rPr>
        <w:t>599</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"_Toc25648230" </w:instrText>
      </w:r>
      <w:r>
        <w:fldChar w:fldCharType="separate"/>
      </w:r>
      <w:r>
        <w:rPr>
          <w:rStyle w:val="32"/>
          <w:rFonts w:hint="eastAsia"/>
          <w:color w:val="auto"/>
          <w:sz w:val="24"/>
          <w:szCs w:val="24"/>
        </w:rPr>
        <w:t>优良种畜登记规则（农业部2006.6.5）</w:t>
      </w:r>
      <w:r>
        <w:rPr>
          <w:sz w:val="24"/>
          <w:szCs w:val="24"/>
        </w:rPr>
        <w:tab/>
      </w:r>
      <w:r>
        <w:rPr>
          <w:sz w:val="24"/>
          <w:szCs w:val="24"/>
        </w:rPr>
        <w:fldChar w:fldCharType="begin"/>
      </w:r>
      <w:r>
        <w:rPr>
          <w:sz w:val="24"/>
          <w:szCs w:val="24"/>
        </w:rPr>
        <w:instrText xml:space="preserve"> PAGEREF _Toc25648230 \h </w:instrText>
      </w:r>
      <w:r>
        <w:rPr>
          <w:sz w:val="24"/>
          <w:szCs w:val="24"/>
        </w:rPr>
        <w:fldChar w:fldCharType="separate"/>
      </w:r>
      <w:r>
        <w:rPr>
          <w:sz w:val="24"/>
          <w:szCs w:val="24"/>
        </w:rPr>
        <w:t>610</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"_Toc25648231" </w:instrText>
      </w:r>
      <w:r>
        <w:fldChar w:fldCharType="separate"/>
      </w:r>
      <w:r>
        <w:rPr>
          <w:rStyle w:val="32"/>
          <w:rFonts w:hint="eastAsia"/>
          <w:color w:val="auto"/>
          <w:sz w:val="24"/>
          <w:szCs w:val="24"/>
        </w:rPr>
        <w:t>畜禽标识和养殖档案管理办法（农业部2006.6.26）</w:t>
      </w:r>
      <w:r>
        <w:rPr>
          <w:sz w:val="24"/>
          <w:szCs w:val="24"/>
        </w:rPr>
        <w:tab/>
      </w:r>
      <w:r>
        <w:rPr>
          <w:sz w:val="24"/>
          <w:szCs w:val="24"/>
        </w:rPr>
        <w:fldChar w:fldCharType="begin"/>
      </w:r>
      <w:r>
        <w:rPr>
          <w:sz w:val="24"/>
          <w:szCs w:val="24"/>
        </w:rPr>
        <w:instrText xml:space="preserve"> PAGEREF _Toc25648231 \h </w:instrText>
      </w:r>
      <w:r>
        <w:rPr>
          <w:sz w:val="24"/>
          <w:szCs w:val="24"/>
        </w:rPr>
        <w:fldChar w:fldCharType="separate"/>
      </w:r>
      <w:r>
        <w:rPr>
          <w:sz w:val="24"/>
          <w:szCs w:val="24"/>
        </w:rPr>
        <w:t>612</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"_Toc25648232" </w:instrText>
      </w:r>
      <w:r>
        <w:fldChar w:fldCharType="separate"/>
      </w:r>
      <w:r>
        <w:rPr>
          <w:rStyle w:val="32"/>
          <w:rFonts w:hint="eastAsia"/>
          <w:color w:val="auto"/>
          <w:sz w:val="24"/>
          <w:szCs w:val="24"/>
        </w:rPr>
        <w:t>乳品质量安全监督管理条例（国务院2008.10.9）</w:t>
      </w:r>
      <w:r>
        <w:rPr>
          <w:sz w:val="24"/>
          <w:szCs w:val="24"/>
        </w:rPr>
        <w:tab/>
      </w:r>
      <w:r>
        <w:rPr>
          <w:sz w:val="24"/>
          <w:szCs w:val="24"/>
        </w:rPr>
        <w:fldChar w:fldCharType="begin"/>
      </w:r>
      <w:r>
        <w:rPr>
          <w:sz w:val="24"/>
          <w:szCs w:val="24"/>
        </w:rPr>
        <w:instrText xml:space="preserve"> PAGEREF _Toc25648232 \h </w:instrText>
      </w:r>
      <w:r>
        <w:rPr>
          <w:sz w:val="24"/>
          <w:szCs w:val="24"/>
        </w:rPr>
        <w:fldChar w:fldCharType="separate"/>
      </w:r>
      <w:r>
        <w:rPr>
          <w:sz w:val="24"/>
          <w:szCs w:val="24"/>
        </w:rPr>
        <w:t>616</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"_Toc25648233" </w:instrText>
      </w:r>
      <w:r>
        <w:fldChar w:fldCharType="separate"/>
      </w:r>
      <w:r>
        <w:rPr>
          <w:rStyle w:val="32"/>
          <w:rFonts w:hint="eastAsia"/>
          <w:color w:val="auto"/>
          <w:sz w:val="24"/>
          <w:szCs w:val="24"/>
        </w:rPr>
        <w:t>生鲜乳生产收购管理办法（农业部2008.11.7）</w:t>
      </w:r>
      <w:r>
        <w:rPr>
          <w:sz w:val="24"/>
          <w:szCs w:val="24"/>
        </w:rPr>
        <w:tab/>
      </w:r>
      <w:r>
        <w:rPr>
          <w:sz w:val="24"/>
          <w:szCs w:val="24"/>
        </w:rPr>
        <w:fldChar w:fldCharType="begin"/>
      </w:r>
      <w:r>
        <w:rPr>
          <w:sz w:val="24"/>
          <w:szCs w:val="24"/>
        </w:rPr>
        <w:instrText xml:space="preserve"> PAGEREF _Toc25648233 \h </w:instrText>
      </w:r>
      <w:r>
        <w:rPr>
          <w:sz w:val="24"/>
          <w:szCs w:val="24"/>
        </w:rPr>
        <w:fldChar w:fldCharType="separate"/>
      </w:r>
      <w:r>
        <w:rPr>
          <w:sz w:val="24"/>
          <w:szCs w:val="24"/>
        </w:rPr>
        <w:t>626</w:t>
      </w:r>
      <w:r>
        <w:rPr>
          <w:sz w:val="24"/>
          <w:szCs w:val="24"/>
        </w:rPr>
        <w:fldChar w:fldCharType="end"/>
      </w:r>
      <w:r>
        <w:rPr>
          <w:sz w:val="24"/>
          <w:szCs w:val="24"/>
        </w:rPr>
        <w:fldChar w:fldCharType="end"/>
      </w:r>
    </w:p>
    <w:p>
      <w:pPr>
        <w:pStyle w:val="23"/>
        <w:tabs>
          <w:tab w:val="right" w:leader="dot" w:pos="8820"/>
          <w:tab w:val="clear" w:pos="8494"/>
        </w:tabs>
        <w:spacing w:line="408" w:lineRule="exact"/>
        <w:ind w:left="360" w:hanging="360" w:hangingChars="150"/>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"_Toc25648234" </w:instrText>
      </w:r>
      <w:r>
        <w:fldChar w:fldCharType="separate"/>
      </w:r>
      <w:r>
        <w:rPr>
          <w:rStyle w:val="32"/>
          <w:rFonts w:hint="eastAsia"/>
          <w:color w:val="auto"/>
          <w:sz w:val="24"/>
          <w:szCs w:val="24"/>
        </w:rPr>
        <w:t>中华人民共和国畜禽遗传资源进出境和对外合作研究利用审批办法</w:t>
      </w:r>
      <w:r>
        <w:rPr>
          <w:rStyle w:val="32"/>
          <w:color w:val="auto"/>
          <w:sz w:val="24"/>
          <w:szCs w:val="24"/>
        </w:rPr>
        <w:br w:type="textWrapping"/>
      </w:r>
      <w:r>
        <w:rPr>
          <w:rStyle w:val="32"/>
          <w:rFonts w:hint="eastAsia"/>
          <w:color w:val="auto"/>
          <w:sz w:val="24"/>
          <w:szCs w:val="24"/>
        </w:rPr>
        <w:t>（国务院2008.8.28）</w:t>
      </w:r>
      <w:r>
        <w:rPr>
          <w:sz w:val="24"/>
          <w:szCs w:val="24"/>
        </w:rPr>
        <w:tab/>
      </w:r>
      <w:r>
        <w:rPr>
          <w:sz w:val="24"/>
          <w:szCs w:val="24"/>
        </w:rPr>
        <w:fldChar w:fldCharType="begin"/>
      </w:r>
      <w:r>
        <w:rPr>
          <w:sz w:val="24"/>
          <w:szCs w:val="24"/>
        </w:rPr>
        <w:instrText xml:space="preserve"> PAGEREF _Toc25648234 \h </w:instrText>
      </w:r>
      <w:r>
        <w:rPr>
          <w:sz w:val="24"/>
          <w:szCs w:val="24"/>
        </w:rPr>
        <w:fldChar w:fldCharType="separate"/>
      </w:r>
      <w:r>
        <w:rPr>
          <w:sz w:val="24"/>
          <w:szCs w:val="24"/>
        </w:rPr>
        <w:t>631</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"_Toc25648235" </w:instrText>
      </w:r>
      <w:r>
        <w:fldChar w:fldCharType="separate"/>
      </w:r>
      <w:r>
        <w:rPr>
          <w:rStyle w:val="32"/>
          <w:rFonts w:hint="eastAsia"/>
          <w:color w:val="auto"/>
          <w:sz w:val="24"/>
          <w:szCs w:val="24"/>
        </w:rPr>
        <w:t>畜禽遗传资源保种场保护区和基因库管理办法（农业部2006.6.5）</w:t>
      </w:r>
      <w:r>
        <w:rPr>
          <w:sz w:val="24"/>
          <w:szCs w:val="24"/>
        </w:rPr>
        <w:tab/>
      </w:r>
      <w:r>
        <w:rPr>
          <w:sz w:val="24"/>
          <w:szCs w:val="24"/>
        </w:rPr>
        <w:fldChar w:fldCharType="begin"/>
      </w:r>
      <w:r>
        <w:rPr>
          <w:sz w:val="24"/>
          <w:szCs w:val="24"/>
        </w:rPr>
        <w:instrText xml:space="preserve"> PAGEREF _Toc25648235 \h </w:instrText>
      </w:r>
      <w:r>
        <w:rPr>
          <w:sz w:val="24"/>
          <w:szCs w:val="24"/>
        </w:rPr>
        <w:fldChar w:fldCharType="separate"/>
      </w:r>
      <w:r>
        <w:rPr>
          <w:sz w:val="24"/>
          <w:szCs w:val="24"/>
        </w:rPr>
        <w:t>635</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"_Toc25648236" </w:instrText>
      </w:r>
      <w:r>
        <w:fldChar w:fldCharType="separate"/>
      </w:r>
      <w:r>
        <w:rPr>
          <w:rStyle w:val="32"/>
          <w:rFonts w:hint="eastAsia"/>
          <w:color w:val="auto"/>
          <w:sz w:val="24"/>
          <w:szCs w:val="24"/>
        </w:rPr>
        <w:t>畜禽新品种配套系审定和畜禽遗传资源鉴定办法（农业部2006.6.5）</w:t>
      </w:r>
      <w:r>
        <w:rPr>
          <w:sz w:val="24"/>
          <w:szCs w:val="24"/>
        </w:rPr>
        <w:tab/>
      </w:r>
      <w:r>
        <w:rPr>
          <w:sz w:val="24"/>
          <w:szCs w:val="24"/>
        </w:rPr>
        <w:fldChar w:fldCharType="begin"/>
      </w:r>
      <w:r>
        <w:rPr>
          <w:sz w:val="24"/>
          <w:szCs w:val="24"/>
        </w:rPr>
        <w:instrText xml:space="preserve"> PAGEREF _Toc25648236 \h </w:instrText>
      </w:r>
      <w:r>
        <w:rPr>
          <w:sz w:val="24"/>
          <w:szCs w:val="24"/>
        </w:rPr>
        <w:fldChar w:fldCharType="separate"/>
      </w:r>
      <w:r>
        <w:rPr>
          <w:sz w:val="24"/>
          <w:szCs w:val="24"/>
        </w:rPr>
        <w:t>639</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"_Toc25648237" </w:instrText>
      </w:r>
      <w:r>
        <w:fldChar w:fldCharType="separate"/>
      </w:r>
      <w:r>
        <w:rPr>
          <w:rStyle w:val="32"/>
          <w:rFonts w:hint="eastAsia"/>
          <w:color w:val="auto"/>
          <w:sz w:val="24"/>
          <w:szCs w:val="24"/>
        </w:rPr>
        <w:t>家畜遗传材料生产许可办法（农业部2015.10.30修订）</w:t>
      </w:r>
      <w:r>
        <w:rPr>
          <w:sz w:val="24"/>
          <w:szCs w:val="24"/>
        </w:rPr>
        <w:tab/>
      </w:r>
      <w:r>
        <w:rPr>
          <w:sz w:val="24"/>
          <w:szCs w:val="24"/>
        </w:rPr>
        <w:fldChar w:fldCharType="begin"/>
      </w:r>
      <w:r>
        <w:rPr>
          <w:sz w:val="24"/>
          <w:szCs w:val="24"/>
        </w:rPr>
        <w:instrText xml:space="preserve"> PAGEREF _Toc25648237 \h </w:instrText>
      </w:r>
      <w:r>
        <w:rPr>
          <w:sz w:val="24"/>
          <w:szCs w:val="24"/>
        </w:rPr>
        <w:fldChar w:fldCharType="separate"/>
      </w:r>
      <w:r>
        <w:rPr>
          <w:sz w:val="24"/>
          <w:szCs w:val="24"/>
        </w:rPr>
        <w:t>643</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"_Toc25648238" </w:instrText>
      </w:r>
      <w:r>
        <w:fldChar w:fldCharType="separate"/>
      </w:r>
      <w:r>
        <w:rPr>
          <w:rStyle w:val="32"/>
          <w:rFonts w:hint="eastAsia"/>
          <w:color w:val="auto"/>
          <w:sz w:val="24"/>
          <w:szCs w:val="24"/>
        </w:rPr>
        <w:t>畜禽规模养殖污染防治条例（国务院2013.11.11）</w:t>
      </w:r>
      <w:r>
        <w:rPr>
          <w:sz w:val="24"/>
          <w:szCs w:val="24"/>
        </w:rPr>
        <w:tab/>
      </w:r>
      <w:r>
        <w:rPr>
          <w:sz w:val="24"/>
          <w:szCs w:val="24"/>
        </w:rPr>
        <w:fldChar w:fldCharType="begin"/>
      </w:r>
      <w:r>
        <w:rPr>
          <w:sz w:val="24"/>
          <w:szCs w:val="24"/>
        </w:rPr>
        <w:instrText xml:space="preserve"> PAGEREF _Toc25648238 \h </w:instrText>
      </w:r>
      <w:r>
        <w:rPr>
          <w:sz w:val="24"/>
          <w:szCs w:val="24"/>
        </w:rPr>
        <w:fldChar w:fldCharType="separate"/>
      </w:r>
      <w:r>
        <w:rPr>
          <w:sz w:val="24"/>
          <w:szCs w:val="24"/>
        </w:rPr>
        <w:t>647</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"_Toc25648239" </w:instrText>
      </w:r>
      <w:r>
        <w:fldChar w:fldCharType="separate"/>
      </w:r>
      <w:r>
        <w:rPr>
          <w:rStyle w:val="32"/>
          <w:rFonts w:hint="eastAsia"/>
          <w:color w:val="auto"/>
          <w:sz w:val="24"/>
          <w:szCs w:val="24"/>
        </w:rPr>
        <w:t>生猪屠宰管理条例（国务院2016.2.6修订）</w:t>
      </w:r>
      <w:r>
        <w:rPr>
          <w:sz w:val="24"/>
          <w:szCs w:val="24"/>
        </w:rPr>
        <w:tab/>
      </w:r>
      <w:r>
        <w:rPr>
          <w:sz w:val="24"/>
          <w:szCs w:val="24"/>
        </w:rPr>
        <w:fldChar w:fldCharType="begin"/>
      </w:r>
      <w:r>
        <w:rPr>
          <w:sz w:val="24"/>
          <w:szCs w:val="24"/>
        </w:rPr>
        <w:instrText xml:space="preserve"> PAGEREF _Toc25648239 \h </w:instrText>
      </w:r>
      <w:r>
        <w:rPr>
          <w:sz w:val="24"/>
          <w:szCs w:val="24"/>
        </w:rPr>
        <w:fldChar w:fldCharType="separate"/>
      </w:r>
      <w:r>
        <w:rPr>
          <w:sz w:val="24"/>
          <w:szCs w:val="24"/>
        </w:rPr>
        <w:t>653</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12．</w:t>
      </w:r>
      <w:r>
        <w:fldChar w:fldCharType="begin"/>
      </w:r>
      <w:r>
        <w:instrText xml:space="preserve"> HYPERLINK \l "_Toc25648240" </w:instrText>
      </w:r>
      <w:r>
        <w:fldChar w:fldCharType="separate"/>
      </w:r>
      <w:r>
        <w:rPr>
          <w:rStyle w:val="32"/>
          <w:rFonts w:hint="eastAsia"/>
          <w:color w:val="auto"/>
          <w:sz w:val="24"/>
          <w:szCs w:val="24"/>
        </w:rPr>
        <w:t>饲料和饲料添加剂管理条例（国务院2017.3.1修订）</w:t>
      </w:r>
      <w:r>
        <w:rPr>
          <w:sz w:val="24"/>
          <w:szCs w:val="24"/>
        </w:rPr>
        <w:tab/>
      </w:r>
      <w:r>
        <w:rPr>
          <w:sz w:val="24"/>
          <w:szCs w:val="24"/>
        </w:rPr>
        <w:fldChar w:fldCharType="begin"/>
      </w:r>
      <w:r>
        <w:rPr>
          <w:sz w:val="24"/>
          <w:szCs w:val="24"/>
        </w:rPr>
        <w:instrText xml:space="preserve"> PAGEREF _Toc25648240 \h </w:instrText>
      </w:r>
      <w:r>
        <w:rPr>
          <w:sz w:val="24"/>
          <w:szCs w:val="24"/>
        </w:rPr>
        <w:fldChar w:fldCharType="separate"/>
      </w:r>
      <w:r>
        <w:rPr>
          <w:sz w:val="24"/>
          <w:szCs w:val="24"/>
        </w:rPr>
        <w:t>659</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13．</w:t>
      </w:r>
      <w:r>
        <w:fldChar w:fldCharType="begin"/>
      </w:r>
      <w:r>
        <w:instrText xml:space="preserve"> HYPERLINK \l "_Toc25648241" </w:instrText>
      </w:r>
      <w:r>
        <w:fldChar w:fldCharType="separate"/>
      </w:r>
      <w:r>
        <w:rPr>
          <w:rStyle w:val="32"/>
          <w:rFonts w:hint="eastAsia"/>
          <w:color w:val="auto"/>
          <w:sz w:val="24"/>
          <w:szCs w:val="24"/>
        </w:rPr>
        <w:t>饲料和饲料添加剂生产许可管理办法（农业部2017.11.30修订）</w:t>
      </w:r>
      <w:r>
        <w:rPr>
          <w:sz w:val="24"/>
          <w:szCs w:val="24"/>
        </w:rPr>
        <w:tab/>
      </w:r>
      <w:r>
        <w:rPr>
          <w:sz w:val="24"/>
          <w:szCs w:val="24"/>
        </w:rPr>
        <w:fldChar w:fldCharType="begin"/>
      </w:r>
      <w:r>
        <w:rPr>
          <w:sz w:val="24"/>
          <w:szCs w:val="24"/>
        </w:rPr>
        <w:instrText xml:space="preserve"> PAGEREF _Toc25648241 \h </w:instrText>
      </w:r>
      <w:r>
        <w:rPr>
          <w:sz w:val="24"/>
          <w:szCs w:val="24"/>
        </w:rPr>
        <w:fldChar w:fldCharType="separate"/>
      </w:r>
      <w:r>
        <w:rPr>
          <w:sz w:val="24"/>
          <w:szCs w:val="24"/>
        </w:rPr>
        <w:t>671</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14．</w:t>
      </w:r>
      <w:r>
        <w:fldChar w:fldCharType="begin"/>
      </w:r>
      <w:r>
        <w:instrText xml:space="preserve"> HYPERLINK \l "_Toc25648242" </w:instrText>
      </w:r>
      <w:r>
        <w:fldChar w:fldCharType="separate"/>
      </w:r>
      <w:r>
        <w:rPr>
          <w:rStyle w:val="32"/>
          <w:rFonts w:hint="eastAsia"/>
          <w:color w:val="auto"/>
          <w:sz w:val="24"/>
          <w:szCs w:val="24"/>
        </w:rPr>
        <w:t>饲料质量安全管理规范（农业部2017.11.30修订）</w:t>
      </w:r>
      <w:r>
        <w:rPr>
          <w:sz w:val="24"/>
          <w:szCs w:val="24"/>
        </w:rPr>
        <w:tab/>
      </w:r>
      <w:r>
        <w:rPr>
          <w:sz w:val="24"/>
          <w:szCs w:val="24"/>
        </w:rPr>
        <w:fldChar w:fldCharType="begin"/>
      </w:r>
      <w:r>
        <w:rPr>
          <w:sz w:val="24"/>
          <w:szCs w:val="24"/>
        </w:rPr>
        <w:instrText xml:space="preserve"> PAGEREF _Toc25648242 \h </w:instrText>
      </w:r>
      <w:r>
        <w:rPr>
          <w:sz w:val="24"/>
          <w:szCs w:val="24"/>
        </w:rPr>
        <w:fldChar w:fldCharType="separate"/>
      </w:r>
      <w:r>
        <w:rPr>
          <w:sz w:val="24"/>
          <w:szCs w:val="24"/>
        </w:rPr>
        <w:t>675</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15．</w:t>
      </w:r>
      <w:r>
        <w:fldChar w:fldCharType="begin"/>
      </w:r>
      <w:r>
        <w:instrText xml:space="preserve"> HYPERLINK \l "_Toc25648243" </w:instrText>
      </w:r>
      <w:r>
        <w:fldChar w:fldCharType="separate"/>
      </w:r>
      <w:r>
        <w:rPr>
          <w:rStyle w:val="32"/>
          <w:rFonts w:hint="eastAsia"/>
          <w:color w:val="auto"/>
          <w:sz w:val="24"/>
          <w:szCs w:val="24"/>
        </w:rPr>
        <w:t>进口饲料和饲料添加剂登记管理办法（农业部2017.11.30修订）</w:t>
      </w:r>
      <w:r>
        <w:rPr>
          <w:sz w:val="24"/>
          <w:szCs w:val="24"/>
        </w:rPr>
        <w:tab/>
      </w:r>
      <w:r>
        <w:rPr>
          <w:sz w:val="24"/>
          <w:szCs w:val="24"/>
        </w:rPr>
        <w:fldChar w:fldCharType="begin"/>
      </w:r>
      <w:r>
        <w:rPr>
          <w:sz w:val="24"/>
          <w:szCs w:val="24"/>
        </w:rPr>
        <w:instrText xml:space="preserve"> PAGEREF _Toc25648243 \h </w:instrText>
      </w:r>
      <w:r>
        <w:rPr>
          <w:sz w:val="24"/>
          <w:szCs w:val="24"/>
        </w:rPr>
        <w:fldChar w:fldCharType="separate"/>
      </w:r>
      <w:r>
        <w:rPr>
          <w:sz w:val="24"/>
          <w:szCs w:val="24"/>
        </w:rPr>
        <w:t>685</w:t>
      </w:r>
      <w:r>
        <w:rPr>
          <w:sz w:val="24"/>
          <w:szCs w:val="24"/>
        </w:rPr>
        <w:fldChar w:fldCharType="end"/>
      </w:r>
      <w:r>
        <w:rPr>
          <w:sz w:val="24"/>
          <w:szCs w:val="24"/>
        </w:rPr>
        <w:fldChar w:fldCharType="end"/>
      </w:r>
    </w:p>
    <w:p>
      <w:pPr>
        <w:pStyle w:val="23"/>
        <w:tabs>
          <w:tab w:val="right" w:leader="dot" w:pos="8820"/>
          <w:tab w:val="clear" w:pos="8494"/>
        </w:tabs>
        <w:spacing w:line="408" w:lineRule="exact"/>
        <w:rPr>
          <w:rFonts w:asciiTheme="minorHAnsi" w:hAnsiTheme="minorHAnsi" w:eastAsiaTheme="minorEastAsia" w:cstheme="minorBidi"/>
          <w:sz w:val="24"/>
          <w:szCs w:val="24"/>
        </w:rPr>
      </w:pPr>
      <w:r>
        <w:rPr>
          <w:rStyle w:val="32"/>
          <w:rFonts w:hint="eastAsia"/>
          <w:color w:val="auto"/>
          <w:sz w:val="24"/>
          <w:szCs w:val="24"/>
        </w:rPr>
        <w:t>16．</w:t>
      </w:r>
      <w:r>
        <w:fldChar w:fldCharType="begin"/>
      </w:r>
      <w:r>
        <w:instrText xml:space="preserve"> HYPERLINK \l "_Toc25648244" </w:instrText>
      </w:r>
      <w:r>
        <w:fldChar w:fldCharType="separate"/>
      </w:r>
      <w:r>
        <w:rPr>
          <w:rStyle w:val="32"/>
          <w:rFonts w:hint="eastAsia"/>
          <w:color w:val="auto"/>
          <w:sz w:val="24"/>
          <w:szCs w:val="24"/>
        </w:rPr>
        <w:t>新饲料和新饲料添加剂管理办法（农业部2016.5.30修订）</w:t>
      </w:r>
      <w:r>
        <w:rPr>
          <w:sz w:val="24"/>
          <w:szCs w:val="24"/>
        </w:rPr>
        <w:tab/>
      </w:r>
      <w:r>
        <w:rPr>
          <w:sz w:val="24"/>
          <w:szCs w:val="24"/>
        </w:rPr>
        <w:fldChar w:fldCharType="begin"/>
      </w:r>
      <w:r>
        <w:rPr>
          <w:sz w:val="24"/>
          <w:szCs w:val="24"/>
        </w:rPr>
        <w:instrText xml:space="preserve"> PAGEREF _Toc25648244 \h </w:instrText>
      </w:r>
      <w:r>
        <w:rPr>
          <w:sz w:val="24"/>
          <w:szCs w:val="24"/>
        </w:rPr>
        <w:fldChar w:fldCharType="separate"/>
      </w:r>
      <w:r>
        <w:rPr>
          <w:sz w:val="24"/>
          <w:szCs w:val="24"/>
        </w:rPr>
        <w:t>690</w:t>
      </w:r>
      <w:r>
        <w:rPr>
          <w:sz w:val="24"/>
          <w:szCs w:val="24"/>
        </w:rPr>
        <w:fldChar w:fldCharType="end"/>
      </w:r>
      <w:r>
        <w:rPr>
          <w:sz w:val="24"/>
          <w:szCs w:val="24"/>
        </w:rPr>
        <w:fldChar w:fldCharType="end"/>
      </w:r>
    </w:p>
    <w:p>
      <w:pPr>
        <w:pStyle w:val="23"/>
        <w:tabs>
          <w:tab w:val="right" w:leader="dot" w:pos="8820"/>
          <w:tab w:val="clear" w:pos="8494"/>
        </w:tabs>
        <w:spacing w:line="408" w:lineRule="exact"/>
        <w:ind w:left="480" w:hanging="480" w:hangingChars="200"/>
        <w:rPr>
          <w:rFonts w:asciiTheme="minorHAnsi" w:hAnsiTheme="minorHAnsi" w:eastAsiaTheme="minorEastAsia" w:cstheme="minorBidi"/>
          <w:sz w:val="24"/>
          <w:szCs w:val="24"/>
        </w:rPr>
      </w:pPr>
      <w:r>
        <w:rPr>
          <w:rStyle w:val="32"/>
          <w:rFonts w:hint="eastAsia"/>
          <w:color w:val="auto"/>
          <w:sz w:val="24"/>
          <w:szCs w:val="24"/>
        </w:rPr>
        <w:t>17．</w:t>
      </w:r>
      <w:r>
        <w:fldChar w:fldCharType="begin"/>
      </w:r>
      <w:r>
        <w:instrText xml:space="preserve"> HYPERLINK \l "_Toc25648245" </w:instrText>
      </w:r>
      <w:r>
        <w:fldChar w:fldCharType="separate"/>
      </w:r>
      <w:r>
        <w:rPr>
          <w:rStyle w:val="32"/>
          <w:rFonts w:hint="eastAsia"/>
          <w:color w:val="auto"/>
          <w:sz w:val="24"/>
          <w:szCs w:val="24"/>
        </w:rPr>
        <w:t>饲料添加剂和添加剂预混合饲料产品批准文号管理办法（农业部2012.5.2）</w:t>
      </w:r>
      <w:r>
        <w:rPr>
          <w:sz w:val="24"/>
          <w:szCs w:val="24"/>
        </w:rPr>
        <w:tab/>
      </w:r>
      <w:r>
        <w:rPr>
          <w:sz w:val="24"/>
          <w:szCs w:val="24"/>
        </w:rPr>
        <w:fldChar w:fldCharType="begin"/>
      </w:r>
      <w:r>
        <w:rPr>
          <w:sz w:val="24"/>
          <w:szCs w:val="24"/>
        </w:rPr>
        <w:instrText xml:space="preserve"> PAGEREF _Toc25648245 \h </w:instrText>
      </w:r>
      <w:r>
        <w:rPr>
          <w:sz w:val="24"/>
          <w:szCs w:val="24"/>
        </w:rPr>
        <w:fldChar w:fldCharType="separate"/>
      </w:r>
      <w:r>
        <w:rPr>
          <w:sz w:val="24"/>
          <w:szCs w:val="24"/>
        </w:rPr>
        <w:t>694</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"_Toc25648246" </w:instrText>
      </w:r>
      <w:r>
        <w:fldChar w:fldCharType="separate"/>
      </w:r>
      <w:r>
        <w:rPr>
          <w:rStyle w:val="32"/>
          <w:rFonts w:hint="eastAsia"/>
          <w:color w:val="auto"/>
        </w:rPr>
        <w:t>七、兽医兽药</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"_Toc25648247" </w:instrText>
      </w:r>
      <w:r>
        <w:fldChar w:fldCharType="separate"/>
      </w:r>
      <w:r>
        <w:rPr>
          <w:rStyle w:val="32"/>
          <w:rFonts w:hint="eastAsia"/>
          <w:color w:val="auto"/>
          <w:sz w:val="24"/>
          <w:szCs w:val="24"/>
        </w:rPr>
        <w:t>兽药管理条例（国务院2016.2.6修订）</w:t>
      </w:r>
      <w:r>
        <w:rPr>
          <w:sz w:val="24"/>
          <w:szCs w:val="24"/>
        </w:rPr>
        <w:tab/>
      </w:r>
      <w:r>
        <w:rPr>
          <w:sz w:val="24"/>
          <w:szCs w:val="24"/>
        </w:rPr>
        <w:fldChar w:fldCharType="begin"/>
      </w:r>
      <w:r>
        <w:rPr>
          <w:sz w:val="24"/>
          <w:szCs w:val="24"/>
        </w:rPr>
        <w:instrText xml:space="preserve"> PAGEREF _Toc25648247 \h </w:instrText>
      </w:r>
      <w:r>
        <w:rPr>
          <w:sz w:val="24"/>
          <w:szCs w:val="24"/>
        </w:rPr>
        <w:fldChar w:fldCharType="separate"/>
      </w:r>
      <w:r>
        <w:rPr>
          <w:sz w:val="24"/>
          <w:szCs w:val="24"/>
        </w:rPr>
        <w:t>699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"_Toc25648248" </w:instrText>
      </w:r>
      <w:r>
        <w:fldChar w:fldCharType="separate"/>
      </w:r>
      <w:r>
        <w:rPr>
          <w:rStyle w:val="32"/>
          <w:rFonts w:hint="eastAsia"/>
          <w:color w:val="auto"/>
          <w:sz w:val="24"/>
          <w:szCs w:val="24"/>
        </w:rPr>
        <w:t>兽用处方药和非处方药管理办法（农业部2013.9.11）</w:t>
      </w:r>
      <w:r>
        <w:rPr>
          <w:sz w:val="24"/>
          <w:szCs w:val="24"/>
        </w:rPr>
        <w:tab/>
      </w:r>
      <w:r>
        <w:rPr>
          <w:sz w:val="24"/>
          <w:szCs w:val="24"/>
        </w:rPr>
        <w:fldChar w:fldCharType="begin"/>
      </w:r>
      <w:r>
        <w:rPr>
          <w:sz w:val="24"/>
          <w:szCs w:val="24"/>
        </w:rPr>
        <w:instrText xml:space="preserve"> PAGEREF _Toc25648248 \h </w:instrText>
      </w:r>
      <w:r>
        <w:rPr>
          <w:sz w:val="24"/>
          <w:szCs w:val="24"/>
        </w:rPr>
        <w:fldChar w:fldCharType="separate"/>
      </w:r>
      <w:r>
        <w:rPr>
          <w:sz w:val="24"/>
          <w:szCs w:val="24"/>
        </w:rPr>
        <w:t>711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"_Toc25648249" </w:instrText>
      </w:r>
      <w:r>
        <w:fldChar w:fldCharType="separate"/>
      </w:r>
      <w:r>
        <w:rPr>
          <w:rStyle w:val="32"/>
          <w:rFonts w:hint="eastAsia"/>
          <w:color w:val="auto"/>
          <w:sz w:val="24"/>
          <w:szCs w:val="24"/>
        </w:rPr>
        <w:t>新兽药研制管理办法（农业农村部2019.4.25修订）</w:t>
      </w:r>
      <w:r>
        <w:rPr>
          <w:sz w:val="24"/>
          <w:szCs w:val="24"/>
        </w:rPr>
        <w:tab/>
      </w:r>
      <w:r>
        <w:rPr>
          <w:sz w:val="24"/>
          <w:szCs w:val="24"/>
        </w:rPr>
        <w:fldChar w:fldCharType="begin"/>
      </w:r>
      <w:r>
        <w:rPr>
          <w:sz w:val="24"/>
          <w:szCs w:val="24"/>
        </w:rPr>
        <w:instrText xml:space="preserve"> PAGEREF _Toc25648249 \h </w:instrText>
      </w:r>
      <w:r>
        <w:rPr>
          <w:sz w:val="24"/>
          <w:szCs w:val="24"/>
        </w:rPr>
        <w:fldChar w:fldCharType="separate"/>
      </w:r>
      <w:r>
        <w:rPr>
          <w:sz w:val="24"/>
          <w:szCs w:val="24"/>
        </w:rPr>
        <w:t>713</w:t>
      </w:r>
      <w:r>
        <w:rPr>
          <w:sz w:val="24"/>
          <w:szCs w:val="24"/>
        </w:rPr>
        <w:fldChar w:fldCharType="end"/>
      </w:r>
      <w:r>
        <w:rPr>
          <w:sz w:val="24"/>
          <w:szCs w:val="24"/>
        </w:rPr>
        <w:fldChar w:fldCharType="end"/>
      </w:r>
    </w:p>
    <w:p>
      <w:pPr>
        <w:pStyle w:val="23"/>
        <w:tabs>
          <w:tab w:val="right" w:leader="dot" w:pos="8820"/>
          <w:tab w:val="clear" w:pos="8494"/>
        </w:tabs>
        <w:rPr>
          <w:rStyle w:val="32"/>
          <w:color w:val="auto"/>
          <w:sz w:val="24"/>
          <w:szCs w:val="24"/>
        </w:rPr>
      </w:pPr>
      <w:r>
        <w:rPr>
          <w:rStyle w:val="32"/>
          <w:rFonts w:hint="eastAsia"/>
          <w:color w:val="auto"/>
          <w:sz w:val="24"/>
          <w:szCs w:val="24"/>
        </w:rPr>
        <w:t>4．</w:t>
      </w:r>
      <w:r>
        <w:fldChar w:fldCharType="begin"/>
      </w:r>
      <w:r>
        <w:instrText xml:space="preserve"> HYPERLINK \l "_Toc25651570" </w:instrText>
      </w:r>
      <w:r>
        <w:fldChar w:fldCharType="separate"/>
      </w:r>
      <w:r>
        <w:rPr>
          <w:rStyle w:val="32"/>
          <w:rFonts w:hint="eastAsia"/>
          <w:color w:val="auto"/>
          <w:sz w:val="24"/>
          <w:szCs w:val="24"/>
        </w:rPr>
        <w:t>兽药注册办法（农业部2004.11.24）</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_Toc25651570 \h </w:instrText>
      </w:r>
      <w:r>
        <w:rPr>
          <w:rStyle w:val="32"/>
          <w:color w:val="auto"/>
          <w:sz w:val="24"/>
          <w:szCs w:val="24"/>
        </w:rPr>
        <w:fldChar w:fldCharType="separate"/>
      </w:r>
      <w:r>
        <w:rPr>
          <w:rStyle w:val="32"/>
          <w:color w:val="auto"/>
          <w:sz w:val="24"/>
          <w:szCs w:val="24"/>
        </w:rPr>
        <w:t>718</w:t>
      </w:r>
      <w:r>
        <w:rPr>
          <w:rStyle w:val="32"/>
          <w:color w:val="auto"/>
          <w:sz w:val="24"/>
          <w:szCs w:val="24"/>
        </w:rPr>
        <w:fldChar w:fldCharType="end"/>
      </w:r>
      <w:r>
        <w:rPr>
          <w:rStyle w:val="32"/>
          <w:color w:val="auto"/>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"_Toc25648250" </w:instrText>
      </w:r>
      <w:r>
        <w:fldChar w:fldCharType="separate"/>
      </w:r>
      <w:r>
        <w:rPr>
          <w:rStyle w:val="32"/>
          <w:rFonts w:hint="eastAsia"/>
          <w:color w:val="auto"/>
          <w:sz w:val="24"/>
          <w:szCs w:val="24"/>
        </w:rPr>
        <w:t>兽药产品批准文号管理办法（农业农村部2019.4.25修订）</w:t>
      </w:r>
      <w:r>
        <w:rPr>
          <w:sz w:val="24"/>
          <w:szCs w:val="24"/>
        </w:rPr>
        <w:tab/>
      </w:r>
      <w:r>
        <w:rPr>
          <w:sz w:val="24"/>
          <w:szCs w:val="24"/>
        </w:rPr>
        <w:fldChar w:fldCharType="begin"/>
      </w:r>
      <w:r>
        <w:rPr>
          <w:sz w:val="24"/>
          <w:szCs w:val="24"/>
        </w:rPr>
        <w:instrText xml:space="preserve"> PAGEREF _Toc25648250 \h </w:instrText>
      </w:r>
      <w:r>
        <w:rPr>
          <w:sz w:val="24"/>
          <w:szCs w:val="24"/>
        </w:rPr>
        <w:fldChar w:fldCharType="separate"/>
      </w:r>
      <w:r>
        <w:rPr>
          <w:sz w:val="24"/>
          <w:szCs w:val="24"/>
        </w:rPr>
        <w:t>724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"_Toc25648251" </w:instrText>
      </w:r>
      <w:r>
        <w:fldChar w:fldCharType="separate"/>
      </w:r>
      <w:r>
        <w:rPr>
          <w:rStyle w:val="32"/>
          <w:rFonts w:hint="eastAsia"/>
          <w:color w:val="auto"/>
          <w:sz w:val="24"/>
          <w:szCs w:val="24"/>
        </w:rPr>
        <w:t>兽药标签和说明书管理办法（农业部2017.11.30修订）</w:t>
      </w:r>
      <w:r>
        <w:rPr>
          <w:sz w:val="24"/>
          <w:szCs w:val="24"/>
        </w:rPr>
        <w:tab/>
      </w:r>
      <w:r>
        <w:rPr>
          <w:sz w:val="24"/>
          <w:szCs w:val="24"/>
        </w:rPr>
        <w:fldChar w:fldCharType="begin"/>
      </w:r>
      <w:r>
        <w:rPr>
          <w:sz w:val="24"/>
          <w:szCs w:val="24"/>
        </w:rPr>
        <w:instrText xml:space="preserve"> PAGEREF _Toc25648251 \h </w:instrText>
      </w:r>
      <w:r>
        <w:rPr>
          <w:sz w:val="24"/>
          <w:szCs w:val="24"/>
        </w:rPr>
        <w:fldChar w:fldCharType="separate"/>
      </w:r>
      <w:r>
        <w:rPr>
          <w:sz w:val="24"/>
          <w:szCs w:val="24"/>
        </w:rPr>
        <w:t>731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"_Toc25648252" </w:instrText>
      </w:r>
      <w:r>
        <w:fldChar w:fldCharType="separate"/>
      </w:r>
      <w:r>
        <w:rPr>
          <w:rStyle w:val="32"/>
          <w:rFonts w:hint="eastAsia"/>
          <w:color w:val="auto"/>
          <w:sz w:val="24"/>
          <w:szCs w:val="24"/>
        </w:rPr>
        <w:t>兽药生产质量管理规范（农业部2017.11.30修订）</w:t>
      </w:r>
      <w:r>
        <w:rPr>
          <w:sz w:val="24"/>
          <w:szCs w:val="24"/>
        </w:rPr>
        <w:tab/>
      </w:r>
      <w:r>
        <w:rPr>
          <w:sz w:val="24"/>
          <w:szCs w:val="24"/>
        </w:rPr>
        <w:fldChar w:fldCharType="begin"/>
      </w:r>
      <w:r>
        <w:rPr>
          <w:sz w:val="24"/>
          <w:szCs w:val="24"/>
        </w:rPr>
        <w:instrText xml:space="preserve"> PAGEREF _Toc25648252 \h </w:instrText>
      </w:r>
      <w:r>
        <w:rPr>
          <w:sz w:val="24"/>
          <w:szCs w:val="24"/>
        </w:rPr>
        <w:fldChar w:fldCharType="separate"/>
      </w:r>
      <w:r>
        <w:rPr>
          <w:sz w:val="24"/>
          <w:szCs w:val="24"/>
        </w:rPr>
        <w:t>734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"_Toc25648253" </w:instrText>
      </w:r>
      <w:r>
        <w:fldChar w:fldCharType="separate"/>
      </w:r>
      <w:r>
        <w:rPr>
          <w:rStyle w:val="32"/>
          <w:rFonts w:hint="eastAsia"/>
          <w:color w:val="auto"/>
          <w:sz w:val="24"/>
          <w:szCs w:val="24"/>
        </w:rPr>
        <w:t>兽药经营质量管理规范（农业部2017.11.30修订）</w:t>
      </w:r>
      <w:r>
        <w:rPr>
          <w:sz w:val="24"/>
          <w:szCs w:val="24"/>
        </w:rPr>
        <w:tab/>
      </w:r>
      <w:r>
        <w:rPr>
          <w:sz w:val="24"/>
          <w:szCs w:val="24"/>
        </w:rPr>
        <w:fldChar w:fldCharType="begin"/>
      </w:r>
      <w:r>
        <w:rPr>
          <w:sz w:val="24"/>
          <w:szCs w:val="24"/>
        </w:rPr>
        <w:instrText xml:space="preserve"> PAGEREF _Toc25648253 \h </w:instrText>
      </w:r>
      <w:r>
        <w:rPr>
          <w:sz w:val="24"/>
          <w:szCs w:val="24"/>
        </w:rPr>
        <w:fldChar w:fldCharType="separate"/>
      </w:r>
      <w:r>
        <w:rPr>
          <w:sz w:val="24"/>
          <w:szCs w:val="24"/>
        </w:rPr>
        <w:t>747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"_Toc25648254" </w:instrText>
      </w:r>
      <w:r>
        <w:fldChar w:fldCharType="separate"/>
      </w:r>
      <w:r>
        <w:rPr>
          <w:rStyle w:val="32"/>
          <w:rFonts w:hint="eastAsia"/>
          <w:color w:val="auto"/>
          <w:sz w:val="24"/>
          <w:szCs w:val="24"/>
        </w:rPr>
        <w:t>兽用生物制品经营管理办法（农业部2007.3.29）</w:t>
      </w:r>
      <w:r>
        <w:rPr>
          <w:sz w:val="24"/>
          <w:szCs w:val="24"/>
        </w:rPr>
        <w:tab/>
      </w:r>
      <w:r>
        <w:rPr>
          <w:sz w:val="24"/>
          <w:szCs w:val="24"/>
        </w:rPr>
        <w:fldChar w:fldCharType="begin"/>
      </w:r>
      <w:r>
        <w:rPr>
          <w:sz w:val="24"/>
          <w:szCs w:val="24"/>
        </w:rPr>
        <w:instrText xml:space="preserve"> PAGEREF _Toc25648254 \h </w:instrText>
      </w:r>
      <w:r>
        <w:rPr>
          <w:sz w:val="24"/>
          <w:szCs w:val="24"/>
        </w:rPr>
        <w:fldChar w:fldCharType="separate"/>
      </w:r>
      <w:r>
        <w:rPr>
          <w:sz w:val="24"/>
          <w:szCs w:val="24"/>
        </w:rPr>
        <w:t>753</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"_Toc25648255" </w:instrText>
      </w:r>
      <w:r>
        <w:fldChar w:fldCharType="separate"/>
      </w:r>
      <w:r>
        <w:rPr>
          <w:rStyle w:val="32"/>
          <w:rFonts w:hint="eastAsia"/>
          <w:color w:val="auto"/>
          <w:sz w:val="24"/>
          <w:szCs w:val="24"/>
        </w:rPr>
        <w:t>兽药进口管理办法（农业农村部、海关总署2019.4.25修订）</w:t>
      </w:r>
      <w:r>
        <w:rPr>
          <w:sz w:val="24"/>
          <w:szCs w:val="24"/>
        </w:rPr>
        <w:tab/>
      </w:r>
      <w:r>
        <w:rPr>
          <w:sz w:val="24"/>
          <w:szCs w:val="24"/>
        </w:rPr>
        <w:fldChar w:fldCharType="begin"/>
      </w:r>
      <w:r>
        <w:rPr>
          <w:sz w:val="24"/>
          <w:szCs w:val="24"/>
        </w:rPr>
        <w:instrText xml:space="preserve"> PAGEREF _Toc25648255 \h </w:instrText>
      </w:r>
      <w:r>
        <w:rPr>
          <w:sz w:val="24"/>
          <w:szCs w:val="24"/>
        </w:rPr>
        <w:fldChar w:fldCharType="separate"/>
      </w:r>
      <w:r>
        <w:rPr>
          <w:sz w:val="24"/>
          <w:szCs w:val="24"/>
        </w:rPr>
        <w:t>756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"_Toc25648256" </w:instrText>
      </w:r>
      <w:r>
        <w:fldChar w:fldCharType="separate"/>
      </w:r>
      <w:r>
        <w:rPr>
          <w:rStyle w:val="32"/>
          <w:rFonts w:hint="eastAsia"/>
          <w:color w:val="auto"/>
          <w:sz w:val="24"/>
          <w:szCs w:val="24"/>
        </w:rPr>
        <w:t>兽药质量监督抽样规定（农业部2007.11.8修订）</w:t>
      </w:r>
      <w:r>
        <w:rPr>
          <w:sz w:val="24"/>
          <w:szCs w:val="24"/>
        </w:rPr>
        <w:tab/>
      </w:r>
      <w:r>
        <w:rPr>
          <w:sz w:val="24"/>
          <w:szCs w:val="24"/>
        </w:rPr>
        <w:fldChar w:fldCharType="begin"/>
      </w:r>
      <w:r>
        <w:rPr>
          <w:sz w:val="24"/>
          <w:szCs w:val="24"/>
        </w:rPr>
        <w:instrText xml:space="preserve"> PAGEREF _Toc25648256 \h </w:instrText>
      </w:r>
      <w:r>
        <w:rPr>
          <w:sz w:val="24"/>
          <w:szCs w:val="24"/>
        </w:rPr>
        <w:fldChar w:fldCharType="separate"/>
      </w:r>
      <w:r>
        <w:rPr>
          <w:sz w:val="24"/>
          <w:szCs w:val="24"/>
        </w:rPr>
        <w:t>761</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12．</w:t>
      </w:r>
      <w:r>
        <w:fldChar w:fldCharType="begin"/>
      </w:r>
      <w:r>
        <w:instrText xml:space="preserve"> HYPERLINK \l "_Toc25648257" </w:instrText>
      </w:r>
      <w:r>
        <w:fldChar w:fldCharType="separate"/>
      </w:r>
      <w:r>
        <w:rPr>
          <w:rStyle w:val="32"/>
          <w:rFonts w:hint="eastAsia"/>
          <w:color w:val="auto"/>
          <w:sz w:val="24"/>
          <w:szCs w:val="24"/>
        </w:rPr>
        <w:t>动物诊疗机构管理办法（农业部2017.11.30修订）</w:t>
      </w:r>
      <w:r>
        <w:rPr>
          <w:sz w:val="24"/>
          <w:szCs w:val="24"/>
        </w:rPr>
        <w:tab/>
      </w:r>
      <w:r>
        <w:rPr>
          <w:sz w:val="24"/>
          <w:szCs w:val="24"/>
        </w:rPr>
        <w:fldChar w:fldCharType="begin"/>
      </w:r>
      <w:r>
        <w:rPr>
          <w:sz w:val="24"/>
          <w:szCs w:val="24"/>
        </w:rPr>
        <w:instrText xml:space="preserve"> PAGEREF _Toc25648257 \h </w:instrText>
      </w:r>
      <w:r>
        <w:rPr>
          <w:sz w:val="24"/>
          <w:szCs w:val="24"/>
        </w:rPr>
        <w:fldChar w:fldCharType="separate"/>
      </w:r>
      <w:r>
        <w:rPr>
          <w:sz w:val="24"/>
          <w:szCs w:val="24"/>
        </w:rPr>
        <w:t>765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13．</w:t>
      </w:r>
      <w:r>
        <w:fldChar w:fldCharType="begin"/>
      </w:r>
      <w:r>
        <w:instrText xml:space="preserve"> HYPERLINK \l "_Toc25648258" </w:instrText>
      </w:r>
      <w:r>
        <w:fldChar w:fldCharType="separate"/>
      </w:r>
      <w:r>
        <w:rPr>
          <w:rStyle w:val="32"/>
          <w:rFonts w:hint="eastAsia"/>
          <w:color w:val="auto"/>
          <w:sz w:val="24"/>
          <w:szCs w:val="24"/>
        </w:rPr>
        <w:t>北京市养犬管理规定（市人大2003.9.5）</w:t>
      </w:r>
      <w:r>
        <w:rPr>
          <w:sz w:val="24"/>
          <w:szCs w:val="24"/>
        </w:rPr>
        <w:tab/>
      </w:r>
      <w:r>
        <w:rPr>
          <w:sz w:val="24"/>
          <w:szCs w:val="24"/>
        </w:rPr>
        <w:fldChar w:fldCharType="begin"/>
      </w:r>
      <w:r>
        <w:rPr>
          <w:sz w:val="24"/>
          <w:szCs w:val="24"/>
        </w:rPr>
        <w:instrText xml:space="preserve"> PAGEREF _Toc25648258 \h </w:instrText>
      </w:r>
      <w:r>
        <w:rPr>
          <w:sz w:val="24"/>
          <w:szCs w:val="24"/>
        </w:rPr>
        <w:fldChar w:fldCharType="separate"/>
      </w:r>
      <w:r>
        <w:rPr>
          <w:sz w:val="24"/>
          <w:szCs w:val="24"/>
        </w:rPr>
        <w:t>770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14．</w:t>
      </w:r>
      <w:r>
        <w:fldChar w:fldCharType="begin"/>
      </w:r>
      <w:r>
        <w:instrText xml:space="preserve"> HYPERLINK \l "_Toc25648259" </w:instrText>
      </w:r>
      <w:r>
        <w:fldChar w:fldCharType="separate"/>
      </w:r>
      <w:r>
        <w:rPr>
          <w:rStyle w:val="32"/>
          <w:rFonts w:hint="eastAsia"/>
          <w:color w:val="auto"/>
          <w:sz w:val="24"/>
          <w:szCs w:val="24"/>
        </w:rPr>
        <w:t>乡村兽医管理办法（农业农村部2019.4.25修订）</w:t>
      </w:r>
      <w:r>
        <w:rPr>
          <w:sz w:val="24"/>
          <w:szCs w:val="24"/>
        </w:rPr>
        <w:tab/>
      </w:r>
      <w:r>
        <w:rPr>
          <w:sz w:val="24"/>
          <w:szCs w:val="24"/>
        </w:rPr>
        <w:fldChar w:fldCharType="begin"/>
      </w:r>
      <w:r>
        <w:rPr>
          <w:sz w:val="24"/>
          <w:szCs w:val="24"/>
        </w:rPr>
        <w:instrText xml:space="preserve"> PAGEREF _Toc25648259 \h </w:instrText>
      </w:r>
      <w:r>
        <w:rPr>
          <w:sz w:val="24"/>
          <w:szCs w:val="24"/>
        </w:rPr>
        <w:fldChar w:fldCharType="separate"/>
      </w:r>
      <w:r>
        <w:rPr>
          <w:sz w:val="24"/>
          <w:szCs w:val="24"/>
        </w:rPr>
        <w:t>776</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15．</w:t>
      </w:r>
      <w:r>
        <w:fldChar w:fldCharType="begin"/>
      </w:r>
      <w:r>
        <w:instrText xml:space="preserve"> HYPERLINK \l "_Toc25648260" </w:instrText>
      </w:r>
      <w:r>
        <w:fldChar w:fldCharType="separate"/>
      </w:r>
      <w:r>
        <w:rPr>
          <w:rStyle w:val="32"/>
          <w:rFonts w:hint="eastAsia"/>
          <w:color w:val="auto"/>
          <w:sz w:val="24"/>
          <w:szCs w:val="24"/>
        </w:rPr>
        <w:t>执业兽医管理办法（农业部2013.12.31修订）</w:t>
      </w:r>
      <w:r>
        <w:rPr>
          <w:sz w:val="24"/>
          <w:szCs w:val="24"/>
        </w:rPr>
        <w:tab/>
      </w:r>
      <w:r>
        <w:rPr>
          <w:sz w:val="24"/>
          <w:szCs w:val="24"/>
        </w:rPr>
        <w:fldChar w:fldCharType="begin"/>
      </w:r>
      <w:r>
        <w:rPr>
          <w:sz w:val="24"/>
          <w:szCs w:val="24"/>
        </w:rPr>
        <w:instrText xml:space="preserve"> PAGEREF _Toc25648260 \h </w:instrText>
      </w:r>
      <w:r>
        <w:rPr>
          <w:sz w:val="24"/>
          <w:szCs w:val="24"/>
        </w:rPr>
        <w:fldChar w:fldCharType="separate"/>
      </w:r>
      <w:r>
        <w:rPr>
          <w:sz w:val="24"/>
          <w:szCs w:val="24"/>
        </w:rPr>
        <w:t>779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16．</w:t>
      </w:r>
      <w:r>
        <w:fldChar w:fldCharType="begin"/>
      </w:r>
      <w:r>
        <w:instrText xml:space="preserve"> HYPERLINK \l "_Toc25648261" </w:instrText>
      </w:r>
      <w:r>
        <w:fldChar w:fldCharType="separate"/>
      </w:r>
      <w:r>
        <w:rPr>
          <w:rStyle w:val="32"/>
          <w:rFonts w:hint="eastAsia"/>
          <w:color w:val="auto"/>
          <w:sz w:val="24"/>
          <w:szCs w:val="24"/>
        </w:rPr>
        <w:t>病原微生物实验室生物安全管理条例（国务院2018.3.19修订）</w:t>
      </w:r>
      <w:r>
        <w:rPr>
          <w:sz w:val="24"/>
          <w:szCs w:val="24"/>
        </w:rPr>
        <w:tab/>
      </w:r>
      <w:r>
        <w:rPr>
          <w:sz w:val="24"/>
          <w:szCs w:val="24"/>
        </w:rPr>
        <w:fldChar w:fldCharType="begin"/>
      </w:r>
      <w:r>
        <w:rPr>
          <w:sz w:val="24"/>
          <w:szCs w:val="24"/>
        </w:rPr>
        <w:instrText xml:space="preserve"> PAGEREF _Toc25648261 \h </w:instrText>
      </w:r>
      <w:r>
        <w:rPr>
          <w:sz w:val="24"/>
          <w:szCs w:val="24"/>
        </w:rPr>
        <w:fldChar w:fldCharType="separate"/>
      </w:r>
      <w:r>
        <w:rPr>
          <w:sz w:val="24"/>
          <w:szCs w:val="24"/>
        </w:rPr>
        <w:t>784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17．</w:t>
      </w:r>
      <w:r>
        <w:fldChar w:fldCharType="begin"/>
      </w:r>
      <w:r>
        <w:instrText xml:space="preserve"> HYPERLINK \l "_Toc25648262" </w:instrText>
      </w:r>
      <w:r>
        <w:fldChar w:fldCharType="separate"/>
      </w:r>
      <w:r>
        <w:rPr>
          <w:rStyle w:val="32"/>
          <w:rFonts w:hint="eastAsia"/>
          <w:color w:val="auto"/>
          <w:sz w:val="24"/>
          <w:szCs w:val="24"/>
        </w:rPr>
        <w:t>动物病原微生物菌（毒）种保藏管理办法（农业部2016.5.30修订）</w:t>
      </w:r>
      <w:r>
        <w:rPr>
          <w:sz w:val="24"/>
          <w:szCs w:val="24"/>
        </w:rPr>
        <w:tab/>
      </w:r>
      <w:r>
        <w:rPr>
          <w:sz w:val="24"/>
          <w:szCs w:val="24"/>
        </w:rPr>
        <w:fldChar w:fldCharType="begin"/>
      </w:r>
      <w:r>
        <w:rPr>
          <w:sz w:val="24"/>
          <w:szCs w:val="24"/>
        </w:rPr>
        <w:instrText xml:space="preserve"> PAGEREF _Toc25648262 \h </w:instrText>
      </w:r>
      <w:r>
        <w:rPr>
          <w:sz w:val="24"/>
          <w:szCs w:val="24"/>
        </w:rPr>
        <w:fldChar w:fldCharType="separate"/>
      </w:r>
      <w:r>
        <w:rPr>
          <w:sz w:val="24"/>
          <w:szCs w:val="24"/>
        </w:rPr>
        <w:t>797</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"_Toc25648263" </w:instrText>
      </w:r>
      <w:r>
        <w:fldChar w:fldCharType="separate"/>
      </w:r>
      <w:r>
        <w:rPr>
          <w:rStyle w:val="32"/>
          <w:rFonts w:hint="eastAsia"/>
          <w:color w:val="auto"/>
        </w:rPr>
        <w:t>八、渔业</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"_Toc25648264" </w:instrText>
      </w:r>
      <w:r>
        <w:fldChar w:fldCharType="separate"/>
      </w:r>
      <w:r>
        <w:rPr>
          <w:rStyle w:val="32"/>
          <w:rFonts w:hint="eastAsia"/>
          <w:color w:val="auto"/>
          <w:sz w:val="24"/>
          <w:szCs w:val="24"/>
        </w:rPr>
        <w:t>中华人民共和国渔业法（2013.12.28修订）</w:t>
      </w:r>
      <w:r>
        <w:rPr>
          <w:sz w:val="24"/>
          <w:szCs w:val="24"/>
        </w:rPr>
        <w:tab/>
      </w:r>
      <w:r>
        <w:rPr>
          <w:sz w:val="24"/>
          <w:szCs w:val="24"/>
        </w:rPr>
        <w:fldChar w:fldCharType="begin"/>
      </w:r>
      <w:r>
        <w:rPr>
          <w:sz w:val="24"/>
          <w:szCs w:val="24"/>
        </w:rPr>
        <w:instrText xml:space="preserve"> PAGEREF _Toc25648264 \h </w:instrText>
      </w:r>
      <w:r>
        <w:rPr>
          <w:sz w:val="24"/>
          <w:szCs w:val="24"/>
        </w:rPr>
        <w:fldChar w:fldCharType="separate"/>
      </w:r>
      <w:r>
        <w:rPr>
          <w:sz w:val="24"/>
          <w:szCs w:val="24"/>
        </w:rPr>
        <w:t>805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"_Toc25648265" </w:instrText>
      </w:r>
      <w:r>
        <w:fldChar w:fldCharType="separate"/>
      </w:r>
      <w:r>
        <w:rPr>
          <w:rStyle w:val="32"/>
          <w:rFonts w:hint="eastAsia"/>
          <w:color w:val="auto"/>
          <w:sz w:val="24"/>
          <w:szCs w:val="24"/>
        </w:rPr>
        <w:t>中华人民共和国渔业法实施细则（国务院1987.10.20）</w:t>
      </w:r>
      <w:r>
        <w:rPr>
          <w:sz w:val="24"/>
          <w:szCs w:val="24"/>
        </w:rPr>
        <w:tab/>
      </w:r>
      <w:r>
        <w:rPr>
          <w:sz w:val="24"/>
          <w:szCs w:val="24"/>
        </w:rPr>
        <w:fldChar w:fldCharType="begin"/>
      </w:r>
      <w:r>
        <w:rPr>
          <w:sz w:val="24"/>
          <w:szCs w:val="24"/>
        </w:rPr>
        <w:instrText xml:space="preserve"> PAGEREF _Toc25648265 \h </w:instrText>
      </w:r>
      <w:r>
        <w:rPr>
          <w:sz w:val="24"/>
          <w:szCs w:val="24"/>
        </w:rPr>
        <w:fldChar w:fldCharType="separate"/>
      </w:r>
      <w:r>
        <w:rPr>
          <w:sz w:val="24"/>
          <w:szCs w:val="24"/>
        </w:rPr>
        <w:t>812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"_Toc25648266" </w:instrText>
      </w:r>
      <w:r>
        <w:fldChar w:fldCharType="separate"/>
      </w:r>
      <w:r>
        <w:rPr>
          <w:rStyle w:val="32"/>
          <w:rFonts w:hint="eastAsia"/>
          <w:color w:val="auto"/>
          <w:sz w:val="24"/>
          <w:szCs w:val="24"/>
        </w:rPr>
        <w:t>北京市实施《中华人民共和国渔业法》办法（市人大2007.7.27修订）</w:t>
      </w:r>
      <w:r>
        <w:rPr>
          <w:sz w:val="24"/>
          <w:szCs w:val="24"/>
        </w:rPr>
        <w:tab/>
      </w:r>
      <w:r>
        <w:rPr>
          <w:sz w:val="24"/>
          <w:szCs w:val="24"/>
        </w:rPr>
        <w:fldChar w:fldCharType="begin"/>
      </w:r>
      <w:r>
        <w:rPr>
          <w:sz w:val="24"/>
          <w:szCs w:val="24"/>
        </w:rPr>
        <w:instrText xml:space="preserve"> PAGEREF _Toc25648266 \h </w:instrText>
      </w:r>
      <w:r>
        <w:rPr>
          <w:sz w:val="24"/>
          <w:szCs w:val="24"/>
        </w:rPr>
        <w:fldChar w:fldCharType="separate"/>
      </w:r>
      <w:r>
        <w:rPr>
          <w:sz w:val="24"/>
          <w:szCs w:val="24"/>
        </w:rPr>
        <w:t>818</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"_Toc25648267" </w:instrText>
      </w:r>
      <w:r>
        <w:fldChar w:fldCharType="separate"/>
      </w:r>
      <w:r>
        <w:rPr>
          <w:rStyle w:val="32"/>
          <w:rFonts w:hint="eastAsia"/>
          <w:color w:val="auto"/>
          <w:sz w:val="24"/>
          <w:szCs w:val="24"/>
        </w:rPr>
        <w:t>水产苗种管理办法（农业部2005.1.5修订）</w:t>
      </w:r>
      <w:r>
        <w:rPr>
          <w:sz w:val="24"/>
          <w:szCs w:val="24"/>
        </w:rPr>
        <w:tab/>
      </w:r>
      <w:r>
        <w:rPr>
          <w:sz w:val="24"/>
          <w:szCs w:val="24"/>
        </w:rPr>
        <w:fldChar w:fldCharType="begin"/>
      </w:r>
      <w:r>
        <w:rPr>
          <w:sz w:val="24"/>
          <w:szCs w:val="24"/>
        </w:rPr>
        <w:instrText xml:space="preserve"> PAGEREF _Toc25648267 \h </w:instrText>
      </w:r>
      <w:r>
        <w:rPr>
          <w:sz w:val="24"/>
          <w:szCs w:val="24"/>
        </w:rPr>
        <w:fldChar w:fldCharType="separate"/>
      </w:r>
      <w:r>
        <w:rPr>
          <w:sz w:val="24"/>
          <w:szCs w:val="24"/>
        </w:rPr>
        <w:t>822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"_Toc25648268" </w:instrText>
      </w:r>
      <w:r>
        <w:fldChar w:fldCharType="separate"/>
      </w:r>
      <w:r>
        <w:rPr>
          <w:rStyle w:val="32"/>
          <w:rFonts w:hint="eastAsia"/>
          <w:color w:val="auto"/>
          <w:sz w:val="24"/>
          <w:szCs w:val="24"/>
        </w:rPr>
        <w:t>渔业捕捞许可管理规定（农业农村部2018.12.3修订）</w:t>
      </w:r>
      <w:r>
        <w:rPr>
          <w:sz w:val="24"/>
          <w:szCs w:val="24"/>
        </w:rPr>
        <w:tab/>
      </w:r>
      <w:r>
        <w:rPr>
          <w:sz w:val="24"/>
          <w:szCs w:val="24"/>
        </w:rPr>
        <w:fldChar w:fldCharType="begin"/>
      </w:r>
      <w:r>
        <w:rPr>
          <w:sz w:val="24"/>
          <w:szCs w:val="24"/>
        </w:rPr>
        <w:instrText xml:space="preserve"> PAGEREF _Toc25648268 \h </w:instrText>
      </w:r>
      <w:r>
        <w:rPr>
          <w:sz w:val="24"/>
          <w:szCs w:val="24"/>
        </w:rPr>
        <w:fldChar w:fldCharType="separate"/>
      </w:r>
      <w:r>
        <w:rPr>
          <w:sz w:val="24"/>
          <w:szCs w:val="24"/>
        </w:rPr>
        <w:t>827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"_Toc25648269" </w:instrText>
      </w:r>
      <w:r>
        <w:fldChar w:fldCharType="separate"/>
      </w:r>
      <w:r>
        <w:rPr>
          <w:rStyle w:val="32"/>
          <w:rFonts w:hint="eastAsia"/>
          <w:color w:val="auto"/>
          <w:sz w:val="24"/>
          <w:szCs w:val="24"/>
        </w:rPr>
        <w:t>水产养殖质量安全管理规定（农业部2003.7.24）</w:t>
      </w:r>
      <w:r>
        <w:rPr>
          <w:sz w:val="24"/>
          <w:szCs w:val="24"/>
        </w:rPr>
        <w:tab/>
      </w:r>
      <w:r>
        <w:rPr>
          <w:sz w:val="24"/>
          <w:szCs w:val="24"/>
        </w:rPr>
        <w:fldChar w:fldCharType="begin"/>
      </w:r>
      <w:r>
        <w:rPr>
          <w:sz w:val="24"/>
          <w:szCs w:val="24"/>
        </w:rPr>
        <w:instrText xml:space="preserve"> PAGEREF _Toc25648269 \h </w:instrText>
      </w:r>
      <w:r>
        <w:rPr>
          <w:sz w:val="24"/>
          <w:szCs w:val="24"/>
        </w:rPr>
        <w:fldChar w:fldCharType="separate"/>
      </w:r>
      <w:r>
        <w:rPr>
          <w:sz w:val="24"/>
          <w:szCs w:val="24"/>
        </w:rPr>
        <w:t>840</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"_Toc25648270" </w:instrText>
      </w:r>
      <w:r>
        <w:fldChar w:fldCharType="separate"/>
      </w:r>
      <w:r>
        <w:rPr>
          <w:rStyle w:val="32"/>
          <w:rFonts w:hint="eastAsia"/>
          <w:color w:val="auto"/>
          <w:sz w:val="24"/>
          <w:szCs w:val="24"/>
        </w:rPr>
        <w:t>水生生物增殖放流管理规定（农业部2009.3.24）</w:t>
      </w:r>
      <w:r>
        <w:rPr>
          <w:sz w:val="24"/>
          <w:szCs w:val="24"/>
        </w:rPr>
        <w:tab/>
      </w:r>
      <w:r>
        <w:rPr>
          <w:sz w:val="24"/>
          <w:szCs w:val="24"/>
        </w:rPr>
        <w:fldChar w:fldCharType="begin"/>
      </w:r>
      <w:r>
        <w:rPr>
          <w:sz w:val="24"/>
          <w:szCs w:val="24"/>
        </w:rPr>
        <w:instrText xml:space="preserve"> PAGEREF _Toc25648270 \h </w:instrText>
      </w:r>
      <w:r>
        <w:rPr>
          <w:sz w:val="24"/>
          <w:szCs w:val="24"/>
        </w:rPr>
        <w:fldChar w:fldCharType="separate"/>
      </w:r>
      <w:r>
        <w:rPr>
          <w:sz w:val="24"/>
          <w:szCs w:val="24"/>
        </w:rPr>
        <w:t>843</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"_Toc25648271" </w:instrText>
      </w:r>
      <w:r>
        <w:fldChar w:fldCharType="separate"/>
      </w:r>
      <w:r>
        <w:rPr>
          <w:rStyle w:val="32"/>
          <w:rFonts w:hint="eastAsia"/>
          <w:color w:val="auto"/>
          <w:sz w:val="24"/>
          <w:szCs w:val="24"/>
        </w:rPr>
        <w:t>水域滩涂养殖发证登记办法（农业部2010.5.24）</w:t>
      </w:r>
      <w:r>
        <w:rPr>
          <w:sz w:val="24"/>
          <w:szCs w:val="24"/>
        </w:rPr>
        <w:tab/>
      </w:r>
      <w:r>
        <w:rPr>
          <w:sz w:val="24"/>
          <w:szCs w:val="24"/>
        </w:rPr>
        <w:fldChar w:fldCharType="begin"/>
      </w:r>
      <w:r>
        <w:rPr>
          <w:sz w:val="24"/>
          <w:szCs w:val="24"/>
        </w:rPr>
        <w:instrText xml:space="preserve"> PAGEREF _Toc25648271 \h </w:instrText>
      </w:r>
      <w:r>
        <w:rPr>
          <w:sz w:val="24"/>
          <w:szCs w:val="24"/>
        </w:rPr>
        <w:fldChar w:fldCharType="separate"/>
      </w:r>
      <w:r>
        <w:rPr>
          <w:sz w:val="24"/>
          <w:szCs w:val="24"/>
        </w:rPr>
        <w:t>845</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"_Toc25648272" </w:instrText>
      </w:r>
      <w:r>
        <w:fldChar w:fldCharType="separate"/>
      </w:r>
      <w:r>
        <w:rPr>
          <w:rStyle w:val="32"/>
          <w:rFonts w:hint="eastAsia"/>
          <w:color w:val="auto"/>
          <w:sz w:val="24"/>
          <w:szCs w:val="24"/>
        </w:rPr>
        <w:t>渔业水域污染事故调查处理程序规定（农业部1997.3.26）</w:t>
      </w:r>
      <w:r>
        <w:rPr>
          <w:sz w:val="24"/>
          <w:szCs w:val="24"/>
        </w:rPr>
        <w:tab/>
      </w:r>
      <w:r>
        <w:rPr>
          <w:sz w:val="24"/>
          <w:szCs w:val="24"/>
        </w:rPr>
        <w:fldChar w:fldCharType="begin"/>
      </w:r>
      <w:r>
        <w:rPr>
          <w:sz w:val="24"/>
          <w:szCs w:val="24"/>
        </w:rPr>
        <w:instrText xml:space="preserve"> PAGEREF _Toc25648272 \h </w:instrText>
      </w:r>
      <w:r>
        <w:rPr>
          <w:sz w:val="24"/>
          <w:szCs w:val="24"/>
        </w:rPr>
        <w:fldChar w:fldCharType="separate"/>
      </w:r>
      <w:r>
        <w:rPr>
          <w:sz w:val="24"/>
          <w:szCs w:val="24"/>
        </w:rPr>
        <w:t>849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"_Toc25648273" </w:instrText>
      </w:r>
      <w:r>
        <w:fldChar w:fldCharType="separate"/>
      </w:r>
      <w:r>
        <w:rPr>
          <w:rStyle w:val="32"/>
          <w:rFonts w:hint="eastAsia"/>
          <w:color w:val="auto"/>
          <w:sz w:val="24"/>
          <w:szCs w:val="24"/>
        </w:rPr>
        <w:t>中华人民共和国渔业行政执法船舶管理办法（农业部2000.6.13）</w:t>
      </w:r>
      <w:r>
        <w:rPr>
          <w:sz w:val="24"/>
          <w:szCs w:val="24"/>
        </w:rPr>
        <w:tab/>
      </w:r>
      <w:r>
        <w:rPr>
          <w:sz w:val="24"/>
          <w:szCs w:val="24"/>
        </w:rPr>
        <w:fldChar w:fldCharType="begin"/>
      </w:r>
      <w:r>
        <w:rPr>
          <w:sz w:val="24"/>
          <w:szCs w:val="24"/>
        </w:rPr>
        <w:instrText xml:space="preserve"> PAGEREF _Toc25648273 \h </w:instrText>
      </w:r>
      <w:r>
        <w:rPr>
          <w:sz w:val="24"/>
          <w:szCs w:val="24"/>
        </w:rPr>
        <w:fldChar w:fldCharType="separate"/>
      </w:r>
      <w:r>
        <w:rPr>
          <w:sz w:val="24"/>
          <w:szCs w:val="24"/>
        </w:rPr>
        <w:t>853</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"_Toc25648274" </w:instrText>
      </w:r>
      <w:r>
        <w:fldChar w:fldCharType="separate"/>
      </w:r>
      <w:r>
        <w:rPr>
          <w:rStyle w:val="32"/>
          <w:rFonts w:hint="eastAsia"/>
          <w:color w:val="auto"/>
        </w:rPr>
        <w:t>九、农药肥料</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"_Toc25648275" </w:instrText>
      </w:r>
      <w:r>
        <w:fldChar w:fldCharType="separate"/>
      </w:r>
      <w:r>
        <w:rPr>
          <w:rStyle w:val="32"/>
          <w:rFonts w:hint="eastAsia"/>
          <w:color w:val="auto"/>
          <w:sz w:val="24"/>
          <w:szCs w:val="24"/>
        </w:rPr>
        <w:t>农药管理条例（国务院2017.3.16修订）</w:t>
      </w:r>
      <w:r>
        <w:rPr>
          <w:sz w:val="24"/>
          <w:szCs w:val="24"/>
        </w:rPr>
        <w:tab/>
      </w:r>
      <w:r>
        <w:rPr>
          <w:sz w:val="24"/>
          <w:szCs w:val="24"/>
        </w:rPr>
        <w:fldChar w:fldCharType="begin"/>
      </w:r>
      <w:r>
        <w:rPr>
          <w:sz w:val="24"/>
          <w:szCs w:val="24"/>
        </w:rPr>
        <w:instrText xml:space="preserve"> PAGEREF _Toc25648275 \h </w:instrText>
      </w:r>
      <w:r>
        <w:rPr>
          <w:sz w:val="24"/>
          <w:szCs w:val="24"/>
        </w:rPr>
        <w:fldChar w:fldCharType="separate"/>
      </w:r>
      <w:r>
        <w:rPr>
          <w:sz w:val="24"/>
          <w:szCs w:val="24"/>
        </w:rPr>
        <w:t>859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"_Toc25648276" </w:instrText>
      </w:r>
      <w:r>
        <w:fldChar w:fldCharType="separate"/>
      </w:r>
      <w:r>
        <w:rPr>
          <w:rStyle w:val="32"/>
          <w:rFonts w:hint="eastAsia"/>
          <w:color w:val="auto"/>
          <w:sz w:val="24"/>
          <w:szCs w:val="24"/>
        </w:rPr>
        <w:t>农药登记管理办法（农业农村部2018.12.6修订）</w:t>
      </w:r>
      <w:r>
        <w:rPr>
          <w:sz w:val="24"/>
          <w:szCs w:val="24"/>
        </w:rPr>
        <w:tab/>
      </w:r>
      <w:r>
        <w:rPr>
          <w:sz w:val="24"/>
          <w:szCs w:val="24"/>
        </w:rPr>
        <w:fldChar w:fldCharType="begin"/>
      </w:r>
      <w:r>
        <w:rPr>
          <w:sz w:val="24"/>
          <w:szCs w:val="24"/>
        </w:rPr>
        <w:instrText xml:space="preserve"> PAGEREF _Toc25648276 \h </w:instrText>
      </w:r>
      <w:r>
        <w:rPr>
          <w:sz w:val="24"/>
          <w:szCs w:val="24"/>
        </w:rPr>
        <w:fldChar w:fldCharType="separate"/>
      </w:r>
      <w:r>
        <w:rPr>
          <w:sz w:val="24"/>
          <w:szCs w:val="24"/>
        </w:rPr>
        <w:t>872</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"_Toc25648277" </w:instrText>
      </w:r>
      <w:r>
        <w:fldChar w:fldCharType="separate"/>
      </w:r>
      <w:r>
        <w:rPr>
          <w:rStyle w:val="32"/>
          <w:rFonts w:hint="eastAsia"/>
          <w:color w:val="auto"/>
          <w:sz w:val="24"/>
          <w:szCs w:val="24"/>
        </w:rPr>
        <w:t>农药生产许可管理办法（农业农村部2018.12.6修订）</w:t>
      </w:r>
      <w:r>
        <w:rPr>
          <w:sz w:val="24"/>
          <w:szCs w:val="24"/>
        </w:rPr>
        <w:tab/>
      </w:r>
      <w:r>
        <w:rPr>
          <w:sz w:val="24"/>
          <w:szCs w:val="24"/>
        </w:rPr>
        <w:fldChar w:fldCharType="begin"/>
      </w:r>
      <w:r>
        <w:rPr>
          <w:sz w:val="24"/>
          <w:szCs w:val="24"/>
        </w:rPr>
        <w:instrText xml:space="preserve"> PAGEREF _Toc25648277 \h </w:instrText>
      </w:r>
      <w:r>
        <w:rPr>
          <w:sz w:val="24"/>
          <w:szCs w:val="24"/>
        </w:rPr>
        <w:fldChar w:fldCharType="separate"/>
      </w:r>
      <w:r>
        <w:rPr>
          <w:sz w:val="24"/>
          <w:szCs w:val="24"/>
        </w:rPr>
        <w:t>879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"_Toc25648278" </w:instrText>
      </w:r>
      <w:r>
        <w:fldChar w:fldCharType="separate"/>
      </w:r>
      <w:r>
        <w:rPr>
          <w:rStyle w:val="32"/>
          <w:rFonts w:hint="eastAsia"/>
          <w:color w:val="auto"/>
          <w:sz w:val="24"/>
          <w:szCs w:val="24"/>
        </w:rPr>
        <w:t>农药经营许可管理办法（农业农村部2018.12.6修订）</w:t>
      </w:r>
      <w:r>
        <w:rPr>
          <w:sz w:val="24"/>
          <w:szCs w:val="24"/>
        </w:rPr>
        <w:tab/>
      </w:r>
      <w:r>
        <w:rPr>
          <w:sz w:val="24"/>
          <w:szCs w:val="24"/>
        </w:rPr>
        <w:fldChar w:fldCharType="begin"/>
      </w:r>
      <w:r>
        <w:rPr>
          <w:sz w:val="24"/>
          <w:szCs w:val="24"/>
        </w:rPr>
        <w:instrText xml:space="preserve"> PAGEREF _Toc25648278 \h </w:instrText>
      </w:r>
      <w:r>
        <w:rPr>
          <w:sz w:val="24"/>
          <w:szCs w:val="24"/>
        </w:rPr>
        <w:fldChar w:fldCharType="separate"/>
      </w:r>
      <w:r>
        <w:rPr>
          <w:sz w:val="24"/>
          <w:szCs w:val="24"/>
        </w:rPr>
        <w:t>884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"_Toc25648279" </w:instrText>
      </w:r>
      <w:r>
        <w:fldChar w:fldCharType="separate"/>
      </w:r>
      <w:r>
        <w:rPr>
          <w:rStyle w:val="32"/>
          <w:rFonts w:hint="eastAsia"/>
          <w:color w:val="auto"/>
          <w:sz w:val="24"/>
          <w:szCs w:val="24"/>
        </w:rPr>
        <w:t>农药登记试验管理办法（农业农村部2018.12.6修订）</w:t>
      </w:r>
      <w:r>
        <w:rPr>
          <w:sz w:val="24"/>
          <w:szCs w:val="24"/>
        </w:rPr>
        <w:tab/>
      </w:r>
      <w:r>
        <w:rPr>
          <w:sz w:val="24"/>
          <w:szCs w:val="24"/>
        </w:rPr>
        <w:fldChar w:fldCharType="begin"/>
      </w:r>
      <w:r>
        <w:rPr>
          <w:sz w:val="24"/>
          <w:szCs w:val="24"/>
        </w:rPr>
        <w:instrText xml:space="preserve"> PAGEREF _Toc25648279 \h </w:instrText>
      </w:r>
      <w:r>
        <w:rPr>
          <w:sz w:val="24"/>
          <w:szCs w:val="24"/>
        </w:rPr>
        <w:fldChar w:fldCharType="separate"/>
      </w:r>
      <w:r>
        <w:rPr>
          <w:sz w:val="24"/>
          <w:szCs w:val="24"/>
        </w:rPr>
        <w:t>889</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"_Toc25648280" </w:instrText>
      </w:r>
      <w:r>
        <w:fldChar w:fldCharType="separate"/>
      </w:r>
      <w:r>
        <w:rPr>
          <w:rStyle w:val="32"/>
          <w:rFonts w:hint="eastAsia"/>
          <w:color w:val="auto"/>
          <w:sz w:val="24"/>
          <w:szCs w:val="24"/>
        </w:rPr>
        <w:t>农药标签和说明书管理办法（农业部2017.6.21）</w:t>
      </w:r>
      <w:r>
        <w:rPr>
          <w:sz w:val="24"/>
          <w:szCs w:val="24"/>
        </w:rPr>
        <w:tab/>
      </w:r>
      <w:r>
        <w:rPr>
          <w:sz w:val="24"/>
          <w:szCs w:val="24"/>
        </w:rPr>
        <w:fldChar w:fldCharType="begin"/>
      </w:r>
      <w:r>
        <w:rPr>
          <w:sz w:val="24"/>
          <w:szCs w:val="24"/>
        </w:rPr>
        <w:instrText xml:space="preserve"> PAGEREF _Toc25648280 \h </w:instrText>
      </w:r>
      <w:r>
        <w:rPr>
          <w:sz w:val="24"/>
          <w:szCs w:val="24"/>
        </w:rPr>
        <w:fldChar w:fldCharType="separate"/>
      </w:r>
      <w:r>
        <w:rPr>
          <w:sz w:val="24"/>
          <w:szCs w:val="24"/>
        </w:rPr>
        <w:t>894</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"_Toc25648281" </w:instrText>
      </w:r>
      <w:r>
        <w:fldChar w:fldCharType="separate"/>
      </w:r>
      <w:r>
        <w:rPr>
          <w:rStyle w:val="32"/>
          <w:rFonts w:hint="eastAsia"/>
          <w:color w:val="auto"/>
          <w:sz w:val="24"/>
          <w:szCs w:val="24"/>
        </w:rPr>
        <w:t>肥料登记管理办法（农业部2017.11.30修订）</w:t>
      </w:r>
      <w:r>
        <w:rPr>
          <w:sz w:val="24"/>
          <w:szCs w:val="24"/>
        </w:rPr>
        <w:tab/>
      </w:r>
      <w:r>
        <w:rPr>
          <w:sz w:val="24"/>
          <w:szCs w:val="24"/>
        </w:rPr>
        <w:fldChar w:fldCharType="begin"/>
      </w:r>
      <w:r>
        <w:rPr>
          <w:sz w:val="24"/>
          <w:szCs w:val="24"/>
        </w:rPr>
        <w:instrText xml:space="preserve"> PAGEREF _Toc25648281 \h </w:instrText>
      </w:r>
      <w:r>
        <w:rPr>
          <w:sz w:val="24"/>
          <w:szCs w:val="24"/>
        </w:rPr>
        <w:fldChar w:fldCharType="separate"/>
      </w:r>
      <w:r>
        <w:rPr>
          <w:sz w:val="24"/>
          <w:szCs w:val="24"/>
        </w:rPr>
        <w:t>900</w:t>
      </w:r>
      <w:r>
        <w:rPr>
          <w:sz w:val="24"/>
          <w:szCs w:val="24"/>
        </w:rPr>
        <w:fldChar w:fldCharType="end"/>
      </w:r>
      <w:r>
        <w:rPr>
          <w:sz w:val="24"/>
          <w:szCs w:val="24"/>
        </w:rPr>
        <w:fldChar w:fldCharType="end"/>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"_Toc25648282" </w:instrText>
      </w:r>
      <w:r>
        <w:fldChar w:fldCharType="separate"/>
      </w:r>
      <w:r>
        <w:rPr>
          <w:rStyle w:val="32"/>
          <w:rFonts w:hint="eastAsia"/>
          <w:color w:val="auto"/>
        </w:rPr>
        <w:t>十、动植物检疫和防疫</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"_Toc25648283" </w:instrText>
      </w:r>
      <w:r>
        <w:fldChar w:fldCharType="separate"/>
      </w:r>
      <w:r>
        <w:rPr>
          <w:rStyle w:val="32"/>
          <w:rFonts w:hint="eastAsia"/>
          <w:color w:val="auto"/>
          <w:sz w:val="24"/>
          <w:szCs w:val="24"/>
        </w:rPr>
        <w:t>中华人民共和国动物防疫法（20</w:t>
      </w:r>
      <w:r>
        <w:rPr>
          <w:rStyle w:val="32"/>
          <w:rFonts w:hint="eastAsia"/>
          <w:color w:val="auto"/>
          <w:sz w:val="24"/>
          <w:szCs w:val="24"/>
          <w:lang w:val="en-US" w:eastAsia="zh-CN"/>
        </w:rPr>
        <w:t>21</w:t>
      </w:r>
      <w:r>
        <w:rPr>
          <w:rStyle w:val="32"/>
          <w:rFonts w:hint="eastAsia"/>
          <w:color w:val="auto"/>
          <w:sz w:val="24"/>
          <w:szCs w:val="24"/>
        </w:rPr>
        <w:t>.</w:t>
      </w:r>
      <w:r>
        <w:rPr>
          <w:rStyle w:val="32"/>
          <w:rFonts w:hint="eastAsia"/>
          <w:color w:val="auto"/>
          <w:sz w:val="24"/>
          <w:szCs w:val="24"/>
          <w:lang w:val="en-US" w:eastAsia="zh-CN"/>
        </w:rPr>
        <w:t>1</w:t>
      </w:r>
      <w:r>
        <w:rPr>
          <w:rStyle w:val="32"/>
          <w:rFonts w:hint="eastAsia"/>
          <w:color w:val="auto"/>
          <w:sz w:val="24"/>
          <w:szCs w:val="24"/>
        </w:rPr>
        <w:t>.</w:t>
      </w:r>
      <w:r>
        <w:rPr>
          <w:rStyle w:val="32"/>
          <w:rFonts w:hint="eastAsia"/>
          <w:color w:val="auto"/>
          <w:sz w:val="24"/>
          <w:szCs w:val="24"/>
          <w:lang w:val="en-US" w:eastAsia="zh-CN"/>
        </w:rPr>
        <w:t>21</w:t>
      </w:r>
      <w:r>
        <w:rPr>
          <w:rStyle w:val="32"/>
          <w:rFonts w:hint="eastAsia"/>
          <w:color w:val="auto"/>
          <w:sz w:val="24"/>
          <w:szCs w:val="24"/>
        </w:rPr>
        <w:t>修订）</w:t>
      </w:r>
      <w:r>
        <w:rPr>
          <w:sz w:val="24"/>
          <w:szCs w:val="24"/>
        </w:rPr>
        <w:tab/>
      </w:r>
      <w:r>
        <w:rPr>
          <w:sz w:val="24"/>
          <w:szCs w:val="24"/>
        </w:rPr>
        <w:fldChar w:fldCharType="begin"/>
      </w:r>
      <w:r>
        <w:rPr>
          <w:sz w:val="24"/>
          <w:szCs w:val="24"/>
        </w:rPr>
        <w:instrText xml:space="preserve"> PAGEREF _Toc25648283 \h </w:instrText>
      </w:r>
      <w:r>
        <w:rPr>
          <w:sz w:val="24"/>
          <w:szCs w:val="24"/>
        </w:rPr>
        <w:fldChar w:fldCharType="separate"/>
      </w:r>
      <w:r>
        <w:rPr>
          <w:sz w:val="24"/>
          <w:szCs w:val="24"/>
        </w:rPr>
        <w:t>907</w:t>
      </w:r>
      <w:r>
        <w:rPr>
          <w:sz w:val="24"/>
          <w:szCs w:val="24"/>
        </w:rPr>
        <w:fldChar w:fldCharType="end"/>
      </w:r>
      <w:r>
        <w:rPr>
          <w:sz w:val="24"/>
          <w:szCs w:val="24"/>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"_Toc25648284" </w:instrText>
      </w:r>
      <w:r>
        <w:fldChar w:fldCharType="separate"/>
      </w:r>
      <w:r>
        <w:rPr>
          <w:rStyle w:val="32"/>
          <w:rFonts w:hint="eastAsia"/>
          <w:color w:val="auto"/>
          <w:sz w:val="24"/>
          <w:szCs w:val="24"/>
        </w:rPr>
        <w:t>北京市动物防疫条例（市人大2019.7.26修订）</w:t>
      </w:r>
      <w:r>
        <w:rPr>
          <w:sz w:val="24"/>
          <w:szCs w:val="24"/>
        </w:rPr>
        <w:tab/>
      </w:r>
      <w:r>
        <w:rPr>
          <w:sz w:val="24"/>
          <w:szCs w:val="24"/>
        </w:rPr>
        <w:fldChar w:fldCharType="begin"/>
      </w:r>
      <w:r>
        <w:rPr>
          <w:sz w:val="24"/>
          <w:szCs w:val="24"/>
        </w:rPr>
        <w:instrText xml:space="preserve"> PAGEREF _Toc25648284 \h </w:instrText>
      </w:r>
      <w:r>
        <w:rPr>
          <w:sz w:val="24"/>
          <w:szCs w:val="24"/>
        </w:rPr>
        <w:fldChar w:fldCharType="separate"/>
      </w:r>
      <w:r>
        <w:rPr>
          <w:sz w:val="24"/>
          <w:szCs w:val="24"/>
        </w:rPr>
        <w:t>9</w:t>
      </w:r>
      <w:r>
        <w:rPr>
          <w:rFonts w:hint="eastAsia"/>
          <w:sz w:val="24"/>
          <w:szCs w:val="24"/>
          <w:lang w:val="en-US" w:eastAsia="zh-CN"/>
        </w:rPr>
        <w:t>3</w:t>
      </w:r>
      <w:r>
        <w:rPr>
          <w:sz w:val="24"/>
          <w:szCs w:val="24"/>
        </w:rPr>
        <w:fldChar w:fldCharType="end"/>
      </w:r>
      <w:r>
        <w:rPr>
          <w:sz w:val="24"/>
          <w:szCs w:val="24"/>
        </w:rPr>
        <w:fldChar w:fldCharType="end"/>
      </w:r>
      <w:r>
        <w:rPr>
          <w:rFonts w:hint="eastAsia"/>
          <w:sz w:val="24"/>
          <w:szCs w:val="24"/>
          <w:lang w:val="en-US" w:eastAsia="zh-CN"/>
        </w:rPr>
        <w:t>0</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"_Toc25648285" </w:instrText>
      </w:r>
      <w:r>
        <w:fldChar w:fldCharType="separate"/>
      </w:r>
      <w:r>
        <w:rPr>
          <w:rStyle w:val="32"/>
          <w:rFonts w:hint="eastAsia"/>
          <w:color w:val="auto"/>
          <w:sz w:val="24"/>
          <w:szCs w:val="24"/>
        </w:rPr>
        <w:t>重大动物疫情应急条例（国务院2017.10.7修订）</w:t>
      </w:r>
      <w:r>
        <w:rPr>
          <w:sz w:val="24"/>
          <w:szCs w:val="24"/>
        </w:rPr>
        <w:tab/>
      </w:r>
      <w:r>
        <w:rPr>
          <w:sz w:val="24"/>
          <w:szCs w:val="24"/>
        </w:rPr>
        <w:fldChar w:fldCharType="begin"/>
      </w:r>
      <w:r>
        <w:rPr>
          <w:sz w:val="24"/>
          <w:szCs w:val="24"/>
        </w:rPr>
        <w:instrText xml:space="preserve"> PAGEREF _Toc25648285 \h </w:instrText>
      </w:r>
      <w:r>
        <w:rPr>
          <w:sz w:val="24"/>
          <w:szCs w:val="24"/>
        </w:rPr>
        <w:fldChar w:fldCharType="separate"/>
      </w:r>
      <w:r>
        <w:rPr>
          <w:sz w:val="24"/>
          <w:szCs w:val="24"/>
        </w:rPr>
        <w:t>93</w:t>
      </w:r>
      <w:r>
        <w:rPr>
          <w:sz w:val="24"/>
          <w:szCs w:val="24"/>
        </w:rPr>
        <w:fldChar w:fldCharType="end"/>
      </w:r>
      <w:r>
        <w:rPr>
          <w:sz w:val="24"/>
          <w:szCs w:val="24"/>
        </w:rPr>
        <w:fldChar w:fldCharType="end"/>
      </w:r>
      <w:r>
        <w:rPr>
          <w:rFonts w:hint="eastAsia"/>
          <w:sz w:val="24"/>
          <w:szCs w:val="24"/>
          <w:lang w:val="en-US" w:eastAsia="zh-CN"/>
        </w:rPr>
        <w:t>1</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"_Toc25648286" </w:instrText>
      </w:r>
      <w:r>
        <w:fldChar w:fldCharType="separate"/>
      </w:r>
      <w:r>
        <w:rPr>
          <w:rStyle w:val="32"/>
          <w:rFonts w:hint="eastAsia"/>
          <w:color w:val="auto"/>
          <w:sz w:val="24"/>
          <w:szCs w:val="24"/>
        </w:rPr>
        <w:t>无规定动物疫病区评估管理办法（农业部2017.5.27）</w:t>
      </w:r>
      <w:r>
        <w:rPr>
          <w:sz w:val="24"/>
          <w:szCs w:val="24"/>
        </w:rPr>
        <w:tab/>
      </w:r>
      <w:r>
        <w:rPr>
          <w:sz w:val="24"/>
          <w:szCs w:val="24"/>
        </w:rPr>
        <w:fldChar w:fldCharType="begin"/>
      </w:r>
      <w:r>
        <w:rPr>
          <w:sz w:val="24"/>
          <w:szCs w:val="24"/>
        </w:rPr>
        <w:instrText xml:space="preserve"> PAGEREF _Toc25648286 \h </w:instrText>
      </w:r>
      <w:r>
        <w:rPr>
          <w:sz w:val="24"/>
          <w:szCs w:val="24"/>
        </w:rPr>
        <w:fldChar w:fldCharType="separate"/>
      </w:r>
      <w:r>
        <w:rPr>
          <w:sz w:val="24"/>
          <w:szCs w:val="24"/>
        </w:rPr>
        <w:t>9</w:t>
      </w:r>
      <w:r>
        <w:rPr>
          <w:rFonts w:hint="eastAsia"/>
          <w:sz w:val="24"/>
          <w:szCs w:val="24"/>
          <w:lang w:val="en-US" w:eastAsia="zh-CN"/>
        </w:rPr>
        <w:t>4</w:t>
      </w:r>
      <w:r>
        <w:rPr>
          <w:sz w:val="24"/>
          <w:szCs w:val="24"/>
        </w:rPr>
        <w:fldChar w:fldCharType="end"/>
      </w:r>
      <w:r>
        <w:rPr>
          <w:sz w:val="24"/>
          <w:szCs w:val="24"/>
        </w:rPr>
        <w:fldChar w:fldCharType="end"/>
      </w:r>
      <w:r>
        <w:rPr>
          <w:rFonts w:hint="eastAsia"/>
          <w:sz w:val="24"/>
          <w:szCs w:val="24"/>
          <w:lang w:val="en-US" w:eastAsia="zh-CN"/>
        </w:rPr>
        <w:t>8</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"_Toc25648287" </w:instrText>
      </w:r>
      <w:r>
        <w:fldChar w:fldCharType="separate"/>
      </w:r>
      <w:r>
        <w:rPr>
          <w:rStyle w:val="32"/>
          <w:rFonts w:hint="eastAsia"/>
          <w:color w:val="auto"/>
          <w:sz w:val="24"/>
          <w:szCs w:val="24"/>
        </w:rPr>
        <w:t>动物防疫条件审查办法（农业部2010.1.21）</w:t>
      </w:r>
      <w:r>
        <w:rPr>
          <w:sz w:val="24"/>
          <w:szCs w:val="24"/>
        </w:rPr>
        <w:tab/>
      </w:r>
      <w:r>
        <w:rPr>
          <w:sz w:val="24"/>
          <w:szCs w:val="24"/>
        </w:rPr>
        <w:fldChar w:fldCharType="begin"/>
      </w:r>
      <w:r>
        <w:rPr>
          <w:sz w:val="24"/>
          <w:szCs w:val="24"/>
        </w:rPr>
        <w:instrText xml:space="preserve"> PAGEREF _Toc25648287 \h </w:instrText>
      </w:r>
      <w:r>
        <w:rPr>
          <w:sz w:val="24"/>
          <w:szCs w:val="24"/>
        </w:rPr>
        <w:fldChar w:fldCharType="separate"/>
      </w:r>
      <w:r>
        <w:rPr>
          <w:sz w:val="24"/>
          <w:szCs w:val="24"/>
        </w:rPr>
        <w:t>9</w:t>
      </w:r>
      <w:r>
        <w:rPr>
          <w:rFonts w:hint="eastAsia"/>
          <w:sz w:val="24"/>
          <w:szCs w:val="24"/>
          <w:lang w:val="en-US" w:eastAsia="zh-CN"/>
        </w:rPr>
        <w:t>5</w:t>
      </w:r>
      <w:r>
        <w:rPr>
          <w:sz w:val="24"/>
          <w:szCs w:val="24"/>
        </w:rPr>
        <w:fldChar w:fldCharType="end"/>
      </w:r>
      <w:r>
        <w:rPr>
          <w:sz w:val="24"/>
          <w:szCs w:val="24"/>
        </w:rPr>
        <w:fldChar w:fldCharType="end"/>
      </w:r>
      <w:r>
        <w:rPr>
          <w:rFonts w:hint="eastAsia"/>
          <w:sz w:val="24"/>
          <w:szCs w:val="24"/>
          <w:lang w:val="en-US" w:eastAsia="zh-CN"/>
        </w:rPr>
        <w:t>3</w:t>
      </w:r>
    </w:p>
    <w:p>
      <w:pPr>
        <w:pStyle w:val="23"/>
        <w:tabs>
          <w:tab w:val="right" w:leader="dot" w:pos="8820"/>
          <w:tab w:val="clear" w:pos="8494"/>
        </w:tabs>
        <w:rPr>
          <w:rStyle w:val="32"/>
          <w:color w:val="auto"/>
          <w:sz w:val="24"/>
          <w:szCs w:val="24"/>
        </w:rPr>
      </w:pPr>
      <w:r>
        <w:rPr>
          <w:rStyle w:val="32"/>
          <w:rFonts w:hint="eastAsia"/>
          <w:color w:val="auto"/>
          <w:sz w:val="24"/>
          <w:szCs w:val="24"/>
        </w:rPr>
        <w:t>6．</w:t>
      </w:r>
      <w:r>
        <w:fldChar w:fldCharType="begin"/>
      </w:r>
      <w:r>
        <w:instrText xml:space="preserve"> HYPERLINK \l "_Toc25648288" </w:instrText>
      </w:r>
      <w:r>
        <w:fldChar w:fldCharType="separate"/>
      </w:r>
      <w:r>
        <w:rPr>
          <w:rStyle w:val="32"/>
          <w:rFonts w:hint="eastAsia"/>
          <w:color w:val="auto"/>
          <w:sz w:val="24"/>
          <w:szCs w:val="24"/>
        </w:rPr>
        <w:t>动物检疫管理办法（农业农村部2019.4.25修订）</w:t>
      </w:r>
      <w:r>
        <w:rPr>
          <w:sz w:val="24"/>
          <w:szCs w:val="24"/>
        </w:rPr>
        <w:tab/>
      </w:r>
      <w:r>
        <w:rPr>
          <w:sz w:val="24"/>
          <w:szCs w:val="24"/>
        </w:rPr>
        <w:fldChar w:fldCharType="begin"/>
      </w:r>
      <w:r>
        <w:rPr>
          <w:sz w:val="24"/>
          <w:szCs w:val="24"/>
        </w:rPr>
        <w:instrText xml:space="preserve"> PAGEREF _Toc25648288 \h </w:instrText>
      </w:r>
      <w:r>
        <w:rPr>
          <w:sz w:val="24"/>
          <w:szCs w:val="24"/>
        </w:rPr>
        <w:fldChar w:fldCharType="separate"/>
      </w:r>
      <w:r>
        <w:rPr>
          <w:sz w:val="24"/>
          <w:szCs w:val="24"/>
        </w:rPr>
        <w:t>9</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0</w:t>
      </w:r>
    </w:p>
    <w:p>
      <w:pPr>
        <w:pStyle w:val="23"/>
        <w:tabs>
          <w:tab w:val="right" w:leader="dot" w:pos="8820"/>
          <w:tab w:val="clear" w:pos="8494"/>
        </w:tabs>
        <w:rPr>
          <w:rFonts w:asciiTheme="minorHAnsi" w:hAnsiTheme="minorHAnsi" w:eastAsiaTheme="minorEastAsia" w:cstheme="minorBidi"/>
          <w:bCs w:val="0"/>
          <w:sz w:val="24"/>
          <w:szCs w:val="24"/>
        </w:rPr>
      </w:pPr>
      <w:r>
        <w:rPr>
          <w:rStyle w:val="32"/>
          <w:rFonts w:hint="eastAsia"/>
          <w:color w:val="auto"/>
          <w:sz w:val="24"/>
          <w:szCs w:val="24"/>
        </w:rPr>
        <w:t>7．</w:t>
      </w:r>
      <w:r>
        <w:fldChar w:fldCharType="begin"/>
      </w:r>
      <w:r>
        <w:instrText xml:space="preserve"> HYPERLINK \l "_Toc25653005" </w:instrText>
      </w:r>
      <w:r>
        <w:fldChar w:fldCharType="separate"/>
      </w:r>
      <w:r>
        <w:rPr>
          <w:rStyle w:val="32"/>
          <w:rFonts w:hint="eastAsia"/>
          <w:color w:val="auto"/>
          <w:sz w:val="24"/>
          <w:szCs w:val="24"/>
        </w:rPr>
        <w:t>植物检疫条例（国务院2017.10.7修订）</w:t>
      </w:r>
      <w:r>
        <w:rPr>
          <w:rFonts w:hint="eastAsia"/>
          <w:sz w:val="24"/>
          <w:szCs w:val="24"/>
        </w:rPr>
        <w:tab/>
      </w:r>
      <w:r>
        <w:rPr>
          <w:sz w:val="24"/>
          <w:szCs w:val="24"/>
        </w:rPr>
        <w:fldChar w:fldCharType="begin"/>
      </w:r>
      <w:r>
        <w:rPr>
          <w:sz w:val="24"/>
          <w:szCs w:val="24"/>
        </w:rPr>
        <w:instrText xml:space="preserve"> PAGEREF _Toc25653005 \h </w:instrText>
      </w:r>
      <w:r>
        <w:rPr>
          <w:sz w:val="24"/>
          <w:szCs w:val="24"/>
        </w:rPr>
        <w:fldChar w:fldCharType="separate"/>
      </w:r>
      <w:r>
        <w:rPr>
          <w:sz w:val="24"/>
          <w:szCs w:val="24"/>
        </w:rPr>
        <w:t>9</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7</w:t>
      </w:r>
    </w:p>
    <w:p>
      <w:pPr>
        <w:pStyle w:val="23"/>
        <w:tabs>
          <w:tab w:val="right" w:leader="dot" w:pos="8820"/>
          <w:tab w:val="clear" w:pos="8494"/>
        </w:tabs>
        <w:rPr>
          <w:rStyle w:val="32"/>
          <w:color w:val="auto"/>
          <w:sz w:val="24"/>
          <w:szCs w:val="24"/>
        </w:rPr>
      </w:pPr>
      <w:r>
        <w:rPr>
          <w:rStyle w:val="32"/>
          <w:rFonts w:hint="eastAsia"/>
          <w:color w:val="auto"/>
          <w:sz w:val="24"/>
          <w:szCs w:val="24"/>
        </w:rPr>
        <w:t>8．</w:t>
      </w:r>
      <w:r>
        <w:fldChar w:fldCharType="begin"/>
      </w:r>
      <w:r>
        <w:instrText xml:space="preserve"> HYPERLINK \l "_Toc25652576" </w:instrText>
      </w:r>
      <w:r>
        <w:fldChar w:fldCharType="separate"/>
      </w:r>
      <w:r>
        <w:rPr>
          <w:rStyle w:val="32"/>
          <w:rFonts w:hint="eastAsia"/>
          <w:color w:val="auto"/>
          <w:sz w:val="24"/>
          <w:szCs w:val="24"/>
        </w:rPr>
        <w:t>北京市农业植物检疫办法（市政府2013.4.26）</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_Toc25652576 \h </w:instrText>
      </w:r>
      <w:r>
        <w:rPr>
          <w:rStyle w:val="32"/>
          <w:color w:val="auto"/>
          <w:sz w:val="24"/>
          <w:szCs w:val="24"/>
        </w:rPr>
        <w:fldChar w:fldCharType="separate"/>
      </w:r>
      <w:r>
        <w:rPr>
          <w:rStyle w:val="32"/>
          <w:color w:val="auto"/>
          <w:sz w:val="24"/>
          <w:szCs w:val="24"/>
        </w:rPr>
        <w:t>9</w:t>
      </w:r>
      <w:r>
        <w:rPr>
          <w:rStyle w:val="32"/>
          <w:rFonts w:hint="eastAsia"/>
          <w:color w:val="auto"/>
          <w:sz w:val="24"/>
          <w:szCs w:val="24"/>
          <w:lang w:val="en-US" w:eastAsia="zh-CN"/>
        </w:rPr>
        <w:t>7</w:t>
      </w:r>
      <w:r>
        <w:rPr>
          <w:rStyle w:val="32"/>
          <w:color w:val="auto"/>
          <w:sz w:val="24"/>
          <w:szCs w:val="24"/>
        </w:rPr>
        <w:fldChar w:fldCharType="end"/>
      </w:r>
      <w:r>
        <w:rPr>
          <w:rStyle w:val="32"/>
          <w:color w:val="auto"/>
          <w:sz w:val="24"/>
          <w:szCs w:val="24"/>
        </w:rPr>
        <w:fldChar w:fldCharType="end"/>
      </w:r>
      <w:r>
        <w:rPr>
          <w:rStyle w:val="32"/>
          <w:rFonts w:hint="eastAsia"/>
          <w:color w:val="auto"/>
          <w:sz w:val="24"/>
          <w:szCs w:val="24"/>
          <w:lang w:val="en-US" w:eastAsia="zh-CN"/>
        </w:rPr>
        <w:t>1</w:t>
      </w:r>
    </w:p>
    <w:p>
      <w:pPr>
        <w:pStyle w:val="23"/>
        <w:tabs>
          <w:tab w:val="right" w:leader="dot" w:pos="8820"/>
          <w:tab w:val="clear" w:pos="8494"/>
        </w:tabs>
        <w:rPr>
          <w:rStyle w:val="32"/>
          <w:color w:val="auto"/>
          <w:sz w:val="24"/>
          <w:szCs w:val="24"/>
        </w:rPr>
      </w:pPr>
      <w:r>
        <w:rPr>
          <w:rStyle w:val="32"/>
          <w:rFonts w:hint="eastAsia"/>
          <w:color w:val="auto"/>
          <w:sz w:val="24"/>
          <w:szCs w:val="24"/>
        </w:rPr>
        <w:t>9．</w:t>
      </w:r>
      <w:r>
        <w:fldChar w:fldCharType="begin"/>
      </w:r>
      <w:r>
        <w:instrText xml:space="preserve"> HYPERLINK \l "_Toc25652577" </w:instrText>
      </w:r>
      <w:r>
        <w:fldChar w:fldCharType="separate"/>
      </w:r>
      <w:r>
        <w:rPr>
          <w:rStyle w:val="32"/>
          <w:rFonts w:hint="eastAsia"/>
          <w:color w:val="auto"/>
          <w:sz w:val="24"/>
          <w:szCs w:val="24"/>
        </w:rPr>
        <w:t>植物检疫条例实施细则（农业部分）（农业部2007.11.8修订）</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_Toc25652577 \h </w:instrText>
      </w:r>
      <w:r>
        <w:rPr>
          <w:rStyle w:val="32"/>
          <w:color w:val="auto"/>
          <w:sz w:val="24"/>
          <w:szCs w:val="24"/>
        </w:rPr>
        <w:fldChar w:fldCharType="separate"/>
      </w:r>
      <w:r>
        <w:rPr>
          <w:rStyle w:val="32"/>
          <w:color w:val="auto"/>
          <w:sz w:val="24"/>
          <w:szCs w:val="24"/>
        </w:rPr>
        <w:t>9</w:t>
      </w:r>
      <w:r>
        <w:rPr>
          <w:rStyle w:val="32"/>
          <w:rFonts w:hint="eastAsia"/>
          <w:color w:val="auto"/>
          <w:sz w:val="24"/>
          <w:szCs w:val="24"/>
          <w:lang w:val="en-US" w:eastAsia="zh-CN"/>
        </w:rPr>
        <w:t>7</w:t>
      </w:r>
      <w:r>
        <w:rPr>
          <w:rStyle w:val="32"/>
          <w:color w:val="auto"/>
          <w:sz w:val="24"/>
          <w:szCs w:val="24"/>
        </w:rPr>
        <w:fldChar w:fldCharType="end"/>
      </w:r>
      <w:r>
        <w:rPr>
          <w:rStyle w:val="32"/>
          <w:color w:val="auto"/>
          <w:sz w:val="24"/>
          <w:szCs w:val="24"/>
        </w:rPr>
        <w:fldChar w:fldCharType="end"/>
      </w:r>
      <w:r>
        <w:rPr>
          <w:rStyle w:val="32"/>
          <w:rFonts w:hint="eastAsia"/>
          <w:color w:val="auto"/>
          <w:sz w:val="24"/>
          <w:szCs w:val="24"/>
          <w:lang w:val="en-US" w:eastAsia="zh-CN"/>
        </w:rPr>
        <w:t>6</w:t>
      </w:r>
    </w:p>
    <w:p>
      <w:pPr>
        <w:pStyle w:val="23"/>
        <w:tabs>
          <w:tab w:val="right" w:leader="dot" w:pos="8820"/>
          <w:tab w:val="clear" w:pos="8494"/>
        </w:tabs>
        <w:rPr>
          <w:rStyle w:val="32"/>
          <w:color w:val="auto"/>
          <w:sz w:val="24"/>
          <w:szCs w:val="24"/>
        </w:rPr>
      </w:pPr>
      <w:r>
        <w:rPr>
          <w:rStyle w:val="32"/>
          <w:rFonts w:hint="eastAsia"/>
          <w:color w:val="auto"/>
          <w:sz w:val="24"/>
          <w:szCs w:val="24"/>
        </w:rPr>
        <w:t>10．</w:t>
      </w:r>
      <w:r>
        <w:fldChar w:fldCharType="begin"/>
      </w:r>
      <w:r>
        <w:instrText xml:space="preserve"> HYPERLINK \l "_Toc25652578" </w:instrText>
      </w:r>
      <w:r>
        <w:fldChar w:fldCharType="separate"/>
      </w:r>
      <w:r>
        <w:rPr>
          <w:rStyle w:val="32"/>
          <w:rFonts w:hint="eastAsia"/>
          <w:color w:val="auto"/>
          <w:sz w:val="24"/>
          <w:szCs w:val="24"/>
        </w:rPr>
        <w:t>农业植物疫情报告与发布管理办法（农业部2010.1.18）</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_Toc25652578 \h </w:instrText>
      </w:r>
      <w:r>
        <w:rPr>
          <w:rStyle w:val="32"/>
          <w:color w:val="auto"/>
          <w:sz w:val="24"/>
          <w:szCs w:val="24"/>
        </w:rPr>
        <w:fldChar w:fldCharType="separate"/>
      </w:r>
      <w:r>
        <w:rPr>
          <w:rStyle w:val="32"/>
          <w:color w:val="auto"/>
          <w:sz w:val="24"/>
          <w:szCs w:val="24"/>
        </w:rPr>
        <w:t>9</w:t>
      </w:r>
      <w:r>
        <w:rPr>
          <w:rStyle w:val="32"/>
          <w:rFonts w:hint="eastAsia"/>
          <w:color w:val="auto"/>
          <w:sz w:val="24"/>
          <w:szCs w:val="24"/>
          <w:lang w:val="en-US" w:eastAsia="zh-CN"/>
        </w:rPr>
        <w:t>8</w:t>
      </w:r>
      <w:r>
        <w:rPr>
          <w:rStyle w:val="32"/>
          <w:color w:val="auto"/>
          <w:sz w:val="24"/>
          <w:szCs w:val="24"/>
        </w:rPr>
        <w:fldChar w:fldCharType="end"/>
      </w:r>
      <w:r>
        <w:rPr>
          <w:rStyle w:val="32"/>
          <w:color w:val="auto"/>
          <w:sz w:val="24"/>
          <w:szCs w:val="24"/>
        </w:rPr>
        <w:fldChar w:fldCharType="end"/>
      </w:r>
      <w:r>
        <w:rPr>
          <w:rStyle w:val="32"/>
          <w:rFonts w:hint="eastAsia"/>
          <w:color w:val="auto"/>
          <w:sz w:val="24"/>
          <w:szCs w:val="24"/>
          <w:lang w:val="en-US" w:eastAsia="zh-CN"/>
        </w:rPr>
        <w:t>3</w:t>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"_Toc25648289" </w:instrText>
      </w:r>
      <w:r>
        <w:fldChar w:fldCharType="separate"/>
      </w:r>
      <w:r>
        <w:rPr>
          <w:rStyle w:val="32"/>
          <w:rFonts w:hint="eastAsia"/>
          <w:color w:val="auto"/>
        </w:rPr>
        <w:t>十一、动植物保护</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"_Toc25648290" </w:instrText>
      </w:r>
      <w:r>
        <w:fldChar w:fldCharType="separate"/>
      </w:r>
      <w:r>
        <w:rPr>
          <w:rStyle w:val="32"/>
          <w:rFonts w:hint="eastAsia"/>
          <w:color w:val="auto"/>
          <w:sz w:val="24"/>
          <w:szCs w:val="24"/>
        </w:rPr>
        <w:t>中华人民共和国野生动物保护法（2018.10.26修订）</w:t>
      </w:r>
      <w:r>
        <w:rPr>
          <w:sz w:val="24"/>
          <w:szCs w:val="24"/>
        </w:rPr>
        <w:tab/>
      </w:r>
      <w:r>
        <w:rPr>
          <w:sz w:val="24"/>
          <w:szCs w:val="24"/>
        </w:rPr>
        <w:fldChar w:fldCharType="begin"/>
      </w:r>
      <w:r>
        <w:rPr>
          <w:sz w:val="24"/>
          <w:szCs w:val="24"/>
        </w:rPr>
        <w:instrText xml:space="preserve"> PAGEREF _Toc25648290 \h </w:instrText>
      </w:r>
      <w:r>
        <w:rPr>
          <w:sz w:val="24"/>
          <w:szCs w:val="24"/>
        </w:rPr>
        <w:fldChar w:fldCharType="separate"/>
      </w:r>
      <w:r>
        <w:rPr>
          <w:sz w:val="24"/>
          <w:szCs w:val="24"/>
        </w:rPr>
        <w:t>9</w:t>
      </w:r>
      <w:r>
        <w:rPr>
          <w:rFonts w:hint="eastAsia"/>
          <w:sz w:val="24"/>
          <w:szCs w:val="24"/>
          <w:lang w:val="en-US" w:eastAsia="zh-CN"/>
        </w:rPr>
        <w:t>8</w:t>
      </w:r>
      <w:r>
        <w:rPr>
          <w:sz w:val="24"/>
          <w:szCs w:val="24"/>
        </w:rPr>
        <w:fldChar w:fldCharType="end"/>
      </w:r>
      <w:r>
        <w:rPr>
          <w:sz w:val="24"/>
          <w:szCs w:val="24"/>
        </w:rPr>
        <w:fldChar w:fldCharType="end"/>
      </w:r>
      <w:r>
        <w:rPr>
          <w:rFonts w:hint="eastAsia"/>
          <w:sz w:val="24"/>
          <w:szCs w:val="24"/>
          <w:lang w:val="en-US" w:eastAsia="zh-CN"/>
        </w:rPr>
        <w:t>8</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"_Toc25648291" </w:instrText>
      </w:r>
      <w:r>
        <w:fldChar w:fldCharType="separate"/>
      </w:r>
      <w:r>
        <w:rPr>
          <w:rStyle w:val="32"/>
          <w:rFonts w:hint="eastAsia"/>
          <w:color w:val="auto"/>
          <w:sz w:val="24"/>
          <w:szCs w:val="24"/>
        </w:rPr>
        <w:t>中华人民共和国水生野生动物保护实施条例（国务院2013.12.7修订）</w:t>
      </w:r>
      <w:r>
        <w:rPr>
          <w:sz w:val="24"/>
          <w:szCs w:val="24"/>
        </w:rPr>
        <w:tab/>
      </w:r>
      <w:r>
        <w:rPr>
          <w:sz w:val="24"/>
          <w:szCs w:val="24"/>
        </w:rPr>
        <w:fldChar w:fldCharType="begin"/>
      </w:r>
      <w:r>
        <w:rPr>
          <w:sz w:val="24"/>
          <w:szCs w:val="24"/>
        </w:rPr>
        <w:instrText xml:space="preserve"> PAGEREF _Toc25648291 \h </w:instrText>
      </w:r>
      <w:r>
        <w:rPr>
          <w:sz w:val="24"/>
          <w:szCs w:val="24"/>
        </w:rPr>
        <w:fldChar w:fldCharType="separate"/>
      </w:r>
      <w:r>
        <w:rPr>
          <w:sz w:val="24"/>
          <w:szCs w:val="24"/>
        </w:rPr>
        <w:t>9</w:t>
      </w:r>
      <w:r>
        <w:rPr>
          <w:rFonts w:hint="eastAsia"/>
          <w:sz w:val="24"/>
          <w:szCs w:val="24"/>
          <w:lang w:val="en-US" w:eastAsia="zh-CN"/>
        </w:rPr>
        <w:t>9</w:t>
      </w:r>
      <w:r>
        <w:rPr>
          <w:sz w:val="24"/>
          <w:szCs w:val="24"/>
        </w:rPr>
        <w:fldChar w:fldCharType="end"/>
      </w:r>
      <w:r>
        <w:rPr>
          <w:sz w:val="24"/>
          <w:szCs w:val="24"/>
        </w:rPr>
        <w:fldChar w:fldCharType="end"/>
      </w:r>
      <w:r>
        <w:rPr>
          <w:rFonts w:hint="eastAsia"/>
          <w:sz w:val="24"/>
          <w:szCs w:val="24"/>
          <w:lang w:val="en-US" w:eastAsia="zh-CN"/>
        </w:rPr>
        <w:t>8</w:t>
      </w:r>
    </w:p>
    <w:p>
      <w:pPr>
        <w:pStyle w:val="23"/>
        <w:tabs>
          <w:tab w:val="right" w:leader="dot" w:pos="8820"/>
          <w:tab w:val="clear" w:pos="8494"/>
        </w:tabs>
        <w:ind w:left="360" w:hanging="360" w:hangingChars="150"/>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"_Toc25648292" </w:instrText>
      </w:r>
      <w:r>
        <w:fldChar w:fldCharType="separate"/>
      </w:r>
      <w:r>
        <w:rPr>
          <w:rStyle w:val="32"/>
          <w:rFonts w:hint="eastAsia"/>
          <w:color w:val="auto"/>
          <w:sz w:val="24"/>
          <w:szCs w:val="24"/>
        </w:rPr>
        <w:t>北京市实施《中华人民共和国野生动物保护法》办法（市人大2018.3.30修订）</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004</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4．中华人民共和国</w:t>
      </w:r>
      <w:r>
        <w:fldChar w:fldCharType="begin"/>
      </w:r>
      <w:r>
        <w:instrText xml:space="preserve"> HYPERLINK \l "_Toc25648293" </w:instrText>
      </w:r>
      <w:r>
        <w:fldChar w:fldCharType="separate"/>
      </w:r>
      <w:r>
        <w:rPr>
          <w:rStyle w:val="32"/>
          <w:rFonts w:hint="eastAsia"/>
          <w:color w:val="auto"/>
          <w:sz w:val="24"/>
          <w:szCs w:val="24"/>
        </w:rPr>
        <w:t>水产资源繁殖保护条例（国务院1979.2.10）</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007</w:t>
      </w:r>
    </w:p>
    <w:p>
      <w:pPr>
        <w:pStyle w:val="23"/>
        <w:tabs>
          <w:tab w:val="right" w:leader="dot" w:pos="8820"/>
          <w:tab w:val="clear" w:pos="8494"/>
        </w:tabs>
        <w:ind w:left="360" w:hanging="360" w:hangingChars="150"/>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"_Toc25648294" </w:instrText>
      </w:r>
      <w:r>
        <w:fldChar w:fldCharType="separate"/>
      </w:r>
      <w:r>
        <w:rPr>
          <w:rStyle w:val="32"/>
          <w:rFonts w:hint="eastAsia"/>
          <w:color w:val="auto"/>
          <w:sz w:val="24"/>
          <w:szCs w:val="24"/>
        </w:rPr>
        <w:t>北京市实施《水产资源繁殖保护条例》若干规定（市政府2007.11.23修订）</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011</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"_Toc25648295" </w:instrText>
      </w:r>
      <w:r>
        <w:fldChar w:fldCharType="separate"/>
      </w:r>
      <w:r>
        <w:rPr>
          <w:rStyle w:val="32"/>
          <w:rFonts w:hint="eastAsia"/>
          <w:color w:val="auto"/>
          <w:sz w:val="24"/>
          <w:szCs w:val="24"/>
        </w:rPr>
        <w:t>水产种质资源保护区管理暂行办法（农业部2016.5.30修订）</w:t>
      </w:r>
      <w:r>
        <w:rPr>
          <w:sz w:val="24"/>
          <w:szCs w:val="24"/>
        </w:rPr>
        <w:tab/>
      </w:r>
      <w:r>
        <w:rPr>
          <w:sz w:val="24"/>
          <w:szCs w:val="24"/>
        </w:rPr>
        <w:fldChar w:fldCharType="begin"/>
      </w:r>
      <w:r>
        <w:rPr>
          <w:sz w:val="24"/>
          <w:szCs w:val="24"/>
        </w:rPr>
        <w:instrText xml:space="preserve"> PAGEREF _Toc25648295 \h </w:instrText>
      </w:r>
      <w:r>
        <w:rPr>
          <w:sz w:val="24"/>
          <w:szCs w:val="24"/>
        </w:rPr>
        <w:fldChar w:fldCharType="separate"/>
      </w:r>
      <w:r>
        <w:rPr>
          <w:sz w:val="24"/>
          <w:szCs w:val="24"/>
        </w:rPr>
        <w:t>10</w:t>
      </w:r>
      <w:r>
        <w:rPr>
          <w:rFonts w:hint="eastAsia"/>
          <w:sz w:val="24"/>
          <w:szCs w:val="24"/>
          <w:lang w:val="en-US" w:eastAsia="zh-CN"/>
        </w:rPr>
        <w:t>1</w:t>
      </w:r>
      <w:r>
        <w:rPr>
          <w:sz w:val="24"/>
          <w:szCs w:val="24"/>
        </w:rPr>
        <w:fldChar w:fldCharType="end"/>
      </w:r>
      <w:r>
        <w:rPr>
          <w:sz w:val="24"/>
          <w:szCs w:val="24"/>
        </w:rPr>
        <w:fldChar w:fldCharType="end"/>
      </w:r>
      <w:r>
        <w:rPr>
          <w:rFonts w:hint="eastAsia"/>
          <w:sz w:val="24"/>
          <w:szCs w:val="24"/>
          <w:lang w:val="en-US" w:eastAsia="zh-CN"/>
        </w:rPr>
        <w:t>3</w:t>
      </w:r>
    </w:p>
    <w:p>
      <w:pPr>
        <w:pStyle w:val="23"/>
        <w:tabs>
          <w:tab w:val="right" w:leader="dot" w:pos="8820"/>
          <w:tab w:val="clear" w:pos="8494"/>
        </w:tabs>
        <w:ind w:left="360" w:hanging="360" w:hangingChars="150"/>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"_Toc25648296" </w:instrText>
      </w:r>
      <w:r>
        <w:fldChar w:fldCharType="separate"/>
      </w:r>
      <w:r>
        <w:rPr>
          <w:rStyle w:val="32"/>
          <w:rFonts w:hint="eastAsia"/>
          <w:color w:val="auto"/>
          <w:sz w:val="24"/>
          <w:szCs w:val="24"/>
        </w:rPr>
        <w:t>中华人民共和国水生野生动物利用特许办法（农业农村部2019.4.25修订）</w:t>
      </w:r>
      <w:r>
        <w:rPr>
          <w:sz w:val="24"/>
          <w:szCs w:val="24"/>
        </w:rPr>
        <w:tab/>
      </w:r>
      <w:r>
        <w:rPr>
          <w:sz w:val="24"/>
          <w:szCs w:val="24"/>
        </w:rPr>
        <w:fldChar w:fldCharType="begin"/>
      </w:r>
      <w:r>
        <w:rPr>
          <w:sz w:val="24"/>
          <w:szCs w:val="24"/>
        </w:rPr>
        <w:instrText xml:space="preserve"> PAGEREF _Toc25648296 \h </w:instrText>
      </w:r>
      <w:r>
        <w:rPr>
          <w:sz w:val="24"/>
          <w:szCs w:val="24"/>
        </w:rPr>
        <w:fldChar w:fldCharType="separate"/>
      </w:r>
      <w:r>
        <w:rPr>
          <w:sz w:val="24"/>
          <w:szCs w:val="24"/>
        </w:rPr>
        <w:t>10</w:t>
      </w:r>
      <w:r>
        <w:rPr>
          <w:rFonts w:hint="eastAsia"/>
          <w:sz w:val="24"/>
          <w:szCs w:val="24"/>
          <w:lang w:val="en-US" w:eastAsia="zh-CN"/>
        </w:rPr>
        <w:t>1</w:t>
      </w:r>
      <w:r>
        <w:rPr>
          <w:sz w:val="24"/>
          <w:szCs w:val="24"/>
        </w:rPr>
        <w:fldChar w:fldCharType="end"/>
      </w:r>
      <w:r>
        <w:rPr>
          <w:sz w:val="24"/>
          <w:szCs w:val="24"/>
        </w:rPr>
        <w:fldChar w:fldCharType="end"/>
      </w:r>
      <w:r>
        <w:rPr>
          <w:rFonts w:hint="eastAsia"/>
          <w:sz w:val="24"/>
          <w:szCs w:val="24"/>
          <w:lang w:val="en-US" w:eastAsia="zh-CN"/>
        </w:rPr>
        <w:t>7</w:t>
      </w:r>
    </w:p>
    <w:p>
      <w:pPr>
        <w:pStyle w:val="23"/>
        <w:tabs>
          <w:tab w:val="right" w:leader="dot" w:pos="8820"/>
          <w:tab w:val="clear" w:pos="8494"/>
        </w:tabs>
        <w:rPr>
          <w:rFonts w:asciiTheme="minorHAnsi" w:hAnsiTheme="minorHAnsi" w:eastAsiaTheme="minorEastAsia" w:cstheme="minorBidi"/>
          <w:bCs w:val="0"/>
          <w:sz w:val="24"/>
          <w:szCs w:val="24"/>
        </w:rPr>
      </w:pPr>
      <w:r>
        <w:rPr>
          <w:rStyle w:val="32"/>
          <w:rFonts w:hint="eastAsia"/>
          <w:color w:val="auto"/>
          <w:sz w:val="24"/>
          <w:szCs w:val="24"/>
        </w:rPr>
        <w:t>8．</w:t>
      </w:r>
      <w:r>
        <w:fldChar w:fldCharType="begin"/>
      </w:r>
      <w:r>
        <w:instrText xml:space="preserve"> HYPERLINK \l "_Toc25653797" </w:instrText>
      </w:r>
      <w:r>
        <w:fldChar w:fldCharType="separate"/>
      </w:r>
      <w:r>
        <w:rPr>
          <w:rStyle w:val="32"/>
          <w:rFonts w:hint="eastAsia"/>
          <w:color w:val="auto"/>
          <w:sz w:val="24"/>
          <w:szCs w:val="24"/>
        </w:rPr>
        <w:t>中华人民共和国野生植物保护条例（国务院2017.10.7修订）</w:t>
      </w:r>
      <w:r>
        <w:rPr>
          <w:rStyle w:val="32"/>
          <w:rFonts w:hint="eastAsia"/>
          <w:color w:val="auto"/>
          <w:sz w:val="24"/>
          <w:szCs w:val="24"/>
        </w:rPr>
        <w:tab/>
      </w:r>
      <w:r>
        <w:rPr>
          <w:sz w:val="24"/>
          <w:szCs w:val="24"/>
        </w:rPr>
        <w:fldChar w:fldCharType="begin"/>
      </w:r>
      <w:r>
        <w:rPr>
          <w:sz w:val="24"/>
          <w:szCs w:val="24"/>
        </w:rPr>
        <w:instrText xml:space="preserve"> PAGEREF _Toc25653797 \h </w:instrText>
      </w:r>
      <w:r>
        <w:rPr>
          <w:sz w:val="24"/>
          <w:szCs w:val="24"/>
        </w:rPr>
        <w:fldChar w:fldCharType="separate"/>
      </w:r>
      <w:r>
        <w:rPr>
          <w:sz w:val="24"/>
          <w:szCs w:val="24"/>
        </w:rPr>
        <w:t>10</w:t>
      </w:r>
      <w:r>
        <w:rPr>
          <w:rFonts w:hint="eastAsia"/>
          <w:sz w:val="24"/>
          <w:szCs w:val="24"/>
          <w:lang w:val="en-US" w:eastAsia="zh-CN"/>
        </w:rPr>
        <w:t>2</w:t>
      </w:r>
      <w:r>
        <w:rPr>
          <w:sz w:val="24"/>
          <w:szCs w:val="24"/>
        </w:rPr>
        <w:fldChar w:fldCharType="end"/>
      </w:r>
      <w:r>
        <w:rPr>
          <w:sz w:val="24"/>
          <w:szCs w:val="24"/>
        </w:rPr>
        <w:fldChar w:fldCharType="end"/>
      </w:r>
      <w:r>
        <w:rPr>
          <w:rFonts w:hint="eastAsia"/>
          <w:sz w:val="24"/>
          <w:szCs w:val="24"/>
          <w:lang w:val="en-US" w:eastAsia="zh-CN"/>
        </w:rPr>
        <w:t>3</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"_Toc25648297" </w:instrText>
      </w:r>
      <w:r>
        <w:fldChar w:fldCharType="separate"/>
      </w:r>
      <w:r>
        <w:rPr>
          <w:rStyle w:val="32"/>
          <w:rFonts w:hint="eastAsia"/>
          <w:color w:val="auto"/>
          <w:sz w:val="24"/>
          <w:szCs w:val="24"/>
        </w:rPr>
        <w:t>农业野生植物保护办法（农业部2016.5.30修订）</w:t>
      </w:r>
      <w:r>
        <w:rPr>
          <w:sz w:val="24"/>
          <w:szCs w:val="24"/>
        </w:rPr>
        <w:tab/>
      </w:r>
      <w:r>
        <w:rPr>
          <w:sz w:val="24"/>
          <w:szCs w:val="24"/>
        </w:rPr>
        <w:fldChar w:fldCharType="begin"/>
      </w:r>
      <w:r>
        <w:rPr>
          <w:sz w:val="24"/>
          <w:szCs w:val="24"/>
        </w:rPr>
        <w:instrText xml:space="preserve"> PAGEREF _Toc25648297 \h </w:instrText>
      </w:r>
      <w:r>
        <w:rPr>
          <w:sz w:val="24"/>
          <w:szCs w:val="24"/>
        </w:rPr>
        <w:fldChar w:fldCharType="separate"/>
      </w:r>
      <w:r>
        <w:rPr>
          <w:sz w:val="24"/>
          <w:szCs w:val="24"/>
        </w:rPr>
        <w:t>10</w:t>
      </w:r>
      <w:r>
        <w:rPr>
          <w:rFonts w:hint="eastAsia"/>
          <w:sz w:val="24"/>
          <w:szCs w:val="24"/>
          <w:lang w:val="en-US" w:eastAsia="zh-CN"/>
        </w:rPr>
        <w:t>2</w:t>
      </w:r>
      <w:r>
        <w:rPr>
          <w:sz w:val="24"/>
          <w:szCs w:val="24"/>
        </w:rPr>
        <w:fldChar w:fldCharType="end"/>
      </w:r>
      <w:r>
        <w:rPr>
          <w:sz w:val="24"/>
          <w:szCs w:val="24"/>
        </w:rPr>
        <w:fldChar w:fldCharType="end"/>
      </w:r>
      <w:r>
        <w:rPr>
          <w:rFonts w:hint="eastAsia"/>
          <w:sz w:val="24"/>
          <w:szCs w:val="24"/>
          <w:lang w:val="en-US" w:eastAsia="zh-CN"/>
        </w:rPr>
        <w:t>7</w:t>
      </w:r>
    </w:p>
    <w:p>
      <w:pPr>
        <w:pStyle w:val="23"/>
        <w:tabs>
          <w:tab w:val="right" w:leader="dot" w:pos="8820"/>
          <w:tab w:val="clear" w:pos="8494"/>
        </w:tabs>
        <w:ind w:left="480" w:hanging="480" w:hangingChars="200"/>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"_Toc25648298" </w:instrText>
      </w:r>
      <w:r>
        <w:fldChar w:fldCharType="separate"/>
      </w:r>
      <w:r>
        <w:rPr>
          <w:rStyle w:val="32"/>
          <w:rFonts w:hint="eastAsia"/>
          <w:color w:val="auto"/>
          <w:sz w:val="24"/>
          <w:szCs w:val="24"/>
        </w:rPr>
        <w:t>中华人民共和国濒危野生动植物进出口管理条例（国务院2019.3.2修订）</w:t>
      </w:r>
      <w:r>
        <w:rPr>
          <w:sz w:val="24"/>
          <w:szCs w:val="24"/>
        </w:rPr>
        <w:tab/>
      </w:r>
      <w:r>
        <w:rPr>
          <w:sz w:val="24"/>
          <w:szCs w:val="24"/>
        </w:rPr>
        <w:fldChar w:fldCharType="begin"/>
      </w:r>
      <w:r>
        <w:rPr>
          <w:sz w:val="24"/>
          <w:szCs w:val="24"/>
        </w:rPr>
        <w:instrText xml:space="preserve"> PAGEREF _Toc25648298 \h </w:instrText>
      </w:r>
      <w:r>
        <w:rPr>
          <w:sz w:val="24"/>
          <w:szCs w:val="24"/>
        </w:rPr>
        <w:fldChar w:fldCharType="separate"/>
      </w:r>
      <w:r>
        <w:rPr>
          <w:sz w:val="24"/>
          <w:szCs w:val="24"/>
        </w:rPr>
        <w:t>10</w:t>
      </w:r>
      <w:r>
        <w:rPr>
          <w:rFonts w:hint="eastAsia"/>
          <w:sz w:val="24"/>
          <w:szCs w:val="24"/>
          <w:lang w:val="en-US" w:eastAsia="zh-CN"/>
        </w:rPr>
        <w:t>3</w:t>
      </w:r>
      <w:r>
        <w:rPr>
          <w:sz w:val="24"/>
          <w:szCs w:val="24"/>
        </w:rPr>
        <w:fldChar w:fldCharType="end"/>
      </w:r>
      <w:r>
        <w:rPr>
          <w:sz w:val="24"/>
          <w:szCs w:val="24"/>
        </w:rPr>
        <w:fldChar w:fldCharType="end"/>
      </w:r>
      <w:r>
        <w:rPr>
          <w:rFonts w:hint="eastAsia"/>
          <w:sz w:val="24"/>
          <w:szCs w:val="24"/>
          <w:lang w:val="en-US" w:eastAsia="zh-CN"/>
        </w:rPr>
        <w:t>2</w:t>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"_Toc25648299" </w:instrText>
      </w:r>
      <w:r>
        <w:fldChar w:fldCharType="separate"/>
      </w:r>
      <w:r>
        <w:rPr>
          <w:rStyle w:val="32"/>
          <w:rFonts w:hint="eastAsia"/>
          <w:color w:val="auto"/>
        </w:rPr>
        <w:t>十二、转基因</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"_Toc25648300" </w:instrText>
      </w:r>
      <w:r>
        <w:fldChar w:fldCharType="separate"/>
      </w:r>
      <w:r>
        <w:rPr>
          <w:rStyle w:val="32"/>
          <w:rFonts w:hint="eastAsia"/>
          <w:color w:val="auto"/>
          <w:sz w:val="24"/>
          <w:szCs w:val="24"/>
        </w:rPr>
        <w:t>农业转基因生物安全管理条例（国务院2017.10.7修订）</w:t>
      </w:r>
      <w:r>
        <w:rPr>
          <w:sz w:val="24"/>
          <w:szCs w:val="24"/>
        </w:rPr>
        <w:tab/>
      </w:r>
      <w:r>
        <w:rPr>
          <w:sz w:val="24"/>
          <w:szCs w:val="24"/>
        </w:rPr>
        <w:fldChar w:fldCharType="begin"/>
      </w:r>
      <w:r>
        <w:rPr>
          <w:sz w:val="24"/>
          <w:szCs w:val="24"/>
        </w:rPr>
        <w:instrText xml:space="preserve"> PAGEREF _Toc25648300 \h </w:instrText>
      </w:r>
      <w:r>
        <w:rPr>
          <w:sz w:val="24"/>
          <w:szCs w:val="24"/>
        </w:rPr>
        <w:fldChar w:fldCharType="separate"/>
      </w:r>
      <w:r>
        <w:rPr>
          <w:sz w:val="24"/>
          <w:szCs w:val="24"/>
        </w:rPr>
        <w:t>10</w:t>
      </w:r>
      <w:r>
        <w:rPr>
          <w:sz w:val="24"/>
          <w:szCs w:val="24"/>
        </w:rPr>
        <w:fldChar w:fldCharType="end"/>
      </w:r>
      <w:r>
        <w:rPr>
          <w:sz w:val="24"/>
          <w:szCs w:val="24"/>
        </w:rPr>
        <w:fldChar w:fldCharType="end"/>
      </w:r>
      <w:r>
        <w:rPr>
          <w:rFonts w:hint="eastAsia"/>
          <w:sz w:val="24"/>
          <w:szCs w:val="24"/>
          <w:lang w:val="en-US" w:eastAsia="zh-CN"/>
        </w:rPr>
        <w:t>38</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"_Toc25648301" </w:instrText>
      </w:r>
      <w:r>
        <w:fldChar w:fldCharType="separate"/>
      </w:r>
      <w:r>
        <w:rPr>
          <w:rStyle w:val="32"/>
          <w:rFonts w:hint="eastAsia"/>
          <w:color w:val="auto"/>
          <w:sz w:val="24"/>
          <w:szCs w:val="24"/>
        </w:rPr>
        <w:t>农业转基因生物安全评价管理办法（农业部2017.11.30修订）</w:t>
      </w:r>
      <w:r>
        <w:rPr>
          <w:sz w:val="24"/>
          <w:szCs w:val="24"/>
        </w:rPr>
        <w:tab/>
      </w:r>
      <w:r>
        <w:rPr>
          <w:sz w:val="24"/>
          <w:szCs w:val="24"/>
        </w:rPr>
        <w:fldChar w:fldCharType="begin"/>
      </w:r>
      <w:r>
        <w:rPr>
          <w:sz w:val="24"/>
          <w:szCs w:val="24"/>
        </w:rPr>
        <w:instrText xml:space="preserve"> PAGEREF _Toc25648301 \h </w:instrText>
      </w:r>
      <w:r>
        <w:rPr>
          <w:sz w:val="24"/>
          <w:szCs w:val="24"/>
        </w:rPr>
        <w:fldChar w:fldCharType="separate"/>
      </w:r>
      <w:r>
        <w:rPr>
          <w:sz w:val="24"/>
          <w:szCs w:val="24"/>
        </w:rPr>
        <w:t>10</w:t>
      </w:r>
      <w:r>
        <w:rPr>
          <w:rFonts w:hint="eastAsia"/>
          <w:sz w:val="24"/>
          <w:szCs w:val="24"/>
          <w:lang w:val="en-US" w:eastAsia="zh-CN"/>
        </w:rPr>
        <w:t>4</w:t>
      </w:r>
      <w:r>
        <w:rPr>
          <w:sz w:val="24"/>
          <w:szCs w:val="24"/>
        </w:rPr>
        <w:fldChar w:fldCharType="end"/>
      </w:r>
      <w:r>
        <w:rPr>
          <w:sz w:val="24"/>
          <w:szCs w:val="24"/>
        </w:rPr>
        <w:fldChar w:fldCharType="end"/>
      </w:r>
      <w:r>
        <w:rPr>
          <w:rFonts w:hint="eastAsia"/>
          <w:sz w:val="24"/>
          <w:szCs w:val="24"/>
          <w:lang w:val="en-US" w:eastAsia="zh-CN"/>
        </w:rPr>
        <w:t>6</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"_Toc25648302" </w:instrText>
      </w:r>
      <w:r>
        <w:fldChar w:fldCharType="separate"/>
      </w:r>
      <w:r>
        <w:rPr>
          <w:rStyle w:val="32"/>
          <w:rFonts w:hint="eastAsia"/>
          <w:color w:val="auto"/>
          <w:sz w:val="24"/>
          <w:szCs w:val="24"/>
        </w:rPr>
        <w:t>农业转基因生物进口安全管理办法（农业部2017.11.30修订）</w:t>
      </w:r>
      <w:r>
        <w:rPr>
          <w:sz w:val="24"/>
          <w:szCs w:val="24"/>
        </w:rPr>
        <w:tab/>
      </w:r>
      <w:r>
        <w:rPr>
          <w:sz w:val="24"/>
          <w:szCs w:val="24"/>
        </w:rPr>
        <w:fldChar w:fldCharType="begin"/>
      </w:r>
      <w:r>
        <w:rPr>
          <w:sz w:val="24"/>
          <w:szCs w:val="24"/>
        </w:rPr>
        <w:instrText xml:space="preserve"> PAGEREF _Toc25648302 \h </w:instrText>
      </w:r>
      <w:r>
        <w:rPr>
          <w:sz w:val="24"/>
          <w:szCs w:val="24"/>
        </w:rPr>
        <w:fldChar w:fldCharType="separate"/>
      </w:r>
      <w:r>
        <w:rPr>
          <w:sz w:val="24"/>
          <w:szCs w:val="24"/>
        </w:rPr>
        <w:t>10</w:t>
      </w:r>
      <w:r>
        <w:rPr>
          <w:rFonts w:hint="eastAsia"/>
          <w:sz w:val="24"/>
          <w:szCs w:val="24"/>
          <w:lang w:val="en-US" w:eastAsia="zh-CN"/>
        </w:rPr>
        <w:t>5</w:t>
      </w:r>
      <w:r>
        <w:rPr>
          <w:sz w:val="24"/>
          <w:szCs w:val="24"/>
        </w:rPr>
        <w:fldChar w:fldCharType="end"/>
      </w:r>
      <w:r>
        <w:rPr>
          <w:sz w:val="24"/>
          <w:szCs w:val="24"/>
        </w:rPr>
        <w:fldChar w:fldCharType="end"/>
      </w:r>
      <w:r>
        <w:rPr>
          <w:rFonts w:hint="eastAsia"/>
          <w:sz w:val="24"/>
          <w:szCs w:val="24"/>
          <w:lang w:val="en-US" w:eastAsia="zh-CN"/>
        </w:rPr>
        <w:t>7</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"_Toc25648303" </w:instrText>
      </w:r>
      <w:r>
        <w:fldChar w:fldCharType="separate"/>
      </w:r>
      <w:r>
        <w:rPr>
          <w:rStyle w:val="32"/>
          <w:rFonts w:hint="eastAsia"/>
          <w:color w:val="auto"/>
          <w:sz w:val="24"/>
          <w:szCs w:val="24"/>
        </w:rPr>
        <w:t>农业转基因生物标识管理办法（农业部2017.11.30修订）</w:t>
      </w:r>
      <w:r>
        <w:rPr>
          <w:sz w:val="24"/>
          <w:szCs w:val="24"/>
        </w:rPr>
        <w:tab/>
      </w:r>
      <w:r>
        <w:rPr>
          <w:sz w:val="24"/>
          <w:szCs w:val="24"/>
        </w:rPr>
        <w:fldChar w:fldCharType="begin"/>
      </w:r>
      <w:r>
        <w:rPr>
          <w:sz w:val="24"/>
          <w:szCs w:val="24"/>
        </w:rPr>
        <w:instrText xml:space="preserve"> PAGEREF _Toc25648303 \h </w:instrText>
      </w:r>
      <w:r>
        <w:rPr>
          <w:sz w:val="24"/>
          <w:szCs w:val="24"/>
        </w:rPr>
        <w:fldChar w:fldCharType="separate"/>
      </w:r>
      <w:r>
        <w:rPr>
          <w:sz w:val="24"/>
          <w:szCs w:val="24"/>
        </w:rPr>
        <w:t>10</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1</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"_Toc25648304" </w:instrText>
      </w:r>
      <w:r>
        <w:fldChar w:fldCharType="separate"/>
      </w:r>
      <w:r>
        <w:rPr>
          <w:rStyle w:val="32"/>
          <w:rFonts w:hint="eastAsia"/>
          <w:color w:val="auto"/>
          <w:sz w:val="24"/>
          <w:szCs w:val="24"/>
        </w:rPr>
        <w:t>农业转基因生物加工审批办法（农业农村部2019.4.25修订）</w:t>
      </w:r>
      <w:r>
        <w:rPr>
          <w:sz w:val="24"/>
          <w:szCs w:val="24"/>
        </w:rPr>
        <w:tab/>
      </w:r>
      <w:r>
        <w:rPr>
          <w:sz w:val="24"/>
          <w:szCs w:val="24"/>
        </w:rPr>
        <w:fldChar w:fldCharType="begin"/>
      </w:r>
      <w:r>
        <w:rPr>
          <w:sz w:val="24"/>
          <w:szCs w:val="24"/>
        </w:rPr>
        <w:instrText xml:space="preserve"> PAGEREF _Toc25648304 \h </w:instrText>
      </w:r>
      <w:r>
        <w:rPr>
          <w:sz w:val="24"/>
          <w:szCs w:val="24"/>
        </w:rPr>
        <w:fldChar w:fldCharType="separate"/>
      </w:r>
      <w:r>
        <w:rPr>
          <w:sz w:val="24"/>
          <w:szCs w:val="24"/>
        </w:rPr>
        <w:t>10</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3</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"_Toc25648305" </w:instrText>
      </w:r>
      <w:r>
        <w:fldChar w:fldCharType="separate"/>
      </w:r>
      <w:r>
        <w:rPr>
          <w:rStyle w:val="32"/>
          <w:rFonts w:hint="eastAsia"/>
          <w:color w:val="auto"/>
          <w:sz w:val="24"/>
          <w:szCs w:val="24"/>
        </w:rPr>
        <w:t>转基因棉花种子生产经营许可规定（农业农村部2019.4.25修订）</w:t>
      </w:r>
      <w:r>
        <w:rPr>
          <w:sz w:val="24"/>
          <w:szCs w:val="24"/>
        </w:rPr>
        <w:tab/>
      </w:r>
      <w:r>
        <w:rPr>
          <w:sz w:val="24"/>
          <w:szCs w:val="24"/>
        </w:rPr>
        <w:fldChar w:fldCharType="begin"/>
      </w:r>
      <w:r>
        <w:rPr>
          <w:sz w:val="24"/>
          <w:szCs w:val="24"/>
        </w:rPr>
        <w:instrText xml:space="preserve"> PAGEREF _Toc25648305 \h </w:instrText>
      </w:r>
      <w:r>
        <w:rPr>
          <w:sz w:val="24"/>
          <w:szCs w:val="24"/>
        </w:rPr>
        <w:fldChar w:fldCharType="separate"/>
      </w:r>
      <w:r>
        <w:rPr>
          <w:sz w:val="24"/>
          <w:szCs w:val="24"/>
        </w:rPr>
        <w:t>10</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5</w:t>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"_Toc25648306" </w:instrText>
      </w:r>
      <w:r>
        <w:fldChar w:fldCharType="separate"/>
      </w:r>
      <w:r>
        <w:rPr>
          <w:rStyle w:val="32"/>
          <w:rFonts w:hint="eastAsia"/>
          <w:color w:val="auto"/>
        </w:rPr>
        <w:t>十三、农机</w:t>
      </w:r>
      <w:r>
        <w:rPr>
          <w:rStyle w:val="32"/>
          <w:rFonts w:hint="eastAsia"/>
          <w:color w:val="auto"/>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"_Toc25648307" </w:instrText>
      </w:r>
      <w:r>
        <w:fldChar w:fldCharType="separate"/>
      </w:r>
      <w:r>
        <w:rPr>
          <w:rStyle w:val="32"/>
          <w:rFonts w:hint="eastAsia"/>
          <w:color w:val="auto"/>
          <w:sz w:val="24"/>
          <w:szCs w:val="24"/>
        </w:rPr>
        <w:t>中华人民共和国安全生产法（2014.8.31修订）</w:t>
      </w:r>
      <w:r>
        <w:rPr>
          <w:sz w:val="24"/>
          <w:szCs w:val="24"/>
        </w:rPr>
        <w:tab/>
      </w:r>
      <w:r>
        <w:rPr>
          <w:sz w:val="24"/>
          <w:szCs w:val="24"/>
        </w:rPr>
        <w:fldChar w:fldCharType="begin"/>
      </w:r>
      <w:r>
        <w:rPr>
          <w:sz w:val="24"/>
          <w:szCs w:val="24"/>
        </w:rPr>
        <w:instrText xml:space="preserve"> PAGEREF _Toc25648307 \h </w:instrText>
      </w:r>
      <w:r>
        <w:rPr>
          <w:sz w:val="24"/>
          <w:szCs w:val="24"/>
        </w:rPr>
        <w:fldChar w:fldCharType="separate"/>
      </w:r>
      <w:r>
        <w:rPr>
          <w:sz w:val="24"/>
          <w:szCs w:val="24"/>
        </w:rPr>
        <w:t>10</w:t>
      </w:r>
      <w:r>
        <w:rPr>
          <w:rFonts w:hint="eastAsia"/>
          <w:sz w:val="24"/>
          <w:szCs w:val="24"/>
          <w:lang w:val="en-US" w:eastAsia="zh-CN"/>
        </w:rPr>
        <w:t>7</w:t>
      </w:r>
      <w:r>
        <w:rPr>
          <w:sz w:val="24"/>
          <w:szCs w:val="24"/>
        </w:rPr>
        <w:fldChar w:fldCharType="end"/>
      </w:r>
      <w:r>
        <w:rPr>
          <w:sz w:val="24"/>
          <w:szCs w:val="24"/>
        </w:rPr>
        <w:fldChar w:fldCharType="end"/>
      </w:r>
      <w:r>
        <w:rPr>
          <w:rFonts w:hint="eastAsia"/>
          <w:sz w:val="24"/>
          <w:szCs w:val="24"/>
          <w:lang w:val="en-US" w:eastAsia="zh-CN"/>
        </w:rPr>
        <w:t>0</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"_Toc25648308" </w:instrText>
      </w:r>
      <w:r>
        <w:fldChar w:fldCharType="separate"/>
      </w:r>
      <w:r>
        <w:rPr>
          <w:rStyle w:val="32"/>
          <w:rFonts w:hint="eastAsia"/>
          <w:color w:val="auto"/>
          <w:sz w:val="24"/>
          <w:szCs w:val="24"/>
        </w:rPr>
        <w:t>中华人民共和国道路交通安全法（2011.4.22修订）</w:t>
      </w:r>
      <w:r>
        <w:rPr>
          <w:sz w:val="24"/>
          <w:szCs w:val="24"/>
        </w:rPr>
        <w:tab/>
      </w:r>
      <w:r>
        <w:rPr>
          <w:sz w:val="24"/>
          <w:szCs w:val="24"/>
        </w:rPr>
        <w:fldChar w:fldCharType="begin"/>
      </w:r>
      <w:r>
        <w:rPr>
          <w:sz w:val="24"/>
          <w:szCs w:val="24"/>
        </w:rPr>
        <w:instrText xml:space="preserve"> PAGEREF _Toc25648308 \h </w:instrText>
      </w:r>
      <w:r>
        <w:rPr>
          <w:sz w:val="24"/>
          <w:szCs w:val="24"/>
        </w:rPr>
        <w:fldChar w:fldCharType="separate"/>
      </w:r>
      <w:r>
        <w:rPr>
          <w:sz w:val="24"/>
          <w:szCs w:val="24"/>
        </w:rPr>
        <w:t>10</w:t>
      </w:r>
      <w:r>
        <w:rPr>
          <w:rFonts w:hint="eastAsia"/>
          <w:sz w:val="24"/>
          <w:szCs w:val="24"/>
          <w:lang w:val="en-US" w:eastAsia="zh-CN"/>
        </w:rPr>
        <w:t>8</w:t>
      </w:r>
      <w:r>
        <w:rPr>
          <w:sz w:val="24"/>
          <w:szCs w:val="24"/>
        </w:rPr>
        <w:fldChar w:fldCharType="end"/>
      </w:r>
      <w:r>
        <w:rPr>
          <w:sz w:val="24"/>
          <w:szCs w:val="24"/>
        </w:rPr>
        <w:fldChar w:fldCharType="end"/>
      </w:r>
      <w:r>
        <w:rPr>
          <w:rFonts w:hint="eastAsia"/>
          <w:sz w:val="24"/>
          <w:szCs w:val="24"/>
          <w:lang w:val="en-US" w:eastAsia="zh-CN"/>
        </w:rPr>
        <w:t>7</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"_Toc25648309" </w:instrText>
      </w:r>
      <w:r>
        <w:fldChar w:fldCharType="separate"/>
      </w:r>
      <w:r>
        <w:rPr>
          <w:rStyle w:val="32"/>
          <w:rFonts w:hint="eastAsia"/>
          <w:color w:val="auto"/>
          <w:sz w:val="24"/>
          <w:szCs w:val="24"/>
        </w:rPr>
        <w:t>中华人民共和国农业机械化促进法（2018.10.26修订）</w:t>
      </w:r>
      <w:r>
        <w:rPr>
          <w:sz w:val="24"/>
          <w:szCs w:val="24"/>
        </w:rPr>
        <w:tab/>
      </w:r>
      <w:r>
        <w:rPr>
          <w:sz w:val="24"/>
          <w:szCs w:val="24"/>
        </w:rPr>
        <w:fldChar w:fldCharType="begin"/>
      </w:r>
      <w:r>
        <w:rPr>
          <w:sz w:val="24"/>
          <w:szCs w:val="24"/>
        </w:rPr>
        <w:instrText xml:space="preserve"> PAGEREF _Toc25648309 \h </w:instrText>
      </w:r>
      <w:r>
        <w:rPr>
          <w:sz w:val="24"/>
          <w:szCs w:val="24"/>
        </w:rPr>
        <w:fldChar w:fldCharType="separate"/>
      </w:r>
      <w:r>
        <w:rPr>
          <w:sz w:val="24"/>
          <w:szCs w:val="24"/>
        </w:rPr>
        <w:t>1</w:t>
      </w:r>
      <w:r>
        <w:rPr>
          <w:rFonts w:hint="eastAsia"/>
          <w:sz w:val="24"/>
          <w:szCs w:val="24"/>
          <w:lang w:val="en-US" w:eastAsia="zh-CN"/>
        </w:rPr>
        <w:t>1</w:t>
      </w:r>
      <w:r>
        <w:rPr>
          <w:sz w:val="24"/>
          <w:szCs w:val="24"/>
        </w:rPr>
        <w:fldChar w:fldCharType="end"/>
      </w:r>
      <w:r>
        <w:rPr>
          <w:sz w:val="24"/>
          <w:szCs w:val="24"/>
        </w:rPr>
        <w:fldChar w:fldCharType="end"/>
      </w:r>
      <w:r>
        <w:rPr>
          <w:rFonts w:hint="eastAsia"/>
          <w:sz w:val="24"/>
          <w:szCs w:val="24"/>
          <w:lang w:val="en-US" w:eastAsia="zh-CN"/>
        </w:rPr>
        <w:t>05</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"_Toc25648310" </w:instrText>
      </w:r>
      <w:r>
        <w:fldChar w:fldCharType="separate"/>
      </w:r>
      <w:r>
        <w:rPr>
          <w:rStyle w:val="32"/>
          <w:rFonts w:hint="eastAsia"/>
          <w:color w:val="auto"/>
          <w:sz w:val="24"/>
          <w:szCs w:val="24"/>
        </w:rPr>
        <w:t>北京市农业机械化促进条例（市人大2019.7.26修订）</w:t>
      </w:r>
      <w:r>
        <w:rPr>
          <w:sz w:val="24"/>
          <w:szCs w:val="24"/>
        </w:rPr>
        <w:tab/>
      </w:r>
      <w:r>
        <w:rPr>
          <w:sz w:val="24"/>
          <w:szCs w:val="24"/>
        </w:rPr>
        <w:fldChar w:fldCharType="begin"/>
      </w:r>
      <w:r>
        <w:rPr>
          <w:sz w:val="24"/>
          <w:szCs w:val="24"/>
        </w:rPr>
        <w:instrText xml:space="preserve"> PAGEREF _Toc25648310 \h </w:instrText>
      </w:r>
      <w:r>
        <w:rPr>
          <w:sz w:val="24"/>
          <w:szCs w:val="24"/>
        </w:rPr>
        <w:fldChar w:fldCharType="separate"/>
      </w:r>
      <w:r>
        <w:rPr>
          <w:sz w:val="24"/>
          <w:szCs w:val="24"/>
        </w:rPr>
        <w:t>1</w:t>
      </w:r>
      <w:r>
        <w:rPr>
          <w:rFonts w:hint="eastAsia"/>
          <w:sz w:val="24"/>
          <w:szCs w:val="24"/>
          <w:lang w:val="en-US" w:eastAsia="zh-CN"/>
        </w:rPr>
        <w:t>1</w:t>
      </w:r>
      <w:r>
        <w:rPr>
          <w:sz w:val="24"/>
          <w:szCs w:val="24"/>
        </w:rPr>
        <w:fldChar w:fldCharType="end"/>
      </w:r>
      <w:r>
        <w:rPr>
          <w:sz w:val="24"/>
          <w:szCs w:val="24"/>
        </w:rPr>
        <w:fldChar w:fldCharType="end"/>
      </w:r>
      <w:r>
        <w:rPr>
          <w:rFonts w:hint="eastAsia"/>
          <w:sz w:val="24"/>
          <w:szCs w:val="24"/>
          <w:lang w:val="en-US" w:eastAsia="zh-CN"/>
        </w:rPr>
        <w:t>10</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"_Toc25648311" </w:instrText>
      </w:r>
      <w:r>
        <w:fldChar w:fldCharType="separate"/>
      </w:r>
      <w:r>
        <w:rPr>
          <w:rStyle w:val="32"/>
          <w:rFonts w:hint="eastAsia"/>
          <w:color w:val="auto"/>
          <w:sz w:val="24"/>
          <w:szCs w:val="24"/>
        </w:rPr>
        <w:t>农业机械安全监督管理条例（国务院2019.3.2修订）</w:t>
      </w:r>
      <w:r>
        <w:rPr>
          <w:sz w:val="24"/>
          <w:szCs w:val="24"/>
        </w:rPr>
        <w:tab/>
      </w:r>
      <w:r>
        <w:rPr>
          <w:sz w:val="24"/>
          <w:szCs w:val="24"/>
        </w:rPr>
        <w:fldChar w:fldCharType="begin"/>
      </w:r>
      <w:r>
        <w:rPr>
          <w:sz w:val="24"/>
          <w:szCs w:val="24"/>
        </w:rPr>
        <w:instrText xml:space="preserve"> PAGEREF _Toc25648311 \h </w:instrText>
      </w:r>
      <w:r>
        <w:rPr>
          <w:sz w:val="24"/>
          <w:szCs w:val="24"/>
        </w:rPr>
        <w:fldChar w:fldCharType="separate"/>
      </w:r>
      <w:r>
        <w:rPr>
          <w:sz w:val="24"/>
          <w:szCs w:val="24"/>
        </w:rPr>
        <w:t>11</w:t>
      </w:r>
      <w:r>
        <w:rPr>
          <w:rFonts w:hint="eastAsia"/>
          <w:sz w:val="24"/>
          <w:szCs w:val="24"/>
          <w:lang w:val="en-US" w:eastAsia="zh-CN"/>
        </w:rPr>
        <w:t>1</w:t>
      </w:r>
      <w:r>
        <w:rPr>
          <w:sz w:val="24"/>
          <w:szCs w:val="24"/>
        </w:rPr>
        <w:fldChar w:fldCharType="end"/>
      </w:r>
      <w:r>
        <w:rPr>
          <w:sz w:val="24"/>
          <w:szCs w:val="24"/>
        </w:rPr>
        <w:fldChar w:fldCharType="end"/>
      </w:r>
      <w:r>
        <w:rPr>
          <w:rFonts w:hint="eastAsia"/>
          <w:sz w:val="24"/>
          <w:szCs w:val="24"/>
          <w:lang w:val="en-US" w:eastAsia="zh-CN"/>
        </w:rPr>
        <w:t>7</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"_Toc25648312" </w:instrText>
      </w:r>
      <w:r>
        <w:fldChar w:fldCharType="separate"/>
      </w:r>
      <w:r>
        <w:rPr>
          <w:rStyle w:val="32"/>
          <w:rFonts w:hint="eastAsia"/>
          <w:color w:val="auto"/>
          <w:sz w:val="24"/>
          <w:szCs w:val="24"/>
        </w:rPr>
        <w:t>北京市农业机械安全监督管理规定（市政府2018.2.12）</w:t>
      </w:r>
      <w:r>
        <w:rPr>
          <w:sz w:val="24"/>
          <w:szCs w:val="24"/>
        </w:rPr>
        <w:tab/>
      </w:r>
      <w:r>
        <w:rPr>
          <w:sz w:val="24"/>
          <w:szCs w:val="24"/>
        </w:rPr>
        <w:fldChar w:fldCharType="begin"/>
      </w:r>
      <w:r>
        <w:rPr>
          <w:sz w:val="24"/>
          <w:szCs w:val="24"/>
        </w:rPr>
        <w:instrText xml:space="preserve"> PAGEREF _Toc25648312 \h </w:instrText>
      </w:r>
      <w:r>
        <w:rPr>
          <w:sz w:val="24"/>
          <w:szCs w:val="24"/>
        </w:rPr>
        <w:fldChar w:fldCharType="separate"/>
      </w:r>
      <w:r>
        <w:rPr>
          <w:sz w:val="24"/>
          <w:szCs w:val="24"/>
        </w:rPr>
        <w:t>11</w:t>
      </w:r>
      <w:r>
        <w:rPr>
          <w:rFonts w:hint="eastAsia"/>
          <w:sz w:val="24"/>
          <w:szCs w:val="24"/>
          <w:lang w:val="en-US" w:eastAsia="zh-CN"/>
        </w:rPr>
        <w:t>2</w:t>
      </w:r>
      <w:r>
        <w:rPr>
          <w:sz w:val="24"/>
          <w:szCs w:val="24"/>
        </w:rPr>
        <w:fldChar w:fldCharType="end"/>
      </w:r>
      <w:r>
        <w:rPr>
          <w:sz w:val="24"/>
          <w:szCs w:val="24"/>
        </w:rPr>
        <w:fldChar w:fldCharType="end"/>
      </w:r>
      <w:r>
        <w:rPr>
          <w:rFonts w:hint="eastAsia"/>
          <w:sz w:val="24"/>
          <w:szCs w:val="24"/>
          <w:lang w:val="en-US" w:eastAsia="zh-CN"/>
        </w:rPr>
        <w:t>6</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7．</w:t>
      </w:r>
      <w:r>
        <w:fldChar w:fldCharType="begin"/>
      </w:r>
      <w:r>
        <w:instrText xml:space="preserve"> HYPERLINK \l "_Toc25648313" </w:instrText>
      </w:r>
      <w:r>
        <w:fldChar w:fldCharType="separate"/>
      </w:r>
      <w:r>
        <w:rPr>
          <w:rStyle w:val="32"/>
          <w:rFonts w:hint="eastAsia"/>
          <w:color w:val="auto"/>
          <w:sz w:val="24"/>
          <w:szCs w:val="24"/>
        </w:rPr>
        <w:t>拖拉机和联合收割机驾驶证管理规定（农业部2018.1.15）</w:t>
      </w:r>
      <w:r>
        <w:rPr>
          <w:sz w:val="24"/>
          <w:szCs w:val="24"/>
        </w:rPr>
        <w:tab/>
      </w:r>
      <w:r>
        <w:rPr>
          <w:sz w:val="24"/>
          <w:szCs w:val="24"/>
        </w:rPr>
        <w:fldChar w:fldCharType="begin"/>
      </w:r>
      <w:r>
        <w:rPr>
          <w:sz w:val="24"/>
          <w:szCs w:val="24"/>
        </w:rPr>
        <w:instrText xml:space="preserve"> PAGEREF _Toc25648313 \h </w:instrText>
      </w:r>
      <w:r>
        <w:rPr>
          <w:sz w:val="24"/>
          <w:szCs w:val="24"/>
        </w:rPr>
        <w:fldChar w:fldCharType="separate"/>
      </w:r>
      <w:r>
        <w:rPr>
          <w:sz w:val="24"/>
          <w:szCs w:val="24"/>
        </w:rPr>
        <w:t>11</w:t>
      </w:r>
      <w:r>
        <w:rPr>
          <w:rFonts w:hint="eastAsia"/>
          <w:sz w:val="24"/>
          <w:szCs w:val="24"/>
          <w:lang w:val="en-US" w:eastAsia="zh-CN"/>
        </w:rPr>
        <w:t>3</w:t>
      </w:r>
      <w:r>
        <w:rPr>
          <w:sz w:val="24"/>
          <w:szCs w:val="24"/>
        </w:rPr>
        <w:fldChar w:fldCharType="end"/>
      </w:r>
      <w:r>
        <w:rPr>
          <w:sz w:val="24"/>
          <w:szCs w:val="24"/>
        </w:rPr>
        <w:fldChar w:fldCharType="end"/>
      </w:r>
      <w:r>
        <w:rPr>
          <w:rFonts w:hint="eastAsia"/>
          <w:sz w:val="24"/>
          <w:szCs w:val="24"/>
          <w:lang w:val="en-US" w:eastAsia="zh-CN"/>
        </w:rPr>
        <w:t>2</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8．</w:t>
      </w:r>
      <w:r>
        <w:fldChar w:fldCharType="begin"/>
      </w:r>
      <w:r>
        <w:instrText xml:space="preserve"> HYPERLINK \l "_Toc25648314" </w:instrText>
      </w:r>
      <w:r>
        <w:fldChar w:fldCharType="separate"/>
      </w:r>
      <w:r>
        <w:rPr>
          <w:rStyle w:val="32"/>
          <w:rFonts w:hint="eastAsia"/>
          <w:color w:val="auto"/>
          <w:sz w:val="24"/>
          <w:szCs w:val="24"/>
        </w:rPr>
        <w:t>拖拉机和联合收割机登记规定（农业农村部2018.12.6修订）</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137</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9．</w:t>
      </w:r>
      <w:r>
        <w:fldChar w:fldCharType="begin"/>
      </w:r>
      <w:r>
        <w:instrText xml:space="preserve"> HYPERLINK \l "_Toc25648315" </w:instrText>
      </w:r>
      <w:r>
        <w:fldChar w:fldCharType="separate"/>
      </w:r>
      <w:r>
        <w:rPr>
          <w:rStyle w:val="32"/>
          <w:rFonts w:hint="eastAsia"/>
          <w:color w:val="auto"/>
          <w:sz w:val="24"/>
          <w:szCs w:val="24"/>
        </w:rPr>
        <w:t>联合收割机跨区作业管理办法（农业农村部2019.4.25修订）</w:t>
      </w:r>
      <w:r>
        <w:rPr>
          <w:sz w:val="24"/>
          <w:szCs w:val="24"/>
        </w:rPr>
        <w:tab/>
      </w:r>
      <w:r>
        <w:rPr>
          <w:sz w:val="24"/>
          <w:szCs w:val="24"/>
        </w:rPr>
        <w:fldChar w:fldCharType="begin"/>
      </w:r>
      <w:r>
        <w:rPr>
          <w:sz w:val="24"/>
          <w:szCs w:val="24"/>
        </w:rPr>
        <w:instrText xml:space="preserve"> PAGEREF _Toc25648315 \h </w:instrText>
      </w:r>
      <w:r>
        <w:rPr>
          <w:sz w:val="24"/>
          <w:szCs w:val="24"/>
        </w:rPr>
        <w:fldChar w:fldCharType="separate"/>
      </w:r>
      <w:r>
        <w:rPr>
          <w:sz w:val="24"/>
          <w:szCs w:val="24"/>
        </w:rPr>
        <w:t>11</w:t>
      </w:r>
      <w:r>
        <w:rPr>
          <w:rFonts w:hint="eastAsia"/>
          <w:sz w:val="24"/>
          <w:szCs w:val="24"/>
          <w:lang w:val="en-US" w:eastAsia="zh-CN"/>
        </w:rPr>
        <w:t>4</w:t>
      </w:r>
      <w:r>
        <w:rPr>
          <w:sz w:val="24"/>
          <w:szCs w:val="24"/>
        </w:rPr>
        <w:fldChar w:fldCharType="end"/>
      </w:r>
      <w:r>
        <w:rPr>
          <w:sz w:val="24"/>
          <w:szCs w:val="24"/>
        </w:rPr>
        <w:fldChar w:fldCharType="end"/>
      </w:r>
      <w:r>
        <w:rPr>
          <w:rFonts w:hint="eastAsia"/>
          <w:sz w:val="24"/>
          <w:szCs w:val="24"/>
          <w:lang w:val="en-US" w:eastAsia="zh-CN"/>
        </w:rPr>
        <w:t>5</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10．</w:t>
      </w:r>
      <w:r>
        <w:fldChar w:fldCharType="begin"/>
      </w:r>
      <w:r>
        <w:instrText xml:space="preserve"> HYPERLINK \l "_Toc25648316" </w:instrText>
      </w:r>
      <w:r>
        <w:fldChar w:fldCharType="separate"/>
      </w:r>
      <w:r>
        <w:rPr>
          <w:rStyle w:val="32"/>
          <w:rFonts w:hint="eastAsia"/>
          <w:color w:val="auto"/>
          <w:sz w:val="24"/>
          <w:szCs w:val="24"/>
        </w:rPr>
        <w:t>拖拉机驾驶培训管理办法（农业农村部2019.4.25修订）</w:t>
      </w:r>
      <w:r>
        <w:rPr>
          <w:sz w:val="24"/>
          <w:szCs w:val="24"/>
        </w:rPr>
        <w:tab/>
      </w:r>
      <w:r>
        <w:rPr>
          <w:sz w:val="24"/>
          <w:szCs w:val="24"/>
        </w:rPr>
        <w:fldChar w:fldCharType="begin"/>
      </w:r>
      <w:r>
        <w:rPr>
          <w:sz w:val="24"/>
          <w:szCs w:val="24"/>
        </w:rPr>
        <w:instrText xml:space="preserve"> PAGEREF _Toc25648316 \h </w:instrText>
      </w:r>
      <w:r>
        <w:rPr>
          <w:sz w:val="24"/>
          <w:szCs w:val="24"/>
        </w:rPr>
        <w:fldChar w:fldCharType="separate"/>
      </w:r>
      <w:r>
        <w:rPr>
          <w:sz w:val="24"/>
          <w:szCs w:val="24"/>
        </w:rPr>
        <w:t>11</w:t>
      </w:r>
      <w:r>
        <w:rPr>
          <w:rFonts w:hint="eastAsia"/>
          <w:sz w:val="24"/>
          <w:szCs w:val="24"/>
          <w:lang w:val="en-US" w:eastAsia="zh-CN"/>
        </w:rPr>
        <w:t>4</w:t>
      </w:r>
      <w:r>
        <w:rPr>
          <w:sz w:val="24"/>
          <w:szCs w:val="24"/>
        </w:rPr>
        <w:fldChar w:fldCharType="end"/>
      </w:r>
      <w:r>
        <w:rPr>
          <w:sz w:val="24"/>
          <w:szCs w:val="24"/>
        </w:rPr>
        <w:fldChar w:fldCharType="end"/>
      </w:r>
      <w:r>
        <w:rPr>
          <w:rFonts w:hint="eastAsia"/>
          <w:sz w:val="24"/>
          <w:szCs w:val="24"/>
          <w:lang w:val="en-US" w:eastAsia="zh-CN"/>
        </w:rPr>
        <w:t>9</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11．</w:t>
      </w:r>
      <w:r>
        <w:fldChar w:fldCharType="begin"/>
      </w:r>
      <w:r>
        <w:instrText xml:space="preserve"> HYPERLINK \l "_Toc25648317" </w:instrText>
      </w:r>
      <w:r>
        <w:fldChar w:fldCharType="separate"/>
      </w:r>
      <w:r>
        <w:rPr>
          <w:rStyle w:val="32"/>
          <w:rFonts w:hint="eastAsia"/>
          <w:color w:val="auto"/>
          <w:sz w:val="24"/>
          <w:szCs w:val="24"/>
        </w:rPr>
        <w:t>农业机械试验鉴定办法（农业农村部2018.12.30修订）</w:t>
      </w:r>
      <w:r>
        <w:rPr>
          <w:sz w:val="24"/>
          <w:szCs w:val="24"/>
        </w:rPr>
        <w:tab/>
      </w:r>
      <w:r>
        <w:rPr>
          <w:sz w:val="24"/>
          <w:szCs w:val="24"/>
        </w:rPr>
        <w:fldChar w:fldCharType="begin"/>
      </w:r>
      <w:r>
        <w:rPr>
          <w:sz w:val="24"/>
          <w:szCs w:val="24"/>
        </w:rPr>
        <w:instrText xml:space="preserve"> PAGEREF _Toc25648317 \h </w:instrText>
      </w:r>
      <w:r>
        <w:rPr>
          <w:sz w:val="24"/>
          <w:szCs w:val="24"/>
        </w:rPr>
        <w:fldChar w:fldCharType="separate"/>
      </w:r>
      <w:r>
        <w:rPr>
          <w:sz w:val="24"/>
          <w:szCs w:val="24"/>
        </w:rPr>
        <w:t>11</w:t>
      </w:r>
      <w:r>
        <w:rPr>
          <w:rFonts w:hint="eastAsia"/>
          <w:sz w:val="24"/>
          <w:szCs w:val="24"/>
          <w:lang w:val="en-US" w:eastAsia="zh-CN"/>
        </w:rPr>
        <w:t>5</w:t>
      </w:r>
      <w:r>
        <w:rPr>
          <w:sz w:val="24"/>
          <w:szCs w:val="24"/>
        </w:rPr>
        <w:fldChar w:fldCharType="end"/>
      </w:r>
      <w:r>
        <w:rPr>
          <w:sz w:val="24"/>
          <w:szCs w:val="24"/>
        </w:rPr>
        <w:fldChar w:fldCharType="end"/>
      </w:r>
      <w:r>
        <w:rPr>
          <w:rFonts w:hint="eastAsia"/>
          <w:sz w:val="24"/>
          <w:szCs w:val="24"/>
          <w:lang w:val="en-US" w:eastAsia="zh-CN"/>
        </w:rPr>
        <w:t>3</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12．</w:t>
      </w:r>
      <w:r>
        <w:fldChar w:fldCharType="begin"/>
      </w:r>
      <w:r>
        <w:instrText xml:space="preserve"> HYPERLINK \l "_Toc25648318" </w:instrText>
      </w:r>
      <w:r>
        <w:fldChar w:fldCharType="separate"/>
      </w:r>
      <w:r>
        <w:rPr>
          <w:rStyle w:val="32"/>
          <w:rFonts w:hint="eastAsia"/>
          <w:color w:val="auto"/>
          <w:sz w:val="24"/>
          <w:szCs w:val="24"/>
        </w:rPr>
        <w:t>农业机械维修管理规定（农业农村部、国家工商总局2019.4.25修订）</w:t>
      </w:r>
      <w:r>
        <w:rPr>
          <w:sz w:val="24"/>
          <w:szCs w:val="24"/>
        </w:rPr>
        <w:tab/>
      </w:r>
      <w:r>
        <w:rPr>
          <w:sz w:val="24"/>
          <w:szCs w:val="24"/>
        </w:rPr>
        <w:fldChar w:fldCharType="begin"/>
      </w:r>
      <w:r>
        <w:rPr>
          <w:sz w:val="24"/>
          <w:szCs w:val="24"/>
        </w:rPr>
        <w:instrText xml:space="preserve"> PAGEREF _Toc25648318 \h </w:instrText>
      </w:r>
      <w:r>
        <w:rPr>
          <w:sz w:val="24"/>
          <w:szCs w:val="24"/>
        </w:rPr>
        <w:fldChar w:fldCharType="separate"/>
      </w:r>
      <w:r>
        <w:rPr>
          <w:sz w:val="24"/>
          <w:szCs w:val="24"/>
        </w:rPr>
        <w:t>11</w:t>
      </w:r>
      <w:r>
        <w:rPr>
          <w:rFonts w:hint="eastAsia"/>
          <w:sz w:val="24"/>
          <w:szCs w:val="24"/>
          <w:lang w:val="en-US" w:eastAsia="zh-CN"/>
        </w:rPr>
        <w:t>5</w:t>
      </w:r>
      <w:r>
        <w:rPr>
          <w:sz w:val="24"/>
          <w:szCs w:val="24"/>
        </w:rPr>
        <w:fldChar w:fldCharType="end"/>
      </w:r>
      <w:r>
        <w:rPr>
          <w:sz w:val="24"/>
          <w:szCs w:val="24"/>
        </w:rPr>
        <w:fldChar w:fldCharType="end"/>
      </w:r>
      <w:r>
        <w:rPr>
          <w:rFonts w:hint="eastAsia"/>
          <w:sz w:val="24"/>
          <w:szCs w:val="24"/>
          <w:lang w:val="en-US" w:eastAsia="zh-CN"/>
        </w:rPr>
        <w:t>7</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13．</w:t>
      </w:r>
      <w:r>
        <w:fldChar w:fldCharType="begin"/>
      </w:r>
      <w:r>
        <w:instrText xml:space="preserve"> HYPERLINK \l "_Toc25648319" </w:instrText>
      </w:r>
      <w:r>
        <w:fldChar w:fldCharType="separate"/>
      </w:r>
      <w:r>
        <w:rPr>
          <w:rStyle w:val="32"/>
          <w:rFonts w:hint="eastAsia"/>
          <w:color w:val="auto"/>
          <w:sz w:val="24"/>
          <w:szCs w:val="24"/>
        </w:rPr>
        <w:t>农业机械质量调查办法（农业部2006.8.20）</w:t>
      </w:r>
      <w:r>
        <w:rPr>
          <w:sz w:val="24"/>
          <w:szCs w:val="24"/>
        </w:rPr>
        <w:tab/>
      </w:r>
      <w:r>
        <w:rPr>
          <w:sz w:val="24"/>
          <w:szCs w:val="24"/>
        </w:rPr>
        <w:fldChar w:fldCharType="begin"/>
      </w:r>
      <w:r>
        <w:rPr>
          <w:sz w:val="24"/>
          <w:szCs w:val="24"/>
        </w:rPr>
        <w:instrText xml:space="preserve"> PAGEREF _Toc25648319 \h </w:instrText>
      </w:r>
      <w:r>
        <w:rPr>
          <w:sz w:val="24"/>
          <w:szCs w:val="24"/>
        </w:rPr>
        <w:fldChar w:fldCharType="separate"/>
      </w:r>
      <w:r>
        <w:rPr>
          <w:sz w:val="24"/>
          <w:szCs w:val="24"/>
        </w:rPr>
        <w:t>11</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0</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14．</w:t>
      </w:r>
      <w:r>
        <w:fldChar w:fldCharType="begin"/>
      </w:r>
      <w:r>
        <w:instrText xml:space="preserve"> HYPERLINK \l "_Toc25648320" </w:instrText>
      </w:r>
      <w:r>
        <w:fldChar w:fldCharType="separate"/>
      </w:r>
      <w:r>
        <w:rPr>
          <w:rStyle w:val="32"/>
          <w:rFonts w:hint="eastAsia"/>
          <w:color w:val="auto"/>
          <w:sz w:val="24"/>
          <w:szCs w:val="24"/>
        </w:rPr>
        <w:t>农业机械事故处理办法（农业部2011.1.12）</w:t>
      </w:r>
      <w:r>
        <w:rPr>
          <w:sz w:val="24"/>
          <w:szCs w:val="24"/>
        </w:rPr>
        <w:tab/>
      </w:r>
      <w:r>
        <w:rPr>
          <w:sz w:val="24"/>
          <w:szCs w:val="24"/>
        </w:rPr>
        <w:fldChar w:fldCharType="begin"/>
      </w:r>
      <w:r>
        <w:rPr>
          <w:sz w:val="24"/>
          <w:szCs w:val="24"/>
        </w:rPr>
        <w:instrText xml:space="preserve"> PAGEREF _Toc25648320 \h </w:instrText>
      </w:r>
      <w:r>
        <w:rPr>
          <w:sz w:val="24"/>
          <w:szCs w:val="24"/>
        </w:rPr>
        <w:fldChar w:fldCharType="separate"/>
      </w:r>
      <w:r>
        <w:rPr>
          <w:sz w:val="24"/>
          <w:szCs w:val="24"/>
        </w:rPr>
        <w:t>11</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4</w:t>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"_Toc25648321" </w:instrText>
      </w:r>
      <w:r>
        <w:fldChar w:fldCharType="separate"/>
      </w:r>
      <w:r>
        <w:rPr>
          <w:rStyle w:val="32"/>
          <w:rFonts w:hint="eastAsia"/>
          <w:color w:val="auto"/>
          <w:shd w:val="clear" w:color="auto" w:fill="FFFFFF"/>
        </w:rPr>
        <w:t>十四、农村管理</w:t>
      </w:r>
      <w:r>
        <w:rPr>
          <w:rStyle w:val="32"/>
          <w:rFonts w:hint="eastAsia"/>
          <w:color w:val="auto"/>
          <w:shd w:val="clear" w:color="auto" w:fill="FFFFFF"/>
        </w:rPr>
        <w:fldChar w:fldCharType="end"/>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1．</w:t>
      </w:r>
      <w:r>
        <w:fldChar w:fldCharType="begin"/>
      </w:r>
      <w:r>
        <w:instrText xml:space="preserve"> HYPERLINK \l "_Toc25648322" </w:instrText>
      </w:r>
      <w:r>
        <w:fldChar w:fldCharType="separate"/>
      </w:r>
      <w:r>
        <w:rPr>
          <w:rStyle w:val="32"/>
          <w:rFonts w:hint="eastAsia"/>
          <w:color w:val="auto"/>
          <w:sz w:val="24"/>
          <w:szCs w:val="24"/>
          <w:shd w:val="clear" w:color="auto" w:fill="FFFFFF"/>
        </w:rPr>
        <w:t>中国共产党农村工作条例（中共中央2019.8.19）</w:t>
      </w:r>
      <w:r>
        <w:rPr>
          <w:sz w:val="24"/>
          <w:szCs w:val="24"/>
        </w:rPr>
        <w:tab/>
      </w:r>
      <w:r>
        <w:rPr>
          <w:sz w:val="24"/>
          <w:szCs w:val="24"/>
        </w:rPr>
        <w:fldChar w:fldCharType="begin"/>
      </w:r>
      <w:r>
        <w:rPr>
          <w:sz w:val="24"/>
          <w:szCs w:val="24"/>
        </w:rPr>
        <w:instrText xml:space="preserve"> PAGEREF _Toc25648322 \h </w:instrText>
      </w:r>
      <w:r>
        <w:rPr>
          <w:sz w:val="24"/>
          <w:szCs w:val="24"/>
        </w:rPr>
        <w:fldChar w:fldCharType="separate"/>
      </w:r>
      <w:r>
        <w:rPr>
          <w:sz w:val="24"/>
          <w:szCs w:val="24"/>
        </w:rPr>
        <w:t>11</w:t>
      </w:r>
      <w:r>
        <w:rPr>
          <w:rFonts w:hint="eastAsia"/>
          <w:sz w:val="24"/>
          <w:szCs w:val="24"/>
          <w:lang w:val="en-US" w:eastAsia="zh-CN"/>
        </w:rPr>
        <w:t>7</w:t>
      </w:r>
      <w:r>
        <w:rPr>
          <w:sz w:val="24"/>
          <w:szCs w:val="24"/>
        </w:rPr>
        <w:fldChar w:fldCharType="end"/>
      </w:r>
      <w:r>
        <w:rPr>
          <w:sz w:val="24"/>
          <w:szCs w:val="24"/>
        </w:rPr>
        <w:fldChar w:fldCharType="end"/>
      </w:r>
      <w:r>
        <w:rPr>
          <w:rFonts w:hint="eastAsia"/>
          <w:sz w:val="24"/>
          <w:szCs w:val="24"/>
          <w:lang w:val="en-US" w:eastAsia="zh-CN"/>
        </w:rPr>
        <w:t>6</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2．</w:t>
      </w:r>
      <w:r>
        <w:fldChar w:fldCharType="begin"/>
      </w:r>
      <w:r>
        <w:instrText xml:space="preserve"> HYPERLINK \l "_Toc25648323" </w:instrText>
      </w:r>
      <w:r>
        <w:fldChar w:fldCharType="separate"/>
      </w:r>
      <w:r>
        <w:rPr>
          <w:rStyle w:val="32"/>
          <w:rFonts w:hint="eastAsia"/>
          <w:color w:val="auto"/>
          <w:sz w:val="24"/>
          <w:szCs w:val="24"/>
          <w:shd w:val="clear" w:color="auto" w:fill="FFFFFF"/>
        </w:rPr>
        <w:t>中国共产党农村基层组织工作条例（中共中央2018.12.28）</w:t>
      </w:r>
      <w:r>
        <w:rPr>
          <w:sz w:val="24"/>
          <w:szCs w:val="24"/>
        </w:rPr>
        <w:tab/>
      </w:r>
      <w:r>
        <w:rPr>
          <w:sz w:val="24"/>
          <w:szCs w:val="24"/>
        </w:rPr>
        <w:fldChar w:fldCharType="begin"/>
      </w:r>
      <w:r>
        <w:rPr>
          <w:sz w:val="24"/>
          <w:szCs w:val="24"/>
        </w:rPr>
        <w:instrText xml:space="preserve"> PAGEREF _Toc25648323 \h </w:instrText>
      </w:r>
      <w:r>
        <w:rPr>
          <w:sz w:val="24"/>
          <w:szCs w:val="24"/>
        </w:rPr>
        <w:fldChar w:fldCharType="separate"/>
      </w:r>
      <w:r>
        <w:rPr>
          <w:sz w:val="24"/>
          <w:szCs w:val="24"/>
        </w:rPr>
        <w:t>11</w:t>
      </w:r>
      <w:r>
        <w:rPr>
          <w:rFonts w:hint="eastAsia"/>
          <w:sz w:val="24"/>
          <w:szCs w:val="24"/>
          <w:lang w:val="en-US" w:eastAsia="zh-CN"/>
        </w:rPr>
        <w:t>8</w:t>
      </w:r>
      <w:r>
        <w:rPr>
          <w:sz w:val="24"/>
          <w:szCs w:val="24"/>
        </w:rPr>
        <w:fldChar w:fldCharType="end"/>
      </w:r>
      <w:r>
        <w:rPr>
          <w:sz w:val="24"/>
          <w:szCs w:val="24"/>
        </w:rPr>
        <w:fldChar w:fldCharType="end"/>
      </w:r>
      <w:r>
        <w:rPr>
          <w:rFonts w:hint="eastAsia"/>
          <w:sz w:val="24"/>
          <w:szCs w:val="24"/>
          <w:lang w:val="en-US" w:eastAsia="zh-CN"/>
        </w:rPr>
        <w:t>2</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"_Toc25648324" </w:instrText>
      </w:r>
      <w:r>
        <w:fldChar w:fldCharType="separate"/>
      </w:r>
      <w:r>
        <w:rPr>
          <w:rStyle w:val="32"/>
          <w:rFonts w:hint="eastAsia"/>
          <w:color w:val="auto"/>
          <w:sz w:val="24"/>
          <w:szCs w:val="24"/>
          <w:shd w:val="clear" w:color="auto" w:fill="FFFFFF"/>
        </w:rPr>
        <w:t>中华人民共和国村民委员会组织法（2018.12.29修订）</w:t>
      </w:r>
      <w:r>
        <w:rPr>
          <w:sz w:val="24"/>
          <w:szCs w:val="24"/>
        </w:rPr>
        <w:tab/>
      </w:r>
      <w:r>
        <w:rPr>
          <w:sz w:val="24"/>
          <w:szCs w:val="24"/>
        </w:rPr>
        <w:fldChar w:fldCharType="begin"/>
      </w:r>
      <w:r>
        <w:rPr>
          <w:sz w:val="24"/>
          <w:szCs w:val="24"/>
        </w:rPr>
        <w:instrText xml:space="preserve"> PAGEREF _Toc25648324 \h </w:instrText>
      </w:r>
      <w:r>
        <w:rPr>
          <w:sz w:val="24"/>
          <w:szCs w:val="24"/>
        </w:rPr>
        <w:fldChar w:fldCharType="separate"/>
      </w:r>
      <w:r>
        <w:rPr>
          <w:sz w:val="24"/>
          <w:szCs w:val="24"/>
        </w:rPr>
        <w:t>11</w:t>
      </w:r>
      <w:r>
        <w:rPr>
          <w:rFonts w:hint="eastAsia"/>
          <w:sz w:val="24"/>
          <w:szCs w:val="24"/>
          <w:lang w:val="en-US" w:eastAsia="zh-CN"/>
        </w:rPr>
        <w:t>9</w:t>
      </w:r>
      <w:r>
        <w:rPr>
          <w:sz w:val="24"/>
          <w:szCs w:val="24"/>
        </w:rPr>
        <w:fldChar w:fldCharType="end"/>
      </w:r>
      <w:r>
        <w:rPr>
          <w:sz w:val="24"/>
          <w:szCs w:val="24"/>
        </w:rPr>
        <w:fldChar w:fldCharType="end"/>
      </w:r>
      <w:r>
        <w:rPr>
          <w:rFonts w:hint="eastAsia"/>
          <w:sz w:val="24"/>
          <w:szCs w:val="24"/>
          <w:lang w:val="en-US" w:eastAsia="zh-CN"/>
        </w:rPr>
        <w:t>1</w:t>
      </w:r>
    </w:p>
    <w:p>
      <w:pPr>
        <w:pStyle w:val="23"/>
        <w:tabs>
          <w:tab w:val="right" w:leader="dot" w:pos="8820"/>
          <w:tab w:val="clear" w:pos="8494"/>
        </w:tabs>
        <w:ind w:left="360" w:hanging="360" w:hangingChars="150"/>
      </w:pPr>
      <w:r>
        <w:rPr>
          <w:rStyle w:val="32"/>
          <w:rFonts w:hint="eastAsia"/>
          <w:color w:val="auto"/>
          <w:sz w:val="24"/>
          <w:szCs w:val="24"/>
        </w:rPr>
        <w:t>4．</w:t>
      </w:r>
      <w:r>
        <w:fldChar w:fldCharType="begin"/>
      </w:r>
      <w:r>
        <w:instrText xml:space="preserve"> HYPERLINK \l "_Toc25648325" </w:instrText>
      </w:r>
      <w:r>
        <w:fldChar w:fldCharType="separate"/>
      </w:r>
      <w:r>
        <w:rPr>
          <w:rStyle w:val="32"/>
          <w:rFonts w:hint="eastAsia"/>
          <w:color w:val="auto"/>
          <w:sz w:val="24"/>
          <w:szCs w:val="24"/>
        </w:rPr>
        <w:t>北京市实施《中华人民共和国村民委员会组织法》的若干规定</w:t>
      </w:r>
      <w:r>
        <w:rPr>
          <w:rStyle w:val="32"/>
          <w:color w:val="auto"/>
          <w:sz w:val="24"/>
          <w:szCs w:val="24"/>
        </w:rPr>
        <w:br w:type="textWrapping"/>
      </w:r>
      <w:r>
        <w:rPr>
          <w:rStyle w:val="32"/>
          <w:rFonts w:hint="eastAsia"/>
          <w:color w:val="auto"/>
          <w:sz w:val="24"/>
          <w:szCs w:val="24"/>
        </w:rPr>
        <w:t>（市人大2012.9.28修订）</w:t>
      </w:r>
      <w:r>
        <w:rPr>
          <w:sz w:val="24"/>
          <w:szCs w:val="24"/>
        </w:rPr>
        <w:tab/>
      </w:r>
      <w:r>
        <w:rPr>
          <w:sz w:val="24"/>
          <w:szCs w:val="24"/>
        </w:rPr>
        <w:fldChar w:fldCharType="begin"/>
      </w:r>
      <w:r>
        <w:rPr>
          <w:sz w:val="24"/>
          <w:szCs w:val="24"/>
        </w:rPr>
        <w:instrText xml:space="preserve"> PAGEREF _Toc25648325 \h </w:instrText>
      </w:r>
      <w:r>
        <w:rPr>
          <w:sz w:val="24"/>
          <w:szCs w:val="24"/>
        </w:rPr>
        <w:fldChar w:fldCharType="separate"/>
      </w:r>
      <w:r>
        <w:rPr>
          <w:sz w:val="24"/>
          <w:szCs w:val="24"/>
        </w:rPr>
        <w:t>11</w:t>
      </w:r>
      <w:r>
        <w:rPr>
          <w:rFonts w:hint="eastAsia"/>
          <w:sz w:val="24"/>
          <w:szCs w:val="24"/>
          <w:lang w:val="en-US" w:eastAsia="zh-CN"/>
        </w:rPr>
        <w:t>9</w:t>
      </w:r>
      <w:r>
        <w:rPr>
          <w:sz w:val="24"/>
          <w:szCs w:val="24"/>
        </w:rPr>
        <w:fldChar w:fldCharType="end"/>
      </w:r>
      <w:r>
        <w:rPr>
          <w:sz w:val="24"/>
          <w:szCs w:val="24"/>
        </w:rPr>
        <w:fldChar w:fldCharType="end"/>
      </w:r>
      <w:r>
        <w:rPr>
          <w:rFonts w:hint="eastAsia"/>
          <w:sz w:val="24"/>
          <w:szCs w:val="24"/>
          <w:lang w:val="en-US" w:eastAsia="zh-CN"/>
        </w:rPr>
        <w:t>8</w:t>
      </w:r>
    </w:p>
    <w:p>
      <w:pPr>
        <w:pStyle w:val="23"/>
        <w:tabs>
          <w:tab w:val="right" w:leader="dot" w:pos="8820"/>
          <w:tab w:val="clear" w:pos="8494"/>
        </w:tabs>
        <w:rPr>
          <w:rStyle w:val="32"/>
          <w:color w:val="auto"/>
          <w:sz w:val="24"/>
          <w:szCs w:val="24"/>
        </w:rPr>
      </w:pPr>
      <w:r>
        <w:rPr>
          <w:rStyle w:val="32"/>
          <w:rFonts w:hint="eastAsia"/>
          <w:color w:val="auto"/>
          <w:sz w:val="24"/>
          <w:szCs w:val="24"/>
        </w:rPr>
        <w:t>5．</w:t>
      </w:r>
      <w:r>
        <w:fldChar w:fldCharType="begin"/>
      </w:r>
      <w:r>
        <w:instrText xml:space="preserve"> HYPERLINK \l "_Toc28252313" </w:instrText>
      </w:r>
      <w:r>
        <w:fldChar w:fldCharType="separate"/>
      </w:r>
      <w:r>
        <w:rPr>
          <w:rStyle w:val="32"/>
          <w:rFonts w:hint="eastAsia"/>
          <w:color w:val="auto"/>
          <w:sz w:val="24"/>
          <w:szCs w:val="24"/>
        </w:rPr>
        <w:t>北京市村民委员会选举办法（市人大2019.11.27修订）</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_Toc28252313 \h </w:instrText>
      </w:r>
      <w:r>
        <w:rPr>
          <w:rStyle w:val="32"/>
          <w:color w:val="auto"/>
          <w:sz w:val="24"/>
          <w:szCs w:val="24"/>
        </w:rPr>
        <w:fldChar w:fldCharType="separate"/>
      </w:r>
      <w:r>
        <w:rPr>
          <w:rStyle w:val="32"/>
          <w:color w:val="auto"/>
          <w:sz w:val="24"/>
          <w:szCs w:val="24"/>
        </w:rPr>
        <w:t>1</w:t>
      </w:r>
      <w:r>
        <w:rPr>
          <w:rStyle w:val="32"/>
          <w:rFonts w:hint="eastAsia"/>
          <w:color w:val="auto"/>
          <w:sz w:val="24"/>
          <w:szCs w:val="24"/>
          <w:lang w:val="en-US" w:eastAsia="zh-CN"/>
        </w:rPr>
        <w:t>2</w:t>
      </w:r>
      <w:r>
        <w:rPr>
          <w:rStyle w:val="32"/>
          <w:color w:val="auto"/>
          <w:sz w:val="24"/>
          <w:szCs w:val="24"/>
        </w:rPr>
        <w:fldChar w:fldCharType="end"/>
      </w:r>
      <w:r>
        <w:rPr>
          <w:rStyle w:val="32"/>
          <w:color w:val="auto"/>
          <w:sz w:val="24"/>
          <w:szCs w:val="24"/>
        </w:rPr>
        <w:fldChar w:fldCharType="end"/>
      </w:r>
      <w:r>
        <w:rPr>
          <w:rStyle w:val="32"/>
          <w:rFonts w:hint="eastAsia"/>
          <w:color w:val="auto"/>
          <w:sz w:val="24"/>
          <w:szCs w:val="24"/>
          <w:lang w:val="en-US" w:eastAsia="zh-CN"/>
        </w:rPr>
        <w:t>04</w:t>
      </w:r>
    </w:p>
    <w:p>
      <w:pPr>
        <w:pStyle w:val="19"/>
        <w:tabs>
          <w:tab w:val="right" w:leader="dot" w:pos="8820"/>
          <w:tab w:val="clear" w:pos="8494"/>
        </w:tabs>
        <w:rPr>
          <w:rFonts w:asciiTheme="minorHAnsi" w:hAnsiTheme="minorHAnsi" w:eastAsiaTheme="minorEastAsia" w:cstheme="minorBidi"/>
          <w:sz w:val="21"/>
          <w:szCs w:val="22"/>
        </w:rPr>
      </w:pPr>
      <w:r>
        <w:fldChar w:fldCharType="begin"/>
      </w:r>
      <w:r>
        <w:instrText xml:space="preserve"> HYPERLINK \l "_Toc25648326" </w:instrText>
      </w:r>
      <w:r>
        <w:fldChar w:fldCharType="separate"/>
      </w:r>
      <w:r>
        <w:rPr>
          <w:rStyle w:val="32"/>
          <w:rFonts w:hint="eastAsia"/>
          <w:color w:val="auto"/>
        </w:rPr>
        <w:t>十五、其他</w:t>
      </w:r>
      <w:r>
        <w:rPr>
          <w:rStyle w:val="32"/>
          <w:rFonts w:hint="eastAsia"/>
          <w:color w:val="auto"/>
        </w:rPr>
        <w:fldChar w:fldCharType="end"/>
      </w:r>
    </w:p>
    <w:p>
      <w:pPr>
        <w:pStyle w:val="23"/>
        <w:tabs>
          <w:tab w:val="right" w:leader="dot" w:pos="8820"/>
          <w:tab w:val="clear" w:pos="8494"/>
        </w:tabs>
      </w:pPr>
      <w:r>
        <w:rPr>
          <w:rStyle w:val="32"/>
          <w:rFonts w:hint="eastAsia"/>
          <w:color w:val="auto"/>
          <w:sz w:val="24"/>
          <w:szCs w:val="24"/>
        </w:rPr>
        <w:t>1．</w:t>
      </w:r>
      <w:r>
        <w:fldChar w:fldCharType="begin"/>
      </w:r>
      <w:r>
        <w:instrText xml:space="preserve"> HYPERLINK \l "_Toc25648327" </w:instrText>
      </w:r>
      <w:r>
        <w:fldChar w:fldCharType="separate"/>
      </w:r>
      <w:r>
        <w:rPr>
          <w:rStyle w:val="32"/>
          <w:rFonts w:hint="eastAsia"/>
          <w:color w:val="auto"/>
          <w:sz w:val="24"/>
          <w:szCs w:val="24"/>
        </w:rPr>
        <w:t>中华人民共和国水污染防治法（2017.6.27修订）</w:t>
      </w:r>
      <w:r>
        <w:rPr>
          <w:sz w:val="24"/>
          <w:szCs w:val="24"/>
        </w:rPr>
        <w:tab/>
      </w:r>
      <w:r>
        <w:rPr>
          <w:sz w:val="24"/>
          <w:szCs w:val="24"/>
        </w:rPr>
        <w:fldChar w:fldCharType="begin"/>
      </w:r>
      <w:r>
        <w:rPr>
          <w:sz w:val="24"/>
          <w:szCs w:val="24"/>
        </w:rPr>
        <w:instrText xml:space="preserve"> PAGEREF _Toc25648327 \h </w:instrText>
      </w:r>
      <w:r>
        <w:rPr>
          <w:sz w:val="24"/>
          <w:szCs w:val="24"/>
        </w:rPr>
        <w:fldChar w:fldCharType="separate"/>
      </w:r>
      <w:r>
        <w:rPr>
          <w:sz w:val="24"/>
          <w:szCs w:val="24"/>
        </w:rPr>
        <w:t>12</w:t>
      </w:r>
      <w:r>
        <w:rPr>
          <w:rFonts w:hint="eastAsia"/>
          <w:sz w:val="24"/>
          <w:szCs w:val="24"/>
          <w:lang w:val="en-US" w:eastAsia="zh-CN"/>
        </w:rPr>
        <w:t>1</w:t>
      </w:r>
      <w:r>
        <w:rPr>
          <w:sz w:val="24"/>
          <w:szCs w:val="24"/>
        </w:rPr>
        <w:fldChar w:fldCharType="end"/>
      </w:r>
      <w:r>
        <w:rPr>
          <w:sz w:val="24"/>
          <w:szCs w:val="24"/>
        </w:rPr>
        <w:fldChar w:fldCharType="end"/>
      </w:r>
      <w:r>
        <w:rPr>
          <w:rFonts w:hint="eastAsia"/>
          <w:sz w:val="24"/>
          <w:szCs w:val="24"/>
          <w:lang w:val="en-US" w:eastAsia="zh-CN"/>
        </w:rPr>
        <w:t>4</w:t>
      </w:r>
    </w:p>
    <w:p>
      <w:pPr>
        <w:pStyle w:val="23"/>
        <w:tabs>
          <w:tab w:val="right" w:leader="dot" w:pos="8820"/>
          <w:tab w:val="clear" w:pos="8494"/>
        </w:tabs>
        <w:rPr>
          <w:rStyle w:val="32"/>
          <w:color w:val="auto"/>
          <w:sz w:val="24"/>
          <w:szCs w:val="24"/>
        </w:rPr>
      </w:pPr>
      <w:r>
        <w:rPr>
          <w:rStyle w:val="32"/>
          <w:rFonts w:hint="eastAsia"/>
          <w:color w:val="auto"/>
          <w:sz w:val="24"/>
          <w:szCs w:val="24"/>
        </w:rPr>
        <w:t>2．</w:t>
      </w:r>
      <w:r>
        <w:fldChar w:fldCharType="begin"/>
      </w:r>
      <w:r>
        <w:instrText xml:space="preserve"> HYPERLINK \l "_Toc28157103" </w:instrText>
      </w:r>
      <w:r>
        <w:fldChar w:fldCharType="separate"/>
      </w:r>
      <w:r>
        <w:rPr>
          <w:rStyle w:val="32"/>
          <w:rFonts w:hint="eastAsia"/>
          <w:color w:val="auto"/>
          <w:sz w:val="24"/>
          <w:szCs w:val="24"/>
        </w:rPr>
        <w:t>北京市水污染防治条例（市人大2019.11.27修订）</w:t>
      </w:r>
      <w:r>
        <w:rPr>
          <w:rStyle w:val="32"/>
          <w:rFonts w:hint="eastAsia"/>
          <w:color w:val="auto"/>
          <w:sz w:val="24"/>
          <w:szCs w:val="24"/>
        </w:rPr>
        <w:tab/>
      </w:r>
      <w:r>
        <w:rPr>
          <w:rStyle w:val="32"/>
          <w:color w:val="auto"/>
          <w:sz w:val="24"/>
          <w:szCs w:val="24"/>
        </w:rPr>
        <w:fldChar w:fldCharType="begin"/>
      </w:r>
      <w:r>
        <w:rPr>
          <w:rStyle w:val="32"/>
          <w:color w:val="auto"/>
          <w:sz w:val="24"/>
          <w:szCs w:val="24"/>
        </w:rPr>
        <w:instrText xml:space="preserve"> PAGEREF _Toc28157103 \h </w:instrText>
      </w:r>
      <w:r>
        <w:rPr>
          <w:rStyle w:val="32"/>
          <w:color w:val="auto"/>
          <w:sz w:val="24"/>
          <w:szCs w:val="24"/>
        </w:rPr>
        <w:fldChar w:fldCharType="separate"/>
      </w:r>
      <w:r>
        <w:rPr>
          <w:rStyle w:val="32"/>
          <w:color w:val="auto"/>
          <w:sz w:val="24"/>
          <w:szCs w:val="24"/>
        </w:rPr>
        <w:t>12</w:t>
      </w:r>
      <w:r>
        <w:rPr>
          <w:rStyle w:val="32"/>
          <w:rFonts w:hint="eastAsia"/>
          <w:color w:val="auto"/>
          <w:sz w:val="24"/>
          <w:szCs w:val="24"/>
          <w:lang w:val="en-US" w:eastAsia="zh-CN"/>
        </w:rPr>
        <w:t>3</w:t>
      </w:r>
      <w:r>
        <w:rPr>
          <w:rStyle w:val="32"/>
          <w:color w:val="auto"/>
          <w:sz w:val="24"/>
          <w:szCs w:val="24"/>
        </w:rPr>
        <w:fldChar w:fldCharType="end"/>
      </w:r>
      <w:r>
        <w:rPr>
          <w:rStyle w:val="32"/>
          <w:color w:val="auto"/>
          <w:sz w:val="24"/>
          <w:szCs w:val="24"/>
        </w:rPr>
        <w:fldChar w:fldCharType="end"/>
      </w:r>
      <w:r>
        <w:rPr>
          <w:rStyle w:val="32"/>
          <w:rFonts w:hint="eastAsia"/>
          <w:color w:val="auto"/>
          <w:sz w:val="24"/>
          <w:szCs w:val="24"/>
          <w:lang w:val="en-US" w:eastAsia="zh-CN"/>
        </w:rPr>
        <w:t>1</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3．</w:t>
      </w:r>
      <w:r>
        <w:fldChar w:fldCharType="begin"/>
      </w:r>
      <w:r>
        <w:instrText xml:space="preserve"> HYPERLINK \l "_Toc25648328" </w:instrText>
      </w:r>
      <w:r>
        <w:fldChar w:fldCharType="separate"/>
      </w:r>
      <w:r>
        <w:rPr>
          <w:rStyle w:val="32"/>
          <w:rFonts w:hint="eastAsia"/>
          <w:color w:val="auto"/>
          <w:sz w:val="24"/>
          <w:szCs w:val="24"/>
        </w:rPr>
        <w:t>中华人民共和国环境保护法（2014.4.24修订）</w:t>
      </w:r>
      <w:r>
        <w:rPr>
          <w:sz w:val="24"/>
          <w:szCs w:val="24"/>
        </w:rPr>
        <w:tab/>
      </w:r>
      <w:r>
        <w:rPr>
          <w:sz w:val="24"/>
          <w:szCs w:val="24"/>
        </w:rPr>
        <w:fldChar w:fldCharType="begin"/>
      </w:r>
      <w:r>
        <w:rPr>
          <w:sz w:val="24"/>
          <w:szCs w:val="24"/>
        </w:rPr>
        <w:instrText xml:space="preserve"> PAGEREF _Toc25648328 \h </w:instrText>
      </w:r>
      <w:r>
        <w:rPr>
          <w:sz w:val="24"/>
          <w:szCs w:val="24"/>
        </w:rPr>
        <w:fldChar w:fldCharType="separate"/>
      </w:r>
      <w:r>
        <w:rPr>
          <w:sz w:val="24"/>
          <w:szCs w:val="24"/>
        </w:rPr>
        <w:t>12</w:t>
      </w:r>
      <w:r>
        <w:rPr>
          <w:rFonts w:hint="eastAsia"/>
          <w:sz w:val="24"/>
          <w:szCs w:val="24"/>
          <w:lang w:val="en-US" w:eastAsia="zh-CN"/>
        </w:rPr>
        <w:t>4</w:t>
      </w:r>
      <w:r>
        <w:rPr>
          <w:sz w:val="24"/>
          <w:szCs w:val="24"/>
        </w:rPr>
        <w:fldChar w:fldCharType="end"/>
      </w:r>
      <w:r>
        <w:rPr>
          <w:sz w:val="24"/>
          <w:szCs w:val="24"/>
        </w:rPr>
        <w:fldChar w:fldCharType="end"/>
      </w:r>
      <w:r>
        <w:rPr>
          <w:rFonts w:hint="eastAsia"/>
          <w:sz w:val="24"/>
          <w:szCs w:val="24"/>
          <w:lang w:val="en-US" w:eastAsia="zh-CN"/>
        </w:rPr>
        <w:t>5</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4．</w:t>
      </w:r>
      <w:r>
        <w:fldChar w:fldCharType="begin"/>
      </w:r>
      <w:r>
        <w:instrText xml:space="preserve"> HYPERLINK \l "_Toc25648329" </w:instrText>
      </w:r>
      <w:r>
        <w:fldChar w:fldCharType="separate"/>
      </w:r>
      <w:r>
        <w:rPr>
          <w:rStyle w:val="32"/>
          <w:rFonts w:hint="eastAsia"/>
          <w:color w:val="auto"/>
          <w:sz w:val="24"/>
          <w:szCs w:val="24"/>
        </w:rPr>
        <w:t>中华人民共和国政府信息公开条例（国务院2019.4.3修订）</w:t>
      </w:r>
      <w:r>
        <w:rPr>
          <w:sz w:val="24"/>
          <w:szCs w:val="24"/>
        </w:rPr>
        <w:tab/>
      </w:r>
      <w:r>
        <w:rPr>
          <w:sz w:val="24"/>
          <w:szCs w:val="24"/>
        </w:rPr>
        <w:fldChar w:fldCharType="begin"/>
      </w:r>
      <w:r>
        <w:rPr>
          <w:sz w:val="24"/>
          <w:szCs w:val="24"/>
        </w:rPr>
        <w:instrText xml:space="preserve"> PAGEREF _Toc25648329 \h </w:instrText>
      </w:r>
      <w:r>
        <w:rPr>
          <w:sz w:val="24"/>
          <w:szCs w:val="24"/>
        </w:rPr>
        <w:fldChar w:fldCharType="separate"/>
      </w:r>
      <w:r>
        <w:rPr>
          <w:sz w:val="24"/>
          <w:szCs w:val="24"/>
        </w:rPr>
        <w:t>12</w:t>
      </w:r>
      <w:r>
        <w:rPr>
          <w:rFonts w:hint="eastAsia"/>
          <w:sz w:val="24"/>
          <w:szCs w:val="24"/>
          <w:lang w:val="en-US" w:eastAsia="zh-CN"/>
        </w:rPr>
        <w:t>5</w:t>
      </w:r>
      <w:r>
        <w:rPr>
          <w:sz w:val="24"/>
          <w:szCs w:val="24"/>
        </w:rPr>
        <w:fldChar w:fldCharType="end"/>
      </w:r>
      <w:r>
        <w:rPr>
          <w:sz w:val="24"/>
          <w:szCs w:val="24"/>
        </w:rPr>
        <w:fldChar w:fldCharType="end"/>
      </w:r>
      <w:r>
        <w:rPr>
          <w:rFonts w:hint="eastAsia"/>
          <w:sz w:val="24"/>
          <w:szCs w:val="24"/>
          <w:lang w:val="en-US" w:eastAsia="zh-CN"/>
        </w:rPr>
        <w:t>5</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5．</w:t>
      </w:r>
      <w:r>
        <w:fldChar w:fldCharType="begin"/>
      </w:r>
      <w:r>
        <w:instrText xml:space="preserve"> HYPERLINK \l "_Toc25648330" </w:instrText>
      </w:r>
      <w:r>
        <w:fldChar w:fldCharType="separate"/>
      </w:r>
      <w:r>
        <w:rPr>
          <w:rStyle w:val="32"/>
          <w:rFonts w:hint="eastAsia"/>
          <w:color w:val="auto"/>
          <w:sz w:val="24"/>
          <w:szCs w:val="24"/>
        </w:rPr>
        <w:t>北京市政府信息公开规定（2014.6.23）</w:t>
      </w:r>
      <w:r>
        <w:rPr>
          <w:sz w:val="24"/>
          <w:szCs w:val="24"/>
        </w:rPr>
        <w:tab/>
      </w:r>
      <w:r>
        <w:rPr>
          <w:sz w:val="24"/>
          <w:szCs w:val="24"/>
        </w:rPr>
        <w:fldChar w:fldCharType="begin"/>
      </w:r>
      <w:r>
        <w:rPr>
          <w:sz w:val="24"/>
          <w:szCs w:val="24"/>
        </w:rPr>
        <w:instrText xml:space="preserve"> PAGEREF _Toc25648330 \h </w:instrText>
      </w:r>
      <w:r>
        <w:rPr>
          <w:sz w:val="24"/>
          <w:szCs w:val="24"/>
        </w:rPr>
        <w:fldChar w:fldCharType="separate"/>
      </w:r>
      <w:r>
        <w:rPr>
          <w:sz w:val="24"/>
          <w:szCs w:val="24"/>
        </w:rPr>
        <w:t>12</w:t>
      </w:r>
      <w:r>
        <w:rPr>
          <w:rFonts w:hint="eastAsia"/>
          <w:sz w:val="24"/>
          <w:szCs w:val="24"/>
          <w:lang w:val="en-US" w:eastAsia="zh-CN"/>
        </w:rPr>
        <w:t>6</w:t>
      </w:r>
      <w:r>
        <w:rPr>
          <w:sz w:val="24"/>
          <w:szCs w:val="24"/>
        </w:rPr>
        <w:fldChar w:fldCharType="end"/>
      </w:r>
      <w:r>
        <w:rPr>
          <w:sz w:val="24"/>
          <w:szCs w:val="24"/>
        </w:rPr>
        <w:fldChar w:fldCharType="end"/>
      </w:r>
      <w:r>
        <w:rPr>
          <w:rFonts w:hint="eastAsia"/>
          <w:sz w:val="24"/>
          <w:szCs w:val="24"/>
          <w:lang w:val="en-US" w:eastAsia="zh-CN"/>
        </w:rPr>
        <w:t>4</w:t>
      </w:r>
    </w:p>
    <w:p>
      <w:pPr>
        <w:pStyle w:val="23"/>
        <w:tabs>
          <w:tab w:val="right" w:leader="dot" w:pos="8820"/>
          <w:tab w:val="clear" w:pos="8494"/>
        </w:tabs>
        <w:rPr>
          <w:rFonts w:asciiTheme="minorHAnsi" w:hAnsiTheme="minorHAnsi" w:eastAsiaTheme="minorEastAsia" w:cstheme="minorBidi"/>
          <w:sz w:val="24"/>
          <w:szCs w:val="24"/>
        </w:rPr>
      </w:pPr>
      <w:r>
        <w:rPr>
          <w:rStyle w:val="32"/>
          <w:rFonts w:hint="eastAsia"/>
          <w:color w:val="auto"/>
          <w:sz w:val="24"/>
          <w:szCs w:val="24"/>
        </w:rPr>
        <w:t>6．</w:t>
      </w:r>
      <w:r>
        <w:fldChar w:fldCharType="begin"/>
      </w:r>
      <w:r>
        <w:instrText xml:space="preserve"> HYPERLINK \l "_Toc25648331" </w:instrText>
      </w:r>
      <w:r>
        <w:fldChar w:fldCharType="separate"/>
      </w:r>
      <w:r>
        <w:rPr>
          <w:rStyle w:val="32"/>
          <w:rFonts w:hint="eastAsia"/>
          <w:color w:val="auto"/>
          <w:sz w:val="24"/>
          <w:szCs w:val="24"/>
        </w:rPr>
        <w:t>北京市行政调解办法（市政府2015.6.1）</w:t>
      </w:r>
      <w:r>
        <w:rPr>
          <w:sz w:val="24"/>
          <w:szCs w:val="24"/>
        </w:rPr>
        <w:tab/>
      </w:r>
      <w:r>
        <w:rPr>
          <w:sz w:val="24"/>
          <w:szCs w:val="24"/>
        </w:rPr>
        <w:fldChar w:fldCharType="begin"/>
      </w:r>
      <w:r>
        <w:rPr>
          <w:sz w:val="24"/>
          <w:szCs w:val="24"/>
        </w:rPr>
        <w:instrText xml:space="preserve"> PAGEREF _Toc25648331 \h </w:instrText>
      </w:r>
      <w:r>
        <w:rPr>
          <w:sz w:val="24"/>
          <w:szCs w:val="24"/>
        </w:rPr>
        <w:fldChar w:fldCharType="separate"/>
      </w:r>
      <w:r>
        <w:rPr>
          <w:sz w:val="24"/>
          <w:szCs w:val="24"/>
        </w:rPr>
        <w:t>12</w:t>
      </w:r>
      <w:r>
        <w:rPr>
          <w:rFonts w:hint="eastAsia"/>
          <w:sz w:val="24"/>
          <w:szCs w:val="24"/>
          <w:lang w:val="en-US" w:eastAsia="zh-CN"/>
        </w:rPr>
        <w:t>7</w:t>
      </w:r>
      <w:r>
        <w:rPr>
          <w:sz w:val="24"/>
          <w:szCs w:val="24"/>
        </w:rPr>
        <w:fldChar w:fldCharType="end"/>
      </w:r>
      <w:r>
        <w:rPr>
          <w:sz w:val="24"/>
          <w:szCs w:val="24"/>
        </w:rPr>
        <w:fldChar w:fldCharType="end"/>
      </w:r>
      <w:r>
        <w:rPr>
          <w:rFonts w:hint="eastAsia"/>
          <w:sz w:val="24"/>
          <w:szCs w:val="24"/>
          <w:lang w:val="en-US" w:eastAsia="zh-CN"/>
        </w:rPr>
        <w:t>2</w:t>
      </w:r>
    </w:p>
    <w:p>
      <w:pPr>
        <w:pStyle w:val="3"/>
        <w:tabs>
          <w:tab w:val="right" w:leader="dot" w:pos="8820"/>
        </w:tabs>
        <w:spacing w:line="416" w:lineRule="exact"/>
        <w:ind w:firstLine="0" w:firstLineChars="0"/>
      </w:pPr>
      <w:r>
        <w:rPr>
          <w:sz w:val="24"/>
          <w:szCs w:val="24"/>
        </w:rPr>
        <w:fldChar w:fldCharType="end"/>
      </w:r>
    </w:p>
    <w:p>
      <w:pPr>
        <w:pStyle w:val="3"/>
      </w:pPr>
    </w:p>
    <w:p>
      <w:pPr>
        <w:pStyle w:val="3"/>
        <w:topLinePunct/>
        <w:spacing w:line="416" w:lineRule="exact"/>
        <w:ind w:firstLine="480"/>
        <w:rPr>
          <w:rFonts w:asciiTheme="minorEastAsia" w:hAnsiTheme="minorEastAsia" w:eastAsiaTheme="minorEastAsia"/>
          <w:sz w:val="24"/>
          <w:szCs w:val="24"/>
        </w:rPr>
        <w:sectPr>
          <w:headerReference r:id="rId11" w:type="default"/>
          <w:footerReference r:id="rId13" w:type="default"/>
          <w:headerReference r:id="rId12" w:type="even"/>
          <w:footerReference r:id="rId14" w:type="even"/>
          <w:pgSz w:w="12247" w:h="17180"/>
          <w:pgMar w:top="1814" w:right="1701" w:bottom="1701" w:left="1701" w:header="851" w:footer="1134" w:gutter="0"/>
          <w:pgNumType w:start="1"/>
          <w:cols w:space="425" w:num="1"/>
          <w:docGrid w:type="lines" w:linePitch="312" w:charSpace="0"/>
        </w:sectPr>
      </w:pPr>
    </w:p>
    <w:bookmarkEnd w:id="1"/>
    <w:bookmarkEnd w:id="2"/>
    <w:bookmarkEnd w:id="3"/>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60"/>
      </w:pPr>
      <w:bookmarkStart w:id="10" w:name="_Toc25595036"/>
      <w:bookmarkStart w:id="11" w:name="_Toc25648143"/>
      <w:bookmarkStart w:id="12" w:name="_Toc25653638"/>
      <w:bookmarkStart w:id="13" w:name="_Toc28252124"/>
      <w:r>
        <w:rPr>
          <w:rFonts w:hint="eastAsia"/>
        </w:rPr>
        <w:t>一、</w:t>
      </w:r>
      <w:bookmarkEnd w:id="10"/>
      <w:bookmarkEnd w:id="11"/>
      <w:bookmarkEnd w:id="12"/>
      <w:r>
        <w:rPr>
          <w:rFonts w:hint="eastAsia"/>
        </w:rPr>
        <w:t>行政执法</w:t>
      </w:r>
      <w:bookmarkEnd w:id="13"/>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0" w:firstLineChars="200"/>
        <w:jc w:val="both"/>
        <w:rPr>
          <w:rFonts w:asciiTheme="minorEastAsia" w:hAnsiTheme="minorEastAsia" w:eastAsiaTheme="minorEastAsia"/>
          <w:b w:val="0"/>
          <w:sz w:val="24"/>
          <w:szCs w:val="24"/>
        </w:rPr>
      </w:pPr>
      <w:bookmarkStart w:id="14" w:name="_Toc466579790"/>
      <w:bookmarkStart w:id="15" w:name="_Toc25394573"/>
      <w:bookmarkStart w:id="16" w:name="_Toc6722"/>
    </w:p>
    <w:p>
      <w:pPr>
        <w:pStyle w:val="61"/>
        <w:rPr>
          <w:b/>
        </w:rPr>
      </w:pPr>
      <w:bookmarkStart w:id="17" w:name="_Toc25653639"/>
      <w:bookmarkStart w:id="18" w:name="_Toc26347906"/>
      <w:bookmarkStart w:id="19" w:name="_Toc25648144"/>
      <w:bookmarkStart w:id="20" w:name="_Toc28156928"/>
      <w:bookmarkStart w:id="21" w:name="_Toc28250855"/>
      <w:bookmarkStart w:id="22" w:name="_Toc28252125"/>
      <w:r>
        <w:t>中华人民共和国行政处罚法</w:t>
      </w:r>
      <w:bookmarkEnd w:id="14"/>
      <w:bookmarkEnd w:id="15"/>
      <w:bookmarkEnd w:id="16"/>
      <w:bookmarkEnd w:id="17"/>
      <w:bookmarkEnd w:id="18"/>
      <w:bookmarkEnd w:id="19"/>
      <w:bookmarkEnd w:id="20"/>
      <w:bookmarkEnd w:id="21"/>
      <w:bookmarkEnd w:id="22"/>
    </w:p>
    <w:p>
      <w:pPr>
        <w:pStyle w:val="62"/>
      </w:pPr>
      <w:r>
        <w:t>（1996年3月17日中华人民共和国主席令第63号公布，根据2009年8月27日中华人民共和国主席令第18号公布、自公布之日起施行的《全国人民代表大会常务委员会关于修改部分法律的决定》第一次修订，根据2017年9月1日中华人民共和国主席令第76号公布、自2018年1月1日起施行的《全国人民代表大会常务委员会关于修改〈中华人民共和国法官法〉等八部法律的决定》第二次修订）</w:t>
      </w:r>
    </w:p>
    <w:p>
      <w:pPr>
        <w:pStyle w:val="63"/>
        <w:spacing w:before="218" w:after="218"/>
        <w:rPr>
          <w:b/>
        </w:rPr>
      </w:pPr>
      <w:bookmarkStart w:id="23" w:name="_Toc301529744"/>
      <w:r>
        <w:t>第一章  总  则</w:t>
      </w:r>
      <w:bookmarkEnd w:id="23"/>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为了规范行政处罚的设定和实施，保障和监督行政机关有效实施行政管理，维护公共利益和社会秩序，保护公民、法人或者其他组织的合法权益，根据宪法，制定本法。</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行政处罚的设定和实施，适用本法。</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公民、法人</w:t>
      </w:r>
      <w:r>
        <w:rPr>
          <w:rFonts w:asciiTheme="minorEastAsia" w:hAnsiTheme="minorEastAsia" w:eastAsiaTheme="minorEastAsia"/>
          <w:spacing w:val="4"/>
          <w:sz w:val="24"/>
          <w:szCs w:val="24"/>
        </w:rPr>
        <w:t>或者其他组织违反行政管理秩序的行为，应当给予行政处罚的，依照本法由法律、法规或者规章规定，并由行政机关依照本法规定的程序实施。</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没有法定依据或者不遵守法定程序的，行政处罚无效。</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行政处罚遵循公正、公开的原则。</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设定和实施行政处罚必须以事实为依据，与违法行为的事实、性质、情节以及社会危害程度相当。</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对违法行为给予行政处罚的规定必须公布；未经公布的，不得作为行政处罚的依据。</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实施行政处罚，纠正违法行为，应当坚持处罚与教育相结合，教育公民、法人或者其他组织自觉守法。</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公民、法人或者其他组织对行政机关所给予的行政处罚，享有陈述权、申辩权；对行政处罚不服的，有权依法申请行政复议或者提起行政诉讼。</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公民、法人或者其他组织因行政机关违法给予行政处罚受到损害的，有权依法提出赔偿要求。</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公民、法人或者其他组织因违法受到行政处罚，其违法行为对他人造成损害的，应当依法承担民事责任。</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违法行为构成犯罪，应当依法追究刑事责任，不得以行政处罚代替刑事处罚。</w:t>
      </w:r>
    </w:p>
    <w:p>
      <w:pPr>
        <w:pStyle w:val="63"/>
        <w:spacing w:before="218" w:after="218"/>
        <w:rPr>
          <w:b/>
        </w:rPr>
      </w:pPr>
      <w:bookmarkStart w:id="24" w:name="_Toc301529745"/>
      <w:r>
        <w:t>第二章  行政处罚的种类和设定</w:t>
      </w:r>
      <w:bookmarkEnd w:id="24"/>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bCs/>
          <w:sz w:val="24"/>
          <w:szCs w:val="24"/>
        </w:rPr>
        <w:t xml:space="preserve">第八条  </w:t>
      </w:r>
      <w:r>
        <w:rPr>
          <w:rFonts w:asciiTheme="minorEastAsia" w:hAnsiTheme="minorEastAsia" w:eastAsiaTheme="minorEastAsia"/>
          <w:sz w:val="24"/>
          <w:szCs w:val="24"/>
        </w:rPr>
        <w:t>行政处罚的种类：</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（一）警告；</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（二）罚款；</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（三）没收违法所得、没收非法财物；</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（四）责令停产停业；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（五）暂扣或者吊销许可证、暂扣或者吊销执照；</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（六）行政拘留；</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（七）法律、行政法规规定的其他行政处罚。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法律可以设定各种行政处罚。</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限制人身自由的行政处罚，只能由法律设定。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行政法规可以设定除限制人身自由以外的行政处罚。</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法律对违法行为已经作出行政处罚规定，行政法规需要作出具体规定的，必须在法律规定的给予行政处罚的行为、种类和幅度的范围内规定。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地方性法规可以设定除限制人身自由、吊销企业营业执照以外的行政处罚。</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法律、行政法规对违法行为已经作出行政处罚规定，地方性法规需要作出具体规定的，必须在法律、行政法规规定的给予行政处罚的行为、种类和幅度的范围内规定。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国务院部、委员会制定的规章可以在法律、行政法规规定的给予行政处罚的行为、种类和幅度的范围内作出具体规定。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尚未制定法律、行政法规的，前款规定的国务院部、委员会制定的规章对违反行政管理秩序的行为，可以设定警告或者一定数量罚款的行政处罚。罚款的限额由国务院规定。</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国务院可以授权具有行政处罚权的直属机构依照本条第一款、第二款的规定，规定行政处罚。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省、自治区、直辖市人民政府和省、自治区人民政府所在地的市人民政府以及经国务院批准的较大的市人民政府制定的规章可以在法律、法规规定的给予行政处罚的行为、种类和幅度的范围内作出具体规定。</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尚未制定法律、法规的，前款规定的人民政府制定的规章对违反行政管理秩序的行为，可以设定警告或者一定数量罚款的行政处罚。罚款的限额由省、自治区、直辖市人民代表大会常务委员会规定。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除本法第九条、第十条、第十一条、第十二条以及第十三条的规定外，其他规范性文件不得设定行政处罚。</w:t>
      </w:r>
    </w:p>
    <w:p>
      <w:pPr>
        <w:pStyle w:val="63"/>
        <w:spacing w:before="218" w:after="218"/>
        <w:rPr>
          <w:b/>
        </w:rPr>
      </w:pPr>
      <w:bookmarkStart w:id="25" w:name="_Toc301529746"/>
      <w:r>
        <w:t>第三章  行政处罚的实施机关</w:t>
      </w:r>
      <w:bookmarkEnd w:id="25"/>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bCs/>
          <w:sz w:val="24"/>
          <w:szCs w:val="24"/>
        </w:rPr>
        <w:t xml:space="preserve">第十五条  </w:t>
      </w:r>
      <w:r>
        <w:rPr>
          <w:rFonts w:asciiTheme="minorEastAsia" w:hAnsiTheme="minorEastAsia" w:eastAsiaTheme="minorEastAsia"/>
          <w:sz w:val="24"/>
          <w:szCs w:val="24"/>
        </w:rPr>
        <w:t>行政处罚由具有行政处罚权的行政机关在法定职权范围内实施。</w:t>
      </w:r>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国务院或者经国务院授权的省、自治区、直辖市人民政府可以决定一个行政机关行使有关行政机关的行政处罚权，但限制人身自由的行政处罚权只能由公安机关行使。</w:t>
      </w:r>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法律、法规授权的具有管理公共事务职能的组织可以在法定授权范围内实施行政处罚。</w:t>
      </w:r>
    </w:p>
    <w:p>
      <w:pPr>
        <w:pStyle w:val="3"/>
        <w:topLinePunct/>
        <w:spacing w:line="420"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行政机关依照法律、法规或者规章的规定，可以在其法定权限内委托符合本法第十九条规定条件的组织实施行政处罚。行政机关不得委托其他组织或者个人实施行政处罚。</w:t>
      </w:r>
    </w:p>
    <w:p>
      <w:pPr>
        <w:pStyle w:val="3"/>
        <w:topLinePunct/>
        <w:spacing w:line="42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委托行政机关对受委托的组织实施行政处罚的行为应当负责监督，并对该行为的后果承担法律责任。</w:t>
      </w:r>
    </w:p>
    <w:p>
      <w:pPr>
        <w:pStyle w:val="3"/>
        <w:topLinePunct/>
        <w:spacing w:line="420"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受委托组织在委托范围内，以委托行政机关名义实施行政处罚；不得再委托其他任何组织或者个人实施行政处罚。</w:t>
      </w:r>
    </w:p>
    <w:p>
      <w:pPr>
        <w:pStyle w:val="3"/>
        <w:topLinePunct/>
        <w:spacing w:line="420"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受委托组织必须符合以下条件：</w:t>
      </w:r>
    </w:p>
    <w:p>
      <w:pPr>
        <w:pStyle w:val="3"/>
        <w:topLinePunct/>
        <w:spacing w:line="42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（一）依法成立的管理公共事务的事业组织；</w:t>
      </w:r>
    </w:p>
    <w:p>
      <w:pPr>
        <w:pStyle w:val="3"/>
        <w:topLinePunct/>
        <w:spacing w:line="42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（二）具有熟悉有关法律、法规、规章和业务的工作人员；</w:t>
      </w:r>
    </w:p>
    <w:p>
      <w:pPr>
        <w:pStyle w:val="3"/>
        <w:topLinePunct/>
        <w:spacing w:line="42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（三）对违法行为需要进行技术检查或者技术鉴定的，应当有条件组织进行相应的技术检查或者技术鉴定。</w:t>
      </w:r>
    </w:p>
    <w:p>
      <w:pPr>
        <w:pStyle w:val="63"/>
        <w:spacing w:before="218" w:after="218"/>
        <w:rPr>
          <w:b/>
        </w:rPr>
      </w:pPr>
      <w:bookmarkStart w:id="26" w:name="_Toc301529747"/>
      <w:r>
        <w:t>第四章  行政处罚的管辖和适用</w:t>
      </w:r>
      <w:bookmarkEnd w:id="26"/>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bCs/>
          <w:sz w:val="24"/>
          <w:szCs w:val="24"/>
        </w:rPr>
        <w:t xml:space="preserve">第二十条  </w:t>
      </w:r>
      <w:r>
        <w:rPr>
          <w:rFonts w:asciiTheme="minorEastAsia" w:hAnsiTheme="minorEastAsia" w:eastAsiaTheme="minorEastAsia"/>
          <w:sz w:val="24"/>
          <w:szCs w:val="24"/>
        </w:rPr>
        <w:t>行政处罚由违法行为发生地的县级以上地方人民政府具有行政处罚权的行政机关管辖。法律、行政法规另有规定的除外。</w:t>
      </w:r>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对管辖发生争议的，报请共同的上一级行政机关指定管辖。</w:t>
      </w:r>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违法行为构成犯罪的，行政机关必须将案件移送司法机关，依法追究刑事责任。</w:t>
      </w:r>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行政机关实施行政处罚时，应当责令当事人改正或者限期改正违法行为。</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对当事人的同一个违法行为，不得给予两次以上罚款的行政处罚。</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不满十四周岁的人有违法行为的，不予行政处罚，责令监护人加以管教；已满十四周岁不满十八周岁的人有违法行为的，从轻或者减轻行政处罚。</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精神病人在不能辨认或者不能控制自己行为时有违法行为的，不予行政处罚，但应当责令其监护人严加看管和治疗。间歇性精神病人在精神正常时有违法行为的，应当给予行政处罚。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当事人有下列情形之一的，应当依法从轻或者减轻行政处罚：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（一）主动消除或者减轻违法行为危害后果的；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（二）受他人胁迫有违法行为的；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（三）配合行政机关查处违法行为有立功表现的；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（四）其他依法从轻或者减轻行政处罚的。</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违法行为轻微并及时纠正，没有造成危害后果的，不予行政处罚。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违法行为构成犯罪，人民法院判处拘役或者有期徒刑时，行政机关已经给予当事人行政拘留的，应当依法折抵相应刑期。</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违法行为构成犯罪，人民法院判处罚金时，行政机关已经给予当事人罚款的，应当折抵相应罚金。</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违法行为在二年内未被发现的，不再给予行政处罚。法律另有规定的除外。</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前款规定的期限，从违法行为发生之日起计算；违法行为有连续或者继续状态的，从行为终了之日起计算。</w:t>
      </w:r>
    </w:p>
    <w:p>
      <w:pPr>
        <w:pStyle w:val="63"/>
        <w:spacing w:before="218" w:after="218"/>
        <w:rPr>
          <w:b/>
        </w:rPr>
      </w:pPr>
      <w:bookmarkStart w:id="27" w:name="_Toc301529748"/>
      <w:r>
        <w:t>第五章  行政处罚的决定</w:t>
      </w:r>
      <w:bookmarkEnd w:id="27"/>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bCs/>
          <w:sz w:val="24"/>
          <w:szCs w:val="24"/>
        </w:rPr>
        <w:t xml:space="preserve">第三十条  </w:t>
      </w:r>
      <w:r>
        <w:rPr>
          <w:rFonts w:asciiTheme="minorEastAsia" w:hAnsiTheme="minorEastAsia" w:eastAsiaTheme="minorEastAsia"/>
          <w:sz w:val="24"/>
          <w:szCs w:val="24"/>
        </w:rPr>
        <w:t>公民、法人或者其他组织违反行政管理秩序的行为，依法应当给予行政处罚的，行政机关必须查明事实；违法事实不清的，不得给予行政处罚。</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行政机关在作出行政处罚决定之前，应当告知当事人作出行政处罚决定的事实、理由及依据，并告知当事人依法享有的权利。</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当事人有权进行陈述和申辩。行政机关必须充分听取当事人的意见，对当事人提出的事实、理由和证据，应当进行复核；当事人提出的事实、理由或者证据成立的，行政机关应当采纳。</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行政机关不得因当事人申辩而加重处罚。</w:t>
      </w:r>
    </w:p>
    <w:p>
      <w:pPr>
        <w:pStyle w:val="64"/>
        <w:spacing w:before="156" w:after="156"/>
      </w:pPr>
      <w:r>
        <w:rPr>
          <w:rFonts w:hint="eastAsia"/>
        </w:rPr>
        <w:t>第一节  简易程序</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执法人员当场作出行政处罚决定的，应当向当事人出示执法身份证件，填写预定格式、编有号码的行政处罚决定书。行政处罚决定书应当当场交付当事人。</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前款规定的行政处罚决定书应当载明当事人的违法行为、行政处罚依据、罚款数额、时间、地点以及行政机关名称，并由执法人员签名或者盖章。</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执法人员当场作出的行政处罚决定，必须报所属行政机关备案。</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当事人对当场作出的行政处罚决定不服的，可以依法申请行政复议或者提起行政诉讼。</w:t>
      </w:r>
    </w:p>
    <w:p>
      <w:pPr>
        <w:pStyle w:val="64"/>
        <w:spacing w:before="156" w:after="156"/>
      </w:pPr>
      <w:r>
        <w:t>第二节  一般程序</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行政机关在调查或者进行检查时，执法人员不得少于两人，并应当向当事人或者有关人员出示证件。当事人或者有关人员应当如实回答询问，并协助调查或者检查，不得阻挠。询问或者检查应当制作笔录。</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执法人员与当事人有直接利害关系的，应当回避。</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调查终结，行政机关负责人应当对调查结果进行审查，根据不同情况，分别作出如下决定：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（一）确有应受行政处罚的违法行为的，根据情节轻重及具体情况，作出行政处罚决定；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（二）违法行为轻微，依法可以不予行政处罚的，不予行政处罚；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（三）违法事实不能成立的，不得给予行政处罚；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（四）违法行为已构成犯罪的，移送司法机关。</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对情节复杂或者重大违法行为给予较重的行政处罚，行政机关的负责人应当集体讨论决定。</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在行政机关负责人作出决定之前，应当由从事行政处罚决定审核的人员进行审核。行政机关中初次从事行政处罚决定审核的人员，应当通过国家统一法律职业资格考试取得法律职业资格。”</w:t>
      </w:r>
    </w:p>
    <w:p>
      <w:pPr>
        <w:pStyle w:val="3"/>
        <w:topLinePunct/>
        <w:spacing w:line="42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行政机关依照本法第三十八条的规定给予行政处罚，应当制作行政处罚决定书。行政处罚决定书应当载明下列事项：</w:t>
      </w:r>
    </w:p>
    <w:p>
      <w:pPr>
        <w:pStyle w:val="3"/>
        <w:topLinePunct/>
        <w:spacing w:line="42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（一）当事人的姓名或者名称、地址；</w:t>
      </w:r>
    </w:p>
    <w:p>
      <w:pPr>
        <w:pStyle w:val="3"/>
        <w:topLinePunct/>
        <w:spacing w:line="42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（二）违反法律、法规或者规章的事实和证据；</w:t>
      </w:r>
    </w:p>
    <w:p>
      <w:pPr>
        <w:pStyle w:val="3"/>
        <w:topLinePunct/>
        <w:spacing w:line="42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（三）行政处罚的种类和依据；</w:t>
      </w:r>
    </w:p>
    <w:p>
      <w:pPr>
        <w:pStyle w:val="3"/>
        <w:topLinePunct/>
        <w:spacing w:line="42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（四）行政处罚的履行方式和期限；</w:t>
      </w:r>
    </w:p>
    <w:p>
      <w:pPr>
        <w:pStyle w:val="3"/>
        <w:topLinePunct/>
        <w:spacing w:line="42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（五）不服行政处罚决定，申请行政复议或者提起行政诉讼的途径和期限；</w:t>
      </w:r>
    </w:p>
    <w:p>
      <w:pPr>
        <w:pStyle w:val="3"/>
        <w:topLinePunct/>
        <w:spacing w:line="42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（六）作出行政处罚决定的行政机关名称和作出决定的日期。</w:t>
      </w:r>
    </w:p>
    <w:p>
      <w:pPr>
        <w:pStyle w:val="3"/>
        <w:topLinePunct/>
        <w:spacing w:line="424"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行政处罚决定书必须盖有作出行政处罚决定的行政机关的印章。</w:t>
      </w:r>
    </w:p>
    <w:p>
      <w:pPr>
        <w:pStyle w:val="3"/>
        <w:topLinePunct/>
        <w:spacing w:line="42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行政处罚决定书应当在宣告后当场交付当事人；当事人不在场的，行政机关应当在七日内依照民事诉讼法的有关规定，将行政处罚决定书送达当事人。</w:t>
      </w:r>
    </w:p>
    <w:p>
      <w:pPr>
        <w:pStyle w:val="3"/>
        <w:topLinePunct/>
        <w:spacing w:line="42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pStyle w:val="64"/>
        <w:spacing w:before="156" w:after="156"/>
      </w:pPr>
      <w:r>
        <w:t>第三节  听证程序</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行政机关作出责令停产停业、吊销许可证或者执照、较大数额罚款等行政处罚决定之前，应当告知当事人有要求举行听证的权利；当事人要求听证的，行政机关应当组织听证。当事人不承担行政机关组织听证的费用。听证依照以下程序组织：</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（一）当事人要求听证的，应当在行政机关告知后三日内提出；</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（二）行政机关应当在听证的七日前，通知当事人举行听证的时间、地点；</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（三）除涉及国家秘密、商业秘密或者个人隐私外，听证公开举行；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（四）听证由行政机关指定的非本案调查人员主持；当事人认为主持人与本案有直接利害关系的，有权申请回避；</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（五）当事人可以亲自参加听证，也可以委托一至二人代理；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（六）举行听证时，调查人员提出当事人违法的事实、证据和行政处罚建议；当事人进行申辩和质证；</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（七）听证应当制作笔录；笔录应当交当事人审核无误后签字或者盖章。</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当事人对限制人身自由的行政处罚有异议的，依照治安管理处罚法有关规定执行。</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听证结束后，行政机关依照本法第三十八条的规定，作出决定。</w:t>
      </w:r>
    </w:p>
    <w:p>
      <w:pPr>
        <w:widowControl/>
        <w:spacing w:before="156" w:after="156"/>
        <w:ind w:firstLine="210"/>
        <w:rPr>
          <w:rFonts w:ascii="黑体" w:hAnsi="黑体" w:eastAsia="黑体" w:cs="Times New Roman"/>
          <w:bCs/>
          <w:sz w:val="28"/>
          <w:szCs w:val="28"/>
        </w:rPr>
      </w:pPr>
      <w:bookmarkStart w:id="28" w:name="_Toc301529749"/>
      <w:r>
        <w:br w:type="page"/>
      </w:r>
    </w:p>
    <w:p>
      <w:pPr>
        <w:pStyle w:val="63"/>
        <w:spacing w:before="218" w:after="218"/>
        <w:rPr>
          <w:b/>
        </w:rPr>
      </w:pPr>
      <w:r>
        <w:t>第六章  行政处罚的执行</w:t>
      </w:r>
      <w:bookmarkEnd w:id="28"/>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bCs/>
          <w:sz w:val="24"/>
          <w:szCs w:val="24"/>
        </w:rPr>
        <w:t xml:space="preserve">第四十四条  </w:t>
      </w:r>
      <w:r>
        <w:rPr>
          <w:rFonts w:asciiTheme="minorEastAsia" w:hAnsiTheme="minorEastAsia" w:eastAsiaTheme="minorEastAsia"/>
          <w:sz w:val="24"/>
          <w:szCs w:val="24"/>
        </w:rPr>
        <w:t>行政处罚决定依法作出后，当事人应当在行政处罚决定的期限内，予以履行。</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当事人对行政处罚决定不服申请行政复议或者提起行政诉讼的，行政处罚不停止执行，法律另有规定的除外。</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作出罚款决定的行政机关应当与收缴罚款的机构分离。</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除依照本法第四十七条、第四十八条的规定当场收缴的罚款外，作出行政处罚决定的行政机关及其执法人员不得自行收缴罚款。</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当事人应当自收到行政处罚决定书之日起十五日内，到指定的银行缴纳罚款。银行应当收受罚款，并将罚款直接上缴国库。</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依照本法第三十三条的规定当场作出行政处罚决定，有下列情形之一的，执法人员可以当场收缴罚款：</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（一）依法给予二十元以下的罚款的；</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（二）不当场收缴事后难以执行的。</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在边远、水上、交通不便地区，行政机关及其执法人员依照本法第三十三条、第三十八条的规定作出罚款决定后，当事人向指定的银行缴纳罚款确有困难，经当事人提出，行政机关及其执法人员可以当场收缴罚款。</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行政机关及其执法人员当场收缴罚款的，必须向当事人出具省、自治区、直辖市财政部门统一制发的罚款收据；不出具财政部门统一制发的罚款收据的，当事人有权拒绝缴纳罚款。</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执法人员当场收缴的罚款，应当自收缴罚款之日起二日内，交至行政机关；在水上当场收缴的罚款，应当自抵岸之日起二日内交至行政机关；行政机关应当在二日内将罚款缴付指定的银行。</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当事人逾期不履行行政处罚决定的，作出行政处罚决定的行政机关可以采取下列措施：</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（一）到期不缴纳罚款的，每日按罚款数额的百分之三加处罚款；</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（二）根据法律规定，将查封、扣押的财物拍卖或者将冻结的存款划拨抵缴罚款；</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（三）申请人民法院强制执行。</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当事人确有经济困难，需要延期或者分期缴纳罚款的，经当事人申请和行政机关批准，可以暂缓或者分期缴纳。</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除依法应当予以销毁的物品外，依法没收的非法财物必须按照国家规定公开拍卖或者按照国家有关规定处理。</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行政机关应当建立健全对行政处罚的监督制度。县级以上人民政府应当加强对行政处罚的监督检查。</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公民、法人或者其他组织对行政机关作出的行政处罚，有权申诉或者检举；行政机关应当认真审查，发现行政处罚有错误的，应当主动改正。</w:t>
      </w:r>
    </w:p>
    <w:p>
      <w:pPr>
        <w:pStyle w:val="63"/>
        <w:spacing w:before="218" w:after="218"/>
        <w:rPr>
          <w:b/>
        </w:rPr>
      </w:pPr>
      <w:bookmarkStart w:id="29" w:name="_Toc301529750"/>
      <w:r>
        <w:t>第七章  法律责任</w:t>
      </w:r>
      <w:bookmarkEnd w:id="29"/>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bCs/>
          <w:sz w:val="24"/>
          <w:szCs w:val="24"/>
        </w:rPr>
        <w:t xml:space="preserve">第五十五条  </w:t>
      </w:r>
      <w:r>
        <w:rPr>
          <w:rFonts w:asciiTheme="minorEastAsia" w:hAnsiTheme="minorEastAsia" w:eastAsiaTheme="minorEastAsia"/>
          <w:sz w:val="24"/>
          <w:szCs w:val="24"/>
        </w:rPr>
        <w:t>行政机关实施行政处罚，有下列情形之一的，由上级行政机关或者有关部门责令改正，可以对直接负责的主管人员和其他直接责任人员依法给予行政处分：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（一）没有法定的行政处罚依据的；</w:t>
      </w:r>
    </w:p>
    <w:p>
      <w:pPr>
        <w:pStyle w:val="3"/>
        <w:topLinePunct/>
        <w:spacing w:line="408"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（二）擅自改变行政处罚种类、幅度的；</w:t>
      </w:r>
    </w:p>
    <w:p>
      <w:pPr>
        <w:pStyle w:val="3"/>
        <w:topLinePunct/>
        <w:spacing w:line="408"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（三）违反法定的行政处罚程序的；</w:t>
      </w:r>
    </w:p>
    <w:p>
      <w:pPr>
        <w:pStyle w:val="3"/>
        <w:topLinePunct/>
        <w:spacing w:line="408"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（四）违反本法第十八条关于委托处罚的规定的。</w:t>
      </w:r>
    </w:p>
    <w:p>
      <w:pPr>
        <w:pStyle w:val="3"/>
        <w:topLinePunct/>
        <w:spacing w:line="408"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pStyle w:val="3"/>
        <w:topLinePunct/>
        <w:spacing w:line="408"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pStyle w:val="3"/>
        <w:topLinePunct/>
        <w:spacing w:line="408"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行政机关将罚款、没收的违法所得或者财物截留、私分或者变相私分的，由财政部门或者有关部门予以追缴，对直接负责的主管人员和其他直接责任人员依法给予行政处分；情节严重构成犯罪的，依法追究刑事责任。</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执法人员利用职务上的便利，索取或者收受他人财物、收缴罚款据为己有，构成犯罪的，依法追究刑事责任；情节轻微不构成犯罪的，依法给予行政处分。</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行政机关使用或者损毁扣押的财物，对当事人造成损失的，应当依法予以赔偿，对直接负责的主管人员和其他直接责任人员依法给予行政处分。</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pStyle w:val="63"/>
        <w:spacing w:before="218" w:after="218"/>
        <w:rPr>
          <w:b/>
        </w:rPr>
      </w:pPr>
      <w:bookmarkStart w:id="30" w:name="_Toc301529751"/>
      <w:r>
        <w:t>第八章  附  则</w:t>
      </w:r>
      <w:bookmarkEnd w:id="30"/>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bCs/>
          <w:sz w:val="24"/>
          <w:szCs w:val="24"/>
        </w:rPr>
        <w:t xml:space="preserve">第六十三条  </w:t>
      </w:r>
      <w:r>
        <w:rPr>
          <w:rFonts w:asciiTheme="minorEastAsia" w:hAnsiTheme="minorEastAsia" w:eastAsiaTheme="minorEastAsia"/>
          <w:sz w:val="24"/>
          <w:szCs w:val="24"/>
        </w:rPr>
        <w:t>本法第四十六条罚款决定与罚款收缴分离的规定，由国务院制定具体实施办法。</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本法自1996年10月1日起施行。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本法公布前制定的法规和规章关于行政处罚的规定与本法不符合的，应当自本法公布之日起，依照本法规定予以修订，在1997年12月31日前修订完毕。</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31" w:name="_Toc466579801"/>
      <w:bookmarkStart w:id="32" w:name="_Toc9704"/>
      <w:bookmarkStart w:id="33" w:name="_Toc25394574"/>
      <w:bookmarkStart w:id="34" w:name="OLE_LINK45"/>
      <w:bookmarkStart w:id="35" w:name="_Toc466579794"/>
      <w:bookmarkStart w:id="36" w:name="_Toc3520"/>
    </w:p>
    <w:p>
      <w:pPr>
        <w:pStyle w:val="61"/>
      </w:pPr>
      <w:bookmarkStart w:id="37" w:name="_Toc25648145"/>
      <w:bookmarkStart w:id="38" w:name="_Toc25653640"/>
      <w:bookmarkStart w:id="39" w:name="_Toc28156929"/>
      <w:bookmarkStart w:id="40" w:name="_Toc26347907"/>
      <w:bookmarkStart w:id="41" w:name="_Toc28250856"/>
      <w:bookmarkStart w:id="42" w:name="_Toc28252126"/>
      <w:r>
        <w:t>中华人民共和国行政强制法</w:t>
      </w:r>
      <w:bookmarkEnd w:id="31"/>
      <w:bookmarkEnd w:id="32"/>
      <w:bookmarkEnd w:id="33"/>
      <w:bookmarkEnd w:id="37"/>
      <w:bookmarkEnd w:id="38"/>
      <w:bookmarkEnd w:id="39"/>
      <w:bookmarkEnd w:id="40"/>
      <w:bookmarkEnd w:id="41"/>
      <w:bookmarkEnd w:id="42"/>
    </w:p>
    <w:bookmarkEnd w:id="34"/>
    <w:p>
      <w:pPr>
        <w:pStyle w:val="62"/>
        <w:ind w:firstLine="0" w:firstLineChars="0"/>
        <w:jc w:val="center"/>
      </w:pPr>
      <w:r>
        <w:t>（2011年6月30日中华人民共和国主席令第49号公布）</w:t>
      </w:r>
    </w:p>
    <w:p>
      <w:pPr>
        <w:pStyle w:val="63"/>
        <w:spacing w:before="218" w:after="218"/>
        <w:rPr>
          <w:b/>
        </w:rPr>
      </w:pPr>
      <w:bookmarkStart w:id="43" w:name="_Toc301529831"/>
      <w:r>
        <w:t xml:space="preserve">第一章 </w:t>
      </w:r>
      <w:r>
        <w:rPr>
          <w:rFonts w:hint="eastAsia"/>
        </w:rPr>
        <w:t xml:space="preserve"> </w:t>
      </w:r>
      <w:r>
        <w:t>总则</w:t>
      </w:r>
      <w:bookmarkEnd w:id="43"/>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为了规范行政强制的设定和实施，保障和监督行政机关依法履行职责，维护公共利益和社会秩序，保护公民、法人和其他组织的合法权益，根据宪法，制定本法。</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本法所称行政强制，包括行政强制措施和行政强制执行。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强制措施，是指行政机关在行政管理过程中，为制止违法行为、防止证据损毁、避免危害发生、控制危险扩大等情形，依法对公民的人身自由实施暂时性限制，或者对公民、法人或者其他组织的财物实施暂时性控制的行为。</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行政强制执行，是指行政机关或者行政机关申请人民法院，对不履行行政决定的公民、法人或者其他组织，依法强制履行义务的行为。</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行政强制的设定和实施，适用本法。</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发生或者即将发生自然灾害、事故灾难、公共卫生事件或者社会安全事件等突发事件，行政机关采取应急措施或者临时措施，依照有关法律、行政法规的规定执行。</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行政机关采取金融业审慎监管措施、进出境货物强制性技术监控措施，依照有关法律、行政法规的规定执行。</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行政强制的设定和实施，应当依照法定的权限、范围、条件和程序。</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行政强制的设定和实施，应当适当。采用非强制手段可以达到行政管理目的的，不得设定和实施行政强制。</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实施行政强制，应当坚持教育与强制相结合。</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行政机关及其工作人员不得利用行政强制权为单位或者个人谋取利益。</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公民、法人或者其他组织对行政机关实施行政强制，享有陈述权、申辩权；有权依法申请行政复议或者提起行政诉讼；因行政机关违法实施行政强制受到损害的，有权依法要求赔偿。</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公民、法人或者其他组织因人民法院在强制执行中有违法行为或者扩大强制执行范围受到损害的，有权依法要求赔偿。</w:t>
      </w:r>
    </w:p>
    <w:p>
      <w:pPr>
        <w:pStyle w:val="63"/>
        <w:spacing w:before="218" w:after="218"/>
        <w:rPr>
          <w:b/>
        </w:rPr>
      </w:pPr>
      <w:bookmarkStart w:id="44" w:name="_Toc301529832"/>
      <w:r>
        <w:t xml:space="preserve">第二章 </w:t>
      </w:r>
      <w:r>
        <w:rPr>
          <w:rFonts w:hint="eastAsia"/>
        </w:rPr>
        <w:t xml:space="preserve"> </w:t>
      </w:r>
      <w:r>
        <w:t>行政强制的种类和设定</w:t>
      </w:r>
      <w:bookmarkEnd w:id="44"/>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行政强制措施的种类：</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（一）限制公民人身自由；</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（二）查封场所、设施或者财物；</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（三）扣押财物；</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（四）冻结存款、汇款；</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（五）其他行政强制措施。</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行政强制措施由法律设定。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尚未制定法律，且属于国务院行政管理职权事项的，行政法规可以设定除本法第九条第一项、第四项和应当由法律规定的行政强制措施以外的其他行政强制措施。</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尚未制定法律、行政法规，且属于地方性事务的，地方性法规可以设定本法第九条第二项、第三项的行政强制措施。</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法律、法规以外的其他规范性文件不得设定行政强制措施。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法律对行政强制措施的对象、条件、种类作了规定的，行政法规、地方性法规不得作出扩大规定。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行政强制执行的方式：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（一）加处罚款或者滞纳金；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（二）划拨存款、汇款；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（三）拍卖或者依法处理查封、扣押的场所、设施或者财物；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（四）排除妨碍、恢复原状；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（五）代履行；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（六）其他强制执行方式。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行政强制执行由法律设定。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法律没有规定行政机关强制执行的，作出行政决定的行政机关应当申请人民法院强制执行。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起草法律草案、法规草案，拟设定行政强制的，起草单位应当采取听证会、论证会等形式听取意见，并向制定机关说明设定该行政强制的必要性、可能产生的影响以及听取和采纳意见的情况。</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行政强制的设定机关应当定期对其设定的行政强制进行评价，并对不适当的行政强制及时予以修改或者废止。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行政强制的实施机关可以对已设定的行政强制的实施情况及存在的必要性适时进行评价，并将意见报告该行政强制的设定机关。</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公民、法人或者其他组织可以向行政强制的设定机关和实施机关就行政强制的设定和实施提出意见和建议。有关机关应当认真研究论证，并以适当方式予以反馈。</w:t>
      </w:r>
    </w:p>
    <w:p>
      <w:pPr>
        <w:pStyle w:val="63"/>
        <w:spacing w:before="218" w:after="218"/>
      </w:pPr>
      <w:bookmarkStart w:id="45" w:name="_Toc301529833"/>
      <w:r>
        <w:t xml:space="preserve">第三章 </w:t>
      </w:r>
      <w:r>
        <w:rPr>
          <w:rFonts w:hint="eastAsia"/>
        </w:rPr>
        <w:t xml:space="preserve"> </w:t>
      </w:r>
      <w:r>
        <w:t>行政强制措施实施程序</w:t>
      </w:r>
      <w:bookmarkEnd w:id="45"/>
    </w:p>
    <w:p>
      <w:pPr>
        <w:pStyle w:val="64"/>
        <w:spacing w:before="156" w:after="156"/>
      </w:pPr>
      <w:r>
        <w:t xml:space="preserve">第一节 </w:t>
      </w:r>
      <w:r>
        <w:rPr>
          <w:rFonts w:hint="eastAsia"/>
        </w:rPr>
        <w:t xml:space="preserve"> </w:t>
      </w:r>
      <w:r>
        <w:t>一般规定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行政机关履行行政管理职责，依照法律、法规的规定，实施行政强制措施。</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违法行为情节显著轻微或者没有明显社会危害的，可以不采取行政强制措施。</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行政强制措施由法律、法规规定的行政机关在法定职权范围内实施。行政强制措施权不得委托。</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依据《中华人民共和国行政处罚法》的规定行使相对集中行政处罚权的行政机关，可以实施法律、法规规定的与行政处罚权有关的行政强制措施。</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行政强制措施应当由行政机关具备资格的行政执法人员实施，其他人员不得实施。</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行政机关实施行政强制措施应当遵守下列规定：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（一）实施前须向行政机关负责人报告并经批准；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（二）由两名以上行政执法人员实施；</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（三）出示执法身份证件；</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（四）通知当事人到场；</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（五）当场告知当事人采取行政强制措施的理由、依据以及当事人依法享有的权利、救济途径；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（六）听取当事人的陈述和申辩；</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（七）制作现场笔录；</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（八）现场笔录由当事人和行政执法人员签名或者盖章，当事人拒绝的，在笔录中予以注明；</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（九）当事人不到场的，邀请见证人到场，由见证人和行政执法人员在现场笔录上签名或者盖章；</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（十）法律、法规规定的其他程序。</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情况紧急，需要当场实施行政强制措施的，行政执法人员应当在二十四小时内向行政机关负责人报告，并补办批准手续。行政机关负责人认为不应当采取行政强制措施的，应当立即解除。</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依照法律规定实施限制公民人身自由的行政强制措施，除应当履行本法第十八条规定的程序外，还应当遵守下列规定：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（一）当场告知或者实施行政强制措施后立即通知当事人家属实施行政强制措施的行政机关、地点和期限；</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（二）在紧急情况下当场实施行政强制措施的，在返回行政机关后，立即向行政机关负责人报告并补办批准手续；</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（三）法律规定的其他程序。</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实施限制人身自由的行政强制措施不得超过法定期限。实施行政强制措施的目的已经达到或者条件已经消失，应当立即解除。</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违法行为涉嫌犯罪应当移送司法机关的，行政机关应当将查封、扣押、冻结的财物一并移送，并书面告知当事人。</w:t>
      </w:r>
    </w:p>
    <w:p>
      <w:pPr>
        <w:pStyle w:val="64"/>
        <w:spacing w:before="156" w:after="156"/>
      </w:pPr>
      <w:r>
        <w:t xml:space="preserve">第二节 </w:t>
      </w:r>
      <w:r>
        <w:rPr>
          <w:rFonts w:hint="eastAsia"/>
        </w:rPr>
        <w:t xml:space="preserve"> </w:t>
      </w:r>
      <w:r>
        <w:t>查封、扣押</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查封、扣押应当由法律、法规规定的行政机关实施，其他任何行政机关或者组织不得实施。</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查封、扣押限于涉案的场所、设施或者财物，不得查封、扣押与违法行为无关的场所、设施或者财物；不得查封、扣押公民个人及其所扶养家属的生活必需品。</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当事人的场所、设施或者财物已被其他国家机关依法查封的，不得重复查封。</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行政机关决定实施查封、扣押的，应当履行本法第十八条规定的程序，制作并当场交付查封、扣押决定书和清单。</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查封、扣押决定书应当载明下列事项：</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（一）当事人的姓名或者名称、地址；</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（二）查封、扣押的理由、依据和期限；</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（三）查封、扣押场所、设施或者财物的名称、数量等；</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（四）申请行政复议或者提起行政诉讼的途径和期限；</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（五）行政机关的名称、印章和日期。</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查封、扣押清单一式二份，由当事人和行政机关分别保存。</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查封、扣押的期限不得超过三十日；情况复杂的，经行政机关负责人批准，可以延长，但是延长期限不得超过三十日。法律、行政法规另有规定的除外。</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延长查封、扣押的决定应当及时书面告知当事人，并说明理由。</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对查封、扣押的场所、设施或者财物，行政机关应当妥善保管，不得使用或者损毁；造成损失的，应当承担赔偿责任。</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对查封的场所、设施或者财物，行政机关可以委托第三人保管，第三人不得损毁或者擅自转移、处置。因第三人的原因造成的损失，行政机关先行赔付后，有权向第三人追偿。</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因查封、扣押发生的保管费用由行政机关承担。</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有下列情形之一的，行政机关应当及时作出解除查封、扣押决定：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（一）当事人没有违法行为；</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（二）查封、扣押的场所、设施或者财物与违法行为无关；</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（三）行政机关对违法行为已经作出处理决定，不再需要查封、扣押；</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（四）查封、扣押期限已经届满；</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（五）其他不再需要采取查封、扣押措施的情形。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解除查封、扣押应当立即退还财物；已将鲜活物品或者其他不易保管的财物拍卖或者变卖的，退还拍卖或者变卖所得款项。变卖价格明显低于市场价格，给当事人造成损失的，应当给予补偿。</w:t>
      </w:r>
    </w:p>
    <w:p>
      <w:pPr>
        <w:pStyle w:val="64"/>
        <w:spacing w:before="156" w:after="156"/>
      </w:pPr>
      <w:r>
        <w:t xml:space="preserve">第三节 </w:t>
      </w:r>
      <w:r>
        <w:rPr>
          <w:rFonts w:hint="eastAsia"/>
        </w:rPr>
        <w:t xml:space="preserve"> </w:t>
      </w:r>
      <w:r>
        <w:t>冻结</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冻结存款、汇款应当由法律规定的行政机关实施，不得委托给其他行政机关或者组织；其他任何行政机关或者组织不得冻结存款、汇款。</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冻结存款、汇款的数额应当与违法行为涉及的金额相当；已被其他国家机关依法冻结的，不得重复冻结。</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行政机关依照法律规定决定实施冻结存款、汇款的，应当履行本法第十八条第一项、第二项、第三项、第七项规定的程序，并向金融机构交付冻结通知书。</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金融机构接到行政机关依法作出的冻结通知书后，应当立即予以冻结，不得拖延，不得在冻结前向当事人泄露信息。</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法律规定以外的行政机关或者组织要求冻结当事人存款、汇款的，金融机构应当拒绝。</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依照法律规定冻结存款、汇款的，作出决定的行政机关应当在三日内向当事人交付冻结决定书。冻结决定书应当载明下列事项：</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（一）当事人的姓名或者名称、地址；</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（二）冻结的理由、依据和期限；</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（三）冻结的账号和数额；</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（四）申请行政复议或者提起行政诉讼的途径和期限；</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（五）行政机关的名称、印章和日期。</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自冻结存款、汇款之日起三十日内，行政机关应当作出处理决定或者作出解除冻结决定；情况复杂的，经行政机关负责人批准，可以延长，但是延长期限不得超过三十日。法律另有规定的除外。</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延长冻结的决定应当及时书面告知当事人，并说明理由。</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有下列情形之一的，行政机关应当及时作出解除冻结决定：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（一）当事人没有违法行为；</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（二）冻结的存款、汇款与违法行为无关；</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（三）行政机关对违法行为已经作出处理决定，不再需要冻结；</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（四）冻结期限已经届满；</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（五）其他不再需要采取冻结措施的情形。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行政机关作出解除冻结决定的，应当及时通知金融机构和当事人。金融机构接到通知后，应当立即解除冻结。</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行政机关逾期未作出处理决定或者解除冻结决定的，金融机构应当自冻结期满之日起解除冻结。</w:t>
      </w:r>
    </w:p>
    <w:p>
      <w:pPr>
        <w:pStyle w:val="63"/>
        <w:spacing w:before="218" w:after="218"/>
      </w:pPr>
      <w:bookmarkStart w:id="46" w:name="_Toc301529834"/>
      <w:r>
        <w:t xml:space="preserve">第四章 </w:t>
      </w:r>
      <w:r>
        <w:rPr>
          <w:rFonts w:hint="eastAsia"/>
        </w:rPr>
        <w:t xml:space="preserve"> </w:t>
      </w:r>
      <w:r>
        <w:t>行政机关强制执行程序</w:t>
      </w:r>
      <w:bookmarkEnd w:id="46"/>
    </w:p>
    <w:p>
      <w:pPr>
        <w:pStyle w:val="64"/>
        <w:spacing w:before="156" w:after="156"/>
      </w:pPr>
      <w:r>
        <w:t xml:space="preserve">第一节 </w:t>
      </w:r>
      <w:r>
        <w:rPr>
          <w:rFonts w:hint="eastAsia"/>
        </w:rPr>
        <w:t xml:space="preserve"> </w:t>
      </w:r>
      <w:r>
        <w:t>一般规定</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行政机关依法作出行政决定后，当事人在行政机关决定的期限内不履行义务的，具有行政强制执行权的行政机关依照本章规定强制执行。</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行政机关作出强制执行决定前，应当事先催告当事人履行义务。催告应当以书面形式作出，并载明下列事项：</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（一）履行义务的期限；</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（二）履行义务的方式；</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（三）涉及金钱给付的，应当有明确的金额和给付方式；</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（四）当事人依法享有的陈述权和申辩权。</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当事人收到催告书后有权进行陈述和申辩。行政机关应当充分听取当事人的意见，对当事人提出的事实、理由和证据，应当进行记录、复核。当事人提出的事实、理由或者证据成立的，行政机关应当采纳。</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经催告，当事人逾期仍不履行行政决定，且无正当理由的，行政机关可以作出强制执行决定。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强制执行决定应当以书面形式作出，并载明下列事项：</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（一）当事人的姓名或者名称、地址；</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（二）强制执行的理由和依据；</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（三）强制执行的方式和时间；</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（四）申请行政复议或者提起行政诉讼的途径和期限；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（五）行政机关的名称、印章和日期。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在催告期间，对有证据证明有转移或者隐匿财物迹象的，行政机关可以作出立即强制执行决定。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催告书、行政强制执行决定书应当直接送达当事人。当事人拒绝接收或者无法直接送达当事人的，应当依照《中华人民共和国民事诉讼法》的有关规定送达。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有下列情形之一的，中止执行：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（一）当事人履行行政决定确有困难或者暂无履行能力的；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（二）第三人对执行标的主张权利，确有理由的；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（三）执行可能造成难以弥补的损失，且中止执行不损害公共利益的；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（四）行政机关认为需要中止执行的其他情形。</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中止执行的情形消失后，行政机关应当恢复执行。对没有明显社会危害，当事人确无能力履行，中止执行满三年未恢复执行的，行政机关不再执行。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有下列情形之一的，终结执行：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（一）公民死亡，无遗产可供执行，又无义务承受人的；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（二）法人或者其他组织终止，无财产可供执行，又无义务承受人的；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（三）执行标的灭失的；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（四）据以执行的行政决定被撤销的；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（五）行政机关认为需要终结执行的其他情形。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在执行中或者执行完毕后，据以执行的行政决定被撤销、变更，或者执行错误的，应当恢复原状或者退还财物；不能恢复原状或者退还财物的，依法给予赔偿。</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实施行政强制执行，行政机关可以在不损害公共利益和他人合法权益的情况下，与当事人达成执行协议。执行协议可以约定分阶段履行；当事人采取补救措施的，可以减免加处的罚款或者滞纳金。</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执行协议应当履行。当事人不履行执行协议的，行政机关应当恢复强制执行。</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行政机关不得在夜间或者法定节假日实施行政强制执行。但是，情况紧急的除外。</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行政机关不得对居民生活采取停止供水、供电、供热、供燃气等方式迫使当事人履行相关行政决定。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对违法的建筑物、构筑物、设施等需要强制拆除的，应当由行政机关予以公告，限期当事人自行拆除。当事人在法定期限内不申请行政复议或者提起行政诉讼，又不拆除的，行政机关可以依法强制拆除。</w:t>
      </w:r>
    </w:p>
    <w:p>
      <w:pPr>
        <w:pStyle w:val="64"/>
        <w:spacing w:before="156" w:after="156"/>
      </w:pPr>
      <w:r>
        <w:t xml:space="preserve">第二节 </w:t>
      </w:r>
      <w:r>
        <w:rPr>
          <w:rFonts w:hint="eastAsia"/>
        </w:rPr>
        <w:t xml:space="preserve"> </w:t>
      </w:r>
      <w:r>
        <w:t>金钱给付义务的执行</w:t>
      </w:r>
    </w:p>
    <w:p>
      <w:pPr>
        <w:pStyle w:val="3"/>
        <w:topLinePunct/>
        <w:spacing w:line="420"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行政机关依法作出金钱给付义务的行政决定，当事人逾期不履行的，行政机关可以依法加处罚款或者滞纳金。加处罚款或者滞纳金的标准应当告知当事人。</w:t>
      </w:r>
    </w:p>
    <w:p>
      <w:pPr>
        <w:pStyle w:val="3"/>
        <w:topLinePunct/>
        <w:spacing w:line="420"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加处罚款或者滞纳金的数额不得超出金钱给付义务的数额。</w:t>
      </w:r>
    </w:p>
    <w:p>
      <w:pPr>
        <w:pStyle w:val="3"/>
        <w:topLinePunct/>
        <w:spacing w:line="420"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行政机关依照本法第四十五条规定实施加处罚款或者滞纳金超过三十日，经催告当事人仍不履行的，具有行政强制执行权的行政机关可以强制执行。</w:t>
      </w:r>
    </w:p>
    <w:p>
      <w:pPr>
        <w:pStyle w:val="3"/>
        <w:topLinePunct/>
        <w:spacing w:line="42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行政机关实施强制执行前，需要采取查封、扣押、冻结措施的，依照本法第三章规定办理。</w:t>
      </w:r>
    </w:p>
    <w:p>
      <w:pPr>
        <w:pStyle w:val="3"/>
        <w:topLinePunct/>
        <w:spacing w:line="420"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w:t>
      </w:r>
    </w:p>
    <w:p>
      <w:pPr>
        <w:pStyle w:val="3"/>
        <w:topLinePunct/>
        <w:spacing w:line="420"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划拨存款、汇款应当由法律规定的行政机关决定，并书面通知金融机构。金融机构接到行政机关依法作出划拨存款、汇款的决定后，应当立即划拨。</w:t>
      </w:r>
    </w:p>
    <w:p>
      <w:pPr>
        <w:pStyle w:val="3"/>
        <w:topLinePunct/>
        <w:spacing w:line="420"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法律规定以外的行政机关或者组织要求划拨当事人存款、汇款的，金融机构应当拒绝。</w:t>
      </w:r>
    </w:p>
    <w:p>
      <w:pPr>
        <w:pStyle w:val="3"/>
        <w:topLinePunct/>
        <w:spacing w:line="420"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依法拍卖财物，由行政机关委托拍卖机构依照《中华人民共和国拍卖法》的规定办理。</w:t>
      </w:r>
    </w:p>
    <w:p>
      <w:pPr>
        <w:pStyle w:val="3"/>
        <w:topLinePunct/>
        <w:spacing w:line="420"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划拨的存款、汇款以及拍卖和依法处理所得的款项应当上缴国库或者划入财政专户。任何行政机关或者个人不得以任何形式截留、私分或者变相私分。</w:t>
      </w:r>
    </w:p>
    <w:p>
      <w:pPr>
        <w:pStyle w:val="64"/>
        <w:spacing w:before="156" w:after="156"/>
      </w:pPr>
      <w:r>
        <w:t>第三节</w:t>
      </w:r>
      <w:r>
        <w:rPr>
          <w:rFonts w:hint="eastAsia"/>
        </w:rPr>
        <w:t xml:space="preserve">  </w:t>
      </w:r>
      <w:r>
        <w:t>代履行</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代履行应当遵守下列规定：</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（一）代履行前送达决定书，代履行决定书应当载明当事人的姓名或者名称、地址，代履行的理由和依据、方式和时间、标的、费用预算以及代履行人；</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（二）代履行三日前，催告当事人履行，当事人履行的，停止代履行；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（三）代履行时，作出决定的行政机关应当派员到场监督；</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（四）代履行完毕，行政机关到场监督的工作人员、代履行人和当事人或者见证人应当在执行文书上签名或者盖章。</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代履行的费用按照成本合理确定，由当事人承担。但是，法律另有规定的除外。</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代履行不得采用暴力、胁迫以及其他非法方式。</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需要立即清除道路、河道、航道或者公共场所的遗洒物、障碍物或者污染物，当事人不能清除的，行政机关可以决定立即实施代履行；当事人不在场的，行政机关应当在事后立即通知当事人，并依法作出处理。</w:t>
      </w:r>
    </w:p>
    <w:p>
      <w:pPr>
        <w:pStyle w:val="63"/>
        <w:spacing w:before="218" w:after="218" w:line="404" w:lineRule="exact"/>
        <w:rPr>
          <w:b/>
        </w:rPr>
      </w:pPr>
      <w:bookmarkStart w:id="47" w:name="_Toc301529835"/>
      <w:r>
        <w:t>第五章</w:t>
      </w:r>
      <w:r>
        <w:rPr>
          <w:rFonts w:hint="eastAsia"/>
        </w:rPr>
        <w:t xml:space="preserve"> </w:t>
      </w:r>
      <w:r>
        <w:t xml:space="preserve"> 申请人民法院强制执行</w:t>
      </w:r>
      <w:bookmarkEnd w:id="47"/>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当事人在法定期限内不申请行政复议或者提起行政诉讼，又不履行行政决定的，没有行政强制执行权的行政机关可以自期限届满之日起三个月内，依照本章规定申请人民法院强制执行。</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行政机关向人民法院申请强制执行，应当提供下列材料：</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（一）强制执行申请书；</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（二）行政决定书及作出决定的事实、理由和依据；</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（三）当事人的意见及行政机关催告情况；</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（四）申请强制执行标的情况；</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（五）法律、行政法规规定的其他材料。</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强制执行申请书应当由行政机关负责人签名，加盖行政机关的印章，并注明日期。</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人民法院接到行政机关强制执行的申请，应当在五日内受理。</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行政机关对人民法院不予受理的裁定有异议的，可以在十五日内向上一级人民法院申请复议，上一级人民法院应当自收到复议申请之日起十五日内作出是否受理的裁定。</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人民法院对行政机关强制执行的申请进行书面审查，对符合本法第五十五条规定，且行政决定具备法定执行效力的，除本法第五十八条规定的情形外，人民法院应当自受理之日起七日内作出执行裁定。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人民法院发现有下列情形之一的，在作出裁定前可以听取被执行人和行政机关的意见：</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（一）明显缺乏事实根据的；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（二）明显缺乏法律、法规依据的；</w:t>
      </w:r>
    </w:p>
    <w:p>
      <w:pPr>
        <w:pStyle w:val="3"/>
        <w:topLinePunct/>
        <w:spacing w:line="41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（三）其他明显违法并损害被执行人合法权益的。</w:t>
      </w:r>
    </w:p>
    <w:p>
      <w:pPr>
        <w:pStyle w:val="3"/>
        <w:topLinePunct/>
        <w:spacing w:line="41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人民法院应当自受理之日起三十日内作出是否执行的裁定。裁定不予执行的，应当说明理由，并在五日内将不予执行的裁定送达行政机关。</w:t>
      </w:r>
    </w:p>
    <w:p>
      <w:pPr>
        <w:pStyle w:val="3"/>
        <w:topLinePunct/>
        <w:spacing w:line="410"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行政机关对人民法院不予执行的裁定有异议的，可以自收到裁定之日起十五日内向上一级人民法院申请复议，上一级人民法院应当自收到复议申请之日起三十日内作出是否执行的裁定。</w:t>
      </w:r>
    </w:p>
    <w:p>
      <w:pPr>
        <w:pStyle w:val="3"/>
        <w:topLinePunct/>
        <w:spacing w:line="410"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因情况紧急，为保障公共安全，行政机关可以申请人民法院立即执行。经人民法院院长批准，人民法院应当自作出执行裁定之日起五日内执行。</w:t>
      </w:r>
    </w:p>
    <w:p>
      <w:pPr>
        <w:pStyle w:val="3"/>
        <w:topLinePunct/>
        <w:spacing w:line="410"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行政机关申请人民法院强制执行，不缴纳申请费。强制执行的费用由被执行人承担。</w:t>
      </w:r>
    </w:p>
    <w:p>
      <w:pPr>
        <w:pStyle w:val="3"/>
        <w:topLinePunct/>
        <w:spacing w:line="41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人民法院以划拨、拍卖方式强制执行的，可以在划拨、拍卖后将强制执行的费用扣除。</w:t>
      </w:r>
    </w:p>
    <w:p>
      <w:pPr>
        <w:pStyle w:val="3"/>
        <w:topLinePunct/>
        <w:spacing w:line="41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依法拍卖财物，由人民法院委托拍卖机构依照《中华人民共和国拍卖法》的规定办理。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划拨的存款、汇款以及拍卖和依法处理所得的款项应当上缴国库或者划入财政专户，不得以任何形式截留、私分或者变相私分。</w:t>
      </w:r>
    </w:p>
    <w:p>
      <w:pPr>
        <w:pStyle w:val="63"/>
        <w:spacing w:before="218" w:after="218"/>
        <w:rPr>
          <w:b/>
        </w:rPr>
      </w:pPr>
      <w:bookmarkStart w:id="48" w:name="_Toc301529836"/>
      <w:r>
        <w:t>第六章</w:t>
      </w:r>
      <w:r>
        <w:rPr>
          <w:rFonts w:hint="eastAsia"/>
        </w:rPr>
        <w:t xml:space="preserve"> </w:t>
      </w:r>
      <w:r>
        <w:t xml:space="preserve"> 法律责任</w:t>
      </w:r>
      <w:bookmarkEnd w:id="48"/>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行政机关实施行政强制，有下列情形之一的，由上级行政机关或者有关部门责令改正，对直接负责的主管人员和其他直接责任人员依法给予处分：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（一）没有法律、法规依据的；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（二）改变行政强制对象、条件、方式的；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（三）违反法定程序实施行政强制的；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（四）违反本法规定，在夜间或者法定节假日实施行政强制执行的；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（五）对居民生活采取停止供水、供电、供热、供燃气等方式迫使当事人履行相关行政决定的；</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（六）有其他违法实施行政强制情形的。</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违反本法规定，行政机关有下列情形之一的，由上级行政机关或者有关部门责令改正，对直接负责的主管人员和其他直接责任人员依法给予处分：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（一）扩大查封、扣押、冻结范围的；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（二）使用或者损毁查封、扣押场所、设施或者财物的；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（三）在查封、扣押法定期间不作出处理决定或者未依法及时解除查封、扣押的；</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（四）在冻结存款、汇款法定期间不作出处理决定或者未依法及时解除冻结的。</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行政机关工作人员利用职务上的便利，将查封、扣押的场所、设施或者财物据为己有的，由上级行政机关或者有关部门责令改正，依法给予记大过、降级、撤职或者开除的处分。</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行政机关及其工作人员利用行政强制权为单位或者个人谋取利益的，由上级行政机关或者有关部门责令改正，对直接负责的主管人员和其他直接责任人员依法给予处分。</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违反本法规定，金融机构有下列行为之一的，由金融业监督管理机构责令改正，对直接负责的主管人员和其他直接责任人员依法给予处分：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（一）在冻结前向当事人泄露信息的；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（二）对应当立即冻结、划拨的存款、汇款不冻结或者不划拨，致使存款、汇款转移的；</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（三）将不应当冻结、划拨的存款、汇款予以冻结或者划拨的；</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（四）未及时解除冻结存款、汇款的。</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违反本法规定，金融机构将款项划入国库或者财政专户以外的其他账户的，由金融业监督管理机构责令改正，并处以违法划拨款项二倍的罚款；对直接负责的主管人员和其他直接责任人员依法给予处分。</w:t>
      </w:r>
    </w:p>
    <w:p>
      <w:pPr>
        <w:pStyle w:val="3"/>
        <w:topLinePunct/>
        <w:spacing w:line="41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w:t>
      </w:r>
      <w:r>
        <w:rPr>
          <w:rFonts w:asciiTheme="minorEastAsia" w:hAnsiTheme="minorEastAsia" w:eastAsiaTheme="minorEastAsia"/>
          <w:spacing w:val="-4"/>
          <w:sz w:val="24"/>
          <w:szCs w:val="24"/>
        </w:rPr>
        <w:t>本法规定，行政机关、人民法院指令金融机构将款项划入国库或者财政专户以外的其他账户的，对直接负责的主管人员和其他直接责任人员依法给予处分。</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人民法院及其工作人员在强制执行中有违法行为或者扩大强制执行范围的，对直接负责的主管人员和其他直接责任人员依法给予处分。</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违反本法规定，给公民、法人或者其他组织造成损失的，依法给予赔偿。</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违反本法规定，构成犯罪的，依法追究刑事责任。</w:t>
      </w:r>
    </w:p>
    <w:p>
      <w:pPr>
        <w:pStyle w:val="63"/>
        <w:spacing w:before="218" w:after="218"/>
        <w:rPr>
          <w:b/>
        </w:rPr>
      </w:pPr>
      <w:bookmarkStart w:id="49" w:name="_Toc301529837"/>
      <w:r>
        <w:t xml:space="preserve">第七章 </w:t>
      </w:r>
      <w:r>
        <w:rPr>
          <w:rFonts w:hint="eastAsia"/>
        </w:rPr>
        <w:t xml:space="preserve"> </w:t>
      </w:r>
      <w:r>
        <w:t>附则</w:t>
      </w:r>
      <w:bookmarkEnd w:id="49"/>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本法中十日以内期限的规定是指工作日，不含法定节假日。</w:t>
      </w:r>
    </w:p>
    <w:p>
      <w:pPr>
        <w:pStyle w:val="3"/>
        <w:topLinePunct/>
        <w:spacing w:line="41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法律、行政法规授权的具有管理公共事务职能的组织在法定授权范围内，以自己的名义实施行政强制，适用本法有关行政机关的规定。</w:t>
      </w:r>
    </w:p>
    <w:p>
      <w:pPr>
        <w:pStyle w:val="3"/>
        <w:topLinePunct/>
        <w:spacing w:line="41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本法自</w:t>
      </w:r>
      <w:r>
        <w:rPr>
          <w:rFonts w:hint="eastAsia" w:asciiTheme="minorEastAsia" w:hAnsiTheme="minorEastAsia" w:eastAsiaTheme="minorEastAsia"/>
          <w:sz w:val="24"/>
          <w:szCs w:val="24"/>
        </w:rPr>
        <w:t>2012</w:t>
      </w:r>
      <w:r>
        <w:rPr>
          <w:rFonts w:asciiTheme="minorEastAsia" w:hAnsiTheme="minorEastAsia" w:eastAsiaTheme="minorEastAsia"/>
          <w:sz w:val="24"/>
          <w:szCs w:val="24"/>
        </w:rPr>
        <w:t>年</w:t>
      </w:r>
      <w:r>
        <w:rPr>
          <w:rFonts w:hint="eastAsia" w:asciiTheme="minorEastAsia" w:hAnsiTheme="minorEastAsia" w:eastAsiaTheme="minorEastAsia"/>
          <w:sz w:val="24"/>
          <w:szCs w:val="24"/>
        </w:rPr>
        <w:t>1</w:t>
      </w:r>
      <w:r>
        <w:rPr>
          <w:rFonts w:asciiTheme="minorEastAsia" w:hAnsiTheme="minorEastAsia" w:eastAsiaTheme="minorEastAsia"/>
          <w:sz w:val="24"/>
          <w:szCs w:val="24"/>
        </w:rPr>
        <w:t>月</w:t>
      </w:r>
      <w:r>
        <w:rPr>
          <w:rFonts w:hint="eastAsia" w:asciiTheme="minorEastAsia" w:hAnsiTheme="minorEastAsia" w:eastAsiaTheme="minorEastAsia"/>
          <w:sz w:val="24"/>
          <w:szCs w:val="24"/>
        </w:rPr>
        <w:t>1</w:t>
      </w:r>
      <w:r>
        <w:rPr>
          <w:rFonts w:asciiTheme="minorEastAsia" w:hAnsiTheme="minorEastAsia" w:eastAsiaTheme="minorEastAsia"/>
          <w:sz w:val="24"/>
          <w:szCs w:val="24"/>
        </w:rPr>
        <w:t>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shd w:val="clear" w:color="auto" w:fill="FFFFFF"/>
        </w:rPr>
      </w:pPr>
      <w:bookmarkStart w:id="50" w:name="_Toc25394575"/>
    </w:p>
    <w:bookmarkEnd w:id="50"/>
    <w:p>
      <w:pPr>
        <w:pStyle w:val="61"/>
      </w:pPr>
      <w:bookmarkStart w:id="51" w:name="_Toc25653641"/>
      <w:bookmarkStart w:id="52" w:name="_Toc28156930"/>
      <w:bookmarkStart w:id="53" w:name="_Toc28250857"/>
      <w:bookmarkStart w:id="54" w:name="_Toc26347908"/>
      <w:bookmarkStart w:id="55" w:name="_Toc25648146"/>
      <w:bookmarkStart w:id="56" w:name="_Toc28252127"/>
      <w:r>
        <w:rPr>
          <w:shd w:val="clear" w:color="auto" w:fill="FFFFFF"/>
        </w:rPr>
        <w:t>中华人民共和国行政许可法</w:t>
      </w:r>
      <w:bookmarkEnd w:id="51"/>
      <w:bookmarkEnd w:id="52"/>
      <w:bookmarkEnd w:id="53"/>
      <w:bookmarkEnd w:id="54"/>
      <w:bookmarkEnd w:id="55"/>
      <w:bookmarkEnd w:id="56"/>
    </w:p>
    <w:p>
      <w:pPr>
        <w:pStyle w:val="62"/>
      </w:pPr>
      <w:r>
        <w:rPr>
          <w:rFonts w:hint="eastAsia"/>
        </w:rPr>
        <w:t>（</w:t>
      </w:r>
      <w:r>
        <w:t>2003</w:t>
      </w:r>
      <w:r>
        <w:rPr>
          <w:spacing w:val="-4"/>
        </w:rPr>
        <w:t>年8月27日第十届全国人民代表大会常务委员会第四次会议通过</w:t>
      </w:r>
      <w:r>
        <w:rPr>
          <w:rFonts w:hint="eastAsia"/>
          <w:spacing w:val="-4"/>
        </w:rPr>
        <w:t>，</w:t>
      </w:r>
      <w:r>
        <w:t>根据2019年4月23日第十三届全国人民代表大会常务委员会第十次会议《关于修改〈中华人民共和国建筑法〉等八部法律的决定》修正</w:t>
      </w:r>
      <w:r>
        <w:rPr>
          <w:rFonts w:hint="eastAsia"/>
        </w:rPr>
        <w:t>）</w:t>
      </w:r>
    </w:p>
    <w:p>
      <w:pPr>
        <w:pStyle w:val="63"/>
        <w:spacing w:before="218" w:after="218"/>
        <w:rPr>
          <w:rFonts w:ascii="宋体" w:hAnsi="宋体"/>
          <w:kern w:val="0"/>
        </w:rPr>
      </w:pPr>
      <w:r>
        <w:rPr>
          <w:rFonts w:hint="eastAsia"/>
          <w:kern w:val="0"/>
        </w:rPr>
        <w:t>第一章  总  则</w:t>
      </w:r>
    </w:p>
    <w:p>
      <w:pPr>
        <w:pStyle w:val="3"/>
        <w:topLinePunct/>
        <w:spacing w:line="410" w:lineRule="exact"/>
        <w:ind w:firstLine="482"/>
        <w:rPr>
          <w:kern w:val="0"/>
          <w:sz w:val="24"/>
          <w:szCs w:val="24"/>
        </w:rPr>
      </w:pPr>
      <w:r>
        <w:rPr>
          <w:rFonts w:hint="eastAsia"/>
          <w:b/>
          <w:bCs/>
          <w:kern w:val="0"/>
          <w:sz w:val="24"/>
          <w:szCs w:val="24"/>
        </w:rPr>
        <w:t>第一条</w:t>
      </w:r>
      <w:r>
        <w:rPr>
          <w:rFonts w:hint="eastAsia"/>
          <w:kern w:val="0"/>
          <w:sz w:val="24"/>
          <w:szCs w:val="24"/>
        </w:rPr>
        <w:t xml:space="preserve">  为了规范行政许可的设定和实施，保护公民、法人和其他组织的合法权益，维护公共利益和社会秩序，保障和监督行政机关有效实施行政管理，根据宪法，制定本法。</w:t>
      </w:r>
    </w:p>
    <w:p>
      <w:pPr>
        <w:pStyle w:val="3"/>
        <w:topLinePunct/>
        <w:spacing w:line="410" w:lineRule="exact"/>
        <w:ind w:firstLine="482"/>
        <w:rPr>
          <w:kern w:val="0"/>
          <w:sz w:val="24"/>
          <w:szCs w:val="24"/>
        </w:rPr>
      </w:pPr>
      <w:r>
        <w:rPr>
          <w:rFonts w:hint="eastAsia"/>
          <w:b/>
          <w:bCs/>
          <w:kern w:val="0"/>
          <w:sz w:val="24"/>
          <w:szCs w:val="24"/>
        </w:rPr>
        <w:t>第二条</w:t>
      </w:r>
      <w:r>
        <w:rPr>
          <w:rFonts w:hint="eastAsia"/>
          <w:kern w:val="0"/>
          <w:sz w:val="24"/>
          <w:szCs w:val="24"/>
        </w:rPr>
        <w:t xml:space="preserve">  本法所称行政许可，是指行政机关根据公民、法人或者其他组织的申请，经依法审查，准予其从事特定活动的行为。</w:t>
      </w:r>
    </w:p>
    <w:p>
      <w:pPr>
        <w:pStyle w:val="3"/>
        <w:topLinePunct/>
        <w:spacing w:line="410" w:lineRule="exact"/>
        <w:ind w:firstLine="482"/>
        <w:rPr>
          <w:kern w:val="0"/>
          <w:sz w:val="24"/>
          <w:szCs w:val="24"/>
        </w:rPr>
      </w:pPr>
      <w:r>
        <w:rPr>
          <w:rFonts w:hint="eastAsia"/>
          <w:b/>
          <w:bCs/>
          <w:kern w:val="0"/>
          <w:sz w:val="24"/>
          <w:szCs w:val="24"/>
        </w:rPr>
        <w:t>第三条</w:t>
      </w:r>
      <w:r>
        <w:rPr>
          <w:rFonts w:hint="eastAsia"/>
          <w:kern w:val="0"/>
          <w:sz w:val="24"/>
          <w:szCs w:val="24"/>
        </w:rPr>
        <w:t xml:space="preserve">  行政许可的设定和实施，适用本法。</w:t>
      </w:r>
    </w:p>
    <w:p>
      <w:pPr>
        <w:pStyle w:val="3"/>
        <w:topLinePunct/>
        <w:spacing w:line="410" w:lineRule="exact"/>
        <w:ind w:firstLine="480"/>
        <w:rPr>
          <w:kern w:val="0"/>
          <w:sz w:val="24"/>
          <w:szCs w:val="24"/>
        </w:rPr>
      </w:pPr>
      <w:r>
        <w:rPr>
          <w:rFonts w:hint="eastAsia"/>
          <w:kern w:val="0"/>
          <w:sz w:val="24"/>
          <w:szCs w:val="24"/>
        </w:rPr>
        <w:t>有关行政机关对其他机关或者对其直接管理的事业单位的人事、财务、外事等事项的审批，不适用本法。</w:t>
      </w:r>
    </w:p>
    <w:p>
      <w:pPr>
        <w:pStyle w:val="3"/>
        <w:topLinePunct/>
        <w:spacing w:line="400" w:lineRule="exact"/>
        <w:ind w:firstLine="482"/>
        <w:rPr>
          <w:kern w:val="0"/>
          <w:sz w:val="24"/>
          <w:szCs w:val="24"/>
        </w:rPr>
      </w:pPr>
      <w:r>
        <w:rPr>
          <w:rFonts w:hint="eastAsia"/>
          <w:b/>
          <w:bCs/>
          <w:kern w:val="0"/>
          <w:sz w:val="24"/>
          <w:szCs w:val="24"/>
        </w:rPr>
        <w:t>第四条</w:t>
      </w:r>
      <w:r>
        <w:rPr>
          <w:rFonts w:hint="eastAsia"/>
          <w:kern w:val="0"/>
          <w:sz w:val="24"/>
          <w:szCs w:val="24"/>
        </w:rPr>
        <w:t xml:space="preserve">  设定和实施行政许可，应当依照法定的权限、范围、条件和程序。</w:t>
      </w:r>
    </w:p>
    <w:p>
      <w:pPr>
        <w:pStyle w:val="3"/>
        <w:topLinePunct/>
        <w:spacing w:line="400" w:lineRule="exact"/>
        <w:ind w:firstLine="482"/>
        <w:rPr>
          <w:kern w:val="0"/>
          <w:sz w:val="24"/>
          <w:szCs w:val="24"/>
        </w:rPr>
      </w:pPr>
      <w:r>
        <w:rPr>
          <w:rFonts w:hint="eastAsia"/>
          <w:b/>
          <w:bCs/>
          <w:kern w:val="0"/>
          <w:sz w:val="24"/>
          <w:szCs w:val="24"/>
        </w:rPr>
        <w:t>第五条</w:t>
      </w:r>
      <w:r>
        <w:rPr>
          <w:rFonts w:hint="eastAsia"/>
          <w:kern w:val="0"/>
          <w:sz w:val="24"/>
          <w:szCs w:val="24"/>
        </w:rPr>
        <w:t xml:space="preserve">  设定和实施行政许可，应当遵循公开、公平、公正、非歧视的原则。</w:t>
      </w:r>
    </w:p>
    <w:p>
      <w:pPr>
        <w:pStyle w:val="3"/>
        <w:topLinePunct/>
        <w:spacing w:line="400" w:lineRule="exact"/>
        <w:ind w:firstLine="480"/>
        <w:rPr>
          <w:kern w:val="0"/>
          <w:sz w:val="24"/>
          <w:szCs w:val="24"/>
        </w:rPr>
      </w:pPr>
      <w:r>
        <w:rPr>
          <w:rFonts w:hint="eastAsia"/>
          <w:kern w:val="0"/>
          <w:sz w:val="24"/>
          <w:szCs w:val="24"/>
        </w:rPr>
        <w:t>有关行政许可的规定应当公布；未经公布的，不得作为实施行政许可的依据。行政许可的实施和结果，除涉及国家秘密、商业秘密或者个人隐私的外，应当公开。未经申请人同意，行政机关及其工作人员、参与专家评审等的人员不得披露申请人提交的商业秘密、未披露信息或者保密商务信息，法律另有规定或者涉及国家安全、重大社会公共利益的除外；行政机关依法公开申请人前述信息的，允许申请人在合理期限内提出异议。</w:t>
      </w:r>
    </w:p>
    <w:p>
      <w:pPr>
        <w:pStyle w:val="3"/>
        <w:topLinePunct/>
        <w:spacing w:line="400" w:lineRule="exact"/>
        <w:ind w:firstLine="480"/>
        <w:rPr>
          <w:kern w:val="0"/>
          <w:sz w:val="24"/>
          <w:szCs w:val="24"/>
        </w:rPr>
      </w:pPr>
      <w:r>
        <w:rPr>
          <w:rFonts w:hint="eastAsia"/>
          <w:kern w:val="0"/>
          <w:sz w:val="24"/>
          <w:szCs w:val="24"/>
        </w:rPr>
        <w:t>符合法定条件、标准的，申请人有依法取得行政许可的平等权利，行政机关不得歧视任何人。</w:t>
      </w:r>
    </w:p>
    <w:p>
      <w:pPr>
        <w:pStyle w:val="3"/>
        <w:topLinePunct/>
        <w:spacing w:line="400" w:lineRule="exact"/>
        <w:ind w:firstLine="482"/>
        <w:rPr>
          <w:kern w:val="0"/>
          <w:sz w:val="24"/>
          <w:szCs w:val="24"/>
        </w:rPr>
      </w:pPr>
      <w:r>
        <w:rPr>
          <w:rFonts w:hint="eastAsia"/>
          <w:b/>
          <w:bCs/>
          <w:kern w:val="0"/>
          <w:sz w:val="24"/>
          <w:szCs w:val="24"/>
        </w:rPr>
        <w:t>第六条</w:t>
      </w:r>
      <w:r>
        <w:rPr>
          <w:rFonts w:hint="eastAsia"/>
          <w:kern w:val="0"/>
          <w:sz w:val="24"/>
          <w:szCs w:val="24"/>
        </w:rPr>
        <w:t xml:space="preserve">  实施行政许可，应当遵循便民的原则，提高办事效率，提供优质服务。</w:t>
      </w:r>
    </w:p>
    <w:p>
      <w:pPr>
        <w:pStyle w:val="3"/>
        <w:topLinePunct/>
        <w:spacing w:line="400" w:lineRule="exact"/>
        <w:ind w:firstLine="482"/>
        <w:rPr>
          <w:kern w:val="0"/>
          <w:sz w:val="24"/>
          <w:szCs w:val="24"/>
        </w:rPr>
      </w:pPr>
      <w:r>
        <w:rPr>
          <w:rFonts w:hint="eastAsia"/>
          <w:b/>
          <w:bCs/>
          <w:kern w:val="0"/>
          <w:sz w:val="24"/>
          <w:szCs w:val="24"/>
        </w:rPr>
        <w:t>第七条</w:t>
      </w:r>
      <w:r>
        <w:rPr>
          <w:rFonts w:hint="eastAsia"/>
          <w:kern w:val="0"/>
          <w:sz w:val="24"/>
          <w:szCs w:val="24"/>
        </w:rPr>
        <w:t xml:space="preserve">  公民、法人或者其他组织对行政机关实施行政许可，享有陈述权、申辩权；有权依法申请行政复议或者提起行政诉讼；其合法权益因行政机关违法实施行政许可受到损害的，有权依法要求赔偿。</w:t>
      </w:r>
    </w:p>
    <w:p>
      <w:pPr>
        <w:pStyle w:val="3"/>
        <w:topLinePunct/>
        <w:spacing w:line="410" w:lineRule="exact"/>
        <w:ind w:firstLine="482"/>
        <w:rPr>
          <w:kern w:val="0"/>
          <w:sz w:val="24"/>
          <w:szCs w:val="24"/>
        </w:rPr>
      </w:pPr>
      <w:r>
        <w:rPr>
          <w:rFonts w:hint="eastAsia"/>
          <w:b/>
          <w:bCs/>
          <w:kern w:val="0"/>
          <w:sz w:val="24"/>
          <w:szCs w:val="24"/>
        </w:rPr>
        <w:t>第八条</w:t>
      </w:r>
      <w:r>
        <w:rPr>
          <w:rFonts w:hint="eastAsia"/>
          <w:kern w:val="0"/>
          <w:sz w:val="24"/>
          <w:szCs w:val="24"/>
        </w:rPr>
        <w:t xml:space="preserve">  公民、法人或者其他组织依法取得的行政许可受法律保护，行政机关不得擅自改变已经生效的行政许可。</w:t>
      </w:r>
    </w:p>
    <w:p>
      <w:pPr>
        <w:pStyle w:val="3"/>
        <w:topLinePunct/>
        <w:spacing w:line="410" w:lineRule="exact"/>
        <w:ind w:firstLine="480"/>
        <w:rPr>
          <w:kern w:val="0"/>
          <w:sz w:val="24"/>
          <w:szCs w:val="24"/>
        </w:rPr>
      </w:pPr>
      <w:r>
        <w:rPr>
          <w:rFonts w:hint="eastAsia"/>
          <w:kern w:val="0"/>
          <w:sz w:val="24"/>
          <w:szCs w:val="24"/>
        </w:rPr>
        <w:t>行政许可所依据的法律、法规、规章修改或者废止，或者准予行政许可所依据的客观情况发生重大变化的，为了公共利益的需要，行政机关可以依法变更或者撤回已经生效的行政许可。由此给公民、法人或者其他组织造成财产损失的，行政机关应当依法给予补偿。</w:t>
      </w:r>
    </w:p>
    <w:p>
      <w:pPr>
        <w:pStyle w:val="3"/>
        <w:topLinePunct/>
        <w:spacing w:line="410" w:lineRule="exact"/>
        <w:ind w:firstLine="482"/>
        <w:rPr>
          <w:kern w:val="0"/>
          <w:sz w:val="24"/>
          <w:szCs w:val="24"/>
        </w:rPr>
      </w:pPr>
      <w:r>
        <w:rPr>
          <w:rFonts w:hint="eastAsia"/>
          <w:b/>
          <w:bCs/>
          <w:kern w:val="0"/>
          <w:sz w:val="24"/>
          <w:szCs w:val="24"/>
        </w:rPr>
        <w:t>第九条</w:t>
      </w:r>
      <w:r>
        <w:rPr>
          <w:rFonts w:hint="eastAsia"/>
          <w:kern w:val="0"/>
          <w:sz w:val="24"/>
          <w:szCs w:val="24"/>
        </w:rPr>
        <w:t xml:space="preserve">  依法取得的行政许可，除法律、法规规定依照法定条件和程序可以转让的外，不得转让。</w:t>
      </w:r>
    </w:p>
    <w:p>
      <w:pPr>
        <w:pStyle w:val="3"/>
        <w:topLinePunct/>
        <w:spacing w:line="410" w:lineRule="exact"/>
        <w:ind w:firstLine="482"/>
        <w:rPr>
          <w:kern w:val="0"/>
          <w:sz w:val="24"/>
          <w:szCs w:val="24"/>
        </w:rPr>
      </w:pPr>
      <w:r>
        <w:rPr>
          <w:rFonts w:hint="eastAsia"/>
          <w:b/>
          <w:bCs/>
          <w:kern w:val="0"/>
          <w:sz w:val="24"/>
          <w:szCs w:val="24"/>
        </w:rPr>
        <w:t>第十条</w:t>
      </w:r>
      <w:r>
        <w:rPr>
          <w:rFonts w:hint="eastAsia"/>
          <w:kern w:val="0"/>
          <w:sz w:val="24"/>
          <w:szCs w:val="24"/>
        </w:rPr>
        <w:t xml:space="preserve">  县级以上人民政府应当建立健全对行政机关实施行政许可的监督制度，加强对行政机关实施行政许可的监督检查。</w:t>
      </w:r>
    </w:p>
    <w:p>
      <w:pPr>
        <w:pStyle w:val="3"/>
        <w:topLinePunct/>
        <w:spacing w:line="410" w:lineRule="exact"/>
        <w:ind w:firstLine="480"/>
        <w:rPr>
          <w:kern w:val="0"/>
          <w:sz w:val="24"/>
          <w:szCs w:val="24"/>
        </w:rPr>
      </w:pPr>
      <w:r>
        <w:rPr>
          <w:rFonts w:hint="eastAsia"/>
          <w:kern w:val="0"/>
          <w:sz w:val="24"/>
          <w:szCs w:val="24"/>
        </w:rPr>
        <w:t>行政机关应当对公民、法人或者其他组织从事行政许可事项的活动实施有效监督。</w:t>
      </w:r>
    </w:p>
    <w:p>
      <w:pPr>
        <w:pStyle w:val="63"/>
        <w:spacing w:before="218" w:after="218"/>
        <w:rPr>
          <w:rFonts w:ascii="宋体" w:hAnsi="宋体"/>
          <w:kern w:val="0"/>
        </w:rPr>
      </w:pPr>
      <w:r>
        <w:rPr>
          <w:rFonts w:hint="eastAsia"/>
          <w:kern w:val="0"/>
        </w:rPr>
        <w:t>第二章  行政许可的设定</w:t>
      </w:r>
    </w:p>
    <w:p>
      <w:pPr>
        <w:pStyle w:val="3"/>
        <w:topLinePunct/>
        <w:spacing w:line="410" w:lineRule="exact"/>
        <w:ind w:firstLine="482"/>
        <w:rPr>
          <w:kern w:val="0"/>
          <w:sz w:val="24"/>
          <w:szCs w:val="24"/>
        </w:rPr>
      </w:pPr>
      <w:r>
        <w:rPr>
          <w:rFonts w:hint="eastAsia"/>
          <w:b/>
          <w:bCs/>
          <w:kern w:val="0"/>
          <w:sz w:val="24"/>
          <w:szCs w:val="24"/>
        </w:rPr>
        <w:t>第十一条</w:t>
      </w:r>
      <w:r>
        <w:rPr>
          <w:rFonts w:hint="eastAsia"/>
          <w:kern w:val="0"/>
          <w:sz w:val="24"/>
          <w:szCs w:val="24"/>
        </w:rPr>
        <w:t xml:space="preserve">  设定行政许可，应当遵循经济和社会发展规律，有利于发挥公民、法人或者其他组织的积极性、主动性，维护公共利益和社会秩序，促进经济、社会和生态环境协调发展。</w:t>
      </w:r>
    </w:p>
    <w:p>
      <w:pPr>
        <w:pStyle w:val="3"/>
        <w:topLinePunct/>
        <w:spacing w:line="410" w:lineRule="exact"/>
        <w:ind w:firstLine="482"/>
        <w:rPr>
          <w:kern w:val="0"/>
          <w:sz w:val="24"/>
          <w:szCs w:val="24"/>
        </w:rPr>
      </w:pPr>
      <w:r>
        <w:rPr>
          <w:rFonts w:hint="eastAsia"/>
          <w:b/>
          <w:bCs/>
          <w:kern w:val="0"/>
          <w:sz w:val="24"/>
          <w:szCs w:val="24"/>
        </w:rPr>
        <w:t>第十二条</w:t>
      </w:r>
      <w:r>
        <w:rPr>
          <w:rFonts w:hint="eastAsia"/>
          <w:kern w:val="0"/>
          <w:sz w:val="24"/>
          <w:szCs w:val="24"/>
        </w:rPr>
        <w:t xml:space="preserve">  下列事项可以设定行政许可：</w:t>
      </w:r>
    </w:p>
    <w:p>
      <w:pPr>
        <w:pStyle w:val="3"/>
        <w:topLinePunct/>
        <w:spacing w:line="410" w:lineRule="exact"/>
        <w:ind w:firstLine="480"/>
        <w:rPr>
          <w:kern w:val="0"/>
          <w:sz w:val="24"/>
          <w:szCs w:val="24"/>
        </w:rPr>
      </w:pPr>
      <w:r>
        <w:rPr>
          <w:rFonts w:hint="eastAsia"/>
          <w:kern w:val="0"/>
          <w:sz w:val="24"/>
          <w:szCs w:val="24"/>
        </w:rPr>
        <w:t>（一）直接涉及国家安全、公共安全、经济宏观调控、生态环境保护以及直接关系人身健康、生命财产安全等特定活动，需要按照法定条件予以批准的事项；</w:t>
      </w:r>
    </w:p>
    <w:p>
      <w:pPr>
        <w:pStyle w:val="3"/>
        <w:topLinePunct/>
        <w:spacing w:line="410" w:lineRule="exact"/>
        <w:ind w:firstLine="480"/>
        <w:rPr>
          <w:kern w:val="0"/>
          <w:sz w:val="24"/>
          <w:szCs w:val="24"/>
        </w:rPr>
      </w:pPr>
      <w:r>
        <w:rPr>
          <w:rFonts w:hint="eastAsia"/>
          <w:kern w:val="0"/>
          <w:sz w:val="24"/>
          <w:szCs w:val="24"/>
        </w:rPr>
        <w:t>（二）有限自然资源开发利用、公共资源配置以及直接关系公共利益的特定行业的市场准入等，需要赋予特定权利的事项；</w:t>
      </w:r>
    </w:p>
    <w:p>
      <w:pPr>
        <w:pStyle w:val="3"/>
        <w:topLinePunct/>
        <w:spacing w:line="410" w:lineRule="exact"/>
        <w:ind w:firstLine="480"/>
        <w:rPr>
          <w:kern w:val="0"/>
          <w:sz w:val="24"/>
          <w:szCs w:val="24"/>
        </w:rPr>
      </w:pPr>
      <w:r>
        <w:rPr>
          <w:rFonts w:hint="eastAsia"/>
          <w:kern w:val="0"/>
          <w:sz w:val="24"/>
          <w:szCs w:val="24"/>
        </w:rPr>
        <w:t>（三）提供公众服务并且直接关系公共利益的职业、行业，需要确定具备特殊信誉、特殊条件或者特殊技能等资格、资质的事项；</w:t>
      </w:r>
    </w:p>
    <w:p>
      <w:pPr>
        <w:pStyle w:val="3"/>
        <w:topLinePunct/>
        <w:spacing w:line="410" w:lineRule="exact"/>
        <w:ind w:firstLine="480"/>
        <w:rPr>
          <w:kern w:val="0"/>
          <w:sz w:val="24"/>
          <w:szCs w:val="24"/>
        </w:rPr>
      </w:pPr>
      <w:r>
        <w:rPr>
          <w:rFonts w:hint="eastAsia"/>
          <w:kern w:val="0"/>
          <w:sz w:val="24"/>
          <w:szCs w:val="24"/>
        </w:rPr>
        <w:t>（四）直接关系公共安全、人身健康、生命财产安全的重要设备、设施、产品、物品，需要按照技术标准、技术规范，通过检验、检测、检疫等方式进行审定的事项；</w:t>
      </w:r>
    </w:p>
    <w:p>
      <w:pPr>
        <w:pStyle w:val="3"/>
        <w:topLinePunct/>
        <w:spacing w:line="410" w:lineRule="exact"/>
        <w:ind w:firstLine="480"/>
        <w:rPr>
          <w:kern w:val="0"/>
          <w:sz w:val="24"/>
          <w:szCs w:val="24"/>
        </w:rPr>
      </w:pPr>
      <w:r>
        <w:rPr>
          <w:rFonts w:hint="eastAsia"/>
          <w:kern w:val="0"/>
          <w:sz w:val="24"/>
          <w:szCs w:val="24"/>
        </w:rPr>
        <w:t>（五）企业或者其他组织的设立等，需要确定主体资格的事项；</w:t>
      </w:r>
    </w:p>
    <w:p>
      <w:pPr>
        <w:pStyle w:val="3"/>
        <w:topLinePunct/>
        <w:spacing w:line="410" w:lineRule="exact"/>
        <w:ind w:firstLine="480"/>
        <w:rPr>
          <w:kern w:val="0"/>
          <w:sz w:val="24"/>
          <w:szCs w:val="24"/>
        </w:rPr>
      </w:pPr>
      <w:r>
        <w:rPr>
          <w:rFonts w:hint="eastAsia"/>
          <w:kern w:val="0"/>
          <w:sz w:val="24"/>
          <w:szCs w:val="24"/>
        </w:rPr>
        <w:t>（六）法律、行政法规规定可以设定行政许可的其他事项。</w:t>
      </w:r>
    </w:p>
    <w:p>
      <w:pPr>
        <w:pStyle w:val="3"/>
        <w:topLinePunct/>
        <w:spacing w:line="410" w:lineRule="exact"/>
        <w:ind w:firstLine="482"/>
        <w:rPr>
          <w:kern w:val="0"/>
          <w:sz w:val="24"/>
          <w:szCs w:val="24"/>
        </w:rPr>
      </w:pPr>
      <w:r>
        <w:rPr>
          <w:rFonts w:hint="eastAsia"/>
          <w:b/>
          <w:bCs/>
          <w:kern w:val="0"/>
          <w:sz w:val="24"/>
          <w:szCs w:val="24"/>
        </w:rPr>
        <w:t>第十三条</w:t>
      </w:r>
      <w:r>
        <w:rPr>
          <w:rFonts w:hint="eastAsia"/>
          <w:kern w:val="0"/>
          <w:sz w:val="24"/>
          <w:szCs w:val="24"/>
        </w:rPr>
        <w:t xml:space="preserve">  本法第十二条所列事项，通过下列方式能够予以规范的，可以不设行政许可：</w:t>
      </w:r>
    </w:p>
    <w:p>
      <w:pPr>
        <w:pStyle w:val="3"/>
        <w:topLinePunct/>
        <w:spacing w:line="410" w:lineRule="exact"/>
        <w:ind w:firstLine="480"/>
        <w:rPr>
          <w:kern w:val="0"/>
          <w:sz w:val="24"/>
          <w:szCs w:val="24"/>
        </w:rPr>
      </w:pPr>
      <w:r>
        <w:rPr>
          <w:rFonts w:hint="eastAsia"/>
          <w:kern w:val="0"/>
          <w:sz w:val="24"/>
          <w:szCs w:val="24"/>
        </w:rPr>
        <w:t>（一）公民、法人或者其他组织能够自主决定的；</w:t>
      </w:r>
    </w:p>
    <w:p>
      <w:pPr>
        <w:pStyle w:val="3"/>
        <w:topLinePunct/>
        <w:spacing w:line="410" w:lineRule="exact"/>
        <w:ind w:firstLine="480"/>
        <w:rPr>
          <w:kern w:val="0"/>
          <w:sz w:val="24"/>
          <w:szCs w:val="24"/>
        </w:rPr>
      </w:pPr>
      <w:r>
        <w:rPr>
          <w:rFonts w:hint="eastAsia"/>
          <w:kern w:val="0"/>
          <w:sz w:val="24"/>
          <w:szCs w:val="24"/>
        </w:rPr>
        <w:t>（二）市场竞争机制能够有效调节的；</w:t>
      </w:r>
    </w:p>
    <w:p>
      <w:pPr>
        <w:pStyle w:val="3"/>
        <w:topLinePunct/>
        <w:spacing w:line="410" w:lineRule="exact"/>
        <w:ind w:firstLine="480"/>
        <w:rPr>
          <w:kern w:val="0"/>
          <w:sz w:val="24"/>
          <w:szCs w:val="24"/>
        </w:rPr>
      </w:pPr>
      <w:r>
        <w:rPr>
          <w:rFonts w:hint="eastAsia"/>
          <w:kern w:val="0"/>
          <w:sz w:val="24"/>
          <w:szCs w:val="24"/>
        </w:rPr>
        <w:t>（三）行业组织或者中介机构能够自律管理的；</w:t>
      </w:r>
    </w:p>
    <w:p>
      <w:pPr>
        <w:pStyle w:val="3"/>
        <w:topLinePunct/>
        <w:spacing w:line="410" w:lineRule="exact"/>
        <w:ind w:firstLine="480"/>
        <w:rPr>
          <w:kern w:val="0"/>
          <w:sz w:val="24"/>
          <w:szCs w:val="24"/>
        </w:rPr>
      </w:pPr>
      <w:r>
        <w:rPr>
          <w:rFonts w:hint="eastAsia"/>
          <w:kern w:val="0"/>
          <w:sz w:val="24"/>
          <w:szCs w:val="24"/>
        </w:rPr>
        <w:t>（四）行政机关采用事后监督等其他行政管理方式能够解决的。</w:t>
      </w:r>
    </w:p>
    <w:p>
      <w:pPr>
        <w:pStyle w:val="3"/>
        <w:topLinePunct/>
        <w:spacing w:line="410" w:lineRule="exact"/>
        <w:ind w:firstLine="482"/>
        <w:rPr>
          <w:kern w:val="0"/>
          <w:sz w:val="24"/>
          <w:szCs w:val="24"/>
        </w:rPr>
      </w:pPr>
      <w:r>
        <w:rPr>
          <w:rFonts w:hint="eastAsia"/>
          <w:b/>
          <w:bCs/>
          <w:kern w:val="0"/>
          <w:sz w:val="24"/>
          <w:szCs w:val="24"/>
        </w:rPr>
        <w:t>第十四条</w:t>
      </w:r>
      <w:r>
        <w:rPr>
          <w:rFonts w:hint="eastAsia"/>
          <w:kern w:val="0"/>
          <w:sz w:val="24"/>
          <w:szCs w:val="24"/>
        </w:rPr>
        <w:t xml:space="preserve">  本法第十二条所列事项，法律可以设定行政许可。尚未制定法律的，行政法规可以设定行政许可。</w:t>
      </w:r>
    </w:p>
    <w:p>
      <w:pPr>
        <w:pStyle w:val="3"/>
        <w:topLinePunct/>
        <w:spacing w:line="410" w:lineRule="exact"/>
        <w:ind w:firstLine="480"/>
        <w:rPr>
          <w:kern w:val="0"/>
          <w:sz w:val="24"/>
          <w:szCs w:val="24"/>
        </w:rPr>
      </w:pPr>
      <w:r>
        <w:rPr>
          <w:rFonts w:hint="eastAsia"/>
          <w:kern w:val="0"/>
          <w:sz w:val="24"/>
          <w:szCs w:val="24"/>
        </w:rPr>
        <w:t>必要时，国务院可以采用发布决定的方式设定行政许可。实施后，除临时性行政许可事项外，国务院应当及时提请全国人民代表大会及其常务委员会制定法律，或者自行制定行政法规。</w:t>
      </w:r>
    </w:p>
    <w:p>
      <w:pPr>
        <w:pStyle w:val="3"/>
        <w:topLinePunct/>
        <w:spacing w:line="410" w:lineRule="exact"/>
        <w:ind w:firstLine="482"/>
        <w:rPr>
          <w:kern w:val="0"/>
          <w:sz w:val="24"/>
          <w:szCs w:val="24"/>
        </w:rPr>
      </w:pPr>
      <w:r>
        <w:rPr>
          <w:rFonts w:hint="eastAsia"/>
          <w:b/>
          <w:bCs/>
          <w:kern w:val="0"/>
          <w:sz w:val="24"/>
          <w:szCs w:val="24"/>
        </w:rPr>
        <w:t>第十五条</w:t>
      </w:r>
      <w:r>
        <w:rPr>
          <w:rFonts w:hint="eastAsia"/>
          <w:kern w:val="0"/>
          <w:sz w:val="24"/>
          <w:szCs w:val="24"/>
        </w:rPr>
        <w:t xml:space="preserve">  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临时性的行政许可实施满一年需要继续实施的，应当提请本级人民代表大会及其常务委员会制定地方性法规。</w:t>
      </w:r>
    </w:p>
    <w:p>
      <w:pPr>
        <w:pStyle w:val="3"/>
        <w:topLinePunct/>
        <w:spacing w:line="414" w:lineRule="exact"/>
        <w:ind w:firstLine="480"/>
        <w:rPr>
          <w:kern w:val="0"/>
          <w:sz w:val="24"/>
          <w:szCs w:val="24"/>
        </w:rPr>
      </w:pPr>
      <w:r>
        <w:rPr>
          <w:rFonts w:hint="eastAsia"/>
          <w:kern w:val="0"/>
          <w:sz w:val="24"/>
          <w:szCs w:val="24"/>
        </w:rPr>
        <w:t>地方性法规和省、自治区、直辖市人民政府规章，不得设定应当由国家统一确定的公民、法人或者其他组织的资格、资质的行政许可；不得设定企业或者其他组织的设立登记及其前置性行政许可。其设定的行政许可，不得限制其他地区的个人或者企业到本地区从事生产经营和提供服务，不得限制其他地区的商品进入本地区市场。</w:t>
      </w:r>
    </w:p>
    <w:p>
      <w:pPr>
        <w:pStyle w:val="3"/>
        <w:topLinePunct/>
        <w:spacing w:line="414" w:lineRule="exact"/>
        <w:ind w:firstLine="482"/>
        <w:rPr>
          <w:kern w:val="0"/>
          <w:sz w:val="24"/>
          <w:szCs w:val="24"/>
        </w:rPr>
      </w:pPr>
      <w:r>
        <w:rPr>
          <w:rFonts w:hint="eastAsia"/>
          <w:b/>
          <w:bCs/>
          <w:kern w:val="0"/>
          <w:sz w:val="24"/>
          <w:szCs w:val="24"/>
        </w:rPr>
        <w:t>第十六条</w:t>
      </w:r>
      <w:r>
        <w:rPr>
          <w:rFonts w:hint="eastAsia"/>
          <w:kern w:val="0"/>
          <w:sz w:val="24"/>
          <w:szCs w:val="24"/>
        </w:rPr>
        <w:t xml:space="preserve">  行政法规可以在法律设定的行政许可事项范围内，对实施该行政许可作出具体规定。</w:t>
      </w:r>
    </w:p>
    <w:p>
      <w:pPr>
        <w:pStyle w:val="3"/>
        <w:topLinePunct/>
        <w:spacing w:line="414" w:lineRule="exact"/>
        <w:ind w:firstLine="480"/>
        <w:rPr>
          <w:kern w:val="0"/>
          <w:sz w:val="24"/>
          <w:szCs w:val="24"/>
        </w:rPr>
      </w:pPr>
      <w:r>
        <w:rPr>
          <w:rFonts w:hint="eastAsia"/>
          <w:kern w:val="0"/>
          <w:sz w:val="24"/>
          <w:szCs w:val="24"/>
        </w:rPr>
        <w:t>地方性法规可以在法律、行政法规设定的行政许可事项范围内，对实施该行政许可作出具体规定。</w:t>
      </w:r>
    </w:p>
    <w:p>
      <w:pPr>
        <w:pStyle w:val="3"/>
        <w:topLinePunct/>
        <w:spacing w:line="414" w:lineRule="exact"/>
        <w:ind w:firstLine="480"/>
        <w:rPr>
          <w:kern w:val="0"/>
          <w:sz w:val="24"/>
          <w:szCs w:val="24"/>
        </w:rPr>
      </w:pPr>
      <w:r>
        <w:rPr>
          <w:rFonts w:hint="eastAsia"/>
          <w:kern w:val="0"/>
          <w:sz w:val="24"/>
          <w:szCs w:val="24"/>
        </w:rPr>
        <w:t>规章可以在上位法设定的行政许可事项范围内，对实施该行政许可作出具体规定。</w:t>
      </w:r>
    </w:p>
    <w:p>
      <w:pPr>
        <w:pStyle w:val="3"/>
        <w:topLinePunct/>
        <w:spacing w:line="414" w:lineRule="exact"/>
        <w:ind w:firstLine="480"/>
        <w:rPr>
          <w:kern w:val="0"/>
          <w:sz w:val="24"/>
          <w:szCs w:val="24"/>
        </w:rPr>
      </w:pPr>
      <w:r>
        <w:rPr>
          <w:rFonts w:hint="eastAsia"/>
          <w:kern w:val="0"/>
          <w:sz w:val="24"/>
          <w:szCs w:val="24"/>
        </w:rPr>
        <w:t>法规、规章对实施上位法设定的行政许可作出的具体规定，不得增设行政许可；对行政许可条件作出的具体规定，不得增设违反上位法的其他条件。</w:t>
      </w:r>
    </w:p>
    <w:p>
      <w:pPr>
        <w:pStyle w:val="3"/>
        <w:topLinePunct/>
        <w:spacing w:line="414" w:lineRule="exact"/>
        <w:ind w:firstLine="482"/>
        <w:rPr>
          <w:kern w:val="0"/>
          <w:sz w:val="24"/>
          <w:szCs w:val="24"/>
        </w:rPr>
      </w:pPr>
      <w:r>
        <w:rPr>
          <w:rFonts w:hint="eastAsia"/>
          <w:b/>
          <w:bCs/>
          <w:kern w:val="0"/>
          <w:sz w:val="24"/>
          <w:szCs w:val="24"/>
        </w:rPr>
        <w:t>第十七条</w:t>
      </w:r>
      <w:r>
        <w:rPr>
          <w:rFonts w:hint="eastAsia"/>
          <w:kern w:val="0"/>
          <w:sz w:val="24"/>
          <w:szCs w:val="24"/>
        </w:rPr>
        <w:t xml:space="preserve">  除本法第十四条、第十五条规定的外，其他规范性文件一律不得设定行政许可。</w:t>
      </w:r>
    </w:p>
    <w:p>
      <w:pPr>
        <w:pStyle w:val="3"/>
        <w:topLinePunct/>
        <w:spacing w:line="414" w:lineRule="exact"/>
        <w:ind w:firstLine="482"/>
        <w:rPr>
          <w:kern w:val="0"/>
          <w:sz w:val="24"/>
          <w:szCs w:val="24"/>
        </w:rPr>
      </w:pPr>
      <w:r>
        <w:rPr>
          <w:rFonts w:hint="eastAsia"/>
          <w:b/>
          <w:bCs/>
          <w:kern w:val="0"/>
          <w:sz w:val="24"/>
          <w:szCs w:val="24"/>
        </w:rPr>
        <w:t>第十八条</w:t>
      </w:r>
      <w:r>
        <w:rPr>
          <w:rFonts w:hint="eastAsia"/>
          <w:kern w:val="0"/>
          <w:sz w:val="24"/>
          <w:szCs w:val="24"/>
        </w:rPr>
        <w:t xml:space="preserve">  设定行政许可，应当规定行政许可的实施机关、条件、程序、期限。</w:t>
      </w:r>
    </w:p>
    <w:p>
      <w:pPr>
        <w:pStyle w:val="3"/>
        <w:topLinePunct/>
        <w:spacing w:line="414" w:lineRule="exact"/>
        <w:ind w:firstLine="482"/>
        <w:rPr>
          <w:kern w:val="0"/>
          <w:sz w:val="24"/>
          <w:szCs w:val="24"/>
        </w:rPr>
      </w:pPr>
      <w:r>
        <w:rPr>
          <w:rFonts w:hint="eastAsia"/>
          <w:b/>
          <w:bCs/>
          <w:kern w:val="0"/>
          <w:sz w:val="24"/>
          <w:szCs w:val="24"/>
        </w:rPr>
        <w:t>第十九条</w:t>
      </w:r>
      <w:r>
        <w:rPr>
          <w:rFonts w:hint="eastAsia"/>
          <w:kern w:val="0"/>
          <w:sz w:val="24"/>
          <w:szCs w:val="24"/>
        </w:rPr>
        <w:t xml:space="preserve">  起草法律草案、法规草案和省、自治区、直辖市人民政府规章草案，拟设定行政许可的，起草单位应当采取听证会、论证会等形式听取意见，并向制定机关说明设定该行政许可的必要性、对经济和社会可能产生的影响以及听取和采纳意见的情况。</w:t>
      </w:r>
    </w:p>
    <w:p>
      <w:pPr>
        <w:pStyle w:val="3"/>
        <w:topLinePunct/>
        <w:spacing w:line="414" w:lineRule="exact"/>
        <w:ind w:firstLine="482"/>
        <w:rPr>
          <w:kern w:val="0"/>
          <w:sz w:val="24"/>
          <w:szCs w:val="24"/>
        </w:rPr>
      </w:pPr>
      <w:r>
        <w:rPr>
          <w:rFonts w:hint="eastAsia"/>
          <w:b/>
          <w:bCs/>
          <w:kern w:val="0"/>
          <w:sz w:val="24"/>
          <w:szCs w:val="24"/>
        </w:rPr>
        <w:t>第二十条</w:t>
      </w:r>
      <w:r>
        <w:rPr>
          <w:rFonts w:hint="eastAsia"/>
          <w:kern w:val="0"/>
          <w:sz w:val="24"/>
          <w:szCs w:val="24"/>
        </w:rPr>
        <w:t xml:space="preserve">  行政许可的设定机关应当定期对其设定的行政许可进行评价；对已设定的行政许可，认为通过本法第十三条所列方式能够解决的，应当对设定该行政许可的规定及时予以修改或者废止。</w:t>
      </w:r>
    </w:p>
    <w:p>
      <w:pPr>
        <w:pStyle w:val="3"/>
        <w:topLinePunct/>
        <w:spacing w:line="414" w:lineRule="exact"/>
        <w:ind w:firstLine="480"/>
        <w:rPr>
          <w:kern w:val="0"/>
          <w:sz w:val="24"/>
          <w:szCs w:val="24"/>
        </w:rPr>
      </w:pPr>
      <w:r>
        <w:rPr>
          <w:rFonts w:hint="eastAsia"/>
          <w:kern w:val="0"/>
          <w:sz w:val="24"/>
          <w:szCs w:val="24"/>
        </w:rPr>
        <w:t>行政许可的实施机关可以对已设定的行政许可的实施情况及存在的必要性适时进行评价，并将意见报告该行政许可的设定机关。</w:t>
      </w:r>
    </w:p>
    <w:p>
      <w:pPr>
        <w:pStyle w:val="3"/>
        <w:topLinePunct/>
        <w:spacing w:line="414" w:lineRule="exact"/>
        <w:ind w:firstLine="480"/>
        <w:rPr>
          <w:kern w:val="0"/>
          <w:sz w:val="24"/>
          <w:szCs w:val="24"/>
        </w:rPr>
      </w:pPr>
      <w:r>
        <w:rPr>
          <w:rFonts w:hint="eastAsia"/>
          <w:kern w:val="0"/>
          <w:sz w:val="24"/>
          <w:szCs w:val="24"/>
        </w:rPr>
        <w:t>公民、法人或者其他组织可以向行政许可的设定机关和实施机关就行政许可的设定和实施提出意见和建议。</w:t>
      </w:r>
    </w:p>
    <w:p>
      <w:pPr>
        <w:pStyle w:val="3"/>
        <w:topLinePunct/>
        <w:spacing w:line="410" w:lineRule="exact"/>
        <w:ind w:firstLine="482"/>
        <w:rPr>
          <w:kern w:val="0"/>
          <w:sz w:val="24"/>
          <w:szCs w:val="24"/>
        </w:rPr>
      </w:pPr>
      <w:r>
        <w:rPr>
          <w:rFonts w:hint="eastAsia"/>
          <w:b/>
          <w:bCs/>
          <w:kern w:val="0"/>
          <w:sz w:val="24"/>
          <w:szCs w:val="24"/>
        </w:rPr>
        <w:t>第二十一条</w:t>
      </w:r>
      <w:r>
        <w:rPr>
          <w:rFonts w:hint="eastAsia"/>
          <w:kern w:val="0"/>
          <w:sz w:val="24"/>
          <w:szCs w:val="24"/>
        </w:rPr>
        <w:t xml:space="preserve">  省、自治区、直辖市人民政府对行政法规设定的有关经济事务的行政许可，根据本行政区域经济和社会发展情况，认为通过本法第十三条所列方式能够解决的，报国务院批准后，可以在本行政区域内停止实施该行政许可。</w:t>
      </w:r>
    </w:p>
    <w:p>
      <w:pPr>
        <w:pStyle w:val="63"/>
        <w:spacing w:before="218" w:after="218"/>
        <w:rPr>
          <w:rFonts w:ascii="宋体" w:hAnsi="宋体"/>
          <w:kern w:val="0"/>
        </w:rPr>
      </w:pPr>
      <w:r>
        <w:rPr>
          <w:rFonts w:hint="eastAsia"/>
          <w:kern w:val="0"/>
        </w:rPr>
        <w:t>第三章  行政许可的实施机关</w:t>
      </w:r>
    </w:p>
    <w:p>
      <w:pPr>
        <w:pStyle w:val="3"/>
        <w:topLinePunct/>
        <w:spacing w:line="400" w:lineRule="exact"/>
        <w:ind w:firstLine="482"/>
        <w:rPr>
          <w:kern w:val="0"/>
          <w:sz w:val="24"/>
          <w:szCs w:val="24"/>
        </w:rPr>
      </w:pPr>
      <w:r>
        <w:rPr>
          <w:rFonts w:hint="eastAsia"/>
          <w:b/>
          <w:bCs/>
          <w:kern w:val="0"/>
          <w:sz w:val="24"/>
          <w:szCs w:val="24"/>
        </w:rPr>
        <w:t>第二十二条</w:t>
      </w:r>
      <w:r>
        <w:rPr>
          <w:rFonts w:hint="eastAsia"/>
          <w:kern w:val="0"/>
          <w:sz w:val="24"/>
          <w:szCs w:val="24"/>
        </w:rPr>
        <w:t xml:space="preserve">  行政许可由具有行政许可权的行政机关在其法定职权范围内实施。</w:t>
      </w:r>
    </w:p>
    <w:p>
      <w:pPr>
        <w:pStyle w:val="3"/>
        <w:topLinePunct/>
        <w:spacing w:line="400" w:lineRule="exact"/>
        <w:ind w:firstLine="482"/>
        <w:rPr>
          <w:kern w:val="0"/>
          <w:sz w:val="24"/>
          <w:szCs w:val="24"/>
        </w:rPr>
      </w:pPr>
      <w:r>
        <w:rPr>
          <w:rFonts w:hint="eastAsia"/>
          <w:b/>
          <w:bCs/>
          <w:kern w:val="0"/>
          <w:sz w:val="24"/>
          <w:szCs w:val="24"/>
        </w:rPr>
        <w:t>第二十三条</w:t>
      </w:r>
      <w:r>
        <w:rPr>
          <w:rFonts w:hint="eastAsia"/>
          <w:kern w:val="0"/>
          <w:sz w:val="24"/>
          <w:szCs w:val="24"/>
        </w:rPr>
        <w:t xml:space="preserve">  法律、法规授权的具有管理公共事务职能的组织，在法定授权范围内，以自己的名义实施行政许可。被授权的组织适用本法有关行政机关的规定。</w:t>
      </w:r>
    </w:p>
    <w:p>
      <w:pPr>
        <w:pStyle w:val="3"/>
        <w:topLinePunct/>
        <w:spacing w:line="400" w:lineRule="exact"/>
        <w:ind w:firstLine="482"/>
        <w:rPr>
          <w:kern w:val="0"/>
          <w:sz w:val="24"/>
          <w:szCs w:val="24"/>
        </w:rPr>
      </w:pPr>
      <w:r>
        <w:rPr>
          <w:rFonts w:hint="eastAsia"/>
          <w:b/>
          <w:bCs/>
          <w:kern w:val="0"/>
          <w:sz w:val="24"/>
          <w:szCs w:val="24"/>
        </w:rPr>
        <w:t>第二十四条</w:t>
      </w:r>
      <w:r>
        <w:rPr>
          <w:rFonts w:hint="eastAsia"/>
          <w:kern w:val="0"/>
          <w:sz w:val="24"/>
          <w:szCs w:val="24"/>
        </w:rPr>
        <w:t xml:space="preserve">  行政机关在其法定职权范围内，依照法律、法规、规章的规定，可以委托其他行政机关实施行政许可。委托机关应当将受委托行政机关和受委托实施行政许可的内容予以公告。</w:t>
      </w:r>
    </w:p>
    <w:p>
      <w:pPr>
        <w:pStyle w:val="3"/>
        <w:topLinePunct/>
        <w:spacing w:line="400" w:lineRule="exact"/>
        <w:ind w:firstLine="480"/>
        <w:rPr>
          <w:kern w:val="0"/>
          <w:sz w:val="24"/>
          <w:szCs w:val="24"/>
        </w:rPr>
      </w:pPr>
      <w:r>
        <w:rPr>
          <w:rFonts w:hint="eastAsia"/>
          <w:kern w:val="0"/>
          <w:sz w:val="24"/>
          <w:szCs w:val="24"/>
        </w:rPr>
        <w:t>委托行政机关对受委托行政机关实施行政许可的行为应当负责监督，并对该行为的后果承担法律责任。</w:t>
      </w:r>
    </w:p>
    <w:p>
      <w:pPr>
        <w:pStyle w:val="3"/>
        <w:topLinePunct/>
        <w:spacing w:line="400" w:lineRule="exact"/>
        <w:ind w:firstLine="480"/>
        <w:rPr>
          <w:kern w:val="0"/>
          <w:sz w:val="24"/>
          <w:szCs w:val="24"/>
        </w:rPr>
      </w:pPr>
      <w:r>
        <w:rPr>
          <w:rFonts w:hint="eastAsia"/>
          <w:kern w:val="0"/>
          <w:sz w:val="24"/>
          <w:szCs w:val="24"/>
        </w:rPr>
        <w:t>受委托行政机关在委托范围内，以委托行政机关名义实施行政许可；不得再委托其他组织或者个人实施行政许可。</w:t>
      </w:r>
    </w:p>
    <w:p>
      <w:pPr>
        <w:pStyle w:val="3"/>
        <w:topLinePunct/>
        <w:spacing w:line="400" w:lineRule="exact"/>
        <w:ind w:firstLine="482"/>
        <w:rPr>
          <w:kern w:val="0"/>
          <w:sz w:val="24"/>
          <w:szCs w:val="24"/>
        </w:rPr>
      </w:pPr>
      <w:r>
        <w:rPr>
          <w:rFonts w:hint="eastAsia"/>
          <w:b/>
          <w:bCs/>
          <w:kern w:val="0"/>
          <w:sz w:val="24"/>
          <w:szCs w:val="24"/>
        </w:rPr>
        <w:t>第二十五</w:t>
      </w:r>
      <w:r>
        <w:rPr>
          <w:rFonts w:hint="eastAsia"/>
          <w:kern w:val="0"/>
          <w:sz w:val="24"/>
          <w:szCs w:val="24"/>
        </w:rPr>
        <w:t xml:space="preserve">  条经国务院批准，省、自治区、直辖市人民政府根据精简、统一、效能的原则，可以决定一个行政机关行使有关行政机关的行政许可权。</w:t>
      </w:r>
    </w:p>
    <w:p>
      <w:pPr>
        <w:pStyle w:val="3"/>
        <w:topLinePunct/>
        <w:spacing w:line="400" w:lineRule="exact"/>
        <w:ind w:firstLine="482"/>
        <w:rPr>
          <w:kern w:val="0"/>
          <w:sz w:val="24"/>
          <w:szCs w:val="24"/>
        </w:rPr>
      </w:pPr>
      <w:r>
        <w:rPr>
          <w:rFonts w:hint="eastAsia"/>
          <w:b/>
          <w:bCs/>
          <w:kern w:val="0"/>
          <w:sz w:val="24"/>
          <w:szCs w:val="24"/>
        </w:rPr>
        <w:t>第二十六条</w:t>
      </w:r>
      <w:r>
        <w:rPr>
          <w:rFonts w:hint="eastAsia"/>
          <w:kern w:val="0"/>
          <w:sz w:val="24"/>
          <w:szCs w:val="24"/>
        </w:rPr>
        <w:t xml:space="preserve">  行政许可需要行政机关内设的多个机构办理的，该行政机关应当确定一个机构统一受理行政许可申请，统一送达行政许可决定。</w:t>
      </w:r>
    </w:p>
    <w:p>
      <w:pPr>
        <w:pStyle w:val="3"/>
        <w:topLinePunct/>
        <w:spacing w:line="400" w:lineRule="exact"/>
        <w:ind w:firstLine="480"/>
        <w:rPr>
          <w:kern w:val="0"/>
          <w:sz w:val="24"/>
          <w:szCs w:val="24"/>
        </w:rPr>
      </w:pPr>
      <w:r>
        <w:rPr>
          <w:rFonts w:hint="eastAsia"/>
          <w:kern w:val="0"/>
          <w:sz w:val="24"/>
          <w:szCs w:val="24"/>
        </w:rPr>
        <w:t>行政许可依法由地方人民政府两个以上部门分别实施的，本级人民政府可以确定一个部门受理行政许可申请并转告有关部门分别提出意见后统一办理，或者组织有关部门联合办理、集中办理。</w:t>
      </w:r>
    </w:p>
    <w:p>
      <w:pPr>
        <w:pStyle w:val="3"/>
        <w:topLinePunct/>
        <w:spacing w:line="410" w:lineRule="exact"/>
        <w:ind w:firstLine="482"/>
        <w:rPr>
          <w:kern w:val="0"/>
          <w:sz w:val="24"/>
          <w:szCs w:val="24"/>
        </w:rPr>
      </w:pPr>
      <w:r>
        <w:rPr>
          <w:rFonts w:hint="eastAsia"/>
          <w:b/>
          <w:bCs/>
          <w:kern w:val="0"/>
          <w:sz w:val="24"/>
          <w:szCs w:val="24"/>
        </w:rPr>
        <w:t>第二十七条</w:t>
      </w:r>
      <w:r>
        <w:rPr>
          <w:rFonts w:hint="eastAsia"/>
          <w:kern w:val="0"/>
          <w:sz w:val="24"/>
          <w:szCs w:val="24"/>
        </w:rPr>
        <w:t xml:space="preserve">  行政机关实施行政许可，不得向申请人提出购买指定商品、接受有偿服务等不正当要求。</w:t>
      </w:r>
    </w:p>
    <w:p>
      <w:pPr>
        <w:pStyle w:val="3"/>
        <w:topLinePunct/>
        <w:spacing w:line="410" w:lineRule="exact"/>
        <w:ind w:firstLine="480"/>
        <w:rPr>
          <w:kern w:val="0"/>
          <w:sz w:val="24"/>
          <w:szCs w:val="24"/>
        </w:rPr>
      </w:pPr>
      <w:r>
        <w:rPr>
          <w:rFonts w:hint="eastAsia"/>
          <w:kern w:val="0"/>
          <w:sz w:val="24"/>
          <w:szCs w:val="24"/>
        </w:rPr>
        <w:t>行政机关工作人员办理行政许可，不得索取或者收受申请人的财物，不得谋取其他利益。</w:t>
      </w:r>
    </w:p>
    <w:p>
      <w:pPr>
        <w:pStyle w:val="3"/>
        <w:topLinePunct/>
        <w:spacing w:line="410" w:lineRule="exact"/>
        <w:ind w:firstLine="482"/>
        <w:rPr>
          <w:kern w:val="0"/>
          <w:sz w:val="24"/>
          <w:szCs w:val="24"/>
        </w:rPr>
      </w:pPr>
      <w:r>
        <w:rPr>
          <w:rFonts w:hint="eastAsia"/>
          <w:b/>
          <w:bCs/>
          <w:kern w:val="0"/>
          <w:sz w:val="24"/>
          <w:szCs w:val="24"/>
        </w:rPr>
        <w:t>第二十八条</w:t>
      </w:r>
      <w:r>
        <w:rPr>
          <w:rFonts w:hint="eastAsia"/>
          <w:kern w:val="0"/>
          <w:sz w:val="24"/>
          <w:szCs w:val="24"/>
        </w:rPr>
        <w:t xml:space="preserve">  对直接关系公共安全、人身健康、生命财产安全的设备、设施、产品、物品的检验、检测、检疫，除法律、行政法规规定由行政机关实施的外，应当逐步由符合法定条件的专业技术组织实施。专业技术组织及其有关人员对所实施的检验、检测、检疫结论承担法律责任。　　</w:t>
      </w:r>
    </w:p>
    <w:p>
      <w:pPr>
        <w:pStyle w:val="63"/>
        <w:spacing w:before="218" w:after="218"/>
        <w:rPr>
          <w:rFonts w:ascii="宋体" w:hAnsi="宋体"/>
          <w:kern w:val="0"/>
        </w:rPr>
      </w:pPr>
      <w:r>
        <w:rPr>
          <w:rFonts w:hint="eastAsia"/>
          <w:kern w:val="0"/>
        </w:rPr>
        <w:t>第四章  行政许可的实施程序</w:t>
      </w:r>
    </w:p>
    <w:p>
      <w:pPr>
        <w:pStyle w:val="64"/>
        <w:spacing w:before="156" w:after="156"/>
        <w:rPr>
          <w:rFonts w:ascii="宋体"/>
          <w:kern w:val="0"/>
        </w:rPr>
      </w:pPr>
      <w:r>
        <w:rPr>
          <w:rFonts w:hint="eastAsia"/>
          <w:kern w:val="0"/>
        </w:rPr>
        <w:t>第一节  申请与受理</w:t>
      </w:r>
    </w:p>
    <w:p>
      <w:pPr>
        <w:pStyle w:val="3"/>
        <w:topLinePunct/>
        <w:spacing w:line="410" w:lineRule="exact"/>
        <w:ind w:firstLine="482"/>
        <w:rPr>
          <w:kern w:val="0"/>
          <w:sz w:val="24"/>
          <w:szCs w:val="24"/>
        </w:rPr>
      </w:pPr>
      <w:r>
        <w:rPr>
          <w:rFonts w:hint="eastAsia"/>
          <w:b/>
          <w:bCs/>
          <w:kern w:val="0"/>
          <w:sz w:val="24"/>
          <w:szCs w:val="24"/>
        </w:rPr>
        <w:t>第二十九条</w:t>
      </w:r>
      <w:r>
        <w:rPr>
          <w:rFonts w:hint="eastAsia"/>
          <w:kern w:val="0"/>
          <w:sz w:val="24"/>
          <w:szCs w:val="24"/>
        </w:rPr>
        <w:t xml:space="preserve">  公民、法人或者其他组织从事特定活动，依法需要取得行政许可的，应当向行政机关提出申请。申请书需要采用格式文本的，行政机关应当向申请人提供行政许可申请书格式文本。申请书格式文本中不得包含与申请行政许可事项没有直接关系的内容。</w:t>
      </w:r>
    </w:p>
    <w:p>
      <w:pPr>
        <w:pStyle w:val="3"/>
        <w:topLinePunct/>
        <w:spacing w:line="410" w:lineRule="exact"/>
        <w:ind w:firstLine="480"/>
        <w:rPr>
          <w:kern w:val="0"/>
          <w:sz w:val="24"/>
          <w:szCs w:val="24"/>
        </w:rPr>
      </w:pPr>
      <w:r>
        <w:rPr>
          <w:rFonts w:hint="eastAsia"/>
          <w:kern w:val="0"/>
          <w:sz w:val="24"/>
          <w:szCs w:val="24"/>
        </w:rPr>
        <w:t>申请人可以委托代理人提出行政许可申请。但是，依法应当由申请人到行政机关办公场所提出行政许可申请的除外。</w:t>
      </w:r>
    </w:p>
    <w:p>
      <w:pPr>
        <w:pStyle w:val="3"/>
        <w:topLinePunct/>
        <w:spacing w:line="410" w:lineRule="exact"/>
        <w:ind w:firstLine="480"/>
        <w:rPr>
          <w:kern w:val="0"/>
          <w:sz w:val="24"/>
          <w:szCs w:val="24"/>
        </w:rPr>
      </w:pPr>
      <w:r>
        <w:rPr>
          <w:rFonts w:hint="eastAsia"/>
          <w:kern w:val="0"/>
          <w:sz w:val="24"/>
          <w:szCs w:val="24"/>
        </w:rPr>
        <w:t>行政许可申请可以通过信函、电报、电传、传真、电子数据交换和电子邮件等方式提出。</w:t>
      </w:r>
    </w:p>
    <w:p>
      <w:pPr>
        <w:pStyle w:val="3"/>
        <w:topLinePunct/>
        <w:spacing w:line="410" w:lineRule="exact"/>
        <w:ind w:firstLine="482"/>
        <w:rPr>
          <w:kern w:val="0"/>
          <w:sz w:val="24"/>
          <w:szCs w:val="24"/>
        </w:rPr>
      </w:pPr>
      <w:r>
        <w:rPr>
          <w:rFonts w:hint="eastAsia"/>
          <w:b/>
          <w:bCs/>
          <w:kern w:val="0"/>
          <w:sz w:val="24"/>
          <w:szCs w:val="24"/>
        </w:rPr>
        <w:t>第三十条</w:t>
      </w:r>
      <w:r>
        <w:rPr>
          <w:rFonts w:hint="eastAsia"/>
          <w:kern w:val="0"/>
          <w:sz w:val="24"/>
          <w:szCs w:val="24"/>
        </w:rPr>
        <w:t xml:space="preserve">  行政机关应当将法律、法规、规章规定的有关行政许可的事项、依据、条件、数量、程序、期限以及需要提交的全部材料的目录和申请书示范文本等在办公场所公示。</w:t>
      </w:r>
    </w:p>
    <w:p>
      <w:pPr>
        <w:pStyle w:val="3"/>
        <w:topLinePunct/>
        <w:spacing w:line="410" w:lineRule="exact"/>
        <w:ind w:firstLine="480"/>
        <w:rPr>
          <w:kern w:val="0"/>
          <w:sz w:val="24"/>
          <w:szCs w:val="24"/>
        </w:rPr>
      </w:pPr>
      <w:r>
        <w:rPr>
          <w:rFonts w:hint="eastAsia"/>
          <w:kern w:val="0"/>
          <w:sz w:val="24"/>
          <w:szCs w:val="24"/>
        </w:rPr>
        <w:t>申请人要求行政机关对公示内容予以说明、解释的，行政机关应当说明、解释，提供准确、可靠的信息。</w:t>
      </w:r>
    </w:p>
    <w:p>
      <w:pPr>
        <w:pStyle w:val="3"/>
        <w:topLinePunct/>
        <w:spacing w:line="410" w:lineRule="exact"/>
        <w:ind w:firstLine="482"/>
        <w:rPr>
          <w:kern w:val="0"/>
          <w:sz w:val="24"/>
          <w:szCs w:val="24"/>
        </w:rPr>
      </w:pPr>
      <w:r>
        <w:rPr>
          <w:rFonts w:hint="eastAsia"/>
          <w:b/>
          <w:bCs/>
          <w:kern w:val="0"/>
          <w:sz w:val="24"/>
          <w:szCs w:val="24"/>
        </w:rPr>
        <w:t>第三十一条</w:t>
      </w:r>
      <w:r>
        <w:rPr>
          <w:rFonts w:hint="eastAsia"/>
          <w:kern w:val="0"/>
          <w:sz w:val="24"/>
          <w:szCs w:val="24"/>
        </w:rPr>
        <w:t xml:space="preserve">  申请人申请行政许可，应当如实向行政机关提交有关材料和反映真实情况，并对其申请材料实质内容的真实性负责。行政机关不得要求申请人提交与其申请的行政许可事项无关的技术资料和其他材料。</w:t>
      </w:r>
    </w:p>
    <w:p>
      <w:pPr>
        <w:pStyle w:val="3"/>
        <w:topLinePunct/>
        <w:spacing w:line="410" w:lineRule="exact"/>
        <w:ind w:firstLine="480"/>
        <w:rPr>
          <w:kern w:val="0"/>
          <w:sz w:val="24"/>
          <w:szCs w:val="24"/>
        </w:rPr>
      </w:pPr>
      <w:r>
        <w:rPr>
          <w:rFonts w:hint="eastAsia"/>
          <w:kern w:val="0"/>
          <w:sz w:val="24"/>
          <w:szCs w:val="24"/>
        </w:rPr>
        <w:t>行政机关及其工作人员不得以转让技术作为取得行政许可的条件；不得在实施行政许可的过程中，直接或者间接地要求转让技术。</w:t>
      </w:r>
    </w:p>
    <w:p>
      <w:pPr>
        <w:pStyle w:val="3"/>
        <w:topLinePunct/>
        <w:spacing w:line="410" w:lineRule="exact"/>
        <w:ind w:firstLine="482"/>
        <w:rPr>
          <w:kern w:val="0"/>
          <w:sz w:val="24"/>
          <w:szCs w:val="24"/>
        </w:rPr>
      </w:pPr>
      <w:r>
        <w:rPr>
          <w:rFonts w:hint="eastAsia"/>
          <w:b/>
          <w:bCs/>
          <w:kern w:val="0"/>
          <w:sz w:val="24"/>
          <w:szCs w:val="24"/>
        </w:rPr>
        <w:t>第三十二条</w:t>
      </w:r>
      <w:r>
        <w:rPr>
          <w:rFonts w:hint="eastAsia"/>
          <w:kern w:val="0"/>
          <w:sz w:val="24"/>
          <w:szCs w:val="24"/>
        </w:rPr>
        <w:t xml:space="preserve">  行政机关对申请人提出的行政许可申请，应当根据下列情况分别作出处理：</w:t>
      </w:r>
    </w:p>
    <w:p>
      <w:pPr>
        <w:pStyle w:val="3"/>
        <w:topLinePunct/>
        <w:spacing w:line="410" w:lineRule="exact"/>
        <w:ind w:firstLine="480"/>
        <w:rPr>
          <w:kern w:val="0"/>
          <w:sz w:val="24"/>
          <w:szCs w:val="24"/>
        </w:rPr>
      </w:pPr>
      <w:r>
        <w:rPr>
          <w:rFonts w:hint="eastAsia"/>
          <w:kern w:val="0"/>
          <w:sz w:val="24"/>
          <w:szCs w:val="24"/>
        </w:rPr>
        <w:t>（一）申请事项依法不需要取得行政许可的，应当即时告知申请人不受理；</w:t>
      </w:r>
    </w:p>
    <w:p>
      <w:pPr>
        <w:pStyle w:val="3"/>
        <w:topLinePunct/>
        <w:spacing w:line="410" w:lineRule="exact"/>
        <w:ind w:firstLine="480"/>
        <w:rPr>
          <w:kern w:val="0"/>
          <w:sz w:val="24"/>
          <w:szCs w:val="24"/>
        </w:rPr>
      </w:pPr>
      <w:r>
        <w:rPr>
          <w:rFonts w:hint="eastAsia"/>
          <w:kern w:val="0"/>
          <w:sz w:val="24"/>
          <w:szCs w:val="24"/>
        </w:rPr>
        <w:t>（二）申请事项依法不属于本行政机关职权范围的，应当即时作出不予受理的决定，并告知申请人向有关行政机关申请；</w:t>
      </w:r>
    </w:p>
    <w:p>
      <w:pPr>
        <w:pStyle w:val="3"/>
        <w:topLinePunct/>
        <w:spacing w:line="410" w:lineRule="exact"/>
        <w:ind w:firstLine="480"/>
        <w:rPr>
          <w:kern w:val="0"/>
          <w:sz w:val="24"/>
          <w:szCs w:val="24"/>
        </w:rPr>
      </w:pPr>
      <w:r>
        <w:rPr>
          <w:rFonts w:hint="eastAsia"/>
          <w:kern w:val="0"/>
          <w:sz w:val="24"/>
          <w:szCs w:val="24"/>
        </w:rPr>
        <w:t>（三）申请材料存在可以当场更正的错误的，应当允许申请人当场更正；</w:t>
      </w:r>
    </w:p>
    <w:p>
      <w:pPr>
        <w:pStyle w:val="3"/>
        <w:topLinePunct/>
        <w:spacing w:line="410" w:lineRule="exact"/>
        <w:ind w:firstLine="480"/>
        <w:rPr>
          <w:kern w:val="0"/>
          <w:sz w:val="24"/>
          <w:szCs w:val="24"/>
        </w:rPr>
      </w:pPr>
      <w:r>
        <w:rPr>
          <w:rFonts w:hint="eastAsia"/>
          <w:kern w:val="0"/>
          <w:sz w:val="24"/>
          <w:szCs w:val="24"/>
        </w:rPr>
        <w:t>（四）申请材料不齐全或者不符合法定形式的，应当当场或者在五日内一次告知申请人需要补正的全部内容，逾期不告知的，自收到申请材料之日起即为受理；</w:t>
      </w:r>
    </w:p>
    <w:p>
      <w:pPr>
        <w:pStyle w:val="3"/>
        <w:topLinePunct/>
        <w:spacing w:line="410" w:lineRule="exact"/>
        <w:ind w:firstLine="480"/>
        <w:rPr>
          <w:kern w:val="0"/>
          <w:sz w:val="24"/>
          <w:szCs w:val="24"/>
        </w:rPr>
      </w:pPr>
      <w:r>
        <w:rPr>
          <w:rFonts w:hint="eastAsia"/>
          <w:kern w:val="0"/>
          <w:sz w:val="24"/>
          <w:szCs w:val="24"/>
        </w:rPr>
        <w:t>（五）申请事</w:t>
      </w:r>
      <w:r>
        <w:rPr>
          <w:rFonts w:hint="eastAsia"/>
          <w:spacing w:val="6"/>
          <w:kern w:val="0"/>
          <w:sz w:val="24"/>
          <w:szCs w:val="24"/>
        </w:rPr>
        <w:t>项属于本行政机关职权范围，申请材料齐全、符合法定形式，或者申请人按照本行政机关的要求提交全部补正申请材料的，应当受理行政许可申请。</w:t>
      </w:r>
    </w:p>
    <w:p>
      <w:pPr>
        <w:pStyle w:val="3"/>
        <w:topLinePunct/>
        <w:spacing w:line="410" w:lineRule="exact"/>
        <w:ind w:firstLine="480"/>
        <w:rPr>
          <w:kern w:val="0"/>
          <w:sz w:val="24"/>
          <w:szCs w:val="24"/>
        </w:rPr>
      </w:pPr>
      <w:r>
        <w:rPr>
          <w:rFonts w:hint="eastAsia"/>
          <w:kern w:val="0"/>
          <w:sz w:val="24"/>
          <w:szCs w:val="24"/>
        </w:rPr>
        <w:t>行政机关受理或者不予受理行政许可申请，应当出具加盖本行政机关专用印章和注明日期的书面凭证。</w:t>
      </w:r>
    </w:p>
    <w:p>
      <w:pPr>
        <w:pStyle w:val="3"/>
        <w:topLinePunct/>
        <w:spacing w:line="410" w:lineRule="exact"/>
        <w:ind w:firstLine="482"/>
        <w:rPr>
          <w:kern w:val="0"/>
          <w:sz w:val="24"/>
          <w:szCs w:val="24"/>
        </w:rPr>
      </w:pPr>
      <w:r>
        <w:rPr>
          <w:rFonts w:hint="eastAsia"/>
          <w:b/>
          <w:bCs/>
          <w:kern w:val="0"/>
          <w:sz w:val="24"/>
          <w:szCs w:val="24"/>
        </w:rPr>
        <w:t>第三十三条</w:t>
      </w:r>
      <w:r>
        <w:rPr>
          <w:rFonts w:hint="eastAsia"/>
          <w:kern w:val="0"/>
          <w:sz w:val="24"/>
          <w:szCs w:val="24"/>
        </w:rPr>
        <w:t xml:space="preserve">  行政机关应当建立和完善有关制度，推行电子政务，在行政机关的网站上公布行政许可事项，方便申请人采取数据电文等方式提出行政许可申请；应当与其他行政机关共享有关行政许可信息，提高办事效率。</w:t>
      </w:r>
    </w:p>
    <w:p>
      <w:pPr>
        <w:pStyle w:val="64"/>
        <w:spacing w:before="156" w:after="156"/>
        <w:rPr>
          <w:rFonts w:ascii="宋体"/>
          <w:kern w:val="0"/>
        </w:rPr>
      </w:pPr>
      <w:r>
        <w:rPr>
          <w:rFonts w:hint="eastAsia"/>
          <w:kern w:val="0"/>
        </w:rPr>
        <w:t>第二节  审查与决定</w:t>
      </w:r>
    </w:p>
    <w:p>
      <w:pPr>
        <w:pStyle w:val="3"/>
        <w:topLinePunct/>
        <w:spacing w:line="406" w:lineRule="exact"/>
        <w:ind w:firstLine="482"/>
        <w:rPr>
          <w:kern w:val="0"/>
          <w:sz w:val="24"/>
          <w:szCs w:val="24"/>
        </w:rPr>
      </w:pPr>
      <w:r>
        <w:rPr>
          <w:rFonts w:hint="eastAsia"/>
          <w:b/>
          <w:bCs/>
          <w:kern w:val="0"/>
          <w:sz w:val="24"/>
          <w:szCs w:val="24"/>
        </w:rPr>
        <w:t>第三十四条</w:t>
      </w:r>
      <w:r>
        <w:rPr>
          <w:rFonts w:hint="eastAsia"/>
          <w:kern w:val="0"/>
          <w:sz w:val="24"/>
          <w:szCs w:val="24"/>
        </w:rPr>
        <w:t xml:space="preserve">  行政机关应当对申请人提交的申请材料进行审查。</w:t>
      </w:r>
    </w:p>
    <w:p>
      <w:pPr>
        <w:pStyle w:val="3"/>
        <w:topLinePunct/>
        <w:spacing w:line="406" w:lineRule="exact"/>
        <w:ind w:firstLine="480"/>
        <w:rPr>
          <w:kern w:val="0"/>
          <w:sz w:val="24"/>
          <w:szCs w:val="24"/>
        </w:rPr>
      </w:pPr>
      <w:r>
        <w:rPr>
          <w:rFonts w:hint="eastAsia"/>
          <w:kern w:val="0"/>
          <w:sz w:val="24"/>
          <w:szCs w:val="24"/>
        </w:rPr>
        <w:t>申请人提交的申请材料齐全、符合法定形式，行政机关能够当场作出决定的，应当当场作出书面的行政许可决定。</w:t>
      </w:r>
    </w:p>
    <w:p>
      <w:pPr>
        <w:pStyle w:val="3"/>
        <w:topLinePunct/>
        <w:spacing w:line="406" w:lineRule="exact"/>
        <w:ind w:firstLine="480"/>
        <w:rPr>
          <w:kern w:val="0"/>
          <w:sz w:val="24"/>
          <w:szCs w:val="24"/>
        </w:rPr>
      </w:pPr>
      <w:r>
        <w:rPr>
          <w:rFonts w:hint="eastAsia"/>
          <w:kern w:val="0"/>
          <w:sz w:val="24"/>
          <w:szCs w:val="24"/>
        </w:rPr>
        <w:t>根据法定条件和程序，需要对申请材料的实质内容进行核实的，行政机关应当指派两名以上工作人员进行核查。</w:t>
      </w:r>
    </w:p>
    <w:p>
      <w:pPr>
        <w:pStyle w:val="3"/>
        <w:topLinePunct/>
        <w:spacing w:line="406" w:lineRule="exact"/>
        <w:ind w:firstLine="482"/>
        <w:rPr>
          <w:kern w:val="0"/>
          <w:sz w:val="24"/>
          <w:szCs w:val="24"/>
        </w:rPr>
      </w:pPr>
      <w:r>
        <w:rPr>
          <w:rFonts w:hint="eastAsia"/>
          <w:b/>
          <w:bCs/>
          <w:kern w:val="0"/>
          <w:sz w:val="24"/>
          <w:szCs w:val="24"/>
        </w:rPr>
        <w:t>第三十五条</w:t>
      </w:r>
      <w:r>
        <w:rPr>
          <w:rFonts w:hint="eastAsia"/>
          <w:kern w:val="0"/>
          <w:sz w:val="24"/>
          <w:szCs w:val="24"/>
        </w:rPr>
        <w:t xml:space="preserve">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3"/>
        <w:topLinePunct/>
        <w:spacing w:line="406" w:lineRule="exact"/>
        <w:ind w:firstLine="482"/>
        <w:rPr>
          <w:kern w:val="0"/>
          <w:sz w:val="24"/>
          <w:szCs w:val="24"/>
        </w:rPr>
      </w:pPr>
      <w:r>
        <w:rPr>
          <w:rFonts w:hint="eastAsia"/>
          <w:b/>
          <w:bCs/>
          <w:kern w:val="0"/>
          <w:sz w:val="24"/>
          <w:szCs w:val="24"/>
        </w:rPr>
        <w:t>第三十六条</w:t>
      </w:r>
      <w:r>
        <w:rPr>
          <w:rFonts w:hint="eastAsia"/>
          <w:kern w:val="0"/>
          <w:sz w:val="24"/>
          <w:szCs w:val="24"/>
        </w:rPr>
        <w:t xml:space="preserve">  行政机关对行政许可申请进行审查时，发现行政许可事项直接关系他人重大利益的，应当告知该利害关系人。申请人、利害关系人有权进行陈述和申辩。行政机关应当听取申请人、利害关系人的意见。</w:t>
      </w:r>
    </w:p>
    <w:p>
      <w:pPr>
        <w:pStyle w:val="3"/>
        <w:topLinePunct/>
        <w:spacing w:line="406" w:lineRule="exact"/>
        <w:ind w:firstLine="482"/>
        <w:rPr>
          <w:kern w:val="0"/>
          <w:sz w:val="24"/>
          <w:szCs w:val="24"/>
        </w:rPr>
      </w:pPr>
      <w:r>
        <w:rPr>
          <w:rFonts w:hint="eastAsia"/>
          <w:b/>
          <w:bCs/>
          <w:kern w:val="0"/>
          <w:sz w:val="24"/>
          <w:szCs w:val="24"/>
        </w:rPr>
        <w:t>第三十七条</w:t>
      </w:r>
      <w:r>
        <w:rPr>
          <w:rFonts w:hint="eastAsia"/>
          <w:kern w:val="0"/>
          <w:sz w:val="24"/>
          <w:szCs w:val="24"/>
        </w:rPr>
        <w:t xml:space="preserve">  行政机关对行政许可申请进行审查后，除当场作出行政许可决定的外，应当在法定期限内按照规定程序作出行政许可决定。</w:t>
      </w:r>
    </w:p>
    <w:p>
      <w:pPr>
        <w:pStyle w:val="3"/>
        <w:topLinePunct/>
        <w:spacing w:line="406" w:lineRule="exact"/>
        <w:ind w:firstLine="482"/>
        <w:rPr>
          <w:kern w:val="0"/>
          <w:sz w:val="24"/>
          <w:szCs w:val="24"/>
        </w:rPr>
      </w:pPr>
      <w:r>
        <w:rPr>
          <w:rFonts w:hint="eastAsia"/>
          <w:b/>
          <w:bCs/>
          <w:kern w:val="0"/>
          <w:sz w:val="24"/>
          <w:szCs w:val="24"/>
        </w:rPr>
        <w:t>第三十八条</w:t>
      </w:r>
      <w:r>
        <w:rPr>
          <w:rFonts w:hint="eastAsia"/>
          <w:kern w:val="0"/>
          <w:sz w:val="24"/>
          <w:szCs w:val="24"/>
        </w:rPr>
        <w:t xml:space="preserve">  申请人的申请符合法定条件、标准的，行政机关应当依法作出准予行政许可的书面决定。</w:t>
      </w:r>
    </w:p>
    <w:p>
      <w:pPr>
        <w:pStyle w:val="3"/>
        <w:topLinePunct/>
        <w:spacing w:line="406" w:lineRule="exact"/>
        <w:ind w:firstLine="480"/>
        <w:rPr>
          <w:kern w:val="0"/>
          <w:sz w:val="24"/>
          <w:szCs w:val="24"/>
        </w:rPr>
      </w:pPr>
      <w:r>
        <w:rPr>
          <w:rFonts w:hint="eastAsia"/>
          <w:kern w:val="0"/>
          <w:sz w:val="24"/>
          <w:szCs w:val="24"/>
        </w:rPr>
        <w:t>行政机关依法作出不予行政许可的书面决定的，应当说明理由，并告知申请人享有依法申请行政复议或者提起行政诉讼的权利。</w:t>
      </w:r>
    </w:p>
    <w:p>
      <w:pPr>
        <w:pStyle w:val="3"/>
        <w:topLinePunct/>
        <w:spacing w:line="406" w:lineRule="exact"/>
        <w:ind w:firstLine="482"/>
        <w:rPr>
          <w:kern w:val="0"/>
          <w:sz w:val="24"/>
          <w:szCs w:val="24"/>
        </w:rPr>
      </w:pPr>
      <w:r>
        <w:rPr>
          <w:rFonts w:hint="eastAsia"/>
          <w:b/>
          <w:bCs/>
          <w:kern w:val="0"/>
          <w:sz w:val="24"/>
          <w:szCs w:val="24"/>
        </w:rPr>
        <w:t>第三十九条</w:t>
      </w:r>
      <w:r>
        <w:rPr>
          <w:rFonts w:hint="eastAsia"/>
          <w:kern w:val="0"/>
          <w:sz w:val="24"/>
          <w:szCs w:val="24"/>
        </w:rPr>
        <w:t xml:space="preserve">  行政机关作出准予行政许可的决定，需要颁发行政许可证件的，应当向申请人颁发加盖本行政机关印章的下列行政许可证件：</w:t>
      </w:r>
    </w:p>
    <w:p>
      <w:pPr>
        <w:pStyle w:val="3"/>
        <w:topLinePunct/>
        <w:spacing w:line="410" w:lineRule="exact"/>
        <w:ind w:firstLine="480"/>
        <w:rPr>
          <w:kern w:val="0"/>
          <w:sz w:val="24"/>
          <w:szCs w:val="24"/>
        </w:rPr>
      </w:pPr>
      <w:r>
        <w:rPr>
          <w:rFonts w:hint="eastAsia"/>
          <w:kern w:val="0"/>
          <w:sz w:val="24"/>
          <w:szCs w:val="24"/>
        </w:rPr>
        <w:t>（一）许可证、执照或者其他许可证书；</w:t>
      </w:r>
    </w:p>
    <w:p>
      <w:pPr>
        <w:pStyle w:val="3"/>
        <w:topLinePunct/>
        <w:spacing w:line="410" w:lineRule="exact"/>
        <w:ind w:firstLine="480"/>
        <w:rPr>
          <w:kern w:val="0"/>
          <w:sz w:val="24"/>
          <w:szCs w:val="24"/>
        </w:rPr>
      </w:pPr>
      <w:r>
        <w:rPr>
          <w:rFonts w:hint="eastAsia"/>
          <w:kern w:val="0"/>
          <w:sz w:val="24"/>
          <w:szCs w:val="24"/>
        </w:rPr>
        <w:t>（二）资格证、资质证或者其他合格证书；</w:t>
      </w:r>
    </w:p>
    <w:p>
      <w:pPr>
        <w:pStyle w:val="3"/>
        <w:topLinePunct/>
        <w:spacing w:line="410" w:lineRule="exact"/>
        <w:ind w:firstLine="480"/>
        <w:rPr>
          <w:kern w:val="0"/>
          <w:sz w:val="24"/>
          <w:szCs w:val="24"/>
        </w:rPr>
      </w:pPr>
      <w:r>
        <w:rPr>
          <w:rFonts w:hint="eastAsia"/>
          <w:kern w:val="0"/>
          <w:sz w:val="24"/>
          <w:szCs w:val="24"/>
        </w:rPr>
        <w:t>（三）行政机关的批准文件或者证明文件；</w:t>
      </w:r>
    </w:p>
    <w:p>
      <w:pPr>
        <w:pStyle w:val="3"/>
        <w:topLinePunct/>
        <w:spacing w:line="410" w:lineRule="exact"/>
        <w:ind w:firstLine="480"/>
        <w:rPr>
          <w:kern w:val="0"/>
          <w:sz w:val="24"/>
          <w:szCs w:val="24"/>
        </w:rPr>
      </w:pPr>
      <w:r>
        <w:rPr>
          <w:rFonts w:hint="eastAsia"/>
          <w:kern w:val="0"/>
          <w:sz w:val="24"/>
          <w:szCs w:val="24"/>
        </w:rPr>
        <w:t>（四）法律、法规规定的其他行政许可证件。</w:t>
      </w:r>
    </w:p>
    <w:p>
      <w:pPr>
        <w:pStyle w:val="3"/>
        <w:topLinePunct/>
        <w:spacing w:line="410" w:lineRule="exact"/>
        <w:ind w:firstLine="480"/>
        <w:rPr>
          <w:kern w:val="0"/>
          <w:sz w:val="24"/>
          <w:szCs w:val="24"/>
        </w:rPr>
      </w:pPr>
      <w:r>
        <w:rPr>
          <w:rFonts w:hint="eastAsia"/>
          <w:kern w:val="0"/>
          <w:sz w:val="24"/>
          <w:szCs w:val="24"/>
        </w:rPr>
        <w:t>行政机关实施检验、检测、检疫的，可以在检验、检测、检疫合格的设备、设施、产品、物品上加贴标签或者加盖检验、检测、检疫印章。</w:t>
      </w:r>
    </w:p>
    <w:p>
      <w:pPr>
        <w:pStyle w:val="3"/>
        <w:topLinePunct/>
        <w:spacing w:line="410" w:lineRule="exact"/>
        <w:ind w:firstLine="482"/>
        <w:rPr>
          <w:kern w:val="0"/>
          <w:sz w:val="24"/>
          <w:szCs w:val="24"/>
        </w:rPr>
      </w:pPr>
      <w:r>
        <w:rPr>
          <w:rFonts w:hint="eastAsia"/>
          <w:b/>
          <w:bCs/>
          <w:kern w:val="0"/>
          <w:sz w:val="24"/>
          <w:szCs w:val="24"/>
        </w:rPr>
        <w:t>第四十条</w:t>
      </w:r>
      <w:r>
        <w:rPr>
          <w:rFonts w:hint="eastAsia"/>
          <w:kern w:val="0"/>
          <w:sz w:val="24"/>
          <w:szCs w:val="24"/>
        </w:rPr>
        <w:t xml:space="preserve">  行政机关作出的准予行政许可决定，应当予以公开，公众有权查阅。</w:t>
      </w:r>
    </w:p>
    <w:p>
      <w:pPr>
        <w:pStyle w:val="3"/>
        <w:topLinePunct/>
        <w:spacing w:line="410" w:lineRule="exact"/>
        <w:ind w:firstLine="482"/>
        <w:rPr>
          <w:kern w:val="0"/>
          <w:sz w:val="24"/>
          <w:szCs w:val="24"/>
        </w:rPr>
      </w:pPr>
      <w:r>
        <w:rPr>
          <w:rFonts w:hint="eastAsia"/>
          <w:b/>
          <w:bCs/>
          <w:kern w:val="0"/>
          <w:sz w:val="24"/>
          <w:szCs w:val="24"/>
        </w:rPr>
        <w:t>第四十一条</w:t>
      </w:r>
      <w:r>
        <w:rPr>
          <w:rFonts w:hint="eastAsia"/>
          <w:kern w:val="0"/>
          <w:sz w:val="24"/>
          <w:szCs w:val="24"/>
        </w:rPr>
        <w:t xml:space="preserve">  法律、行政法规设定的行政许可，其适用范围没有地域限制的，申请人取得的行政许可在全国范围内有效。</w:t>
      </w:r>
    </w:p>
    <w:p>
      <w:pPr>
        <w:pStyle w:val="64"/>
        <w:spacing w:before="156" w:after="156"/>
        <w:rPr>
          <w:rFonts w:ascii="宋体"/>
          <w:kern w:val="0"/>
        </w:rPr>
      </w:pPr>
      <w:r>
        <w:rPr>
          <w:rFonts w:hint="eastAsia"/>
          <w:kern w:val="0"/>
        </w:rPr>
        <w:t>第三节  期  限</w:t>
      </w:r>
    </w:p>
    <w:p>
      <w:pPr>
        <w:pStyle w:val="3"/>
        <w:topLinePunct/>
        <w:spacing w:line="410" w:lineRule="exact"/>
        <w:ind w:firstLine="482"/>
        <w:rPr>
          <w:kern w:val="0"/>
          <w:sz w:val="24"/>
          <w:szCs w:val="24"/>
        </w:rPr>
      </w:pPr>
      <w:r>
        <w:rPr>
          <w:rFonts w:hint="eastAsia"/>
          <w:b/>
          <w:bCs/>
          <w:kern w:val="0"/>
          <w:sz w:val="24"/>
          <w:szCs w:val="24"/>
        </w:rPr>
        <w:t>第四十二条</w:t>
      </w:r>
      <w:r>
        <w:rPr>
          <w:rFonts w:hint="eastAsia"/>
          <w:kern w:val="0"/>
          <w:sz w:val="24"/>
          <w:szCs w:val="24"/>
        </w:rPr>
        <w:t xml:space="preserve">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pPr>
        <w:pStyle w:val="3"/>
        <w:topLinePunct/>
        <w:spacing w:line="416" w:lineRule="exact"/>
        <w:ind w:firstLine="480"/>
        <w:rPr>
          <w:kern w:val="0"/>
          <w:sz w:val="24"/>
          <w:szCs w:val="24"/>
        </w:rPr>
      </w:pPr>
      <w:r>
        <w:rPr>
          <w:rFonts w:hint="eastAsia"/>
          <w:kern w:val="0"/>
          <w:sz w:val="24"/>
          <w:szCs w:val="24"/>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pPr>
        <w:pStyle w:val="3"/>
        <w:topLinePunct/>
        <w:spacing w:line="416" w:lineRule="exact"/>
        <w:ind w:firstLine="482"/>
        <w:rPr>
          <w:kern w:val="0"/>
          <w:sz w:val="24"/>
          <w:szCs w:val="24"/>
        </w:rPr>
      </w:pPr>
      <w:r>
        <w:rPr>
          <w:rFonts w:hint="eastAsia"/>
          <w:b/>
          <w:bCs/>
          <w:kern w:val="0"/>
          <w:sz w:val="24"/>
          <w:szCs w:val="24"/>
        </w:rPr>
        <w:t>第四十三条</w:t>
      </w:r>
      <w:r>
        <w:rPr>
          <w:rFonts w:hint="eastAsia"/>
          <w:kern w:val="0"/>
          <w:sz w:val="24"/>
          <w:szCs w:val="24"/>
        </w:rPr>
        <w:t xml:space="preserve">  依法应当先经下级行政机关审查后报上级行政机关决定的行政许可，下级行政机关应当自其受理行政许可申请之日起二十日内审查完毕。但是，法律、法规另有规定的，依照其规定。</w:t>
      </w:r>
    </w:p>
    <w:p>
      <w:pPr>
        <w:pStyle w:val="3"/>
        <w:topLinePunct/>
        <w:spacing w:line="416" w:lineRule="exact"/>
        <w:ind w:firstLine="482"/>
        <w:rPr>
          <w:kern w:val="0"/>
          <w:sz w:val="24"/>
          <w:szCs w:val="24"/>
        </w:rPr>
      </w:pPr>
      <w:r>
        <w:rPr>
          <w:rFonts w:hint="eastAsia"/>
          <w:b/>
          <w:bCs/>
          <w:kern w:val="0"/>
          <w:sz w:val="24"/>
          <w:szCs w:val="24"/>
        </w:rPr>
        <w:t>第四十四条</w:t>
      </w:r>
      <w:r>
        <w:rPr>
          <w:rFonts w:hint="eastAsia"/>
          <w:kern w:val="0"/>
          <w:sz w:val="24"/>
          <w:szCs w:val="24"/>
        </w:rPr>
        <w:t xml:space="preserve">  行政机关作出准予行政许可的决定，应当自作出决定之日起十日内向申请人颁发、送达行政许可证件，或者加贴标签、加盖检验、检测、检疫印章。</w:t>
      </w:r>
    </w:p>
    <w:p>
      <w:pPr>
        <w:pStyle w:val="3"/>
        <w:topLinePunct/>
        <w:spacing w:line="416" w:lineRule="exact"/>
        <w:ind w:firstLine="482"/>
        <w:rPr>
          <w:kern w:val="0"/>
          <w:sz w:val="24"/>
          <w:szCs w:val="24"/>
        </w:rPr>
      </w:pPr>
      <w:r>
        <w:rPr>
          <w:rFonts w:hint="eastAsia"/>
          <w:b/>
          <w:bCs/>
          <w:kern w:val="0"/>
          <w:sz w:val="24"/>
          <w:szCs w:val="24"/>
        </w:rPr>
        <w:t>第四十五条</w:t>
      </w:r>
      <w:r>
        <w:rPr>
          <w:rFonts w:hint="eastAsia"/>
          <w:kern w:val="0"/>
          <w:sz w:val="24"/>
          <w:szCs w:val="24"/>
        </w:rPr>
        <w:t xml:space="preserve">  行政机关作出行政许可决定，依法需要听证、招标、拍卖、检验、检测、检疫、鉴定和专家评审的，所需时间不计算在本节规定的期限内。行政机关应当将所需时间书面告知申请人。</w:t>
      </w:r>
    </w:p>
    <w:p>
      <w:pPr>
        <w:pStyle w:val="64"/>
        <w:spacing w:before="156" w:after="156"/>
        <w:rPr>
          <w:rFonts w:ascii="宋体"/>
          <w:kern w:val="0"/>
        </w:rPr>
      </w:pPr>
      <w:r>
        <w:rPr>
          <w:rFonts w:hint="eastAsia"/>
          <w:kern w:val="0"/>
        </w:rPr>
        <w:t>第四节  听  证</w:t>
      </w:r>
    </w:p>
    <w:p>
      <w:pPr>
        <w:pStyle w:val="3"/>
        <w:topLinePunct/>
        <w:spacing w:line="416" w:lineRule="exact"/>
        <w:ind w:firstLine="482"/>
        <w:rPr>
          <w:kern w:val="0"/>
          <w:sz w:val="24"/>
          <w:szCs w:val="24"/>
        </w:rPr>
      </w:pPr>
      <w:r>
        <w:rPr>
          <w:rFonts w:hint="eastAsia"/>
          <w:b/>
          <w:bCs/>
          <w:kern w:val="0"/>
          <w:sz w:val="24"/>
          <w:szCs w:val="24"/>
        </w:rPr>
        <w:t>第四十六条</w:t>
      </w:r>
      <w:r>
        <w:rPr>
          <w:rFonts w:hint="eastAsia"/>
          <w:kern w:val="0"/>
          <w:sz w:val="24"/>
          <w:szCs w:val="24"/>
        </w:rPr>
        <w:t xml:space="preserve">  法律、法规、规章规定实施行政许可应当听证的事项，或者行政机关认为需要听证的其他涉及公共利益的重大行政许可事项，行政机关应当向社会公告，并举行听证。</w:t>
      </w:r>
    </w:p>
    <w:p>
      <w:pPr>
        <w:pStyle w:val="3"/>
        <w:topLinePunct/>
        <w:spacing w:line="416" w:lineRule="exact"/>
        <w:ind w:firstLine="482"/>
        <w:rPr>
          <w:kern w:val="0"/>
          <w:sz w:val="24"/>
          <w:szCs w:val="24"/>
        </w:rPr>
      </w:pPr>
      <w:r>
        <w:rPr>
          <w:rFonts w:hint="eastAsia"/>
          <w:b/>
          <w:bCs/>
          <w:kern w:val="0"/>
          <w:sz w:val="24"/>
          <w:szCs w:val="24"/>
        </w:rPr>
        <w:t>第四十七条</w:t>
      </w:r>
      <w:r>
        <w:rPr>
          <w:rFonts w:hint="eastAsia"/>
          <w:kern w:val="0"/>
          <w:sz w:val="24"/>
          <w:szCs w:val="24"/>
        </w:rPr>
        <w:t xml:space="preserve">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w:t>
      </w:r>
    </w:p>
    <w:p>
      <w:pPr>
        <w:pStyle w:val="3"/>
        <w:topLinePunct/>
        <w:spacing w:line="416" w:lineRule="exact"/>
        <w:ind w:firstLine="480"/>
        <w:rPr>
          <w:kern w:val="0"/>
          <w:sz w:val="24"/>
          <w:szCs w:val="24"/>
        </w:rPr>
      </w:pPr>
      <w:r>
        <w:rPr>
          <w:rFonts w:hint="eastAsia"/>
          <w:kern w:val="0"/>
          <w:sz w:val="24"/>
          <w:szCs w:val="24"/>
        </w:rPr>
        <w:t>申请人、利害关系人不承担行政机关组织听证的费用。</w:t>
      </w:r>
    </w:p>
    <w:p>
      <w:pPr>
        <w:pStyle w:val="3"/>
        <w:topLinePunct/>
        <w:spacing w:line="416" w:lineRule="exact"/>
        <w:ind w:firstLine="482"/>
        <w:rPr>
          <w:kern w:val="0"/>
          <w:sz w:val="24"/>
          <w:szCs w:val="24"/>
        </w:rPr>
      </w:pPr>
      <w:r>
        <w:rPr>
          <w:rFonts w:hint="eastAsia"/>
          <w:b/>
          <w:bCs/>
          <w:kern w:val="0"/>
          <w:sz w:val="24"/>
          <w:szCs w:val="24"/>
        </w:rPr>
        <w:t>第四十八条</w:t>
      </w:r>
      <w:r>
        <w:rPr>
          <w:rFonts w:hint="eastAsia"/>
          <w:kern w:val="0"/>
          <w:sz w:val="24"/>
          <w:szCs w:val="24"/>
        </w:rPr>
        <w:t xml:space="preserve">  听证按照下列程序进行：</w:t>
      </w:r>
    </w:p>
    <w:p>
      <w:pPr>
        <w:pStyle w:val="3"/>
        <w:topLinePunct/>
        <w:spacing w:line="416" w:lineRule="exact"/>
        <w:ind w:firstLine="480"/>
        <w:rPr>
          <w:kern w:val="0"/>
          <w:sz w:val="24"/>
          <w:szCs w:val="24"/>
        </w:rPr>
      </w:pPr>
      <w:r>
        <w:rPr>
          <w:rFonts w:hint="eastAsia"/>
          <w:kern w:val="0"/>
          <w:sz w:val="24"/>
          <w:szCs w:val="24"/>
        </w:rPr>
        <w:t>（一）行政机关应当于举行听证的七日前将举行听证的时间、地点通知申请人、利害关系人，必要时予以公告；</w:t>
      </w:r>
    </w:p>
    <w:p>
      <w:pPr>
        <w:pStyle w:val="3"/>
        <w:topLinePunct/>
        <w:spacing w:line="416" w:lineRule="exact"/>
        <w:ind w:firstLine="480"/>
        <w:rPr>
          <w:kern w:val="0"/>
          <w:sz w:val="24"/>
          <w:szCs w:val="24"/>
        </w:rPr>
      </w:pPr>
      <w:r>
        <w:rPr>
          <w:rFonts w:hint="eastAsia"/>
          <w:kern w:val="0"/>
          <w:sz w:val="24"/>
          <w:szCs w:val="24"/>
        </w:rPr>
        <w:t>（二）听证应当公开举行；</w:t>
      </w:r>
    </w:p>
    <w:p>
      <w:pPr>
        <w:pStyle w:val="3"/>
        <w:topLinePunct/>
        <w:spacing w:line="416" w:lineRule="exact"/>
        <w:ind w:firstLine="480"/>
        <w:rPr>
          <w:kern w:val="0"/>
          <w:sz w:val="24"/>
          <w:szCs w:val="24"/>
        </w:rPr>
      </w:pPr>
      <w:r>
        <w:rPr>
          <w:rFonts w:hint="eastAsia"/>
          <w:kern w:val="0"/>
          <w:sz w:val="24"/>
          <w:szCs w:val="24"/>
        </w:rPr>
        <w:t>（三）行政机关应当指定审查该行政许可申请的工作人员以外的人员为听证主持人，申请人、利害关系人认为主持人与该行政许可事项有直接利害关系的，有权申请回避；</w:t>
      </w:r>
    </w:p>
    <w:p>
      <w:pPr>
        <w:pStyle w:val="3"/>
        <w:topLinePunct/>
        <w:spacing w:line="416" w:lineRule="exact"/>
        <w:ind w:firstLine="480"/>
        <w:rPr>
          <w:kern w:val="0"/>
          <w:sz w:val="24"/>
          <w:szCs w:val="24"/>
        </w:rPr>
      </w:pPr>
      <w:r>
        <w:rPr>
          <w:rFonts w:hint="eastAsia"/>
          <w:kern w:val="0"/>
          <w:sz w:val="24"/>
          <w:szCs w:val="24"/>
        </w:rPr>
        <w:t>（四）举行听证时，审查该行政许可申请的工作人员应当提供审查意见的证据、理由，申请人、利害关系人可以提出证据，并进行申辩和质证；</w:t>
      </w:r>
    </w:p>
    <w:p>
      <w:pPr>
        <w:pStyle w:val="3"/>
        <w:topLinePunct/>
        <w:spacing w:line="416" w:lineRule="exact"/>
        <w:ind w:firstLine="480"/>
        <w:rPr>
          <w:kern w:val="0"/>
          <w:sz w:val="24"/>
          <w:szCs w:val="24"/>
        </w:rPr>
      </w:pPr>
      <w:r>
        <w:rPr>
          <w:rFonts w:hint="eastAsia"/>
          <w:kern w:val="0"/>
          <w:sz w:val="24"/>
          <w:szCs w:val="24"/>
        </w:rPr>
        <w:t>（五）听</w:t>
      </w:r>
      <w:r>
        <w:rPr>
          <w:rFonts w:hint="eastAsia"/>
          <w:spacing w:val="-4"/>
          <w:kern w:val="0"/>
          <w:sz w:val="24"/>
          <w:szCs w:val="24"/>
        </w:rPr>
        <w:t>证应当制作笔录，听证笔录应当交听证参加人确认无误后签字或者盖章。</w:t>
      </w:r>
    </w:p>
    <w:p>
      <w:pPr>
        <w:pStyle w:val="3"/>
        <w:topLinePunct/>
        <w:spacing w:line="410" w:lineRule="exact"/>
        <w:ind w:firstLine="480"/>
        <w:rPr>
          <w:kern w:val="0"/>
          <w:sz w:val="24"/>
          <w:szCs w:val="24"/>
        </w:rPr>
      </w:pPr>
      <w:r>
        <w:rPr>
          <w:rFonts w:hint="eastAsia"/>
          <w:kern w:val="0"/>
          <w:sz w:val="24"/>
          <w:szCs w:val="24"/>
        </w:rPr>
        <w:t>行政机关应当根据听证笔录，作出行政许可决定。</w:t>
      </w:r>
    </w:p>
    <w:p>
      <w:pPr>
        <w:pStyle w:val="64"/>
        <w:spacing w:before="156" w:after="156"/>
        <w:rPr>
          <w:rFonts w:ascii="宋体"/>
          <w:kern w:val="0"/>
        </w:rPr>
      </w:pPr>
      <w:r>
        <w:rPr>
          <w:rFonts w:hint="eastAsia"/>
          <w:kern w:val="0"/>
        </w:rPr>
        <w:t>第五节  变更与延续</w:t>
      </w:r>
    </w:p>
    <w:p>
      <w:pPr>
        <w:pStyle w:val="3"/>
        <w:topLinePunct/>
        <w:spacing w:line="410" w:lineRule="exact"/>
        <w:ind w:firstLine="482"/>
        <w:rPr>
          <w:kern w:val="0"/>
          <w:sz w:val="24"/>
          <w:szCs w:val="24"/>
        </w:rPr>
      </w:pPr>
      <w:r>
        <w:rPr>
          <w:rFonts w:hint="eastAsia"/>
          <w:b/>
          <w:bCs/>
          <w:kern w:val="0"/>
          <w:sz w:val="24"/>
          <w:szCs w:val="24"/>
        </w:rPr>
        <w:t>第四十九条</w:t>
      </w:r>
      <w:r>
        <w:rPr>
          <w:rFonts w:hint="eastAsia"/>
          <w:kern w:val="0"/>
          <w:sz w:val="24"/>
          <w:szCs w:val="24"/>
        </w:rPr>
        <w:t xml:space="preserve">  被许可人要求变更行政许可事项的，应当向作出行政许可决定的行政机关提出申请；符合法定条件、标准的，行政机关应当依法办理变更手续。</w:t>
      </w:r>
    </w:p>
    <w:p>
      <w:pPr>
        <w:pStyle w:val="3"/>
        <w:topLinePunct/>
        <w:spacing w:line="410" w:lineRule="exact"/>
        <w:ind w:firstLine="482"/>
        <w:rPr>
          <w:kern w:val="0"/>
          <w:sz w:val="24"/>
          <w:szCs w:val="24"/>
        </w:rPr>
      </w:pPr>
      <w:r>
        <w:rPr>
          <w:rFonts w:hint="eastAsia"/>
          <w:b/>
          <w:bCs/>
          <w:kern w:val="0"/>
          <w:sz w:val="24"/>
          <w:szCs w:val="24"/>
        </w:rPr>
        <w:t>第五十条</w:t>
      </w:r>
      <w:r>
        <w:rPr>
          <w:rFonts w:hint="eastAsia"/>
          <w:kern w:val="0"/>
          <w:sz w:val="24"/>
          <w:szCs w:val="24"/>
        </w:rPr>
        <w:t xml:space="preserve">  被许可人需要延续依法取得的行政许可的有效期的，应当在该行政许可有效期届满三十日前向作出行政许可决定的行政机关提出申请。但是，法律、法规、规章另有规定的，依照其规定。</w:t>
      </w:r>
    </w:p>
    <w:p>
      <w:pPr>
        <w:pStyle w:val="3"/>
        <w:topLinePunct/>
        <w:spacing w:line="410" w:lineRule="exact"/>
        <w:ind w:firstLine="480"/>
        <w:rPr>
          <w:kern w:val="0"/>
          <w:sz w:val="24"/>
          <w:szCs w:val="24"/>
        </w:rPr>
      </w:pPr>
      <w:r>
        <w:rPr>
          <w:rFonts w:hint="eastAsia"/>
          <w:kern w:val="0"/>
          <w:sz w:val="24"/>
          <w:szCs w:val="24"/>
        </w:rPr>
        <w:t>行政机关应当根据被许可人的申请，在该行政许可有效期届满前作出是否准予延续的决定；逾期未作决定的，视为准予延续。</w:t>
      </w:r>
    </w:p>
    <w:p>
      <w:pPr>
        <w:pStyle w:val="64"/>
        <w:spacing w:before="156" w:after="156"/>
        <w:rPr>
          <w:rFonts w:ascii="宋体"/>
          <w:kern w:val="0"/>
        </w:rPr>
      </w:pPr>
      <w:r>
        <w:rPr>
          <w:rFonts w:hint="eastAsia"/>
          <w:kern w:val="0"/>
        </w:rPr>
        <w:t>第六节  特别规定</w:t>
      </w:r>
    </w:p>
    <w:p>
      <w:pPr>
        <w:pStyle w:val="3"/>
        <w:topLinePunct/>
        <w:spacing w:line="400" w:lineRule="exact"/>
        <w:ind w:firstLine="482"/>
        <w:rPr>
          <w:kern w:val="0"/>
          <w:sz w:val="24"/>
          <w:szCs w:val="24"/>
        </w:rPr>
      </w:pPr>
      <w:r>
        <w:rPr>
          <w:rFonts w:hint="eastAsia"/>
          <w:b/>
          <w:bCs/>
          <w:kern w:val="0"/>
          <w:sz w:val="24"/>
          <w:szCs w:val="24"/>
        </w:rPr>
        <w:t>第五十一条</w:t>
      </w:r>
      <w:r>
        <w:rPr>
          <w:rFonts w:hint="eastAsia"/>
          <w:kern w:val="0"/>
          <w:sz w:val="24"/>
          <w:szCs w:val="24"/>
        </w:rPr>
        <w:t xml:space="preserve">  实施行政许可的程序，本节有规定的，适用本节规定；本节没有规定的，适用本章其他有关规定。</w:t>
      </w:r>
    </w:p>
    <w:p>
      <w:pPr>
        <w:pStyle w:val="3"/>
        <w:topLinePunct/>
        <w:spacing w:line="400" w:lineRule="exact"/>
        <w:ind w:firstLine="482"/>
        <w:rPr>
          <w:kern w:val="0"/>
          <w:sz w:val="24"/>
          <w:szCs w:val="24"/>
        </w:rPr>
      </w:pPr>
      <w:r>
        <w:rPr>
          <w:rFonts w:hint="eastAsia"/>
          <w:b/>
          <w:bCs/>
          <w:kern w:val="0"/>
          <w:sz w:val="24"/>
          <w:szCs w:val="24"/>
        </w:rPr>
        <w:t>第五十二条</w:t>
      </w:r>
      <w:r>
        <w:rPr>
          <w:rFonts w:hint="eastAsia"/>
          <w:kern w:val="0"/>
          <w:sz w:val="24"/>
          <w:szCs w:val="24"/>
        </w:rPr>
        <w:t xml:space="preserve">  国务院实施行政许可的程序，适用有关法律、行政法规的规定。</w:t>
      </w:r>
    </w:p>
    <w:p>
      <w:pPr>
        <w:pStyle w:val="3"/>
        <w:topLinePunct/>
        <w:spacing w:line="400" w:lineRule="exact"/>
        <w:ind w:firstLine="482"/>
        <w:rPr>
          <w:kern w:val="0"/>
          <w:sz w:val="24"/>
          <w:szCs w:val="24"/>
        </w:rPr>
      </w:pPr>
      <w:r>
        <w:rPr>
          <w:rFonts w:hint="eastAsia"/>
          <w:b/>
          <w:bCs/>
          <w:kern w:val="0"/>
          <w:sz w:val="24"/>
          <w:szCs w:val="24"/>
        </w:rPr>
        <w:t>第五十三条</w:t>
      </w:r>
      <w:r>
        <w:rPr>
          <w:rFonts w:hint="eastAsia"/>
          <w:kern w:val="0"/>
          <w:sz w:val="24"/>
          <w:szCs w:val="24"/>
        </w:rPr>
        <w:t xml:space="preserve">  实施本法第十二条第二项所列事项的行政许可的，行政机关应当通过招标、拍卖等公平竞争的方式作出决定。但是，法律、行政法规另有规定的，依照其规定。</w:t>
      </w:r>
    </w:p>
    <w:p>
      <w:pPr>
        <w:pStyle w:val="3"/>
        <w:topLinePunct/>
        <w:spacing w:line="400" w:lineRule="exact"/>
        <w:ind w:firstLine="480"/>
        <w:rPr>
          <w:kern w:val="0"/>
          <w:sz w:val="24"/>
          <w:szCs w:val="24"/>
        </w:rPr>
      </w:pPr>
      <w:r>
        <w:rPr>
          <w:rFonts w:hint="eastAsia"/>
          <w:kern w:val="0"/>
          <w:sz w:val="24"/>
          <w:szCs w:val="24"/>
        </w:rPr>
        <w:t>行政机关通过招标、拍卖等方式作出行政许可决定的具体程序，依照有关法律、行政法规的规定。</w:t>
      </w:r>
    </w:p>
    <w:p>
      <w:pPr>
        <w:pStyle w:val="3"/>
        <w:topLinePunct/>
        <w:spacing w:line="400" w:lineRule="exact"/>
        <w:ind w:firstLine="480"/>
        <w:rPr>
          <w:kern w:val="0"/>
          <w:sz w:val="24"/>
          <w:szCs w:val="24"/>
        </w:rPr>
      </w:pPr>
      <w:r>
        <w:rPr>
          <w:rFonts w:hint="eastAsia"/>
          <w:kern w:val="0"/>
          <w:sz w:val="24"/>
          <w:szCs w:val="24"/>
        </w:rPr>
        <w:t>行政机关按照招标、拍卖程序确定中标人、买受人后，应当作出准予行政许可的决定，并依法向中标人、买受人颁发行政许可证件。</w:t>
      </w:r>
    </w:p>
    <w:p>
      <w:pPr>
        <w:pStyle w:val="3"/>
        <w:topLinePunct/>
        <w:spacing w:line="400" w:lineRule="exact"/>
        <w:ind w:firstLine="480"/>
        <w:rPr>
          <w:kern w:val="0"/>
          <w:sz w:val="24"/>
          <w:szCs w:val="24"/>
        </w:rPr>
      </w:pPr>
      <w:r>
        <w:rPr>
          <w:rFonts w:hint="eastAsia"/>
          <w:kern w:val="0"/>
          <w:sz w:val="24"/>
          <w:szCs w:val="24"/>
        </w:rPr>
        <w:t>行政机关违反本条规定，不采用招标、拍卖方式，或者违反招标、拍卖程序，损害申请人合法权益的，申请人可以依法申请行政复议或者提起行政诉讼。</w:t>
      </w:r>
    </w:p>
    <w:p>
      <w:pPr>
        <w:pStyle w:val="3"/>
        <w:topLinePunct/>
        <w:spacing w:line="400" w:lineRule="exact"/>
        <w:ind w:firstLine="482"/>
        <w:rPr>
          <w:kern w:val="0"/>
          <w:sz w:val="24"/>
          <w:szCs w:val="24"/>
        </w:rPr>
      </w:pPr>
      <w:r>
        <w:rPr>
          <w:rFonts w:hint="eastAsia"/>
          <w:b/>
          <w:bCs/>
          <w:kern w:val="0"/>
          <w:sz w:val="24"/>
          <w:szCs w:val="24"/>
        </w:rPr>
        <w:t>第五十四条</w:t>
      </w:r>
      <w:r>
        <w:rPr>
          <w:rFonts w:hint="eastAsia"/>
          <w:kern w:val="0"/>
          <w:sz w:val="24"/>
          <w:szCs w:val="24"/>
        </w:rPr>
        <w:t xml:space="preserve">  实施本法第十二条第三项所列事项的行政许可，赋予公民特定资格，依法应当举行国家考试的，行政机关根据考试成绩和其他法定条件作出行政许可决定；赋予法人或者其他组织特定的资格、资质的，行政机关根据申请人的专业人员构成、技术条件、经营业绩和管理水平等的考核结果作出行政许可决定。但是，法律、行政法规另有规定的，依照其规定。</w:t>
      </w:r>
    </w:p>
    <w:p>
      <w:pPr>
        <w:pStyle w:val="3"/>
        <w:topLinePunct/>
        <w:spacing w:line="400" w:lineRule="exact"/>
        <w:ind w:firstLine="480"/>
        <w:rPr>
          <w:kern w:val="0"/>
          <w:sz w:val="24"/>
          <w:szCs w:val="24"/>
        </w:rPr>
      </w:pPr>
      <w:r>
        <w:rPr>
          <w:rFonts w:hint="eastAsia"/>
          <w:kern w:val="0"/>
          <w:sz w:val="24"/>
          <w:szCs w:val="24"/>
        </w:rPr>
        <w:t>公民特定资格的考试依法由行政机关或者行业组织实施，公开举行。行政机关或者行业组织应当事先公布资格考试的报名条件、报考办法、考试科目以及考试大纲。但是，不得组织强制性的资格考试的考前培训，不得指定教材或者其他助考材料。</w:t>
      </w:r>
    </w:p>
    <w:p>
      <w:pPr>
        <w:pStyle w:val="3"/>
        <w:topLinePunct/>
        <w:spacing w:line="404" w:lineRule="exact"/>
        <w:ind w:firstLine="482"/>
        <w:rPr>
          <w:kern w:val="0"/>
          <w:sz w:val="24"/>
          <w:szCs w:val="24"/>
        </w:rPr>
      </w:pPr>
      <w:r>
        <w:rPr>
          <w:rFonts w:hint="eastAsia"/>
          <w:b/>
          <w:bCs/>
          <w:kern w:val="0"/>
          <w:sz w:val="24"/>
          <w:szCs w:val="24"/>
        </w:rPr>
        <w:t>第五十五条</w:t>
      </w:r>
      <w:r>
        <w:rPr>
          <w:rFonts w:hint="eastAsia"/>
          <w:kern w:val="0"/>
          <w:sz w:val="24"/>
          <w:szCs w:val="24"/>
        </w:rPr>
        <w:t xml:space="preserve">  实施本法第十二条第四项所列事项的行政许可的，应当按照技术标准、技术规范依法进行检验、检测、检疫，行政机关根据检验、检测、检疫的结果作出行政许可决定。</w:t>
      </w:r>
    </w:p>
    <w:p>
      <w:pPr>
        <w:pStyle w:val="3"/>
        <w:topLinePunct/>
        <w:spacing w:line="404" w:lineRule="exact"/>
        <w:ind w:firstLine="480"/>
        <w:rPr>
          <w:kern w:val="0"/>
          <w:sz w:val="24"/>
          <w:szCs w:val="24"/>
        </w:rPr>
      </w:pPr>
      <w:r>
        <w:rPr>
          <w:rFonts w:hint="eastAsia"/>
          <w:kern w:val="0"/>
          <w:sz w:val="24"/>
          <w:szCs w:val="24"/>
        </w:rPr>
        <w:t>行政机关实施检验、检测、检疫，应当自受理申请之日起五日内指派两名以上工作人员按照技术标准、技术规范进行检验、检测、检疫。不需要对检验、检测、检疫结果作进一步技术分析即可认定设备、设施、产品、物品是否符合技术标准、技术规范的，行政机关应当当场作出行政许可决定。</w:t>
      </w:r>
    </w:p>
    <w:p>
      <w:pPr>
        <w:pStyle w:val="3"/>
        <w:topLinePunct/>
        <w:spacing w:line="404" w:lineRule="exact"/>
        <w:ind w:firstLine="480"/>
        <w:rPr>
          <w:kern w:val="0"/>
          <w:sz w:val="24"/>
          <w:szCs w:val="24"/>
        </w:rPr>
      </w:pPr>
      <w:r>
        <w:rPr>
          <w:rFonts w:hint="eastAsia"/>
          <w:kern w:val="0"/>
          <w:sz w:val="24"/>
          <w:szCs w:val="24"/>
        </w:rPr>
        <w:t>行政机关根据检验、检测、检疫结果，作出不予行政许可决定的，应当书面说明不予行政许可所依据的技术标准、技术规范。</w:t>
      </w:r>
    </w:p>
    <w:p>
      <w:pPr>
        <w:pStyle w:val="3"/>
        <w:topLinePunct/>
        <w:spacing w:line="404" w:lineRule="exact"/>
        <w:ind w:firstLine="482"/>
        <w:rPr>
          <w:kern w:val="0"/>
          <w:sz w:val="24"/>
          <w:szCs w:val="24"/>
        </w:rPr>
      </w:pPr>
      <w:r>
        <w:rPr>
          <w:rFonts w:hint="eastAsia"/>
          <w:b/>
          <w:bCs/>
          <w:kern w:val="0"/>
          <w:sz w:val="24"/>
          <w:szCs w:val="24"/>
        </w:rPr>
        <w:t>第五十六条</w:t>
      </w:r>
      <w:r>
        <w:rPr>
          <w:rFonts w:hint="eastAsia"/>
          <w:kern w:val="0"/>
          <w:sz w:val="24"/>
          <w:szCs w:val="24"/>
        </w:rPr>
        <w:t xml:space="preserve">  实施本法第十二条第五项所列事项的行政许可，申请人提交的申请材料齐全、符合法定形式的，行政机关应当当场予以登记。需要对申请材料的实质内容进行核实的，行政机关依照本法第三十四条第三款的规定办理。</w:t>
      </w:r>
    </w:p>
    <w:p>
      <w:pPr>
        <w:pStyle w:val="3"/>
        <w:topLinePunct/>
        <w:spacing w:line="404" w:lineRule="exact"/>
        <w:ind w:firstLine="482"/>
        <w:rPr>
          <w:kern w:val="0"/>
          <w:sz w:val="24"/>
          <w:szCs w:val="24"/>
        </w:rPr>
      </w:pPr>
      <w:r>
        <w:rPr>
          <w:rFonts w:hint="eastAsia"/>
          <w:b/>
          <w:bCs/>
          <w:kern w:val="0"/>
          <w:sz w:val="24"/>
          <w:szCs w:val="24"/>
        </w:rPr>
        <w:t>第五十七条</w:t>
      </w:r>
      <w:r>
        <w:rPr>
          <w:rFonts w:hint="eastAsia"/>
          <w:kern w:val="0"/>
          <w:sz w:val="24"/>
          <w:szCs w:val="24"/>
        </w:rPr>
        <w:t xml:space="preserve">  有数量限制的行政许可，两个或者两个以上申请人的申请均符合法定条件、标准的，行政机关应当根据受理行政许可申请的先后顺序作出准予行政许可的决定。但是，法律、行政法规另有规定的，依照其规定。　　</w:t>
      </w:r>
    </w:p>
    <w:p>
      <w:pPr>
        <w:pStyle w:val="63"/>
        <w:spacing w:before="218" w:after="218"/>
        <w:rPr>
          <w:rFonts w:ascii="宋体" w:hAnsi="宋体"/>
          <w:kern w:val="0"/>
        </w:rPr>
      </w:pPr>
      <w:r>
        <w:rPr>
          <w:rFonts w:hint="eastAsia"/>
          <w:kern w:val="0"/>
        </w:rPr>
        <w:t>第五章  行政许可的费用</w:t>
      </w:r>
    </w:p>
    <w:p>
      <w:pPr>
        <w:pStyle w:val="3"/>
        <w:topLinePunct/>
        <w:spacing w:line="410" w:lineRule="exact"/>
        <w:ind w:firstLine="482"/>
        <w:rPr>
          <w:kern w:val="0"/>
          <w:sz w:val="24"/>
          <w:szCs w:val="24"/>
        </w:rPr>
      </w:pPr>
      <w:r>
        <w:rPr>
          <w:rFonts w:hint="eastAsia"/>
          <w:b/>
          <w:bCs/>
          <w:kern w:val="0"/>
          <w:sz w:val="24"/>
          <w:szCs w:val="24"/>
        </w:rPr>
        <w:t>第五十八条</w:t>
      </w:r>
      <w:r>
        <w:rPr>
          <w:rFonts w:hint="eastAsia"/>
          <w:kern w:val="0"/>
          <w:sz w:val="24"/>
          <w:szCs w:val="24"/>
        </w:rPr>
        <w:t xml:space="preserve">  行政机关实施行政许可和对行政许可事项进行监督检查，不得收取任何费用。但是，法律、行政法规另有规定的，依照其规定。</w:t>
      </w:r>
    </w:p>
    <w:p>
      <w:pPr>
        <w:pStyle w:val="3"/>
        <w:topLinePunct/>
        <w:spacing w:line="410" w:lineRule="exact"/>
        <w:ind w:firstLine="480"/>
        <w:rPr>
          <w:kern w:val="0"/>
          <w:sz w:val="24"/>
          <w:szCs w:val="24"/>
        </w:rPr>
      </w:pPr>
      <w:r>
        <w:rPr>
          <w:rFonts w:hint="eastAsia"/>
          <w:kern w:val="0"/>
          <w:sz w:val="24"/>
          <w:szCs w:val="24"/>
        </w:rPr>
        <w:t>行政机关提供行政许可申请书格式文本，不得收费。</w:t>
      </w:r>
    </w:p>
    <w:p>
      <w:pPr>
        <w:pStyle w:val="3"/>
        <w:topLinePunct/>
        <w:spacing w:line="410" w:lineRule="exact"/>
        <w:ind w:firstLine="480"/>
        <w:rPr>
          <w:kern w:val="0"/>
          <w:sz w:val="24"/>
          <w:szCs w:val="24"/>
        </w:rPr>
      </w:pPr>
      <w:r>
        <w:rPr>
          <w:rFonts w:hint="eastAsia"/>
          <w:kern w:val="0"/>
          <w:sz w:val="24"/>
          <w:szCs w:val="24"/>
        </w:rPr>
        <w:t>行政机关实施行政许可所需经费应当列入本行政机关的预算，由本级财政予以保障，按照批准的预算予以核拨。</w:t>
      </w:r>
    </w:p>
    <w:p>
      <w:pPr>
        <w:pStyle w:val="3"/>
        <w:topLinePunct/>
        <w:spacing w:line="410" w:lineRule="exact"/>
        <w:ind w:firstLine="482"/>
        <w:rPr>
          <w:kern w:val="0"/>
          <w:sz w:val="24"/>
          <w:szCs w:val="24"/>
        </w:rPr>
      </w:pPr>
      <w:r>
        <w:rPr>
          <w:rFonts w:hint="eastAsia"/>
          <w:b/>
          <w:bCs/>
          <w:kern w:val="0"/>
          <w:sz w:val="24"/>
          <w:szCs w:val="24"/>
        </w:rPr>
        <w:t>第五十九条</w:t>
      </w:r>
      <w:r>
        <w:rPr>
          <w:rFonts w:hint="eastAsia"/>
          <w:kern w:val="0"/>
          <w:sz w:val="24"/>
          <w:szCs w:val="24"/>
        </w:rPr>
        <w:t xml:space="preserve">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w:t>
      </w:r>
    </w:p>
    <w:p>
      <w:pPr>
        <w:pStyle w:val="63"/>
        <w:spacing w:before="218" w:after="218"/>
        <w:rPr>
          <w:rFonts w:ascii="宋体" w:hAnsi="宋体"/>
          <w:kern w:val="0"/>
        </w:rPr>
      </w:pPr>
      <w:r>
        <w:rPr>
          <w:rFonts w:hint="eastAsia"/>
          <w:kern w:val="0"/>
        </w:rPr>
        <w:t>第六章  监督检查</w:t>
      </w:r>
    </w:p>
    <w:p>
      <w:pPr>
        <w:pStyle w:val="3"/>
        <w:topLinePunct/>
        <w:spacing w:line="404" w:lineRule="exact"/>
        <w:ind w:firstLine="482"/>
        <w:rPr>
          <w:kern w:val="0"/>
          <w:sz w:val="24"/>
          <w:szCs w:val="24"/>
        </w:rPr>
      </w:pPr>
      <w:r>
        <w:rPr>
          <w:rFonts w:hint="eastAsia"/>
          <w:b/>
          <w:bCs/>
          <w:kern w:val="0"/>
          <w:sz w:val="24"/>
          <w:szCs w:val="24"/>
        </w:rPr>
        <w:t>第六十条</w:t>
      </w:r>
      <w:r>
        <w:rPr>
          <w:rFonts w:hint="eastAsia"/>
          <w:kern w:val="0"/>
          <w:sz w:val="24"/>
          <w:szCs w:val="24"/>
        </w:rPr>
        <w:t xml:space="preserve">  上级行政机关应当加强对下级行政机关实施行政许可的监督检查，及时纠正行政许可实施中的违法行为。</w:t>
      </w:r>
    </w:p>
    <w:p>
      <w:pPr>
        <w:pStyle w:val="3"/>
        <w:topLinePunct/>
        <w:spacing w:line="404" w:lineRule="exact"/>
        <w:ind w:firstLine="482"/>
        <w:rPr>
          <w:kern w:val="0"/>
          <w:sz w:val="24"/>
          <w:szCs w:val="24"/>
        </w:rPr>
      </w:pPr>
      <w:r>
        <w:rPr>
          <w:rFonts w:hint="eastAsia"/>
          <w:b/>
          <w:bCs/>
          <w:kern w:val="0"/>
          <w:sz w:val="24"/>
          <w:szCs w:val="24"/>
        </w:rPr>
        <w:t>第六十一条</w:t>
      </w:r>
      <w:r>
        <w:rPr>
          <w:rFonts w:hint="eastAsia"/>
          <w:kern w:val="0"/>
          <w:sz w:val="24"/>
          <w:szCs w:val="24"/>
        </w:rPr>
        <w:t xml:space="preserve">  行政机关应当建立健全监督制度，通过核查反映被许可人从事行政许可事项活动情况的有关材料，履行监督责任。</w:t>
      </w:r>
    </w:p>
    <w:p>
      <w:pPr>
        <w:pStyle w:val="3"/>
        <w:topLinePunct/>
        <w:spacing w:line="404" w:lineRule="exact"/>
        <w:ind w:firstLine="480"/>
        <w:rPr>
          <w:kern w:val="0"/>
          <w:sz w:val="24"/>
          <w:szCs w:val="24"/>
        </w:rPr>
      </w:pPr>
      <w:r>
        <w:rPr>
          <w:rFonts w:hint="eastAsia"/>
          <w:kern w:val="0"/>
          <w:sz w:val="24"/>
          <w:szCs w:val="24"/>
        </w:rPr>
        <w:t>行政机关依法对被许可人从事行政许可事项的活动进行监督检查时，应当将监督检查的情况和处理结果予以记录，由监督检查人员签字后归档。公众有权查阅行政机关监督检查记录。</w:t>
      </w:r>
    </w:p>
    <w:p>
      <w:pPr>
        <w:pStyle w:val="3"/>
        <w:topLinePunct/>
        <w:spacing w:line="404" w:lineRule="exact"/>
        <w:ind w:firstLine="480"/>
        <w:rPr>
          <w:kern w:val="0"/>
          <w:sz w:val="24"/>
          <w:szCs w:val="24"/>
        </w:rPr>
      </w:pPr>
      <w:r>
        <w:rPr>
          <w:rFonts w:hint="eastAsia"/>
          <w:kern w:val="0"/>
          <w:sz w:val="24"/>
          <w:szCs w:val="24"/>
        </w:rPr>
        <w:t>行政机关应当创造条件，实现与被许可人、其他有关行政机关的计算机档案系统互联，核查被许可人从事行政许可事项活动情况。</w:t>
      </w:r>
    </w:p>
    <w:p>
      <w:pPr>
        <w:pStyle w:val="3"/>
        <w:topLinePunct/>
        <w:spacing w:line="404" w:lineRule="exact"/>
        <w:ind w:firstLine="482"/>
        <w:rPr>
          <w:kern w:val="0"/>
          <w:sz w:val="24"/>
          <w:szCs w:val="24"/>
        </w:rPr>
      </w:pPr>
      <w:r>
        <w:rPr>
          <w:rFonts w:hint="eastAsia"/>
          <w:b/>
          <w:bCs/>
          <w:kern w:val="0"/>
          <w:sz w:val="24"/>
          <w:szCs w:val="24"/>
        </w:rPr>
        <w:t>第六十二条</w:t>
      </w:r>
      <w:r>
        <w:rPr>
          <w:rFonts w:hint="eastAsia"/>
          <w:kern w:val="0"/>
          <w:sz w:val="24"/>
          <w:szCs w:val="24"/>
        </w:rPr>
        <w:t xml:space="preserve">  行政机关可以对被许可人生产经营的产品依法进行抽样检查、检验、检测，对其生产经营场所依法进行实地检查。检查时，行政机关可以依法查阅或者要求被许可人报送有关材料；被许可人应当如实提供有关情况和材料。</w:t>
      </w:r>
    </w:p>
    <w:p>
      <w:pPr>
        <w:pStyle w:val="3"/>
        <w:topLinePunct/>
        <w:spacing w:line="404" w:lineRule="exact"/>
        <w:ind w:firstLine="480"/>
        <w:rPr>
          <w:kern w:val="0"/>
          <w:sz w:val="24"/>
          <w:szCs w:val="24"/>
        </w:rPr>
      </w:pPr>
      <w:r>
        <w:rPr>
          <w:rFonts w:hint="eastAsia"/>
          <w:kern w:val="0"/>
          <w:sz w:val="24"/>
          <w:szCs w:val="24"/>
        </w:rPr>
        <w:t>行政机关根据法律、行政法规的规定，对直接关系公共安全、人身健康、生命财产安全的重要设备、设施进行定期检验。对检验合格的，行政机关应当发给相应的证明文件。</w:t>
      </w:r>
    </w:p>
    <w:p>
      <w:pPr>
        <w:pStyle w:val="3"/>
        <w:topLinePunct/>
        <w:spacing w:line="400" w:lineRule="exact"/>
        <w:ind w:firstLine="482"/>
        <w:rPr>
          <w:kern w:val="0"/>
          <w:sz w:val="24"/>
          <w:szCs w:val="24"/>
        </w:rPr>
      </w:pPr>
      <w:r>
        <w:rPr>
          <w:rFonts w:hint="eastAsia"/>
          <w:b/>
          <w:bCs/>
          <w:kern w:val="0"/>
          <w:sz w:val="24"/>
          <w:szCs w:val="24"/>
        </w:rPr>
        <w:t>第六十三条</w:t>
      </w:r>
      <w:r>
        <w:rPr>
          <w:rFonts w:hint="eastAsia"/>
          <w:kern w:val="0"/>
          <w:sz w:val="24"/>
          <w:szCs w:val="24"/>
        </w:rPr>
        <w:t xml:space="preserve">  行政机关实施监督检查，不得妨碍被许可人正常的生产经营活动，不得索取或者收受被许可人的财物，不得谋取其他利益。</w:t>
      </w:r>
    </w:p>
    <w:p>
      <w:pPr>
        <w:pStyle w:val="3"/>
        <w:topLinePunct/>
        <w:spacing w:line="400" w:lineRule="exact"/>
        <w:ind w:firstLine="482"/>
        <w:rPr>
          <w:kern w:val="0"/>
          <w:sz w:val="24"/>
          <w:szCs w:val="24"/>
        </w:rPr>
      </w:pPr>
      <w:r>
        <w:rPr>
          <w:rFonts w:hint="eastAsia"/>
          <w:b/>
          <w:bCs/>
          <w:kern w:val="0"/>
          <w:sz w:val="24"/>
          <w:szCs w:val="24"/>
        </w:rPr>
        <w:t>第六十四条</w:t>
      </w:r>
      <w:r>
        <w:rPr>
          <w:rFonts w:hint="eastAsia"/>
          <w:kern w:val="0"/>
          <w:sz w:val="24"/>
          <w:szCs w:val="24"/>
        </w:rPr>
        <w:t xml:space="preserve">  被许可人在作出行政许可决定的行政机关管辖区域外违法从事行政许可事项活动的，违法行为发生地的行政机关应当依法将被许可人的违法事实、处理结果抄告作出行政许可决定的行政机关。</w:t>
      </w:r>
    </w:p>
    <w:p>
      <w:pPr>
        <w:pStyle w:val="3"/>
        <w:topLinePunct/>
        <w:spacing w:line="400" w:lineRule="exact"/>
        <w:ind w:firstLine="482"/>
        <w:rPr>
          <w:kern w:val="0"/>
          <w:sz w:val="24"/>
          <w:szCs w:val="24"/>
        </w:rPr>
      </w:pPr>
      <w:r>
        <w:rPr>
          <w:rFonts w:hint="eastAsia"/>
          <w:b/>
          <w:bCs/>
          <w:kern w:val="0"/>
          <w:sz w:val="24"/>
          <w:szCs w:val="24"/>
        </w:rPr>
        <w:t>第六十五条</w:t>
      </w:r>
      <w:r>
        <w:rPr>
          <w:rFonts w:hint="eastAsia"/>
          <w:kern w:val="0"/>
          <w:sz w:val="24"/>
          <w:szCs w:val="24"/>
        </w:rPr>
        <w:t xml:space="preserve">  个人和组织发现违法从事行政许可事项的活动，有权向行政机关举报，行政机关应当及时核实、处理。</w:t>
      </w:r>
    </w:p>
    <w:p>
      <w:pPr>
        <w:pStyle w:val="3"/>
        <w:topLinePunct/>
        <w:spacing w:line="400" w:lineRule="exact"/>
        <w:ind w:firstLine="482"/>
        <w:rPr>
          <w:kern w:val="0"/>
          <w:sz w:val="24"/>
          <w:szCs w:val="24"/>
        </w:rPr>
      </w:pPr>
      <w:r>
        <w:rPr>
          <w:rFonts w:hint="eastAsia"/>
          <w:b/>
          <w:bCs/>
          <w:kern w:val="0"/>
          <w:sz w:val="24"/>
          <w:szCs w:val="24"/>
        </w:rPr>
        <w:t>第六十六条</w:t>
      </w:r>
      <w:r>
        <w:rPr>
          <w:rFonts w:hint="eastAsia"/>
          <w:kern w:val="0"/>
          <w:sz w:val="24"/>
          <w:szCs w:val="24"/>
        </w:rPr>
        <w:t xml:space="preserve">  被许可人未依法履行开发利用自然资源义务或者未依法履行利用公共资源义务的，行政机关应当责令限期改正；被许可人在规定期限内不改正的，行政机关应当依照有关法律、行政法规的规定予以处理。</w:t>
      </w:r>
    </w:p>
    <w:p>
      <w:pPr>
        <w:pStyle w:val="3"/>
        <w:topLinePunct/>
        <w:spacing w:line="400" w:lineRule="exact"/>
        <w:ind w:firstLine="482"/>
        <w:rPr>
          <w:kern w:val="0"/>
          <w:sz w:val="24"/>
          <w:szCs w:val="24"/>
        </w:rPr>
      </w:pPr>
      <w:r>
        <w:rPr>
          <w:rFonts w:hint="eastAsia"/>
          <w:b/>
          <w:bCs/>
          <w:kern w:val="0"/>
          <w:sz w:val="24"/>
          <w:szCs w:val="24"/>
        </w:rPr>
        <w:t>第六十七条</w:t>
      </w:r>
      <w:r>
        <w:rPr>
          <w:rFonts w:hint="eastAsia"/>
          <w:kern w:val="0"/>
          <w:sz w:val="24"/>
          <w:szCs w:val="24"/>
        </w:rPr>
        <w:t xml:space="preserve">  取得直接关系公共利益的特定行业的市场准入行政许可的被许可人，应当按照国家规定的服务标准、资费标准和行政机关依法规定的条件，向用户提供安全、方便、稳定和价格合理的服务，并履行普遍服务的义务；未经作出行政许可决定的行政机关批准，不得擅自停业、歇业。</w:t>
      </w:r>
    </w:p>
    <w:p>
      <w:pPr>
        <w:pStyle w:val="3"/>
        <w:topLinePunct/>
        <w:spacing w:line="400" w:lineRule="exact"/>
        <w:ind w:firstLine="480"/>
        <w:rPr>
          <w:kern w:val="0"/>
          <w:sz w:val="24"/>
          <w:szCs w:val="24"/>
        </w:rPr>
      </w:pPr>
      <w:r>
        <w:rPr>
          <w:rFonts w:hint="eastAsia"/>
          <w:kern w:val="0"/>
          <w:sz w:val="24"/>
          <w:szCs w:val="24"/>
        </w:rPr>
        <w:t>被许可人不履行前款规定的义务的，行政机关应当责令限期改正，或者依法采取有效措施督促其履行义务。</w:t>
      </w:r>
    </w:p>
    <w:p>
      <w:pPr>
        <w:pStyle w:val="3"/>
        <w:topLinePunct/>
        <w:spacing w:line="400" w:lineRule="exact"/>
        <w:ind w:firstLine="482"/>
        <w:rPr>
          <w:kern w:val="0"/>
          <w:sz w:val="24"/>
          <w:szCs w:val="24"/>
        </w:rPr>
      </w:pPr>
      <w:r>
        <w:rPr>
          <w:rFonts w:hint="eastAsia"/>
          <w:b/>
          <w:bCs/>
          <w:kern w:val="0"/>
          <w:sz w:val="24"/>
          <w:szCs w:val="24"/>
        </w:rPr>
        <w:t>第六十八条</w:t>
      </w:r>
      <w:r>
        <w:rPr>
          <w:rFonts w:hint="eastAsia"/>
          <w:kern w:val="0"/>
          <w:sz w:val="24"/>
          <w:szCs w:val="24"/>
        </w:rPr>
        <w:t xml:space="preserve">  对直接关系公共安全、人身健康、生命财产安全的重要设备、设施，行政机关应当督促设计、建造、安装和使用单位建立相应的自检制度。</w:t>
      </w:r>
    </w:p>
    <w:p>
      <w:pPr>
        <w:pStyle w:val="3"/>
        <w:topLinePunct/>
        <w:spacing w:line="400" w:lineRule="exact"/>
        <w:ind w:firstLine="480"/>
        <w:rPr>
          <w:kern w:val="0"/>
          <w:sz w:val="24"/>
          <w:szCs w:val="24"/>
        </w:rPr>
      </w:pPr>
      <w:r>
        <w:rPr>
          <w:rFonts w:hint="eastAsia"/>
          <w:kern w:val="0"/>
          <w:sz w:val="24"/>
          <w:szCs w:val="24"/>
        </w:rPr>
        <w:t>行政机关在监督检查时，发现直接关系公共安全、人身健康、生命财产安全的重要设备、设施存在安全隐患的，应当责令停止建造、安装和使用，并责令设计、建造、安装和使用单位立即改正。</w:t>
      </w:r>
    </w:p>
    <w:p>
      <w:pPr>
        <w:pStyle w:val="3"/>
        <w:topLinePunct/>
        <w:spacing w:line="404" w:lineRule="exact"/>
        <w:ind w:firstLine="482"/>
        <w:rPr>
          <w:kern w:val="0"/>
          <w:sz w:val="24"/>
          <w:szCs w:val="24"/>
        </w:rPr>
      </w:pPr>
      <w:r>
        <w:rPr>
          <w:rFonts w:hint="eastAsia"/>
          <w:b/>
          <w:bCs/>
          <w:kern w:val="0"/>
          <w:sz w:val="24"/>
          <w:szCs w:val="24"/>
        </w:rPr>
        <w:t>第六十九条</w:t>
      </w:r>
      <w:r>
        <w:rPr>
          <w:rFonts w:hint="eastAsia"/>
          <w:kern w:val="0"/>
          <w:sz w:val="24"/>
          <w:szCs w:val="24"/>
        </w:rPr>
        <w:t xml:space="preserve">  有下列情形之一的，作出行政许可决定的行政机关或者其上级行政机关，根据利害关系人的请求或者依据职权，可以撤销行政许可：</w:t>
      </w:r>
    </w:p>
    <w:p>
      <w:pPr>
        <w:pStyle w:val="3"/>
        <w:topLinePunct/>
        <w:spacing w:line="404" w:lineRule="exact"/>
        <w:ind w:firstLine="480"/>
        <w:rPr>
          <w:kern w:val="0"/>
          <w:sz w:val="24"/>
          <w:szCs w:val="24"/>
        </w:rPr>
      </w:pPr>
      <w:r>
        <w:rPr>
          <w:rFonts w:hint="eastAsia"/>
          <w:kern w:val="0"/>
          <w:sz w:val="24"/>
          <w:szCs w:val="24"/>
        </w:rPr>
        <w:t>（一）行政机关工作人员滥用职权、玩忽职守作出准予行政许可决定的；</w:t>
      </w:r>
    </w:p>
    <w:p>
      <w:pPr>
        <w:pStyle w:val="3"/>
        <w:topLinePunct/>
        <w:spacing w:line="404" w:lineRule="exact"/>
        <w:ind w:firstLine="480"/>
        <w:rPr>
          <w:kern w:val="0"/>
          <w:sz w:val="24"/>
          <w:szCs w:val="24"/>
        </w:rPr>
      </w:pPr>
      <w:r>
        <w:rPr>
          <w:rFonts w:hint="eastAsia"/>
          <w:kern w:val="0"/>
          <w:sz w:val="24"/>
          <w:szCs w:val="24"/>
        </w:rPr>
        <w:t>（二）超越法定职权作出准予行政许可决定的；</w:t>
      </w:r>
    </w:p>
    <w:p>
      <w:pPr>
        <w:pStyle w:val="3"/>
        <w:topLinePunct/>
        <w:spacing w:line="404" w:lineRule="exact"/>
        <w:ind w:firstLine="480"/>
        <w:rPr>
          <w:kern w:val="0"/>
          <w:sz w:val="24"/>
          <w:szCs w:val="24"/>
        </w:rPr>
      </w:pPr>
      <w:r>
        <w:rPr>
          <w:rFonts w:hint="eastAsia"/>
          <w:kern w:val="0"/>
          <w:sz w:val="24"/>
          <w:szCs w:val="24"/>
        </w:rPr>
        <w:t>（三）违反法定程序作出准予行政许可决定的；</w:t>
      </w:r>
    </w:p>
    <w:p>
      <w:pPr>
        <w:pStyle w:val="3"/>
        <w:topLinePunct/>
        <w:spacing w:line="404" w:lineRule="exact"/>
        <w:ind w:firstLine="480"/>
        <w:rPr>
          <w:kern w:val="0"/>
          <w:sz w:val="24"/>
          <w:szCs w:val="24"/>
        </w:rPr>
      </w:pPr>
      <w:r>
        <w:rPr>
          <w:rFonts w:hint="eastAsia"/>
          <w:kern w:val="0"/>
          <w:sz w:val="24"/>
          <w:szCs w:val="24"/>
        </w:rPr>
        <w:t>（四）对不具备申请资格或者不符合法定条件的申请人准予行政许可的；</w:t>
      </w:r>
    </w:p>
    <w:p>
      <w:pPr>
        <w:pStyle w:val="3"/>
        <w:topLinePunct/>
        <w:spacing w:line="404" w:lineRule="exact"/>
        <w:ind w:firstLine="480"/>
        <w:rPr>
          <w:kern w:val="0"/>
          <w:sz w:val="24"/>
          <w:szCs w:val="24"/>
        </w:rPr>
      </w:pPr>
      <w:r>
        <w:rPr>
          <w:rFonts w:hint="eastAsia"/>
          <w:kern w:val="0"/>
          <w:sz w:val="24"/>
          <w:szCs w:val="24"/>
        </w:rPr>
        <w:t>（五）依法可以撤销行政许可的其他情形。</w:t>
      </w:r>
    </w:p>
    <w:p>
      <w:pPr>
        <w:pStyle w:val="3"/>
        <w:topLinePunct/>
        <w:spacing w:line="404" w:lineRule="exact"/>
        <w:ind w:firstLine="480"/>
        <w:rPr>
          <w:kern w:val="0"/>
          <w:sz w:val="24"/>
          <w:szCs w:val="24"/>
        </w:rPr>
      </w:pPr>
      <w:r>
        <w:rPr>
          <w:rFonts w:hint="eastAsia"/>
          <w:kern w:val="0"/>
          <w:sz w:val="24"/>
          <w:szCs w:val="24"/>
        </w:rPr>
        <w:t>被许可人以欺骗、贿赂等不正当手段取得行政许可的，应当予以撤销。</w:t>
      </w:r>
    </w:p>
    <w:p>
      <w:pPr>
        <w:pStyle w:val="3"/>
        <w:topLinePunct/>
        <w:spacing w:line="404" w:lineRule="exact"/>
        <w:ind w:firstLine="480"/>
        <w:rPr>
          <w:kern w:val="0"/>
          <w:sz w:val="24"/>
          <w:szCs w:val="24"/>
        </w:rPr>
      </w:pPr>
      <w:r>
        <w:rPr>
          <w:rFonts w:hint="eastAsia"/>
          <w:kern w:val="0"/>
          <w:sz w:val="24"/>
          <w:szCs w:val="24"/>
        </w:rPr>
        <w:t>依照前两款的规定撤销行政许可，可能对公共利益造成重大损害的，不予撤销。</w:t>
      </w:r>
    </w:p>
    <w:p>
      <w:pPr>
        <w:pStyle w:val="3"/>
        <w:topLinePunct/>
        <w:spacing w:line="404" w:lineRule="exact"/>
        <w:ind w:firstLine="480"/>
        <w:rPr>
          <w:kern w:val="0"/>
          <w:sz w:val="24"/>
          <w:szCs w:val="24"/>
        </w:rPr>
      </w:pPr>
      <w:r>
        <w:rPr>
          <w:rFonts w:hint="eastAsia"/>
          <w:kern w:val="0"/>
          <w:sz w:val="24"/>
          <w:szCs w:val="24"/>
        </w:rPr>
        <w:t>依照本条第一款的规定撤销行政许可，被许可人的合法权益受到损害的，行政机关应当依法给予赔偿。依照本条第二款的规定撤销行政许可的，被许可人基于行政许可取得的利益不受保护。</w:t>
      </w:r>
    </w:p>
    <w:p>
      <w:pPr>
        <w:pStyle w:val="3"/>
        <w:topLinePunct/>
        <w:spacing w:line="404" w:lineRule="exact"/>
        <w:ind w:firstLine="482"/>
        <w:rPr>
          <w:kern w:val="0"/>
          <w:sz w:val="24"/>
          <w:szCs w:val="24"/>
        </w:rPr>
      </w:pPr>
      <w:r>
        <w:rPr>
          <w:rFonts w:hint="eastAsia"/>
          <w:b/>
          <w:bCs/>
          <w:kern w:val="0"/>
          <w:sz w:val="24"/>
          <w:szCs w:val="24"/>
        </w:rPr>
        <w:t>第七十条</w:t>
      </w:r>
      <w:r>
        <w:rPr>
          <w:rFonts w:hint="eastAsia"/>
          <w:kern w:val="0"/>
          <w:sz w:val="24"/>
          <w:szCs w:val="24"/>
        </w:rPr>
        <w:t xml:space="preserve">  有下列情形之一的，行政机关应当依法办理有关行政许可的注销手续：</w:t>
      </w:r>
    </w:p>
    <w:p>
      <w:pPr>
        <w:pStyle w:val="3"/>
        <w:topLinePunct/>
        <w:spacing w:line="404" w:lineRule="exact"/>
        <w:ind w:firstLine="480"/>
        <w:rPr>
          <w:kern w:val="0"/>
          <w:sz w:val="24"/>
          <w:szCs w:val="24"/>
        </w:rPr>
      </w:pPr>
      <w:r>
        <w:rPr>
          <w:rFonts w:hint="eastAsia"/>
          <w:kern w:val="0"/>
          <w:sz w:val="24"/>
          <w:szCs w:val="24"/>
        </w:rPr>
        <w:t>（一）行政许可有效期届满未延续的；</w:t>
      </w:r>
    </w:p>
    <w:p>
      <w:pPr>
        <w:pStyle w:val="3"/>
        <w:topLinePunct/>
        <w:spacing w:line="404" w:lineRule="exact"/>
        <w:ind w:firstLine="480"/>
        <w:rPr>
          <w:kern w:val="0"/>
          <w:sz w:val="24"/>
          <w:szCs w:val="24"/>
        </w:rPr>
      </w:pPr>
      <w:r>
        <w:rPr>
          <w:rFonts w:hint="eastAsia"/>
          <w:kern w:val="0"/>
          <w:sz w:val="24"/>
          <w:szCs w:val="24"/>
        </w:rPr>
        <w:t>（二）赋予公民特定资格的行政许可，该公民死亡或者丧失行为能力的；</w:t>
      </w:r>
    </w:p>
    <w:p>
      <w:pPr>
        <w:pStyle w:val="3"/>
        <w:topLinePunct/>
        <w:spacing w:line="410" w:lineRule="exact"/>
        <w:ind w:firstLine="480"/>
        <w:rPr>
          <w:kern w:val="0"/>
          <w:sz w:val="24"/>
          <w:szCs w:val="24"/>
        </w:rPr>
      </w:pPr>
      <w:r>
        <w:rPr>
          <w:rFonts w:hint="eastAsia"/>
          <w:kern w:val="0"/>
          <w:sz w:val="24"/>
          <w:szCs w:val="24"/>
        </w:rPr>
        <w:t>（三）法人或者其他组织依法终止的；</w:t>
      </w:r>
    </w:p>
    <w:p>
      <w:pPr>
        <w:pStyle w:val="3"/>
        <w:topLinePunct/>
        <w:spacing w:line="410" w:lineRule="exact"/>
        <w:ind w:firstLine="480"/>
        <w:rPr>
          <w:kern w:val="0"/>
          <w:sz w:val="24"/>
          <w:szCs w:val="24"/>
        </w:rPr>
      </w:pPr>
      <w:r>
        <w:rPr>
          <w:rFonts w:hint="eastAsia"/>
          <w:kern w:val="0"/>
          <w:sz w:val="24"/>
          <w:szCs w:val="24"/>
        </w:rPr>
        <w:t>（四）行政许可依法被撤销、撤回，或者行政许可证件依法被吊销的；</w:t>
      </w:r>
    </w:p>
    <w:p>
      <w:pPr>
        <w:pStyle w:val="3"/>
        <w:topLinePunct/>
        <w:spacing w:line="410" w:lineRule="exact"/>
        <w:ind w:firstLine="480"/>
        <w:rPr>
          <w:kern w:val="0"/>
          <w:sz w:val="24"/>
          <w:szCs w:val="24"/>
        </w:rPr>
      </w:pPr>
      <w:r>
        <w:rPr>
          <w:rFonts w:hint="eastAsia"/>
          <w:kern w:val="0"/>
          <w:sz w:val="24"/>
          <w:szCs w:val="24"/>
        </w:rPr>
        <w:t>（五）因不可抗力导致行政许可事项无法实施的；</w:t>
      </w:r>
    </w:p>
    <w:p>
      <w:pPr>
        <w:pStyle w:val="3"/>
        <w:topLinePunct/>
        <w:spacing w:line="410" w:lineRule="exact"/>
        <w:ind w:firstLine="480"/>
        <w:rPr>
          <w:kern w:val="0"/>
          <w:sz w:val="24"/>
          <w:szCs w:val="24"/>
        </w:rPr>
      </w:pPr>
      <w:r>
        <w:rPr>
          <w:rFonts w:hint="eastAsia"/>
          <w:kern w:val="0"/>
          <w:sz w:val="24"/>
          <w:szCs w:val="24"/>
        </w:rPr>
        <w:t>（六）法律、法规规定的应当注销行政许可的其他情形。　　</w:t>
      </w:r>
    </w:p>
    <w:p>
      <w:pPr>
        <w:pStyle w:val="63"/>
        <w:spacing w:before="218" w:after="218"/>
        <w:rPr>
          <w:rFonts w:ascii="宋体" w:hAnsi="宋体"/>
          <w:kern w:val="0"/>
        </w:rPr>
      </w:pPr>
      <w:r>
        <w:rPr>
          <w:rFonts w:hint="eastAsia"/>
          <w:kern w:val="0"/>
        </w:rPr>
        <w:t>第七章  法律责任</w:t>
      </w:r>
    </w:p>
    <w:p>
      <w:pPr>
        <w:pStyle w:val="3"/>
        <w:topLinePunct/>
        <w:spacing w:line="410" w:lineRule="exact"/>
        <w:ind w:firstLine="482"/>
        <w:rPr>
          <w:kern w:val="0"/>
          <w:sz w:val="24"/>
          <w:szCs w:val="24"/>
        </w:rPr>
      </w:pPr>
      <w:r>
        <w:rPr>
          <w:rFonts w:hint="eastAsia"/>
          <w:b/>
          <w:bCs/>
          <w:kern w:val="0"/>
          <w:sz w:val="24"/>
          <w:szCs w:val="24"/>
        </w:rPr>
        <w:t>第七十一条</w:t>
      </w:r>
      <w:r>
        <w:rPr>
          <w:rFonts w:hint="eastAsia"/>
          <w:kern w:val="0"/>
          <w:sz w:val="24"/>
          <w:szCs w:val="24"/>
        </w:rPr>
        <w:t xml:space="preserve">  违反本法第十七条规定设定的行政许可，有关机关应当责令设定该行政许可的机关改正，或者依法予以撤销。</w:t>
      </w:r>
    </w:p>
    <w:p>
      <w:pPr>
        <w:pStyle w:val="3"/>
        <w:topLinePunct/>
        <w:spacing w:line="410" w:lineRule="exact"/>
        <w:ind w:firstLine="482"/>
        <w:rPr>
          <w:kern w:val="0"/>
          <w:sz w:val="24"/>
          <w:szCs w:val="24"/>
        </w:rPr>
      </w:pPr>
      <w:r>
        <w:rPr>
          <w:rFonts w:hint="eastAsia"/>
          <w:b/>
          <w:bCs/>
          <w:kern w:val="0"/>
          <w:sz w:val="24"/>
          <w:szCs w:val="24"/>
        </w:rPr>
        <w:t>第七十二条</w:t>
      </w:r>
      <w:r>
        <w:rPr>
          <w:rFonts w:hint="eastAsia"/>
          <w:kern w:val="0"/>
          <w:sz w:val="24"/>
          <w:szCs w:val="24"/>
        </w:rPr>
        <w:t xml:space="preserve">  行政机关及其工作人员违反本法的规定，有下列情形之一的，由其上级行政机关或者监察机关责令改正；情节严重的，对直接负责的主管人员和其他直接责任人员依法给予行政处分：</w:t>
      </w:r>
    </w:p>
    <w:p>
      <w:pPr>
        <w:pStyle w:val="3"/>
        <w:topLinePunct/>
        <w:spacing w:line="410" w:lineRule="exact"/>
        <w:ind w:firstLine="480"/>
        <w:rPr>
          <w:kern w:val="0"/>
          <w:sz w:val="24"/>
          <w:szCs w:val="24"/>
        </w:rPr>
      </w:pPr>
      <w:r>
        <w:rPr>
          <w:rFonts w:hint="eastAsia"/>
          <w:kern w:val="0"/>
          <w:sz w:val="24"/>
          <w:szCs w:val="24"/>
        </w:rPr>
        <w:t>（一）对符合法定条件的行政许可申请不予受理的；</w:t>
      </w:r>
    </w:p>
    <w:p>
      <w:pPr>
        <w:pStyle w:val="3"/>
        <w:topLinePunct/>
        <w:spacing w:line="410" w:lineRule="exact"/>
        <w:ind w:firstLine="480"/>
        <w:rPr>
          <w:kern w:val="0"/>
          <w:sz w:val="24"/>
          <w:szCs w:val="24"/>
        </w:rPr>
      </w:pPr>
      <w:r>
        <w:rPr>
          <w:rFonts w:hint="eastAsia"/>
          <w:kern w:val="0"/>
          <w:sz w:val="24"/>
          <w:szCs w:val="24"/>
        </w:rPr>
        <w:t>（二）不在办公场所公示依法应当公示的材料的；</w:t>
      </w:r>
    </w:p>
    <w:p>
      <w:pPr>
        <w:pStyle w:val="3"/>
        <w:topLinePunct/>
        <w:spacing w:line="410" w:lineRule="exact"/>
        <w:ind w:firstLine="480"/>
        <w:rPr>
          <w:kern w:val="0"/>
          <w:sz w:val="24"/>
          <w:szCs w:val="24"/>
        </w:rPr>
      </w:pPr>
      <w:r>
        <w:rPr>
          <w:rFonts w:hint="eastAsia"/>
          <w:kern w:val="0"/>
          <w:sz w:val="24"/>
          <w:szCs w:val="24"/>
        </w:rPr>
        <w:t>（三）在受理、审查、决定行政许可过程中，未向申请人、利害关系人履行法定告知义务的；</w:t>
      </w:r>
    </w:p>
    <w:p>
      <w:pPr>
        <w:pStyle w:val="3"/>
        <w:topLinePunct/>
        <w:spacing w:line="410" w:lineRule="exact"/>
        <w:ind w:firstLine="480"/>
        <w:rPr>
          <w:kern w:val="0"/>
          <w:sz w:val="24"/>
          <w:szCs w:val="24"/>
        </w:rPr>
      </w:pPr>
      <w:r>
        <w:rPr>
          <w:rFonts w:hint="eastAsia"/>
          <w:kern w:val="0"/>
          <w:sz w:val="24"/>
          <w:szCs w:val="24"/>
        </w:rPr>
        <w:t>（四）申请人提交的申请材料不齐全、不符合法定形式，不一次告知申请人必须补正的全部内容的；</w:t>
      </w:r>
    </w:p>
    <w:p>
      <w:pPr>
        <w:pStyle w:val="3"/>
        <w:topLinePunct/>
        <w:spacing w:line="410" w:lineRule="exact"/>
        <w:ind w:firstLine="480"/>
        <w:rPr>
          <w:kern w:val="0"/>
          <w:sz w:val="24"/>
          <w:szCs w:val="24"/>
        </w:rPr>
      </w:pPr>
      <w:r>
        <w:rPr>
          <w:rFonts w:hint="eastAsia"/>
          <w:kern w:val="0"/>
          <w:sz w:val="24"/>
          <w:szCs w:val="24"/>
        </w:rPr>
        <w:t>（五）违法披露申请人提交的商业秘密、未披露信息或者保密商务信息的；</w:t>
      </w:r>
    </w:p>
    <w:p>
      <w:pPr>
        <w:pStyle w:val="3"/>
        <w:topLinePunct/>
        <w:spacing w:line="410" w:lineRule="exact"/>
        <w:ind w:firstLine="480"/>
        <w:rPr>
          <w:kern w:val="0"/>
          <w:sz w:val="24"/>
          <w:szCs w:val="24"/>
        </w:rPr>
      </w:pPr>
      <w:r>
        <w:rPr>
          <w:rFonts w:hint="eastAsia"/>
          <w:kern w:val="0"/>
          <w:sz w:val="24"/>
          <w:szCs w:val="24"/>
        </w:rPr>
        <w:t>（六）以转让技术作为取得行政许可的条件，或者在实施行政许可的过程中直接或者间接地要求转让技术的；</w:t>
      </w:r>
    </w:p>
    <w:p>
      <w:pPr>
        <w:pStyle w:val="3"/>
        <w:topLinePunct/>
        <w:spacing w:line="410" w:lineRule="exact"/>
        <w:ind w:firstLine="480"/>
        <w:rPr>
          <w:kern w:val="0"/>
          <w:sz w:val="24"/>
          <w:szCs w:val="24"/>
        </w:rPr>
      </w:pPr>
      <w:r>
        <w:rPr>
          <w:rFonts w:hint="eastAsia"/>
          <w:kern w:val="0"/>
          <w:sz w:val="24"/>
          <w:szCs w:val="24"/>
        </w:rPr>
        <w:t>（七）未依法说明不受理行政许可申请或者不予行政许可的理由的；</w:t>
      </w:r>
    </w:p>
    <w:p>
      <w:pPr>
        <w:pStyle w:val="3"/>
        <w:topLinePunct/>
        <w:spacing w:line="410" w:lineRule="exact"/>
        <w:ind w:firstLine="480"/>
        <w:rPr>
          <w:kern w:val="0"/>
          <w:sz w:val="24"/>
          <w:szCs w:val="24"/>
        </w:rPr>
      </w:pPr>
      <w:r>
        <w:rPr>
          <w:rFonts w:hint="eastAsia"/>
          <w:kern w:val="0"/>
          <w:sz w:val="24"/>
          <w:szCs w:val="24"/>
        </w:rPr>
        <w:t>（八）依法应当举行听证而不举行听证的。</w:t>
      </w:r>
    </w:p>
    <w:p>
      <w:pPr>
        <w:pStyle w:val="3"/>
        <w:topLinePunct/>
        <w:spacing w:line="410" w:lineRule="exact"/>
        <w:ind w:firstLine="482"/>
        <w:rPr>
          <w:kern w:val="0"/>
          <w:sz w:val="24"/>
          <w:szCs w:val="24"/>
        </w:rPr>
      </w:pPr>
      <w:r>
        <w:rPr>
          <w:rFonts w:hint="eastAsia"/>
          <w:b/>
          <w:bCs/>
          <w:kern w:val="0"/>
          <w:sz w:val="24"/>
          <w:szCs w:val="24"/>
        </w:rPr>
        <w:t>第七十三条</w:t>
      </w:r>
      <w:r>
        <w:rPr>
          <w:rFonts w:hint="eastAsia"/>
          <w:kern w:val="0"/>
          <w:sz w:val="24"/>
          <w:szCs w:val="24"/>
        </w:rPr>
        <w:t xml:space="preserve">  行政机关工作人员办理行政许可、实施监督检查，索取或者收受他人财物或者谋取其他利益，构成犯罪的，依法追究刑事责任；尚不构成犯罪的，依法给予行政处分。</w:t>
      </w:r>
    </w:p>
    <w:p>
      <w:pPr>
        <w:pStyle w:val="3"/>
        <w:topLinePunct/>
        <w:spacing w:line="400" w:lineRule="exact"/>
        <w:ind w:firstLine="482"/>
        <w:rPr>
          <w:kern w:val="0"/>
          <w:sz w:val="24"/>
          <w:szCs w:val="24"/>
        </w:rPr>
      </w:pPr>
      <w:r>
        <w:rPr>
          <w:rFonts w:hint="eastAsia"/>
          <w:b/>
          <w:bCs/>
          <w:kern w:val="0"/>
          <w:sz w:val="24"/>
          <w:szCs w:val="24"/>
        </w:rPr>
        <w:t>第七十四条</w:t>
      </w:r>
      <w:r>
        <w:rPr>
          <w:rFonts w:hint="eastAsia"/>
          <w:kern w:val="0"/>
          <w:sz w:val="24"/>
          <w:szCs w:val="24"/>
        </w:rPr>
        <w:t xml:space="preserve">  行政机关实施行政许可，有下列情形之一的，由其上级行政机关或者监察机关责令改正，对直接负责的主管人员和其他直接责任人员依法给予行政处分；构成犯罪的，依法追究刑事责任：</w:t>
      </w:r>
    </w:p>
    <w:p>
      <w:pPr>
        <w:pStyle w:val="3"/>
        <w:topLinePunct/>
        <w:spacing w:line="400" w:lineRule="exact"/>
        <w:ind w:firstLine="480"/>
        <w:rPr>
          <w:kern w:val="0"/>
          <w:sz w:val="24"/>
          <w:szCs w:val="24"/>
        </w:rPr>
      </w:pPr>
      <w:r>
        <w:rPr>
          <w:rFonts w:hint="eastAsia"/>
          <w:kern w:val="0"/>
          <w:sz w:val="24"/>
          <w:szCs w:val="24"/>
        </w:rPr>
        <w:t>（一）对不符合法定条件的申请人准予行政许可或者超越法定职权作出准予行政许可决定的；</w:t>
      </w:r>
    </w:p>
    <w:p>
      <w:pPr>
        <w:pStyle w:val="3"/>
        <w:topLinePunct/>
        <w:spacing w:line="400" w:lineRule="exact"/>
        <w:ind w:firstLine="480"/>
        <w:rPr>
          <w:kern w:val="0"/>
          <w:sz w:val="24"/>
          <w:szCs w:val="24"/>
        </w:rPr>
      </w:pPr>
      <w:r>
        <w:rPr>
          <w:rFonts w:hint="eastAsia"/>
          <w:kern w:val="0"/>
          <w:sz w:val="24"/>
          <w:szCs w:val="24"/>
        </w:rPr>
        <w:t>（二）对符合法定条件的申请人不予行政许可或者不在法定期限内作出准予行政许可决定的；</w:t>
      </w:r>
    </w:p>
    <w:p>
      <w:pPr>
        <w:pStyle w:val="3"/>
        <w:topLinePunct/>
        <w:spacing w:line="400" w:lineRule="exact"/>
        <w:ind w:firstLine="480"/>
        <w:rPr>
          <w:kern w:val="0"/>
          <w:sz w:val="24"/>
          <w:szCs w:val="24"/>
        </w:rPr>
      </w:pPr>
      <w:r>
        <w:rPr>
          <w:rFonts w:hint="eastAsia"/>
          <w:kern w:val="0"/>
          <w:sz w:val="24"/>
          <w:szCs w:val="24"/>
        </w:rPr>
        <w:t>（三）依法应当根据招标、拍卖结果或者考试成绩择优作出准予行政许可决定，未经招标、拍卖或者考试，或者不根据招标、拍卖结果或者考试成绩择优作出准予行政许可决定的。</w:t>
      </w:r>
    </w:p>
    <w:p>
      <w:pPr>
        <w:pStyle w:val="3"/>
        <w:topLinePunct/>
        <w:spacing w:line="400" w:lineRule="exact"/>
        <w:ind w:firstLine="482"/>
        <w:rPr>
          <w:kern w:val="0"/>
          <w:sz w:val="24"/>
          <w:szCs w:val="24"/>
        </w:rPr>
      </w:pPr>
      <w:r>
        <w:rPr>
          <w:rFonts w:hint="eastAsia"/>
          <w:b/>
          <w:bCs/>
          <w:kern w:val="0"/>
          <w:sz w:val="24"/>
          <w:szCs w:val="24"/>
        </w:rPr>
        <w:t>第七十五条</w:t>
      </w:r>
      <w:r>
        <w:rPr>
          <w:rFonts w:hint="eastAsia"/>
          <w:kern w:val="0"/>
          <w:sz w:val="24"/>
          <w:szCs w:val="24"/>
        </w:rPr>
        <w:t xml:space="preserve">  行政机关实施行政许可，擅自收费或者不按照法定项目和标准收费的，由其上级行政机关或者监察机关责令退还非法收取的费用；对直接负责的主管人员和其他直接责任人员依法给予行政处分。</w:t>
      </w:r>
    </w:p>
    <w:p>
      <w:pPr>
        <w:pStyle w:val="3"/>
        <w:topLinePunct/>
        <w:spacing w:line="400" w:lineRule="exact"/>
        <w:ind w:firstLine="480"/>
        <w:rPr>
          <w:kern w:val="0"/>
          <w:sz w:val="24"/>
          <w:szCs w:val="24"/>
        </w:rPr>
      </w:pPr>
      <w:r>
        <w:rPr>
          <w:rFonts w:hint="eastAsia"/>
          <w:kern w:val="0"/>
          <w:sz w:val="24"/>
          <w:szCs w:val="24"/>
        </w:rPr>
        <w:t>截留、挪用、私分或者变相私分实施行政许可依法收取的费用的，予以追缴；对直接负责的主管人员和其他直接责任人员依法给予行政处分；构成犯罪的，依法追究刑事责任。</w:t>
      </w:r>
    </w:p>
    <w:p>
      <w:pPr>
        <w:pStyle w:val="3"/>
        <w:topLinePunct/>
        <w:spacing w:line="400" w:lineRule="exact"/>
        <w:ind w:firstLine="482"/>
        <w:rPr>
          <w:kern w:val="0"/>
          <w:sz w:val="24"/>
          <w:szCs w:val="24"/>
        </w:rPr>
      </w:pPr>
      <w:r>
        <w:rPr>
          <w:rFonts w:hint="eastAsia"/>
          <w:b/>
          <w:bCs/>
          <w:kern w:val="0"/>
          <w:sz w:val="24"/>
          <w:szCs w:val="24"/>
        </w:rPr>
        <w:t>第七十六条</w:t>
      </w:r>
      <w:r>
        <w:rPr>
          <w:rFonts w:hint="eastAsia"/>
          <w:kern w:val="0"/>
          <w:sz w:val="24"/>
          <w:szCs w:val="24"/>
        </w:rPr>
        <w:t xml:space="preserve">  行政机关违法实施行政许可，给当事人的合法权益造成损害的，应当依照国家赔偿法的规定给予赔偿。</w:t>
      </w:r>
    </w:p>
    <w:p>
      <w:pPr>
        <w:pStyle w:val="3"/>
        <w:topLinePunct/>
        <w:spacing w:line="400" w:lineRule="exact"/>
        <w:ind w:firstLine="482"/>
        <w:rPr>
          <w:kern w:val="0"/>
          <w:sz w:val="24"/>
          <w:szCs w:val="24"/>
        </w:rPr>
      </w:pPr>
      <w:r>
        <w:rPr>
          <w:rFonts w:hint="eastAsia"/>
          <w:b/>
          <w:bCs/>
          <w:kern w:val="0"/>
          <w:sz w:val="24"/>
          <w:szCs w:val="24"/>
        </w:rPr>
        <w:t>第七十七条</w:t>
      </w:r>
      <w:r>
        <w:rPr>
          <w:rFonts w:hint="eastAsia"/>
          <w:kern w:val="0"/>
          <w:sz w:val="24"/>
          <w:szCs w:val="24"/>
        </w:rPr>
        <w:t xml:space="preserve">  行政机关不依法履行监督职责或者监督不力，造成严重后果的，由其上级行政机关或者监察机关责令改正，对直接负责的主管人员和其他直接责任人员依法给予行政处分；构成犯罪的，依法追究刑事责任。</w:t>
      </w:r>
    </w:p>
    <w:p>
      <w:pPr>
        <w:pStyle w:val="3"/>
        <w:topLinePunct/>
        <w:spacing w:line="400" w:lineRule="exact"/>
        <w:ind w:firstLine="482"/>
        <w:rPr>
          <w:kern w:val="0"/>
          <w:sz w:val="24"/>
          <w:szCs w:val="24"/>
        </w:rPr>
      </w:pPr>
      <w:r>
        <w:rPr>
          <w:rFonts w:hint="eastAsia"/>
          <w:b/>
          <w:bCs/>
          <w:kern w:val="0"/>
          <w:sz w:val="24"/>
          <w:szCs w:val="24"/>
        </w:rPr>
        <w:t>第七十八条</w:t>
      </w:r>
      <w:r>
        <w:rPr>
          <w:rFonts w:hint="eastAsia"/>
          <w:kern w:val="0"/>
          <w:sz w:val="24"/>
          <w:szCs w:val="24"/>
        </w:rPr>
        <w:t xml:space="preserve">  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pPr>
        <w:pStyle w:val="3"/>
        <w:topLinePunct/>
        <w:spacing w:line="400" w:lineRule="exact"/>
        <w:ind w:firstLine="482"/>
        <w:rPr>
          <w:kern w:val="0"/>
          <w:sz w:val="24"/>
          <w:szCs w:val="24"/>
        </w:rPr>
      </w:pPr>
      <w:r>
        <w:rPr>
          <w:rFonts w:hint="eastAsia"/>
          <w:b/>
          <w:bCs/>
          <w:kern w:val="0"/>
          <w:sz w:val="24"/>
          <w:szCs w:val="24"/>
        </w:rPr>
        <w:t>第七十九条</w:t>
      </w:r>
      <w:r>
        <w:rPr>
          <w:rFonts w:hint="eastAsia"/>
          <w:kern w:val="0"/>
          <w:sz w:val="24"/>
          <w:szCs w:val="24"/>
        </w:rPr>
        <w:t xml:space="preserve">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pStyle w:val="3"/>
        <w:topLinePunct/>
        <w:spacing w:line="404" w:lineRule="exact"/>
        <w:ind w:firstLine="482"/>
        <w:rPr>
          <w:kern w:val="0"/>
          <w:sz w:val="24"/>
          <w:szCs w:val="24"/>
        </w:rPr>
      </w:pPr>
      <w:r>
        <w:rPr>
          <w:rFonts w:hint="eastAsia"/>
          <w:b/>
          <w:bCs/>
          <w:kern w:val="0"/>
          <w:sz w:val="24"/>
          <w:szCs w:val="24"/>
        </w:rPr>
        <w:t>第八十条</w:t>
      </w:r>
      <w:r>
        <w:rPr>
          <w:rFonts w:hint="eastAsia"/>
          <w:kern w:val="0"/>
          <w:sz w:val="24"/>
          <w:szCs w:val="24"/>
        </w:rPr>
        <w:t xml:space="preserve">  被许可人有下列行为之一的，行政机关应当依法给予行政处罚；构成犯罪的，依法追究刑事责任：</w:t>
      </w:r>
    </w:p>
    <w:p>
      <w:pPr>
        <w:pStyle w:val="3"/>
        <w:topLinePunct/>
        <w:spacing w:line="404" w:lineRule="exact"/>
        <w:ind w:firstLine="480"/>
        <w:rPr>
          <w:kern w:val="0"/>
          <w:sz w:val="24"/>
          <w:szCs w:val="24"/>
        </w:rPr>
      </w:pPr>
      <w:r>
        <w:rPr>
          <w:rFonts w:hint="eastAsia"/>
          <w:kern w:val="0"/>
          <w:sz w:val="24"/>
          <w:szCs w:val="24"/>
        </w:rPr>
        <w:t>（一）涂改、倒卖、出租、出借行政许可证件，或者以其他形式非法转让行政许可的；</w:t>
      </w:r>
    </w:p>
    <w:p>
      <w:pPr>
        <w:pStyle w:val="3"/>
        <w:topLinePunct/>
        <w:spacing w:line="404" w:lineRule="exact"/>
        <w:ind w:firstLine="480"/>
        <w:rPr>
          <w:kern w:val="0"/>
          <w:sz w:val="24"/>
          <w:szCs w:val="24"/>
        </w:rPr>
      </w:pPr>
      <w:r>
        <w:rPr>
          <w:rFonts w:hint="eastAsia"/>
          <w:kern w:val="0"/>
          <w:sz w:val="24"/>
          <w:szCs w:val="24"/>
        </w:rPr>
        <w:t>（二）超越行政许可范围进行活动的；</w:t>
      </w:r>
    </w:p>
    <w:p>
      <w:pPr>
        <w:pStyle w:val="3"/>
        <w:topLinePunct/>
        <w:spacing w:line="404" w:lineRule="exact"/>
        <w:ind w:firstLine="480"/>
        <w:rPr>
          <w:kern w:val="0"/>
          <w:sz w:val="24"/>
          <w:szCs w:val="24"/>
        </w:rPr>
      </w:pPr>
      <w:r>
        <w:rPr>
          <w:rFonts w:hint="eastAsia"/>
          <w:kern w:val="0"/>
          <w:sz w:val="24"/>
          <w:szCs w:val="24"/>
        </w:rPr>
        <w:t>（三）向负责监督检查的行政机关隐瞒有关情况、提供虚假材料或者拒绝提供反映其活动情况的真实材料的；</w:t>
      </w:r>
    </w:p>
    <w:p>
      <w:pPr>
        <w:pStyle w:val="3"/>
        <w:topLinePunct/>
        <w:spacing w:line="404" w:lineRule="exact"/>
        <w:ind w:firstLine="480"/>
        <w:rPr>
          <w:kern w:val="0"/>
          <w:sz w:val="24"/>
          <w:szCs w:val="24"/>
        </w:rPr>
      </w:pPr>
      <w:r>
        <w:rPr>
          <w:rFonts w:hint="eastAsia"/>
          <w:kern w:val="0"/>
          <w:sz w:val="24"/>
          <w:szCs w:val="24"/>
        </w:rPr>
        <w:t>（四）法律、法规、规章规定的其他违法行为。</w:t>
      </w:r>
    </w:p>
    <w:p>
      <w:pPr>
        <w:pStyle w:val="3"/>
        <w:topLinePunct/>
        <w:spacing w:line="404" w:lineRule="exact"/>
        <w:ind w:firstLine="482"/>
        <w:rPr>
          <w:kern w:val="0"/>
          <w:sz w:val="24"/>
          <w:szCs w:val="24"/>
        </w:rPr>
      </w:pPr>
      <w:r>
        <w:rPr>
          <w:rFonts w:hint="eastAsia"/>
          <w:b/>
          <w:bCs/>
          <w:kern w:val="0"/>
          <w:sz w:val="24"/>
          <w:szCs w:val="24"/>
        </w:rPr>
        <w:t>第八十一条</w:t>
      </w:r>
      <w:r>
        <w:rPr>
          <w:rFonts w:hint="eastAsia"/>
          <w:kern w:val="0"/>
          <w:sz w:val="24"/>
          <w:szCs w:val="24"/>
        </w:rPr>
        <w:t xml:space="preserve">  公民、法人或者其他组织未经行政许可，擅自从事依法应当取得行政许可的活动的，行政机关应当依法采取措施予以制止，并依法给予行政处罚；构成犯罪的，依法追究刑事责任。</w:t>
      </w:r>
    </w:p>
    <w:p>
      <w:pPr>
        <w:pStyle w:val="63"/>
        <w:spacing w:before="218" w:after="218"/>
        <w:rPr>
          <w:rFonts w:ascii="宋体" w:hAnsi="宋体"/>
          <w:kern w:val="0"/>
        </w:rPr>
      </w:pPr>
      <w:r>
        <w:rPr>
          <w:rFonts w:hint="eastAsia"/>
          <w:kern w:val="0"/>
        </w:rPr>
        <w:t>第八章  附  则</w:t>
      </w:r>
    </w:p>
    <w:p>
      <w:pPr>
        <w:pStyle w:val="3"/>
        <w:topLinePunct/>
        <w:spacing w:line="410" w:lineRule="exact"/>
        <w:ind w:firstLine="482"/>
        <w:rPr>
          <w:kern w:val="0"/>
          <w:sz w:val="24"/>
          <w:szCs w:val="24"/>
        </w:rPr>
      </w:pPr>
      <w:r>
        <w:rPr>
          <w:rFonts w:hint="eastAsia"/>
          <w:b/>
          <w:bCs/>
          <w:kern w:val="0"/>
          <w:sz w:val="24"/>
          <w:szCs w:val="24"/>
        </w:rPr>
        <w:t>第八十二条</w:t>
      </w:r>
      <w:r>
        <w:rPr>
          <w:rFonts w:hint="eastAsia"/>
          <w:kern w:val="0"/>
          <w:sz w:val="24"/>
          <w:szCs w:val="24"/>
        </w:rPr>
        <w:t xml:space="preserve">  本法规定的行政机关实施行政许可的期限以工作日计算，不含法定节假日。</w:t>
      </w:r>
    </w:p>
    <w:p>
      <w:pPr>
        <w:pStyle w:val="3"/>
        <w:topLinePunct/>
        <w:spacing w:line="416" w:lineRule="exact"/>
        <w:ind w:firstLine="482"/>
        <w:rPr>
          <w:kern w:val="0"/>
          <w:sz w:val="24"/>
          <w:szCs w:val="24"/>
        </w:rPr>
      </w:pPr>
      <w:r>
        <w:rPr>
          <w:rFonts w:hint="eastAsia"/>
          <w:b/>
          <w:bCs/>
          <w:kern w:val="0"/>
          <w:sz w:val="24"/>
          <w:szCs w:val="24"/>
        </w:rPr>
        <w:t>第八十三条</w:t>
      </w:r>
      <w:r>
        <w:rPr>
          <w:rFonts w:hint="eastAsia"/>
          <w:kern w:val="0"/>
          <w:sz w:val="24"/>
          <w:szCs w:val="24"/>
        </w:rPr>
        <w:t xml:space="preserve">  本法自2004年</w:t>
      </w:r>
      <w:r>
        <w:rPr>
          <w:kern w:val="0"/>
          <w:sz w:val="24"/>
          <w:szCs w:val="24"/>
        </w:rPr>
        <w:t>7</w:t>
      </w:r>
      <w:r>
        <w:rPr>
          <w:rFonts w:hint="eastAsia"/>
          <w:kern w:val="0"/>
          <w:sz w:val="24"/>
          <w:szCs w:val="24"/>
        </w:rPr>
        <w:t>月</w:t>
      </w:r>
      <w:r>
        <w:rPr>
          <w:kern w:val="0"/>
          <w:sz w:val="24"/>
          <w:szCs w:val="24"/>
        </w:rPr>
        <w:t>1</w:t>
      </w:r>
      <w:r>
        <w:rPr>
          <w:rFonts w:hint="eastAsia"/>
          <w:kern w:val="0"/>
          <w:sz w:val="24"/>
          <w:szCs w:val="24"/>
        </w:rPr>
        <w:t>日起施行。</w:t>
      </w:r>
      <w:r>
        <w:rPr>
          <w:kern w:val="0"/>
          <w:sz w:val="24"/>
          <w:szCs w:val="24"/>
        </w:rPr>
        <w:br w:type="page"/>
      </w:r>
    </w:p>
    <w:p>
      <w:pPr>
        <w:pStyle w:val="25"/>
        <w:widowControl w:val="0"/>
        <w:topLinePunct/>
        <w:spacing w:beforeAutospacing="0" w:afterAutospacing="0" w:line="416" w:lineRule="exact"/>
        <w:ind w:firstLine="480" w:firstLineChars="200"/>
        <w:jc w:val="both"/>
        <w:rPr>
          <w:rFonts w:cs="Arial" w:asciiTheme="minorEastAsia" w:hAnsiTheme="minorEastAsia" w:eastAsiaTheme="minorEastAsia"/>
          <w:shd w:val="clear" w:color="auto" w:fill="FFFFFF"/>
        </w:rPr>
      </w:pPr>
    </w:p>
    <w:p>
      <w:pPr>
        <w:pStyle w:val="61"/>
      </w:pPr>
      <w:bookmarkStart w:id="57" w:name="_Toc28156931"/>
      <w:bookmarkStart w:id="58" w:name="_Toc28250858"/>
      <w:bookmarkStart w:id="59" w:name="_Toc28252128"/>
      <w:bookmarkStart w:id="60" w:name="_Toc26347909"/>
      <w:bookmarkStart w:id="61" w:name="_Toc25653642"/>
      <w:bookmarkStart w:id="62" w:name="_Toc25648147"/>
      <w:r>
        <w:rPr>
          <w:shd w:val="clear" w:color="auto" w:fill="FFFFFF"/>
        </w:rPr>
        <w:t>最高人民法院关于审理行政许可</w:t>
      </w:r>
      <w:r>
        <w:rPr>
          <w:rFonts w:hint="eastAsia"/>
          <w:shd w:val="clear" w:color="auto" w:fill="FFFFFF"/>
        </w:rPr>
        <w:br w:type="textWrapping"/>
      </w:r>
      <w:r>
        <w:rPr>
          <w:shd w:val="clear" w:color="auto" w:fill="FFFFFF"/>
        </w:rPr>
        <w:t>案件若干问题的规定</w:t>
      </w:r>
      <w:bookmarkEnd w:id="57"/>
      <w:bookmarkEnd w:id="58"/>
      <w:bookmarkEnd w:id="59"/>
      <w:bookmarkEnd w:id="60"/>
      <w:bookmarkEnd w:id="61"/>
      <w:bookmarkEnd w:id="62"/>
    </w:p>
    <w:p>
      <w:pPr>
        <w:pStyle w:val="62"/>
        <w:topLinePunct w:val="0"/>
        <w:ind w:firstLine="0" w:firstLineChars="0"/>
        <w:jc w:val="center"/>
      </w:pPr>
      <w:r>
        <w:rPr>
          <w:rFonts w:hint="eastAsia"/>
          <w:shd w:val="clear" w:color="auto" w:fill="FFFFFF"/>
        </w:rPr>
        <w:t>（</w:t>
      </w:r>
      <w:r>
        <w:rPr>
          <w:shd w:val="clear" w:color="auto" w:fill="FFFFFF"/>
        </w:rPr>
        <w:t>法释〔2009〕20号</w:t>
      </w:r>
      <w:r>
        <w:rPr>
          <w:rFonts w:hint="eastAsia"/>
          <w:shd w:val="clear" w:color="auto" w:fill="FFFFFF"/>
        </w:rPr>
        <w:t>）</w:t>
      </w:r>
    </w:p>
    <w:p>
      <w:pPr>
        <w:pStyle w:val="25"/>
        <w:widowControl w:val="0"/>
        <w:topLinePunct/>
        <w:spacing w:beforeAutospacing="0" w:afterAutospacing="0" w:line="416" w:lineRule="exact"/>
        <w:ind w:firstLine="480" w:firstLineChars="200"/>
        <w:jc w:val="both"/>
        <w:rPr>
          <w:rFonts w:asciiTheme="minorEastAsia" w:hAnsiTheme="minorEastAsia" w:eastAsiaTheme="minorEastAsia"/>
        </w:rPr>
      </w:pPr>
    </w:p>
    <w:p>
      <w:pPr>
        <w:pStyle w:val="25"/>
        <w:widowControl w:val="0"/>
        <w:topLinePunct/>
        <w:spacing w:beforeAutospacing="0" w:afterAutospacing="0" w:line="410"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为规范行政许可案件的审理，根据《</w:t>
      </w:r>
      <w:r>
        <w:fldChar w:fldCharType="begin"/>
      </w:r>
      <w:r>
        <w:instrText xml:space="preserve"> HYPERLINK "http://www.88148.com/Info/201503193613.html" \t "_self" </w:instrText>
      </w:r>
      <w:r>
        <w:fldChar w:fldCharType="separate"/>
      </w:r>
      <w:r>
        <w:rPr>
          <w:rStyle w:val="32"/>
          <w:rFonts w:hint="eastAsia" w:asciiTheme="minorEastAsia" w:hAnsiTheme="minorEastAsia" w:eastAsiaTheme="minorEastAsia"/>
          <w:color w:val="auto"/>
        </w:rPr>
        <w:t>中华人民共和国行政许可法</w:t>
      </w:r>
      <w:r>
        <w:rPr>
          <w:rStyle w:val="32"/>
          <w:rFonts w:hint="eastAsia" w:asciiTheme="minorEastAsia" w:hAnsiTheme="minorEastAsia" w:eastAsiaTheme="minorEastAsia"/>
          <w:color w:val="auto"/>
        </w:rPr>
        <w:fldChar w:fldCharType="end"/>
      </w:r>
      <w:r>
        <w:rPr>
          <w:rFonts w:hint="eastAsia" w:asciiTheme="minorEastAsia" w:hAnsiTheme="minorEastAsia" w:eastAsiaTheme="minorEastAsia"/>
        </w:rPr>
        <w:t>》（以下简称行政许可法）、《</w:t>
      </w:r>
      <w:r>
        <w:fldChar w:fldCharType="begin"/>
      </w:r>
      <w:r>
        <w:instrText xml:space="preserve"> HYPERLINK "http://www.88148.com/Info/201503053397.html" \t "_self" </w:instrText>
      </w:r>
      <w:r>
        <w:fldChar w:fldCharType="separate"/>
      </w:r>
      <w:r>
        <w:rPr>
          <w:rStyle w:val="32"/>
          <w:rFonts w:hint="eastAsia" w:asciiTheme="minorEastAsia" w:hAnsiTheme="minorEastAsia" w:eastAsiaTheme="minorEastAsia"/>
          <w:color w:val="auto"/>
        </w:rPr>
        <w:t>中华人民共和国行政诉讼法</w:t>
      </w:r>
      <w:r>
        <w:rPr>
          <w:rStyle w:val="32"/>
          <w:rFonts w:hint="eastAsia" w:asciiTheme="minorEastAsia" w:hAnsiTheme="minorEastAsia" w:eastAsiaTheme="minorEastAsia"/>
          <w:color w:val="auto"/>
        </w:rPr>
        <w:fldChar w:fldCharType="end"/>
      </w:r>
      <w:r>
        <w:rPr>
          <w:rFonts w:hint="eastAsia" w:asciiTheme="minorEastAsia" w:hAnsiTheme="minorEastAsia" w:eastAsiaTheme="minorEastAsia"/>
        </w:rPr>
        <w:t>》及其他有关法律规定，结合行政审判实际，对有关问题作如下规定：</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 xml:space="preserve">第一条  </w:t>
      </w:r>
      <w:r>
        <w:rPr>
          <w:rFonts w:hint="eastAsia" w:asciiTheme="minorEastAsia" w:hAnsiTheme="minorEastAsia" w:eastAsiaTheme="minorEastAsia"/>
        </w:rPr>
        <w:t>公民、法人或者其他组织认为行政机关作出的行政许可决定以及相应的不作为，或者行政机关就行政许可的变更、延续、撤回、注销、撤销等事项作出的有关具体行政行为及其相应的不作为侵犯其合法权益，提起行政诉讼的，人民法院应当依法受理。</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第二条</w:t>
      </w:r>
      <w:r>
        <w:rPr>
          <w:rFonts w:hint="eastAsia" w:asciiTheme="minorEastAsia" w:hAnsiTheme="minorEastAsia" w:eastAsiaTheme="minorEastAsia"/>
        </w:rPr>
        <w:t xml:space="preserve">  公民、法人或者其他组织认为行政机关未公开行政许可决定或者未提供行政许可监督检查记录侵犯其合法权益，提起行政诉讼的，人民法院应当依法受理。  </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第三条</w:t>
      </w:r>
      <w:r>
        <w:rPr>
          <w:rFonts w:hint="eastAsia" w:asciiTheme="minorEastAsia" w:hAnsiTheme="minorEastAsia" w:eastAsiaTheme="minorEastAsia"/>
        </w:rPr>
        <w:t xml:space="preserve">  公民、法人或者其他组织仅就行政许可过程中的告知补正申请材料、听证等通知行为提起行政诉讼的，人民法院不予受理，但导致许可程序对上述主体事实上终止的除外。</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第四条</w:t>
      </w:r>
      <w:r>
        <w:rPr>
          <w:rFonts w:hint="eastAsia" w:asciiTheme="minorEastAsia" w:hAnsiTheme="minorEastAsia" w:eastAsiaTheme="minorEastAsia"/>
        </w:rPr>
        <w:t xml:space="preserve">  当事人不服行政许可决定提起诉讼的，以作出行政许可决定的机关为被告；行政许可依法须经上级行政机关批准，当事人对批准或者不批准行为不服一并提起诉讼的，以上级行政机关为共同被告；行政许可依法须经下级行政机关或者管理公共事务的组织初步审查并上报，当事人对不予初步审查或者不予上报不服提起诉讼的，以下级行政机关或者管理公共事务的组织为被告。</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第五条</w:t>
      </w:r>
      <w:r>
        <w:rPr>
          <w:rFonts w:hint="eastAsia" w:asciiTheme="minorEastAsia" w:hAnsiTheme="minorEastAsia" w:eastAsiaTheme="minorEastAsia"/>
        </w:rPr>
        <w:t xml:space="preserve">  行政机关依据行政许可法第二十六条第二款规定统一办理行政许可的，当事人对行政许可行为不服提起诉讼，以对当事人作出具有实质影响的不利行为的机关为被告。</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第六条</w:t>
      </w:r>
      <w:r>
        <w:rPr>
          <w:rFonts w:hint="eastAsia" w:asciiTheme="minorEastAsia" w:hAnsiTheme="minorEastAsia" w:eastAsiaTheme="minorEastAsia"/>
        </w:rPr>
        <w:t xml:space="preserve">  行政机关受理行政许可申请后，在法定期限内不予答复，公民、法人或者其他组织向人民法院起诉的，人民法院应当依法受理。</w:t>
      </w:r>
    </w:p>
    <w:p>
      <w:pPr>
        <w:pStyle w:val="25"/>
        <w:widowControl w:val="0"/>
        <w:topLinePunct/>
        <w:spacing w:beforeAutospacing="0" w:afterAutospacing="0" w:line="416"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前款“法定期限”自行政许可申请受理之日起计算；以数据电文方式受理的，自数据电文进入行政机关指定的特定系统之日起计算；数据电文需要确认收讫的，自申请人收到行政机关的收讫确认之日起计算。</w:t>
      </w:r>
    </w:p>
    <w:p>
      <w:pPr>
        <w:pStyle w:val="25"/>
        <w:widowControl w:val="0"/>
        <w:topLinePunct/>
        <w:spacing w:beforeAutospacing="0" w:afterAutospacing="0" w:line="416"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第七条</w:t>
      </w:r>
      <w:r>
        <w:rPr>
          <w:rFonts w:hint="eastAsia" w:asciiTheme="minorEastAsia" w:hAnsiTheme="minorEastAsia" w:eastAsiaTheme="minorEastAsia"/>
        </w:rPr>
        <w:t xml:space="preserve">  作为被诉行政许可行为基础的其他行政决定或者文书存在以下情形之一的，人民法院不予认可：</w:t>
      </w:r>
    </w:p>
    <w:p>
      <w:pPr>
        <w:pStyle w:val="25"/>
        <w:widowControl w:val="0"/>
        <w:topLinePunct/>
        <w:spacing w:beforeAutospacing="0" w:afterAutospacing="0" w:line="416"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（一）明显缺乏事实根据；</w:t>
      </w:r>
    </w:p>
    <w:p>
      <w:pPr>
        <w:pStyle w:val="25"/>
        <w:widowControl w:val="0"/>
        <w:topLinePunct/>
        <w:spacing w:beforeAutospacing="0" w:afterAutospacing="0" w:line="416"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（二）明显缺乏法律依据；</w:t>
      </w:r>
    </w:p>
    <w:p>
      <w:pPr>
        <w:pStyle w:val="25"/>
        <w:widowControl w:val="0"/>
        <w:topLinePunct/>
        <w:spacing w:beforeAutospacing="0" w:afterAutospacing="0" w:line="416"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（三）超越职权；</w:t>
      </w:r>
    </w:p>
    <w:p>
      <w:pPr>
        <w:pStyle w:val="25"/>
        <w:widowControl w:val="0"/>
        <w:topLinePunct/>
        <w:spacing w:beforeAutospacing="0" w:afterAutospacing="0" w:line="416"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（四）其他重大明显违法情形。</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第八条</w:t>
      </w:r>
      <w:r>
        <w:rPr>
          <w:rFonts w:hint="eastAsia" w:asciiTheme="minorEastAsia" w:hAnsiTheme="minorEastAsia" w:eastAsiaTheme="minorEastAsia"/>
        </w:rPr>
        <w:t xml:space="preserve">  被告不提供或者无正当理由逾期提供证据的，与被诉行政许可行为有利害关系的第三人可以向人民法院提供；第三人对无法提供的证据，可以申请人民法院调取；人民法院在当事人无争议，但涉及国家利益、公共利益或者他人合法权益的情况下，也可以依职权调取证据。</w:t>
      </w:r>
    </w:p>
    <w:p>
      <w:pPr>
        <w:pStyle w:val="25"/>
        <w:widowControl w:val="0"/>
        <w:topLinePunct/>
        <w:spacing w:beforeAutospacing="0" w:afterAutospacing="0" w:line="410"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第三人提供或者人民法院调取的证据能够证明行政许可行为合法的，人民法院应当判决驳回原告的诉讼请求。</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第九条</w:t>
      </w:r>
      <w:r>
        <w:rPr>
          <w:rFonts w:hint="eastAsia" w:asciiTheme="minorEastAsia" w:hAnsiTheme="minorEastAsia" w:eastAsiaTheme="minorEastAsia"/>
        </w:rPr>
        <w:t xml:space="preserve">  人民法院审理行政许可案件，应当以申请人提出行政许可申请后实施的新的法律规范为依据；行政机关在旧的法律规范实施期间，无正当理由拖延审查行政许可申请至新的法律规范实施，适用新的法律规范不利于申请人的，以旧的法律规范为依据。</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第十条</w:t>
      </w:r>
      <w:r>
        <w:rPr>
          <w:rFonts w:hint="eastAsia" w:asciiTheme="minorEastAsia" w:hAnsiTheme="minorEastAsia" w:eastAsiaTheme="minorEastAsia"/>
        </w:rPr>
        <w:t xml:space="preserve">  被诉准予行政许可决定违反当时的法律规范但符合新的法律规范的，判决确认该决定违法；准予行政许可决定不损害公共利益和利害关系人合法权益的，判决驳回原告的诉讼请求。</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第十一条</w:t>
      </w:r>
      <w:r>
        <w:rPr>
          <w:rFonts w:hint="eastAsia" w:asciiTheme="minorEastAsia" w:hAnsiTheme="minorEastAsia" w:eastAsiaTheme="minorEastAsia"/>
        </w:rPr>
        <w:t xml:space="preserve">  人民法院审理不予行政许可决定案件，认为原告请求准予许可的理由成立，且被告没有裁量余地的，可以在判决理由写明，并判决撤销不予许可决定，责令被告重新作出决定。</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第十二条</w:t>
      </w:r>
      <w:r>
        <w:rPr>
          <w:rFonts w:hint="eastAsia" w:asciiTheme="minorEastAsia" w:hAnsiTheme="minorEastAsia" w:eastAsiaTheme="minorEastAsia"/>
        </w:rPr>
        <w:t xml:space="preserve">  被告无正当理由拒绝原告查阅行政许可决定及有关档案材料或者监督检查记录的，人民法院可以判决被告在法定或者合理期限内准予原告查阅。</w:t>
      </w:r>
    </w:p>
    <w:p>
      <w:pPr>
        <w:pStyle w:val="25"/>
        <w:widowControl w:val="0"/>
        <w:topLinePunct/>
        <w:spacing w:beforeAutospacing="0" w:afterAutospacing="0" w:line="410"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第十三条</w:t>
      </w:r>
      <w:r>
        <w:rPr>
          <w:rFonts w:hint="eastAsia" w:asciiTheme="minorEastAsia" w:hAnsiTheme="minorEastAsia" w:eastAsiaTheme="minorEastAsia"/>
        </w:rPr>
        <w:t xml:space="preserve">  被告在实施行政许可过程中，与他人恶意串通共同违法侵犯原告合法权益的，应当承担连带赔偿责任；被告与他人违法侵犯原告合法权益的，应当根据其违法行为在损害发生过程和结果中所起作用等因素，确定被告的行政赔偿责任；被告已经依照法定程序履行审慎合理的审查职责，因他人行为导致行政许可决定违法的，不承担赔偿责任。</w:t>
      </w:r>
    </w:p>
    <w:p>
      <w:pPr>
        <w:pStyle w:val="25"/>
        <w:widowControl w:val="0"/>
        <w:topLinePunct/>
        <w:spacing w:beforeAutospacing="0" w:afterAutospacing="0" w:line="410"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在行政许可案件中，当事人请求一并解决有关民事赔偿问题的，人民法院可以合并审理。</w:t>
      </w:r>
    </w:p>
    <w:p>
      <w:pPr>
        <w:pStyle w:val="25"/>
        <w:widowControl w:val="0"/>
        <w:topLinePunct/>
        <w:spacing w:beforeAutospacing="0" w:afterAutospacing="0" w:line="416"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第十四条</w:t>
      </w:r>
      <w:r>
        <w:rPr>
          <w:rFonts w:hint="eastAsia" w:asciiTheme="minorEastAsia" w:hAnsiTheme="minorEastAsia" w:eastAsiaTheme="minorEastAsia"/>
        </w:rPr>
        <w:t xml:space="preserve">  行政机关依据行政许可法第八条第二款规定变更或者撤回已经生效的行政许可，公民、法人或者其他组织仅主张行政补偿的，应当先向行政机关提出申请；行政机关在法定期限或者合理期限内不予答复或者对行政机关作出的补偿决定不服的，可以依法提起行政诉讼。</w:t>
      </w:r>
    </w:p>
    <w:p>
      <w:pPr>
        <w:pStyle w:val="25"/>
        <w:widowControl w:val="0"/>
        <w:topLinePunct/>
        <w:spacing w:beforeAutospacing="0" w:afterAutospacing="0" w:line="416"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第十五条</w:t>
      </w:r>
      <w:r>
        <w:rPr>
          <w:rFonts w:hint="eastAsia" w:asciiTheme="minorEastAsia" w:hAnsiTheme="minorEastAsia" w:eastAsiaTheme="minorEastAsia"/>
        </w:rPr>
        <w:t xml:space="preserve">  法律、法规、规章或者规范性文件对变更或者撤回行政许可的补偿标准未作规定的，一般在实际损失范围内确定补偿数额；行政许可属于行政许可法第十二条第（二）项规定情形的，一般按照实际投入的损失确定补偿数额。</w:t>
      </w:r>
    </w:p>
    <w:p>
      <w:pPr>
        <w:pStyle w:val="25"/>
        <w:widowControl w:val="0"/>
        <w:topLinePunct/>
        <w:spacing w:beforeAutospacing="0" w:afterAutospacing="0" w:line="416" w:lineRule="exact"/>
        <w:ind w:firstLine="482" w:firstLineChars="200"/>
        <w:jc w:val="both"/>
        <w:rPr>
          <w:rFonts w:asciiTheme="minorEastAsia" w:hAnsiTheme="minorEastAsia" w:eastAsiaTheme="minorEastAsia"/>
        </w:rPr>
      </w:pPr>
      <w:r>
        <w:rPr>
          <w:rStyle w:val="30"/>
          <w:rFonts w:hint="eastAsia" w:asciiTheme="minorEastAsia" w:hAnsiTheme="minorEastAsia" w:eastAsiaTheme="minorEastAsia"/>
        </w:rPr>
        <w:t>第十六条</w:t>
      </w:r>
      <w:r>
        <w:rPr>
          <w:rFonts w:hint="eastAsia" w:asciiTheme="minorEastAsia" w:hAnsiTheme="minorEastAsia" w:eastAsiaTheme="minorEastAsia"/>
        </w:rPr>
        <w:t xml:space="preserve">  行政许可补偿案件的调解，参照最高人民法院《关于审理行政赔偿案件若干问题的规定》的有关规定办理。</w:t>
      </w:r>
    </w:p>
    <w:p>
      <w:pPr>
        <w:pStyle w:val="3"/>
        <w:topLinePunct/>
        <w:spacing w:line="416" w:lineRule="exact"/>
        <w:ind w:firstLine="482"/>
        <w:rPr>
          <w:kern w:val="0"/>
          <w:sz w:val="24"/>
          <w:szCs w:val="24"/>
        </w:rPr>
      </w:pPr>
      <w:r>
        <w:rPr>
          <w:rStyle w:val="30"/>
          <w:rFonts w:hint="eastAsia" w:asciiTheme="minorEastAsia" w:hAnsiTheme="minorEastAsia" w:eastAsiaTheme="minorEastAsia"/>
          <w:sz w:val="24"/>
          <w:szCs w:val="24"/>
        </w:rPr>
        <w:t>第十七条</w:t>
      </w:r>
      <w:r>
        <w:rPr>
          <w:rFonts w:hint="eastAsia" w:asciiTheme="minorEastAsia" w:hAnsiTheme="minorEastAsia" w:eastAsiaTheme="minorEastAsia"/>
          <w:sz w:val="24"/>
          <w:szCs w:val="24"/>
        </w:rPr>
        <w:t xml:space="preserve">  最高人民法院以前所作的司法解释凡与本规定不一致的，按本规定执行。</w:t>
      </w:r>
    </w:p>
    <w:p>
      <w:pPr>
        <w:pStyle w:val="3"/>
        <w:topLinePunct/>
        <w:spacing w:line="416" w:lineRule="exact"/>
        <w:ind w:firstLine="480"/>
        <w:rPr>
          <w:kern w:val="0"/>
          <w:sz w:val="24"/>
          <w:szCs w:val="24"/>
        </w:rPr>
      </w:pPr>
    </w:p>
    <w:p>
      <w:pPr>
        <w:pStyle w:val="3"/>
        <w:topLinePunct/>
        <w:spacing w:line="416" w:lineRule="exact"/>
        <w:ind w:firstLine="480"/>
        <w:rPr>
          <w:rFonts w:asciiTheme="minorEastAsia" w:hAnsiTheme="minorEastAsia" w:eastAsiaTheme="minorEastAsia"/>
          <w:kern w:val="0"/>
          <w:sz w:val="24"/>
          <w:szCs w:val="24"/>
        </w:rPr>
      </w:pPr>
      <w:r>
        <w:rPr>
          <w:kern w:val="0"/>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63" w:name="_Toc25394576"/>
    </w:p>
    <w:p>
      <w:pPr>
        <w:pStyle w:val="61"/>
      </w:pPr>
      <w:bookmarkStart w:id="64" w:name="_Toc28252129"/>
      <w:bookmarkStart w:id="65" w:name="_Toc25648148"/>
      <w:bookmarkStart w:id="66" w:name="_Toc28156932"/>
      <w:bookmarkStart w:id="67" w:name="_Toc25653643"/>
      <w:bookmarkStart w:id="68" w:name="_Toc26347910"/>
      <w:bookmarkStart w:id="69" w:name="_Toc28250859"/>
      <w:r>
        <w:t>中华人民共和国行政复议法</w:t>
      </w:r>
      <w:bookmarkEnd w:id="35"/>
      <w:bookmarkEnd w:id="36"/>
      <w:bookmarkEnd w:id="63"/>
      <w:bookmarkEnd w:id="64"/>
      <w:bookmarkEnd w:id="65"/>
      <w:bookmarkEnd w:id="66"/>
      <w:bookmarkEnd w:id="67"/>
      <w:bookmarkEnd w:id="68"/>
      <w:bookmarkEnd w:id="69"/>
    </w:p>
    <w:p>
      <w:pPr>
        <w:pStyle w:val="62"/>
      </w:pPr>
      <w:r>
        <w:t>（</w:t>
      </w:r>
      <w:bookmarkStart w:id="70" w:name="OLE_LINK43"/>
      <w:r>
        <w:t>1999年4月29日中华人民共和国主席令第16号公布，根据２００９年８月２７日中华人民共和国主席令第18号公布、自公布之日起施行的《全国人民代表大会常务委员会关于修改部分法律的决定》第一次修订，根据2017年9月1日中华人民共和国主席令第76号公布、自2018年1月1日起施行的《全国人民代表大会常务委员会关于修改〈中华人民共和国法官法〉等八部法律的决定》第二次修订</w:t>
      </w:r>
      <w:bookmarkEnd w:id="70"/>
      <w:r>
        <w:t>）</w:t>
      </w:r>
    </w:p>
    <w:p>
      <w:pPr>
        <w:pStyle w:val="63"/>
        <w:spacing w:before="218" w:after="218" w:line="412" w:lineRule="exact"/>
        <w:rPr>
          <w:b/>
        </w:rPr>
      </w:pPr>
      <w:bookmarkStart w:id="71" w:name="_Toc301529776"/>
      <w:r>
        <w:rPr>
          <w:rFonts w:hint="eastAsia"/>
        </w:rPr>
        <w:t xml:space="preserve">第一章 </w:t>
      </w:r>
      <w:r>
        <w:t xml:space="preserve"> 总则</w:t>
      </w:r>
      <w:bookmarkEnd w:id="71"/>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为了防止和纠正违法的或者不当的具体行政行为，保护公民、法人和其他组织的合法权益，保障和监督行政机关依法行使职权，根据宪法，制定本法。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公民、法人或者其他组织认为具体行政行为侵犯其合法权益，向行政机关提出行政复议申请，行政机关受理行政复议申请、作出行政复议决定，适用本法。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依照本法履行行政复议职责的行政机关是行政复议机关。行政复议机关负责法制工作的机构具体办理行政复议事项，履行下列职责：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（一）受理行政复议申请；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（二）向有关组织和人员调查取证，查阅文件和资料；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（三）审查申请行政复议的具体行政行为是否合法与适当，拟订行政复议决定；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（四）处理或者转送对本法第七条所列有关规定的审查申请；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（五）对行政机关违反本法规定的行为依照规定的权限和程序提出处理建议；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（六）办理因不服行政复议决定提起行政诉讼的应诉事项；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（七）法律、法规规定的其他职责。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行政机关中初次从事行政复议的人员，应当通过国家统一法律职业资格考试取得法律职业资格。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行政复议机关履行行政复议职责，应当遵循合法、公正、公开、及时、便民的原则，坚持有错必纠，保障法律、法规的正确实施。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公民、法人或者其他组织对行政复议决定不服的，可以依照行政诉讼法的规定向人民法院提起行政诉讼，但是法律规定行政复议决定为最终裁决的除外。</w:t>
      </w:r>
    </w:p>
    <w:p>
      <w:pPr>
        <w:pStyle w:val="63"/>
        <w:spacing w:before="218" w:after="218" w:line="412" w:lineRule="exact"/>
        <w:rPr>
          <w:b/>
        </w:rPr>
      </w:pPr>
      <w:bookmarkStart w:id="72" w:name="_Toc301529777"/>
      <w:r>
        <w:t>第二章</w:t>
      </w:r>
      <w:r>
        <w:rPr>
          <w:rFonts w:hint="eastAsia"/>
        </w:rPr>
        <w:t xml:space="preserve"> </w:t>
      </w:r>
      <w:r>
        <w:t xml:space="preserve"> 行政复议范围</w:t>
      </w:r>
      <w:bookmarkEnd w:id="72"/>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有下列情形之一的，公民、法人或者其他组织可以依照本法申请行政复议：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（一）对行政机关作出的警告、罚款、没收违法所得、没收非法财物、责令停产停业、暂扣或者吊销许可证、暂扣或者吊销执照、行政拘留等行政处罚决定不服的；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（二）对行政机关作出的限制人身自由或者查封、扣押、冻结财产等行政强制措施决定不服的；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（三）对行政机关作出的有关许可证、执照、资质证、资格证等证书变更、中止、撤销的决定不服的；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（四）对行政机关作出的关于确认土地、矿藏、水流、森林、山岭、草原、荒地、滩涂、海域等自然资源的所有权或者使用权的决定不服的；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（五）认为行政机关侵犯合法的经营自主权的；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（六）认为行政机关变更或者废止农业承包合同，侵犯其合法权益的；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（七）认为行政机关违法集资、征收财物、摊派费用或者违法要求履行其他义务的；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（八）认为符合法定条件，申请行政机关颁发许可证、执照、资质证、资格证等证书，或者申请行政机关审批、登记有关事项，行政机关没有依法办理的；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（九）申请行政机关履行保护人身权利、财产权利、受教育权利的法定职责，行政机关没有依法履行的；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（十）申请行政机关依法发放抚恤金、社会保险金或者最低生活保障费，行政机关没有依法发放的；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（十一）认为行政机关的其他具体行政行为侵犯其合法权益的。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公民、法人或者其他组织认为行政机关的具体行政行为所依据的下列规定不合法，在对具体行政行为申请行政复议时，可以一并向行政复议机关提出对该规定的审查申请：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（一）国务院部门的规定；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（二）县级以上地方各级人民政府及其工作部门的规定；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（三）乡、镇人民政府的规定。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前款所列规定不含国务院部、委员会规章和地方人民政府规章。规章的审查依照法律、行政法规办理。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不服行政机关作出的行政处分或者其他人事处理决定的，依照有关法律、行政法规的规定提出申诉。</w:t>
      </w:r>
    </w:p>
    <w:p>
      <w:pPr>
        <w:pStyle w:val="3"/>
        <w:topLinePunct/>
        <w:spacing w:line="412" w:lineRule="exact"/>
        <w:ind w:firstLine="480"/>
        <w:rPr>
          <w:rFonts w:ascii="黑体" w:hAnsi="黑体" w:eastAsia="黑体"/>
          <w:bCs/>
          <w:sz w:val="28"/>
          <w:szCs w:val="28"/>
        </w:rPr>
      </w:pPr>
      <w:r>
        <w:rPr>
          <w:rFonts w:asciiTheme="minorEastAsia" w:hAnsiTheme="minorEastAsia" w:eastAsiaTheme="minorEastAsia"/>
          <w:sz w:val="24"/>
          <w:szCs w:val="24"/>
        </w:rPr>
        <w:t>不服行政机关对民事纠纷作出的调解或者其他处理，依法申请仲裁或者向人民法院提起诉讼。</w:t>
      </w:r>
      <w:bookmarkStart w:id="73" w:name="_Toc301529778"/>
      <w:r>
        <w:br w:type="page"/>
      </w:r>
    </w:p>
    <w:p>
      <w:pPr>
        <w:pStyle w:val="63"/>
        <w:spacing w:before="218" w:after="218" w:line="412" w:lineRule="exact"/>
        <w:rPr>
          <w:b/>
        </w:rPr>
      </w:pPr>
      <w:r>
        <w:t xml:space="preserve">第三章 </w:t>
      </w:r>
      <w:r>
        <w:rPr>
          <w:rFonts w:hint="eastAsia"/>
        </w:rPr>
        <w:t xml:space="preserve"> </w:t>
      </w:r>
      <w:r>
        <w:t>行政复议申请</w:t>
      </w:r>
      <w:bookmarkEnd w:id="73"/>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公民、法人或者其他组织认为具体行政行为侵犯其合法权益的，可以自知道该具体行政行为之日起六十日内提出行政复议申请；但是法律规定的申请期限超过六十日的除外。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因不可抗力或者其他正当理由耽误法定申请期限的，申请期限自障碍消除之日起继续计算。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依照本法申请行政复议的公民、法人或者其他组织是申请人。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权申请行政复议的公民死亡的，其近亲属可以申请行政复议。有权申请行政复议的公民为无民事行为能力人或者限制民事行为能力人的，其法定代理人可以代为申请行政复议。有权申请行政复议的法人或者其他组织终止的，承受其权利的法人或者其他组织可以申请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同申请行政复议的具体行政行为有利害关系的其他公民、法人或者其他组织，可以作为第三人参加行政复议。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公民、法人或者其他组织对行政机关的具体行政行为不服申请行政复议的，作出具体行政行为的行政机关是被申请人。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申请人、第三人可以委托代理人代为参加行政复议。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申请人申请行政复议，可以书面申请，也可以口头申请；口头申请的，行政复议机关应当当场记录申请人的基本情况、行政复议请求、申请行政复议的主要事实、理由和时间。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对县级以上地方各级人民政府工作部门的具体行政行为不服的，由申请人选择，可以向该部门的本级人民政府申请行政复议，也可以向上一级主管部门申请行政复议。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对海关、金融、国税、外汇管理等实行垂直领导的行政机关和国家安全机关的具体行政行为不服的，向上一级主管部门申请行政复议。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对地方各级人民政府的具体行政行为不服的，向上一级地方人民政府申请行政复议。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对省、自治区人民政府依法设立的派出机关所属的县级地方人民政府的具体行政行为不服的，向该派出机关申请行政复议。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对国务院部门或者省、自治区、直辖市人民政府的具体行政行为不服的，向作出该具体行政行为的国务院部门或者省、自治区、直辖市人民政府申请行政复议。对行政复议决定不服的，可以向人民法院提起行政诉讼；也可以向国务院申请裁决，国务院依照本法的规定作出最终裁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对本法第十二条、第十三条、第十四条规定以外的其他行政机关、组织的具体行政行为不服的，按照下列规定申请行政复议：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（一）对县级以上地方人民政府依法设立的派出机关的具体行政行为不服的，向设立该派出机关的人民政府申请行政复议；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（二）对政府工作部门依法设立的派出机构依照法律、法规或者规章规定，以自己的名义作出的具体行政行为不服的，向设立该派出机构的部门或者该部门的本级地方人民政府申请行政复议；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（三）对法律、法规授权的组织的具体行政行为不服的，分别向直接管理该组织的地方人民政府、地方人民政府工作部门或者国务院部门申请行政复议；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（四）对两个或者两个以上行政机关以共同的名义作出的具体行政行为不服的，向其共同上一级行政机关申请行政复议；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（五）对被撤销的行政机关在撤销前所作出的具体行政行为不服的，向继续行使其职权的行政机关的上一级行政机关申请行政复议。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有前款所列情形之一的，申请人也可以向具体行政行为发生地的县级地方人民政府提出行政复议申请，由接受申请的县级地方人民政府依照本法第十八条的规定办理。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公民、法人或者其他组织申请行政复议，行政复议机关已经依法受理的，或者法律、法规规定应当先向行政复议机关申请行政复议、对行政复议决定不服再向人民法院提起行政诉讼的，在法定行政复议期限内不得向人民法院提起行政诉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公民、法人或者其他组织向人民法院提起行政诉讼，人民法院已经依法受理的，不得申请行政复议。</w:t>
      </w:r>
    </w:p>
    <w:p>
      <w:pPr>
        <w:pStyle w:val="63"/>
        <w:spacing w:before="218" w:after="218" w:line="412" w:lineRule="exact"/>
        <w:rPr>
          <w:b/>
        </w:rPr>
      </w:pPr>
      <w:bookmarkStart w:id="74" w:name="_Toc301529779"/>
      <w:r>
        <w:t xml:space="preserve">第四章 </w:t>
      </w:r>
      <w:r>
        <w:rPr>
          <w:rFonts w:hint="eastAsia"/>
        </w:rPr>
        <w:t xml:space="preserve"> </w:t>
      </w:r>
      <w:r>
        <w:t>行政复议受理</w:t>
      </w:r>
      <w:bookmarkEnd w:id="74"/>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除前款规定外，行政复议申请自行政复议机关负责法制工作的机构收到之日起即为受理。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依照本法第十五条第二款的规定接受行政复议申请的县级地方人民政府，对依照本法第十五条第一款的规定属于其他行政复议机关受理的行政复议申请，应当自接到该行政复议申请之日起七日内，转送有关行政复议机关，并告知申请人。接受转送的行政复议机关应当依照本法第十七条的规定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法律、法规规定应当先向行政复议机关申请行政复议、对行政复议决定不服再向人民法院提起行政诉讼</w:t>
      </w:r>
      <w:r>
        <w:rPr>
          <w:rFonts w:asciiTheme="minorEastAsia" w:hAnsiTheme="minorEastAsia" w:eastAsiaTheme="minorEastAsia"/>
          <w:spacing w:val="4"/>
          <w:sz w:val="24"/>
          <w:szCs w:val="24"/>
        </w:rPr>
        <w:t>的，行政复议机关决定不予受理或者受理后超过行政复议期限不作答复的，公民、法人或者其他组织可以自收到不予受理决定 书之日起或者行政复议期满之日起十五日内，依法向人民法院提起行政诉讼。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公民、法人或者其他组织依法提出行政复议申请，行政复议机关无正当理由不予受理的，上级行政机关应当责令其受理；必要时，上级行政机关也可以直接受理。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行政复议期间具体行政行为不停止执行；但是，有下列情形之一的，可以停止执行：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（一）被申请人认为需要停止执行的；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（二）行政复议机关认为需要停止执行的；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（三）申请人申请停止执行，行政复议机关认为其要求合理，决定停止执行的；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（四）法律规定停止执行的。</w:t>
      </w:r>
    </w:p>
    <w:p>
      <w:pPr>
        <w:pStyle w:val="63"/>
        <w:spacing w:before="218" w:after="218" w:line="412" w:lineRule="exact"/>
        <w:rPr>
          <w:b/>
        </w:rPr>
      </w:pPr>
      <w:bookmarkStart w:id="75" w:name="_Toc301529780"/>
      <w:r>
        <w:t xml:space="preserve">第五章 </w:t>
      </w:r>
      <w:r>
        <w:rPr>
          <w:rFonts w:hint="eastAsia"/>
        </w:rPr>
        <w:t xml:space="preserve"> </w:t>
      </w:r>
      <w:r>
        <w:t>行政复议决定</w:t>
      </w:r>
      <w:bookmarkEnd w:id="75"/>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行政复议原则上采取书面审查的办法，但是申请人提出要求或者行政复议机关负责法制工作的机构认为有必要时，可以向有关组织和人员调查情况，听取申请人、被申请人和第三人的意见。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申请人、第三人可以查阅被申请人提出的书面答复、作出具体行政行为的证据、依据和其他有关材料，除涉及国家秘密、商业秘密或者个人隐私外，行政复议机关不得拒绝。</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在行政复议过程中，被申请人不得自行向申请人和其他有关组织或者个人收集证据。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行政复议决定作出前，申请人要求撤回行政复议申请的，经说明理由，可以撤回；撤回行政复议申请的，行政复议终止。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申请人在申请行政复议时，一并提出对本法第七条所列有关规定的审查申请的，行政复议机关对该规定有权处理的，应当在三十日内依法处理；无权处理的，应当在七日内按照法定程序转送有权处理的行政机关依法处理，有权处理的行政机关应当在六十日内依法处理。处理期间，中止对具体行政行为的审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行政复议机关在对被申请人作出的具体行政行为进行审查时，认为其依据不合法，本机关有权处理的，应当在三十日内依法处理；无权处理的，应当在七日内按照法定程序转送有权处理的国家机关依法处理。处理期间，中止对具体行政行为的审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行政复议机关负责法制工作的机构应当对被申请人作出的具体行政行为进行审查，提出意见，经行政复议机关的负责人同意或者集体讨论通过后，按照下列规定作出行政复议决定：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（一）具体行政行为认定事实清楚，证据确凿，适用依据正确，程序合法，内容适当的，决定维持；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（二）被申请人不履行法定职责的，决定其在一定期限内履行；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（三）具体行政行为有下列情形之一的，决定撤销、变更或者确认该具体行政行为违法；决定撤销或者确认该具体行政行为违法的，可以责令被申请人在一定期限内重新作出具体行政行为：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1．主要事实不清、证据不足的；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2．适用依据错误的；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3．违反法定程序的；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4．超越或者滥用职权的；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5．具体行政行为明显不当的。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（四）被申请人不按照本法第二十三条的规定提出书面答复、提交当初作出具体行政行为的证据、依据和其他有关材料的，视为该具体行政行为没有证据、依据，决定撤销该具体行政行为。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行政复议机关责令被申请人重新作出具体行政行为的，被申请人不得以同一的事实和理由作出与原具体行政行为相同或者基本相同的具体行政行为。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申请人在申请行政复议时可以一并提出行政赔偿请求，行政复议机关对符合国家赔偿法的有关规定应当给予赔偿的，在决定撤销、变更具体行政行为或者确认具体行政行为违法时，应当同时决定被申请人依法给予赔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在申请行政复议时没有提出行政赔偿请求的，行政复议机关在依法决定撤销或者变更罚款，撤销违法集资、没收财物、征收财物、摊派费用以及对财产的查封、扣押、冻结等具体行政行为时，应当同时责令被申请人返还财产，解除对财产的查封、扣押、冻结措施，或者赔偿相应的价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公民、法人或者其他组织认为行政机关的具体行政行为侵犯其已经依法取得的土地、矿藏、水流、森林、山岭、草原、荒地、滩涂、海域等自然资源的所有权或者使用权的，应当先申请行政复议；对行政复议决定不服的，可以依法向人民法院提起行政诉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国务院或者省、自治区、直辖市人民政府对行政区划的勘定、调整或者征收土地的决定，省、自治区、直辖市人民政府确认土地、矿藏、水流、森林、山岭、草原、荒地、滩涂、海域等自然资源的所有权或者使用权的行政复议决定为最终裁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行政复议机关作出行政复议决定，应当制作行政复议决定书，并加盖印章。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行政复议决定书一经送达，即发生法律效力。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被申请人应当履行行政复议决定。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被申请人不履行或者无正当理由拖延履行行政复议决定的，行政复议机关或者有关上级行政机关应当责令其限期履行。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申请人逾期不起诉又不履行行政复议决定的，或者不履行最终裁决的行政复议决定的，按照下列规定分别处理：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（一）维持具体行政行为的行政复议决定，由作出具体行政行为的行政机关依法强制执行，或者申请人民法院强制执行；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（二）变更具体行政行为的行政复议决定，由行政复议机关依法强制执行，或者申请人民法院强制执行。</w:t>
      </w:r>
    </w:p>
    <w:p>
      <w:pPr>
        <w:pStyle w:val="63"/>
        <w:spacing w:before="218" w:after="218" w:line="412" w:lineRule="exact"/>
        <w:rPr>
          <w:b/>
        </w:rPr>
      </w:pPr>
      <w:bookmarkStart w:id="76" w:name="_Toc301529781"/>
      <w:r>
        <w:t xml:space="preserve">第六章 </w:t>
      </w:r>
      <w:r>
        <w:rPr>
          <w:rFonts w:hint="eastAsia"/>
        </w:rPr>
        <w:t xml:space="preserve"> </w:t>
      </w:r>
      <w:r>
        <w:t>法律责任</w:t>
      </w:r>
      <w:bookmarkEnd w:id="76"/>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行政复议机关违反本法规定，无正当理由不予受理依法提出的行政复议申请或者不按照规定转送行政复议申请的，或者在法定期限内不作出行政复议决定的，对直接负责的主管人员和其他直接责任人员依法给予警告、记过、记大过的行政处分；经责令受理仍不受理或者不按照规定转送行政复议申请，造成严重后果的，依法给予降级、撤职、开除的行政处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行政复议机关工作人员在行政复议活动中，徇私舞弊或者有其他渎职、失职行为的，依法给予警告、记过、记大过的行政处分；情节严重的，依法给予降级、撤职、开除的行政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被申请人违反本法规定，不提出书面答复或者不提交作出具体行政行为的证据、依据和其他有关材料，或者阻挠、变相阻挠公民、法人或者其他组织依法申请行政复议的，对直接负责的主管人员和其他直接责任人员依法给予警告、记过、记大过的行政处分；进行报复陷害的，依法给予降级、撤职、开除的行政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被申请人不履行或者无正当理由拖延履行行政复议决定的，对直接负责的主管人员和其他直接责任人员依法给予警告、记过、记大过的行政处分；经责令履行仍拒不履行的，依法给予降级、撤职、开除的行政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行政复议机关负责法制工作的机构发现有无正当理由不予受理行政复议申请、不按照规定期限作出行政复议决定、徇私舞弊、对申请人打击报复或者不履行行政复议决定等情形的，应当向有关行政机关提出建议，有关行政机关应当依照本法和有关法律、行政法规的规定作出处理。</w:t>
      </w:r>
    </w:p>
    <w:p>
      <w:pPr>
        <w:pStyle w:val="63"/>
        <w:spacing w:before="218" w:after="218" w:line="412" w:lineRule="exact"/>
        <w:rPr>
          <w:b/>
        </w:rPr>
      </w:pPr>
      <w:bookmarkStart w:id="77" w:name="_Toc301529782"/>
      <w:r>
        <w:t>第七章</w:t>
      </w:r>
      <w:r>
        <w:rPr>
          <w:rFonts w:hint="eastAsia"/>
        </w:rPr>
        <w:t xml:space="preserve"> </w:t>
      </w:r>
      <w:r>
        <w:t xml:space="preserve"> 附则</w:t>
      </w:r>
      <w:bookmarkEnd w:id="77"/>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行政复议机关受理行政复议申请，不得向申请人收取任何费用。行政复议活动所需经费，应当列入本机关的行政经费，由本级财政予以保障。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行政复议期间的计算和行政复议文书的送达，依照民事诉讼法关于期间、送达的规定执行。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本法关于行政复议期间有关“五日”、“七日”的规定是指工作日，不含节假日。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外国人、无国籍人、外国组织在中华人民共和国境内申请行政复议，适用本法。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本法施行前公布的法律有关行政复议的规定与本法的规定不一致的，以本法的规定为准。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本法自1999年10月1日起施行。1990年12月24日国务院发布、1994年10月9日国务院修订发布的《行政复议条例》同时废止。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78" w:name="_Toc25394577"/>
      <w:bookmarkStart w:id="79" w:name="_Toc466579795"/>
      <w:bookmarkStart w:id="80" w:name="_Toc2435"/>
    </w:p>
    <w:p>
      <w:pPr>
        <w:pStyle w:val="61"/>
      </w:pPr>
      <w:bookmarkStart w:id="81" w:name="_Toc28250860"/>
      <w:bookmarkStart w:id="82" w:name="_Toc28156933"/>
      <w:bookmarkStart w:id="83" w:name="_Toc28252130"/>
      <w:bookmarkStart w:id="84" w:name="_Toc25653644"/>
      <w:bookmarkStart w:id="85" w:name="_Toc25648149"/>
      <w:bookmarkStart w:id="86" w:name="_Toc26347911"/>
      <w:r>
        <w:t>中华人民共和国行政复议法实施条例</w:t>
      </w:r>
      <w:bookmarkEnd w:id="78"/>
      <w:bookmarkEnd w:id="79"/>
      <w:bookmarkEnd w:id="80"/>
      <w:bookmarkEnd w:id="81"/>
      <w:bookmarkEnd w:id="82"/>
      <w:bookmarkEnd w:id="83"/>
      <w:bookmarkEnd w:id="84"/>
      <w:bookmarkEnd w:id="85"/>
      <w:bookmarkEnd w:id="86"/>
    </w:p>
    <w:p>
      <w:pPr>
        <w:pStyle w:val="62"/>
        <w:ind w:firstLine="0" w:firstLineChars="0"/>
        <w:jc w:val="center"/>
      </w:pPr>
      <w:r>
        <w:t>（2007年5月29日中华人民共和国国务院令第499号公布）</w:t>
      </w:r>
    </w:p>
    <w:p>
      <w:pPr>
        <w:pStyle w:val="63"/>
        <w:spacing w:before="218" w:after="218" w:line="412" w:lineRule="exact"/>
        <w:rPr>
          <w:b/>
        </w:rPr>
      </w:pPr>
      <w:bookmarkStart w:id="87" w:name="_Toc301529784"/>
      <w:r>
        <w:t>第一章  总  则</w:t>
      </w:r>
      <w:bookmarkEnd w:id="87"/>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为了进一步发挥行政复议制度在解决行政争议、建设法治政府、构建社会主义和谐社会中的作用，根据《中华人民共和国行政复议法》（以下简称行政复议法），制定本条例。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各级行政复议机关应当认真履行行政复议职责，领导并支持本机关负责法制工作的机构（以下简称行政复议机构）依法办理行政复议事项，并依照有关规定配备、充实、调剂专职行政复议人员，保证行政复议机构的办案能力与工作任务相适应。</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行政复议机构除应当依照行政复议法第三条的规定履行职责外，还应当履行下列职责：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（一）依照行政复议法第十八条的规定转送有关行政复议申请；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（二）办理行政复议法第二十九条规定的行政赔偿等事项；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（三）按照职责权限，督促行政复议申请的受理和行政复议决定的履行；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（四）办理行政复议、行政应诉案件统计和重大行政复议决定备案事项；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（五）办理或者组织办理未经行政复议直接提起行政诉讼的行政应诉事项；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（六）研究行政复议工作中发现的问题，及时向有关机关提出改进建议，重大问题及时向行政复议机关报告。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专职行政复议人员应当具备与履行行政复议职责相适应的品行、专业知识和业务能力，并取得相应资格。具体办法由国务院法制机构会同国务院有关部门规定。</w:t>
      </w:r>
    </w:p>
    <w:p>
      <w:pPr>
        <w:pStyle w:val="63"/>
        <w:spacing w:before="218" w:after="218" w:line="412" w:lineRule="exact"/>
      </w:pPr>
      <w:bookmarkStart w:id="88" w:name="_Toc301529785"/>
      <w:r>
        <w:t>第二章  行政复议申请</w:t>
      </w:r>
      <w:bookmarkEnd w:id="88"/>
    </w:p>
    <w:p>
      <w:pPr>
        <w:pStyle w:val="64"/>
        <w:spacing w:before="156" w:after="156"/>
      </w:pPr>
      <w:r>
        <w:t>第一节  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依照行政复议法和本条例的规定申请行政复议的公民、法人或者其他组织为申请人。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合伙企业申请行政复议的，应当以核准登记的企业为申请人，由执行合伙事务的合伙人代表该企业参加行政复议；其他合伙组织申请行政复议的，由合伙人共同申请行政复议。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前款规定以外的不具备法人资格的其他组织申请行政复议的，由该组织的主要负责人代表该组织参加行政复议；没有主要负责人的，由共同推选的其他成员代表该组织参加行政复议。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股份制企业的股东大会、股东代表大会、董事会认为行政机关作出的具体行政行为侵犯企业合法权益的，可以以企业的名义申请行政复议。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同一行政复议案件申请人超过5人的，推选1至5名代表参加行政复议。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行政复议期间，行政复议机构认为申请人以外的公民、法人或者其他组织与被审查的具体行政行为有利害关系的，可以通知其作为第三人参加行政复议。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行政复议期间，申请人以外的公民、法人或者其他组织与被审查的具体行政行为有利害关系的，可以向行政复议机构申请作为第三人参加行政复议。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第三人不参加行政复议，不影响行政复议案件的审理。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申请人、第三人可以委托1至2名代理人参加行政复议。申请人、第三人委托代理人的，应当向行政复议机构提交授权委托书。授权委托书应当载明委托事项、权限和期限。公民在特殊情况下无法书面委托的，可以口头委托。口头委托的，行政复议机构应当核实并记录在卷。申请人、第三人解除或者变更委托的，应当书面报告行政复议机构。</w:t>
      </w:r>
    </w:p>
    <w:p>
      <w:pPr>
        <w:pStyle w:val="64"/>
        <w:spacing w:before="156" w:after="156"/>
      </w:pPr>
      <w:r>
        <w:t>第二节  被申请人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公民、法人或者其他组织对行政机关的具体行政行为不服，依照行政复议法和本条例的规定申请行政复议的，作出该具体行政行为的行政机关为被申请人。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行政机关与法律、法规授权的组织以共同的名义作出具体行政行为的，行政机关和法律、法规授权的组织为共同被申请人。</w:t>
      </w:r>
    </w:p>
    <w:p>
      <w:pPr>
        <w:pStyle w:val="3"/>
        <w:topLinePunct/>
        <w:spacing w:line="412" w:lineRule="exact"/>
        <w:ind w:firstLine="480"/>
        <w:rPr>
          <w:rFonts w:asciiTheme="minorEastAsia" w:hAnsiTheme="minorEastAsia" w:eastAsiaTheme="minorEastAsia"/>
          <w:b/>
          <w:spacing w:val="4"/>
          <w:sz w:val="24"/>
          <w:szCs w:val="24"/>
        </w:rPr>
      </w:pPr>
      <w:r>
        <w:rPr>
          <w:rFonts w:asciiTheme="minorEastAsia" w:hAnsiTheme="minorEastAsia" w:eastAsiaTheme="minorEastAsia"/>
          <w:sz w:val="24"/>
          <w:szCs w:val="24"/>
        </w:rPr>
        <w:t>行</w:t>
      </w:r>
      <w:r>
        <w:rPr>
          <w:rFonts w:asciiTheme="minorEastAsia" w:hAnsiTheme="minorEastAsia" w:eastAsiaTheme="minorEastAsia"/>
          <w:spacing w:val="4"/>
          <w:sz w:val="24"/>
          <w:szCs w:val="24"/>
        </w:rPr>
        <w:t>政机关与其他组织以共同名义作出具体行政行为的，行政机关为被申请人。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下级行政机关依照法律、法规、规章规定，经上级行政机关批准作出具体行政行为的，批准机关为被申请人。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行政机关设立的派出机构、内设机构或者其他组织，未经法律、法规授权，对外以自己名义作出具体行政行为的，该行政机关为被申请人。</w:t>
      </w:r>
    </w:p>
    <w:p>
      <w:pPr>
        <w:pStyle w:val="64"/>
        <w:spacing w:before="156" w:after="156"/>
      </w:pPr>
      <w:r>
        <w:t>第三节  行政复议申请期限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行政复议法第九条第一款规定的行政复议申请期限的计算，依照下列规定办理：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（一）当场作出具体行政行为的，自具体行政行为作出之日起计算；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（二）载明具体行政行为的法律文书直接送达的，自受送达人签收之日起计算；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（三）载明具体行政行为的法律文书邮寄送达的，自受送达人在邮件签收单上签收之日起计算；没有邮件签收单的，自受送达人在送达回执上签名之日起计算；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（四）具体行政行为依法通过公告形式告知受送达人的，自公告规定的期限届满之日起计算；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（五）行政机关作出具体行政行为时未告知公民、法人或者其他组织，事后补充告知的，自该公民、法人或者其他组织收到行政机关补充告知的通知之日起计算；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（六）被申请人能够证明公民、法人或者其他组织知道具体行政行为的，自证据材料证明其知道具体行政行为之日起计算。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行政机关作出具体行政行为,依法应当向有关公民、法人或者其他组织送达法律文书而未送达的，视为该公民、法人或者其他组织不知道该具体行政行为。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公民、法人或者其他组织依照行政复议法第六条第（八）项、第（九）项、第（十）项的规定申请行政机关履行法定职责，行政机关未履行的，行政复议申请期限依照下列规定计算：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（一）有履行期限规定的，自履行期限届满之日起计算；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（二）没有履行期限规定的，自行政机关收到申请满60日起计算。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公民、法人或者其他组织在紧急情况下请求行政机关履行保护人身权、财产权的法定职责，行政机关不履行的，行政复议申请期限不受前款规定的限制。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行政机关作出的具体行政行为对公民、法人或者其他组织的权利、义务可能产生不利影响的，应当告知其申请行政复议的权利、行政复议机关和行政复议申请期限。</w:t>
      </w:r>
    </w:p>
    <w:p>
      <w:pPr>
        <w:pStyle w:val="64"/>
        <w:spacing w:before="156" w:after="156"/>
      </w:pPr>
      <w:r>
        <w:t>第四节  行政复议申请的提出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申请人书面申请行政复议的，可以采取当面递交、邮寄或者传真等方式提出行政复议申请。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有条件的行政复议机构可以接受以电子邮件形式提出的行政复议申请。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申请人书面申请行政复议的，应当在行政复议申请书中载明下列事项：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（一）申请人的基本情况，包括：公民的姓名、性别、年龄、身份证号码、工作单位、住所、邮政编码；法人或者其他组织的名称、住所、邮政编码和法定代表人或者主要负责人的姓名、职务；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（二）被申请人的名称；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（三）行政复议请求、申请行政复议的主要事实和理由；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（四）申请人的签名或者盖章；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（五）申请行政复议的日期。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申请人口头申请行政复议的，行政复议机构应当依照本条例第十九条规定的事项，当场制作行政复议申请笔录交申请人核对或者向申请人宣读，并由申请人签字确认。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有下列情形之一的，申请人应当提供证明材料：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（一）认为被申请人不履行法定职责的，提供曾经要求被申请人履行法定职责而被申请人未履行的证明材料；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（二）申请行政复议时一并提出行政赔偿请求的，提供受具体行政行为侵害而造成损害的证明材料；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（三）法律、法规规定需要申请人提供证据材料的其他情形。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申请人提出行政复议申请时错列被申请人的，行政复议机构应当告知申请人变更被申请人。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申请人对两个以上国务院部门共同作出的具体行政行为不服的，依照行政复议法第十四条的规定，可以向其中任何一个国务院部门提出行政复议申请，由作出具体行政行为的国务院部门共同作出行政复议决定。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申请人对经国务院批准实行省以下垂直领导的部门作出的具体行政行为不服的，可以选择向该部门的本级人民政府或者上一级主管部门申请行政复议；省、自治区、直辖市另有规定的，依照省、自治区、直辖市的规定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申请人依照行政复议法第三十条第二款的规定申请行政复议的，应当向省、自治区、直辖市人民政府提出行政复议申请。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依照行政复议法第七条的规定，申请人认为具体行政行为所依据的规定不合法的，可以在对具体行政行为申请行政复议的同时一并提出对该规定的审查申请；申请人在对具体行政行为提出行政复议申请时尚不知道该具体行政行为所依据的规定的，可以在行政复议机关作出行政复议决定前向行政复议机关提出对该规定的审查申请。</w:t>
      </w:r>
    </w:p>
    <w:p>
      <w:pPr>
        <w:pStyle w:val="63"/>
        <w:spacing w:before="218" w:after="218" w:line="412" w:lineRule="exact"/>
        <w:rPr>
          <w:b/>
        </w:rPr>
      </w:pPr>
      <w:bookmarkStart w:id="89" w:name="_Toc301529786"/>
      <w:r>
        <w:t>第三章  行政复议受理</w:t>
      </w:r>
      <w:bookmarkEnd w:id="89"/>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公民、法人或者其他组织认为行政机关的具体行政行为侵犯其合法权益提出行政复议申请，除不符合行政复议法和本条例规定的申请条件的，行政复议机关必须受理。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行政复议申请符合下列规定的，应当予以受理：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（一）有明确的申请人和符合规定的被申请人；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（二）申请人与具体行政行为有利害关系；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（三）有具体的行政复议请求和理由；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（四）在法定申请期限内提出；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（五）属于行政复议法规定的行政复议范围；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（六）属于收到行政复议申请的行政复议机构的职责范围；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（七）其他行政复议机关尚未受理同一行政复议申请，人民法院尚未受理同一主体就同一事实提起的行政诉讼。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行政复议申请材料不齐全或者表述不清楚的，行政复议机构可以自收到该行政复议申请之日起5日内书面通知申请人补正。补正通知应当载明需要补正的事项和合理的补正期限。无正当理由逾期不补正的，视为申请人放弃行政复议申请。补正申请材料所用时间不计入行政复议审理期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申请人就同一事项向两个或者两个以上有权受理的行政机关申请行政复议的，由最先收到行政复议申请的行政机关受理；同时收到行政复议申请的，由收到行政复议申请的行政机关在10日内协商确定；协商不成的，由其共同上一级行政机关在10日内指定受理机关。协商确定或者指定受理机关所用时间不计入行政复议审理期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依照行政复议法第二十条的规定，上级行政机关认为行政复议机关不予受理行政复议申请的理由不成立的，可以先行督促其受理；经督促仍不受理的，应当责令其限期受理，必要时也可以直接受理；认为行政复议申请不符合法定受理条件的，应当告知申请人。</w:t>
      </w:r>
    </w:p>
    <w:p>
      <w:pPr>
        <w:pStyle w:val="63"/>
        <w:spacing w:before="218" w:after="218" w:line="412" w:lineRule="exact"/>
        <w:rPr>
          <w:b/>
        </w:rPr>
      </w:pPr>
      <w:bookmarkStart w:id="90" w:name="_Toc301529787"/>
      <w:r>
        <w:t>第四章  行政复议决定</w:t>
      </w:r>
      <w:bookmarkEnd w:id="90"/>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行政复议机构审理行政复议案件，应当由2名以上行政复议人员参加。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行政复议机构认为必要时，可以实地调查核实证据；对重大、复杂的案件，申请人提出要求或者行政复议机构认为必要时，可以采取听证的方式审理。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行政复议人员向有关组织和人员调查取证时，可以查阅、复制、调取有关文件和资料，向有关人员进行询问。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调查取证时，行政复议人员不得少于2人，并应当向当事人或者有关人员出示证件。被调查单位和人员应当配合行政复议人员的工作，不得拒绝或者阻挠。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需要现场勘验的，现场勘验所用时间不计入行政复议审理期限。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行政复议机关应当为申请人、第三人查阅有关材料提供必要条件。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依照行政复议法第十四条的规定申请原级行政复议的案件，由原承办具体行政行为有关事项的部门或者机构提出书面答复，并提交作出具体行政行为的证据、依据和其他有关材料。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行政复议期间涉及专门事项需要鉴定的，当事人可以自行委托鉴定机构进行鉴定，也可以申请行政复议机构委托鉴定机构进行鉴定。鉴定费用由当事人承担。鉴定所用时间不计入行政复议审理期限。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申请人在行政复议决定作出前自愿撤回行政复议申请的，经行政复议机构同意，可以撤回。</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申请人撤回行政复议申请的，不得再以同一事实和理由提出行政复议申请。但是，申请人能够证明撤回行政复议申请违背其真实意思表示的除外。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行政复议期间被申请人改变原具体行政行为的，不影响行政复议案件的审理。但是，申请人依法撤回行政复议申请的除外。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公民、法人或者其他组织对行政机关行使法律、法规规定的自由裁量权作出的具体行政行为不服申请行政复议，申请人与被申请人在行政复议决定作出前自愿达成和解的，应当向行政复议机构提交书面和解协议；和解内容不损害社会公共利益和他人合法权益的，行政复议机构应当准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行政复议期间有下列情形之一，影响行政复议案件审理的，行政复议中止：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（一）作为申请人的自然人死亡，其近亲属尚未确定是否参加行政复议的；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（二）作为申请人的自然人丧失参加行政复议的能力，尚未确定法定代理人参加行政复议的；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（三）作为申请人的法人或者其他组织终止，尚未确定权利义务承受人的；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（四）作为申请人的自然人下落不明或者被宣告失踪的；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（五）申请人、被申请人因不可抗力，不能参加行政复议的；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（六）案件涉及法律适用问题，需要有权机关作出解释或者确认的；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（七）案件审</w:t>
      </w:r>
      <w:r>
        <w:rPr>
          <w:rFonts w:asciiTheme="minorEastAsia" w:hAnsiTheme="minorEastAsia" w:eastAsiaTheme="minorEastAsia"/>
          <w:spacing w:val="8"/>
          <w:sz w:val="24"/>
          <w:szCs w:val="24"/>
        </w:rPr>
        <w:t>理需要以其他案件的审理结果为依据，而其他案件尚未审结的；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（八）其他需要中止行政复议的情形。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行政复议中止的原因消除后，应当及时恢复行政复议案件的审理。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行政复议机构中止、恢复行政复议案件的审理，应当告知有关当事人。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行政复议期间有下列情形之一的，行政复议终止：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（一）申请人要求撤回行政复议申请，行政复议机构准予撤回的；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（二）作为申请人的自然人死亡，没有近亲属或者其近亲属放弃行政复议权利的；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（三）作为申请人的法人或者其他组织终止，其权利义务的承受人放弃行政复议权利的；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（四）申请人与被申请人依照本条例第四十条的规定，经行政复议机构准许达成和解的；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（五）申请人对行政拘留或者限制人身自由的行政强制措施不服申请行政复议后，因申请人同一违法行为涉嫌犯罪，该行政拘留或者限制人身自由的行政强制措施变更为刑事拘留的。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依照本条例第四十一条第一款第（一）项、第（二）项、第（三）项规定中止行政复议，满60日行政复议中止的原因仍未消除的，行政复议终止。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依照行政复议法第二十八条第一款第（一）项规定，具体行政行为认定事实清楚，证据确凿，适用依据正确，程序合法，内容适当的，行政复议机关应当决定维持。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依照行政复议法第二十八条第一款第（二）项规定，被申请人不履行法定职责的，行政复议机关应当决定其在一定期限内履行法定职责。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具体行政行为有行政复议法第二十八条第一款第（三）项规定情形之一的，行政复议机关应当决定撤销、变更该具体行政行为或者确认该具体行政行为违法；决定撤销该具体行政行为或者确认该具体行政行为违法的，可以责令被申请人在一定期限内重新作出具体行政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被申请人未依照行政复议法第二十三条的规定提出书面答复、提交当初作出具体行政行为的证据、依据和其他有关材料的，视为该具体行政行为没有证据、依据，行政复议机关应当决定撤销该具体行政行为。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具体行政行为有下列情形之一，行政复议机关可以决定变更：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（一）认定事实清楚，证据确凿，程序合法，但是明显不当或者适用依据错误的；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（二）认定事实不清，证据不足，但是经行政复议机关审理查明事实清楚，证据确凿的。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有下列情形之一的，行政复议机关应当决定驳回行政复议申请：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（一）申请人认为行政机关不履行法定职责申请行政复议，行政复议机关受理后发现该行政机关没有相应法定职责或者在受理前已经履行法定职责的；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（二）受理行政复议申请后，发现该行政复议申请不符合行政复议法和本条例规定的受理条件的。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上级行政机关认为行政复议机关驳回行政复议申请的理由不成立的，应当责令其恢复审理。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行政复议机关依照行政复议法第二十八条的规定责令被申请人重新作出具体行政行为的，被申请人应当在法律、法规、规章规定的期限内重新作出具体行政行为；法律、法规、规章未规定期限的，重新作出具体行政行为的期限为60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公民、法人或者其他组织对被申请人重新作出的具体行政行为不服，可以依法申请行政复议或者提起行政诉讼。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有下列情形之一的，行政复议机关可以按照自愿、合法的原则进行调解：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（一）公民、法人或者其他组织对行政机关行使法律、法规规定的自由裁量权作出的具体行政行为不服申请行政复议的；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（二）当事人之间的行政赔偿或者行政补偿纠纷。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当事人经调解达成协议的，行政复议机关应当制作行政复议调解书。调解书应当载明行政复议请求、事实、理由和调解结果，并加盖行政复议机关印章。行政复议调解书经双方当事人签字，即具有法律效力。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调解未达成协议或者调解书生效前一方反悔的，行政复议机关应当及时作出行政复议决定。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行政复议机关在申请人的行政复议请求范围内，不得作出对申请人更为不利的行政复议决定。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第三人逾期不起诉又不履行行政复议决定的，依照行政复议法第三十三条的规定处理。</w:t>
      </w:r>
    </w:p>
    <w:p>
      <w:pPr>
        <w:pStyle w:val="63"/>
        <w:spacing w:before="218" w:after="218" w:line="412" w:lineRule="exact"/>
        <w:rPr>
          <w:b/>
        </w:rPr>
      </w:pPr>
      <w:bookmarkStart w:id="91" w:name="_Toc301529788"/>
      <w:r>
        <w:t>第五章  行政复议指导和监督</w:t>
      </w:r>
      <w:bookmarkEnd w:id="91"/>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行政复议机关应当加强对行政复议工作的领导。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行政复议机构在本级行政复议机关的领导下，按照职责权限对行政复议工作进行督促、指导。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县级以上各级人民政府应当加强对所属工作部门和下级人民政府履行行政复议职责的监督。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行政复议机关应当加强对其行政复议机构履行行政复议职责的监督。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县级以上地方各级人民政府应当建立健全行政复议工作责任制，将行政复议工作纳入本级政府目标责任制。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县级以上地方各级人民政府应当按照职责权限，通过定期组织检查、抽查等方式，对所属工作部门和下级人民政府行政复议工作进行检查，并及时向有关方面反馈检查结果。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行政复议期间行政复议机关发现被申请人或者其他下级行政机关的相关行政行为违法或者需要做好善后工作的，可以制作行政复议意见书。有关机关应当自收到行政复议意见书之日起60日内将纠正相关行政违法行为或者做好善后工作的情况通报行政复议机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行政复议期间行政复议机构发现法律、法规、规章实施中带有普遍性的问题，可以制作行政复议建议书，向有关机关提出完善制度和改进行政执法的建议。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县级以上各级人民政府行政复议机构应当定期向本级人民政府提交行政复议工作状况分析报告。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下级行政复议机关应当及时将重大行政复议决定报上级行政复议机关备案。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各级行政复议机构应当定期组织对行政复议人员进行业务培训，提高行政复议人员的专业素质。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各级行政复议机关应当定期总结行政复议工作，对在行政复议工作中做出显著成绩的单位和个人，依照有关规定给予表彰和奖励。</w:t>
      </w:r>
    </w:p>
    <w:p>
      <w:pPr>
        <w:pStyle w:val="63"/>
        <w:spacing w:before="218" w:after="218" w:line="412" w:lineRule="exact"/>
        <w:rPr>
          <w:b/>
        </w:rPr>
      </w:pPr>
      <w:bookmarkStart w:id="92" w:name="_Toc301529789"/>
      <w:r>
        <w:t>第六章  法律责任</w:t>
      </w:r>
      <w:bookmarkEnd w:id="92"/>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被申请人在规定期限内未按照行政复议决定的要求重新作出具体行政行为，或者违反规定重新作出具体行政行为的，依照行政复议法第三十七条的规定追究法律责任。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拒绝或者阻挠行政复议人员调查取证、查阅、复制、调取有关文件和资料的，对有关责任人员依法给予处分或者治安处罚；构成犯罪的，依法追究刑事责任。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行政复议机关或者行政复议机构不履行行政复议法和本条例规定的行政复议职责，经有权监督的行政机关督促仍不改正的，对直接负责的主管人员和其他直接责任人员依法给予警告、记过、记大过的处分；造成严重后果的，依法给予降级、撤职、开除的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行政机关及其工作人员违反行政复议法和本条例规定的，行政复议机构可以向人事、监察部门提出对有关责任人员的处分建议，也可以将有关人员违法的事实材料直接转送人事、监察部门处理；接受转送的人事、监察部门应当依法处理，并将处理结果通报转送的行政复议机构。</w:t>
      </w:r>
    </w:p>
    <w:p>
      <w:pPr>
        <w:pStyle w:val="63"/>
        <w:spacing w:before="218" w:after="218" w:line="412" w:lineRule="exact"/>
        <w:rPr>
          <w:b/>
        </w:rPr>
      </w:pPr>
      <w:bookmarkStart w:id="93" w:name="_Toc301529790"/>
      <w:r>
        <w:t>第七章  附  则</w:t>
      </w:r>
      <w:bookmarkEnd w:id="93"/>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本条例自2007年8月1日起施行。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bookmarkStart w:id="94" w:name="OLE_LINK70"/>
    </w:p>
    <w:bookmarkEnd w:id="94"/>
    <w:p>
      <w:pPr>
        <w:pStyle w:val="61"/>
      </w:pPr>
      <w:bookmarkStart w:id="95" w:name="_Toc25394578"/>
      <w:bookmarkStart w:id="96" w:name="_Toc28250861"/>
      <w:bookmarkStart w:id="97" w:name="_Toc28252131"/>
      <w:bookmarkStart w:id="98" w:name="_Toc25648150"/>
      <w:bookmarkStart w:id="99" w:name="_Toc25653645"/>
      <w:bookmarkStart w:id="100" w:name="_Toc28156934"/>
      <w:bookmarkStart w:id="101" w:name="_Toc26347912"/>
      <w:bookmarkStart w:id="102" w:name="OLE_LINK42"/>
      <w:bookmarkStart w:id="103" w:name="_Toc30630"/>
      <w:r>
        <w:t>中华人民共和国行政诉讼法</w:t>
      </w:r>
      <w:bookmarkEnd w:id="95"/>
      <w:bookmarkEnd w:id="96"/>
      <w:bookmarkEnd w:id="97"/>
      <w:bookmarkEnd w:id="98"/>
      <w:bookmarkEnd w:id="99"/>
      <w:bookmarkEnd w:id="100"/>
      <w:bookmarkEnd w:id="101"/>
    </w:p>
    <w:p>
      <w:pPr>
        <w:pStyle w:val="62"/>
      </w:pPr>
      <w:r>
        <w:t>（1989年4月4日中华人民共和国主席令第16号公布，根据2014年11月1日第十二届全国人民代表大会常务委员会第十一次会议《全国人民代表大会常务委员会关于修改〈中华人民共和国行政诉讼法〉的决定》第一次修订，根据2017年6月27日中华人民共和国主席令第71号公布、自2017年7月1日起施行的《全国人民代表大会常务委员会关于修改〈中华人民共和国民事诉讼法〉和〈中华人民共和国行政诉讼法〉的决定》第二次修订）</w:t>
      </w:r>
    </w:p>
    <w:p>
      <w:pPr>
        <w:pStyle w:val="63"/>
        <w:spacing w:before="218" w:after="218" w:line="412" w:lineRule="exact"/>
        <w:rPr>
          <w:rFonts w:hAnsi="Times New Roman"/>
          <w:kern w:val="0"/>
        </w:rPr>
      </w:pPr>
      <w:r>
        <w:rPr>
          <w:kern w:val="0"/>
        </w:rPr>
        <w:t>第一章</w:t>
      </w:r>
      <w:r>
        <w:rPr>
          <w:rFonts w:hAnsi="Times New Roman"/>
          <w:kern w:val="0"/>
        </w:rPr>
        <w:t xml:space="preserve">  </w:t>
      </w:r>
      <w:r>
        <w:rPr>
          <w:kern w:val="0"/>
        </w:rPr>
        <w:t>总</w:t>
      </w:r>
      <w:r>
        <w:rPr>
          <w:rFonts w:hAnsi="Times New Roman"/>
          <w:kern w:val="0"/>
        </w:rPr>
        <w:t xml:space="preserve"> </w:t>
      </w:r>
      <w:r>
        <w:rPr>
          <w:rFonts w:hint="eastAsia"/>
          <w:kern w:val="0"/>
        </w:rPr>
        <w:t xml:space="preserve"> </w:t>
      </w:r>
      <w:r>
        <w:rPr>
          <w:kern w:val="0"/>
        </w:rPr>
        <w:t>则</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为保证人民法院公正、及时审理行政案件，解决行政争议，保护公民、法人和其他组织的合法权益，监督行政机关依法行使行政职权，根据宪法，制定本法。</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公民、法人或者其他组织认为行政机关和行政机关工作人员的行政行为侵犯其合法权益，有权依照本法向人民法院提起诉讼。</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前款所称行政行为，包括法律、法规、规章授权的组织作出的行政行为。</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人民法院应当保障公民、法人和其他组织的起诉权利，对应当受理的行政案件依法受理。</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行政机关及其工作人员不得干预、阻碍人民法院受理行政案件。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被诉行政机关负责人应当出庭应诉。不能出庭的，应当委托行政机关相应的工作人员出庭。</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人民法院依法对行政案件独立行使审判权，不受行政机关、社会团体和个人的干涉。</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人民法院设行政审判庭，审理行政案件。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人民法院审理行政案件，以事实为根据，以法律为准绳。</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人民法院审理行政案件，对行政行为是否合法进行审查。</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人民法院审理行政案件，依法实行合议、回避、公开审判和两审终审制度。</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当事人在行政诉讼中的法律地位平等。</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各民族公民都有用本民族语言、文字进行行政诉讼的权利。</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在少数民族聚居或者多民族共同居住的地区，人民法院应当用当地民族通用的语言、文字进行审理和发布法律文书。</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人民法院应当对不通晓当地民族通用的语言、文字的诉讼参与人提供翻译。</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当事人在行政诉讼中有权进行辩论。</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人民检察院有权对行政诉讼实行法律监督。</w:t>
      </w:r>
    </w:p>
    <w:p>
      <w:pPr>
        <w:pStyle w:val="63"/>
        <w:spacing w:before="218" w:after="218" w:line="412" w:lineRule="exact"/>
        <w:rPr>
          <w:kern w:val="0"/>
        </w:rPr>
      </w:pPr>
      <w:r>
        <w:rPr>
          <w:kern w:val="0"/>
        </w:rPr>
        <w:t>第二章  受案范围</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第十二条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人民法院受理公民、法人或者其他组织提起的下列诉讼：</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（一）对行政拘留、暂扣或者吊销许可证和执照、责令停产停业、没收违法所得、没收非法财物、罚款、警告等行政处罚不服的；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（二）对限制人身自由或者对财产的查封、扣押、冻结等行政强制措施和行政强制执行不服的；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（三）申请行政许可，行政机关拒绝或者在法定期限内不予答复，或者对行政机关作出的有关行政许可的其他决定不服的；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（四）对行政机关作出的关于确认土地、矿藏、水流、森林、山岭、草原、荒地、滩涂、海域等自然资源的所有权或者使用权的决定不服的；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（五）对征收、征用决定及其补偿决定不服的；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（六）申请行政机关履行保护人身权、财产权等合法权益的法定职责，行政机关拒绝履行或者不予答复的；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（七）认为行政机关侵犯其经营自主权或者农村土地承包经营权、农村土地经营权的；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（八）认为行政机关滥用行政权力排除或者限制竞争的；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（九）认为行政机关违法集资、摊派费用或者违法要求履行其他义务的；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（十）认为行政机关没有依法支付抚恤金、最低生活保障待遇或者社会保险待遇的；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（十一）认为行政机关不依法履行、未按照约定履行或者违法变更、解除政府特许经营协议、土地房屋征收补偿协议等协议的；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（十二）认为行政机关侵犯其他人身权、财产权等合法权益的。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除前款规定外，人民法院受理法律、法规规定可以提起诉讼的其他行政案件。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人民法院不受理公民、法人或者其他组织对下列事项提起的诉讼：</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（一）国防、外交等国家行为；</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（二）行政法规、规章或者行政机关制定、发布的具有普遍约束力的决定、命令；</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（三）行政机关对行政机关工作人员的奖惩、任免等决定；</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（四）法律规定由行政机关最终裁决的行政行为。</w:t>
      </w:r>
    </w:p>
    <w:p>
      <w:pPr>
        <w:pStyle w:val="63"/>
        <w:spacing w:before="218" w:after="218" w:line="412" w:lineRule="exact"/>
        <w:rPr>
          <w:kern w:val="0"/>
        </w:rPr>
      </w:pPr>
      <w:r>
        <w:rPr>
          <w:kern w:val="0"/>
        </w:rPr>
        <w:t xml:space="preserve">第三章  管 </w:t>
      </w:r>
      <w:r>
        <w:rPr>
          <w:rFonts w:hint="eastAsia"/>
          <w:kern w:val="0"/>
        </w:rPr>
        <w:t xml:space="preserve"> </w:t>
      </w:r>
      <w:r>
        <w:rPr>
          <w:kern w:val="0"/>
        </w:rPr>
        <w:t>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基层人民法院管辖第一审行政案件。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第十五条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中级人民法院管辖下列第一审行政案件：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（一）对国务院部门或者县级以上地方人民政府所作的行政行为提起诉讼的案件；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（二）海关处理的案件；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（三）本辖区内重大、复杂的案件；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（四）其他法律规定由中级人民法院管辖的案件。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高级人民法院管辖本辖区内重大、复杂的第一审行政案件。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第十七条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最高人民法院管辖全国范围内重大、复杂的第一审行政案件。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行政案件由最初作出行政行为的行政机关所在地人民法院管辖。经复议的案件，也可以由复议机关所在地人民法院管辖。</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经最高人民法院批准，高级人民法院可以根据审判工作的实际情况，确定若干人民法院跨行政区域管辖行政案件。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第十九条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对限制人身自由的行政强制措施不服提起的诉讼，由被告所在地或者原告所在地人民法院管辖。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因不动产提起的行政诉讼，由不动产所在地人民法院管辖。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两个以上人民法院都有管辖权的案件，原告可以选择其中一个人民法院提起诉讼。原告向两个以上有管辖权的人民法院提起诉讼的，由最先立案的人民法院管辖。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第二十二条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有管辖权的人民法院由于特殊原因不能行使管辖权的，由上级人民法院指定管辖。</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人民法院对管辖权发生争议，由争议双方协商解决。协商不成的，报它们的共同上级人民法院指定管辖。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上级人民法院有权审理下级人民法院管辖的第一审行政案件。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下级人民法院对其管辖的第一审行政案件，认为需要由上级人民法院审理或者指定管辖的，可以报请上级人民法院决定。</w:t>
      </w:r>
    </w:p>
    <w:p>
      <w:pPr>
        <w:pStyle w:val="63"/>
        <w:spacing w:before="218" w:after="218" w:line="412" w:lineRule="exact"/>
        <w:rPr>
          <w:kern w:val="0"/>
        </w:rPr>
      </w:pPr>
      <w:r>
        <w:rPr>
          <w:kern w:val="0"/>
        </w:rPr>
        <w:t>第四章  诉讼参加人</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第二十五条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行政行为的相对人以及其他与行政行为有利害关系的公民、法人或者其他组织，有权提起诉讼。</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有权提起诉讼的公民死亡，其近亲属可以提起诉讼。</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有权提起诉讼的法人或者其他组织终止，承受其权利的法人或者其他组织可以提起诉讼。</w:t>
      </w:r>
    </w:p>
    <w:p>
      <w:pPr>
        <w:shd w:val="clear" w:color="auto" w:fill="FFFFFF"/>
        <w:topLinePunct/>
        <w:spacing w:beforeLines="0" w:afterLines="0" w:line="404" w:lineRule="exact"/>
        <w:ind w:firstLine="512" w:firstLineChars="200"/>
        <w:rPr>
          <w:rFonts w:ascii="Times New Roman" w:hAnsi="Times New Roman" w:cs="Times New Roman"/>
          <w:spacing w:val="8"/>
          <w:kern w:val="0"/>
          <w:sz w:val="24"/>
          <w:szCs w:val="24"/>
        </w:rPr>
      </w:pPr>
      <w:r>
        <w:rPr>
          <w:rFonts w:ascii="Times New Roman" w:cs="Times New Roman" w:hAnsiTheme="minorEastAsia"/>
          <w:bCs/>
          <w:spacing w:val="8"/>
          <w:kern w:val="0"/>
          <w:sz w:val="24"/>
          <w:szCs w:val="24"/>
        </w:rPr>
        <w:t>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pPr>
        <w:shd w:val="clear" w:color="auto" w:fill="FFFFFF"/>
        <w:topLinePunct/>
        <w:spacing w:beforeLines="0" w:afterLines="0" w:line="404"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公民、法人或者其他组织直接向人民法院提起诉讼的，作出行政行为的行政机关是被告。</w:t>
      </w:r>
    </w:p>
    <w:p>
      <w:pPr>
        <w:shd w:val="clear" w:color="auto" w:fill="FFFFFF"/>
        <w:topLinePunct/>
        <w:spacing w:beforeLines="0" w:afterLines="0" w:line="404"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经复议的案件，复议机关决定维持原行政行为的，作出原行政行为的行政机关和复议机关是共同被告；复议机关改变原行政行为的，复议机关是被告。</w:t>
      </w:r>
    </w:p>
    <w:p>
      <w:pPr>
        <w:shd w:val="clear" w:color="auto" w:fill="FFFFFF"/>
        <w:topLinePunct/>
        <w:spacing w:beforeLines="0" w:afterLines="0" w:line="404"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复议机关在法定期限内未作出复议决定，公民、法人或者其他组织起诉原行政行为的，作出原行政行为的行政机关是被告；起诉复议机关不作为的，复议机关是被告。</w:t>
      </w:r>
    </w:p>
    <w:p>
      <w:pPr>
        <w:shd w:val="clear" w:color="auto" w:fill="FFFFFF"/>
        <w:topLinePunct/>
        <w:spacing w:beforeLines="0" w:afterLines="0" w:line="404"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两个以上行政机关作出同一行政行为的，共同作出行政行为的行政机关是共同被告。</w:t>
      </w:r>
    </w:p>
    <w:p>
      <w:pPr>
        <w:shd w:val="clear" w:color="auto" w:fill="FFFFFF"/>
        <w:topLinePunct/>
        <w:spacing w:beforeLines="0" w:afterLines="0" w:line="404"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行政机关委托的组织所作的行政行为，委托的行政机关是被告。</w:t>
      </w:r>
    </w:p>
    <w:p>
      <w:pPr>
        <w:shd w:val="clear" w:color="auto" w:fill="FFFFFF"/>
        <w:topLinePunct/>
        <w:spacing w:beforeLines="0" w:afterLines="0" w:line="404"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行政机关被撤销或者职权变更的，继续行使其职权的行政机关是被告。</w:t>
      </w:r>
    </w:p>
    <w:p>
      <w:pPr>
        <w:shd w:val="clear" w:color="auto" w:fill="FFFFFF"/>
        <w:topLinePunct/>
        <w:spacing w:beforeLines="0" w:afterLines="0" w:line="404"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第二十七条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当事人一方或者双方为二人以上，因同一行政行为发生的行政案件，或者因同类行政行为发生的行政案件、人民法院认为可以合并审理并经当事人同意的，为共同诉讼。</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第二十八条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当事人一方人数众多的共同诉讼，可以由当事人推选代表人进行诉讼。代表人的诉讼行为对其所代表的当事人发生效力，但代表人变更、放弃诉讼请求或者承认对方当事人的诉讼请求，应当经被代表的当事人同意。</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第二十九条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公民、法人或者其他组织同被诉行政行为有利害关系但没有提起诉讼，或者同案件处理结果有利害关系的，可以作为第三人申请参加诉讼，或者由人民法院通知参加诉讼。</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人民法院判决第三人承担义务或者减损第三人权益的，第三人有权依法提起上诉。</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没有诉讼行为能力的公民，由其法定代理人代为诉讼。法定代理人互相推诿代理责任的，由人民法院指定其中一人代为诉讼。</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当事人、法定代理人，可以委托一至二人作为诉讼代理人。</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下列人员可以被委托为诉讼代理人：</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（一）律师、基层法律服务工作者；</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（二）当事人的近亲属或者工作人员；</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（三）当事人所在社区、单位以及有关社会团体推荐的公民。</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第三十二条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代理诉讼的律师，有权按照规定查阅、复制本案有关材料，有权向有关组织和公民调查，收集与本案有关的证据。对涉及国家秘密、商业秘密和个人隐私的材料，应当依照法律规定保密。</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当事人和其他诉讼代理人有权按照规定查阅、复制本案庭审材料，但涉及国家秘密、商业秘密和个人隐私的内容除外。</w:t>
      </w:r>
    </w:p>
    <w:p>
      <w:pPr>
        <w:pStyle w:val="63"/>
        <w:spacing w:before="218" w:after="218" w:line="412" w:lineRule="exact"/>
        <w:rPr>
          <w:kern w:val="0"/>
        </w:rPr>
      </w:pPr>
      <w:r>
        <w:rPr>
          <w:kern w:val="0"/>
        </w:rPr>
        <w:t>第五章  证 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证据包括：</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（一）书证；</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（二）物证；</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（三）视听资料；</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（四）电子数据</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（五）证人证言；</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（六）当事人的陈述；</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（七）鉴定意见；</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（八）勘验笔录、现场笔录。</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以上证据经法庭审查属实，才能作为认定案件事实的根据。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被告对作出的行政行为负有举证责任，应当提供作出该行政行为的证据和所依据的规范性文件。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被告不提供或者无正当理由逾期提供证据，视为没有相应证据。但是，被诉行政行为涉及第三人合法权益，第三人提供证据的除外。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第三十五条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在诉讼过程中，被告及其诉讼代理人不得自行向原告、第三人和证人收集证据。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被告在作出行政行为时已经收集了证据，但因不可抗力等正当事由不能提供的，经人民法院准许，可以延期提供。</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原告或者第三人提出了其在行政处理程序中没有提出的理由或者证据的，经人民法院准许，被告可以补充证据。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第三十七条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原告可以提供证明行政行为违法的证据。原告提供的证据不成立的，不免除被告的举证责任。</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在起诉被告不履行法定职责的案件中，原告应当提供其向被告提出申请的证据。但有下列情形之一的除外：</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（一）被告应当依职权主动履行法定职责的；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（二）原告因正当理由不能提供证据的。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在行政赔偿、补偿的案件中，原告应当对行政行为造成的损害提供证据。因被告的原因导致原告无法举证的，由被告承担举证责任。</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第三十九条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人民法院有权要求当事人提供或者补充证据。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第四十条</w:t>
      </w:r>
      <w:r>
        <w:rPr>
          <w:rFonts w:ascii="Times New Roman" w:hAnsi="Times New Roman" w:cs="Times New Roman"/>
          <w:b/>
          <w:bCs/>
          <w:spacing w:val="8"/>
          <w:kern w:val="0"/>
          <w:sz w:val="24"/>
          <w:szCs w:val="24"/>
        </w:rPr>
        <w:t xml:space="preserve"> </w:t>
      </w:r>
      <w:r>
        <w:rPr>
          <w:rFonts w:hint="eastAsia"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人民法院有权向有关行政机关以及其他组织、公民调取证据。但是，不得为证明行政行为的合法性调取被告作出行政行为时未收集的证据。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第四十一条</w:t>
      </w:r>
      <w:r>
        <w:rPr>
          <w:rFonts w:ascii="Times New Roman" w:hAnsi="Times New Roman" w:cs="Times New Roman"/>
          <w:b/>
          <w:bCs/>
          <w:spacing w:val="8"/>
          <w:kern w:val="0"/>
          <w:sz w:val="24"/>
          <w:szCs w:val="24"/>
        </w:rPr>
        <w:t xml:space="preserve"> </w:t>
      </w:r>
      <w:r>
        <w:rPr>
          <w:rFonts w:hint="eastAsia"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与本案有关的下列证据，原告或者第三人不能自行收集的，可以申请人民法院调取：</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（一）由国家机关保存而须由人民法院调取的证据；</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（二）涉及国家秘密、商业秘密和个人隐私的证据；</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（三）确因客观原因不能自行收集的其他证据。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第四十二条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在证据可能灭失或者以后难以取得的情况下，诉讼参加人可以向人民法院申请保全证据，人民法院也可以主动采取保全措施。</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证据应当在法庭上出示，并由当事人互相质证。对涉及国家秘密、商业秘密和个人隐私的证据，不得在公开开庭时出示。</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人民法院应当按照法定程序，全面、客观地审查核实证据。对未采纳的证据应当在裁判文书中说明理由。</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以非法手段取得的证据，不得作为认定案件事实的根据。</w:t>
      </w:r>
    </w:p>
    <w:p>
      <w:pPr>
        <w:pStyle w:val="63"/>
        <w:spacing w:before="218" w:after="218" w:line="412" w:lineRule="exact"/>
        <w:rPr>
          <w:kern w:val="0"/>
        </w:rPr>
      </w:pPr>
      <w:r>
        <w:rPr>
          <w:kern w:val="0"/>
        </w:rPr>
        <w:t>第六章  起诉和受理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第四十四条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对属于人民法院受案范围的行政案件，公民、法人或者其他组织可以先向行政机关申请复议，对复议决定不服的，再向人民法院提起诉讼；也可以直接向人民法院提起诉讼。</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法律、法规规定应当先向行政机关申请复议，对复议决定不服再向人民法院提起诉讼的，依照法律、法规的规定。</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第四十五条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不服复议决定的，可以在收到复议决定书之日起十五日内向人民法院提起诉讼。复议机关逾期不作决定的，申请人可以在复议期满之日起十五日内向人民法院提起诉讼。法律另有规定的除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公民、法人或者其他组织直接向人民法院提起诉讼的，应当自知道或者应当知道作出行政行为之日起六个月内提出。法律另有规定的除外。</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因不动产提起诉讼的案件自行政行为作出之日起超过二十年，其他案件自行政行为作出之日起超过五年提起诉讼的，人民法院不予受理。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第四十七条</w:t>
      </w:r>
      <w:r>
        <w:rPr>
          <w:rFonts w:ascii="Times New Roman" w:hAnsi="Times New Roman" w:cs="Times New Roman"/>
          <w:spacing w:val="8"/>
          <w:kern w:val="0"/>
          <w:sz w:val="24"/>
          <w:szCs w:val="24"/>
        </w:rPr>
        <w:t xml:space="preserve"> </w:t>
      </w:r>
      <w:r>
        <w:rPr>
          <w:rFonts w:hint="eastAsia"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公民、法人或者其他组织在紧急情况下请求行政机关履行保护其人身权、财产权等合法权益的法定职责，行政机关不履行的，提起诉讼不受前款规定期限的限制。</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公民、法人或者其他组织因不可抗力或者其他不属于自身的原因耽误起诉期限的，被耽误的时间不计算在起诉期限内。</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公民、法人或者其他组织因前款规定以外的其他特殊情况耽误起诉期限的，在障碍消除后十日内，可以申请延长期限，是否准许由人民法院决定。</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第四十九条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提起诉讼应当符合下列条件：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（一）原告是符合本法第二十五条规定的公民、法人或者其他组织；</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（二）有明确的被告；</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（三）有具体的诉讼请求和事实根据；</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（四）属于人民法院受案范围和受诉人民法院管辖。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第五十条</w:t>
      </w:r>
      <w:r>
        <w:rPr>
          <w:rFonts w:ascii="Times New Roman" w:hAnsi="Times New Roman" w:cs="Times New Roman"/>
          <w:b/>
          <w:bCs/>
          <w:spacing w:val="8"/>
          <w:kern w:val="0"/>
          <w:sz w:val="24"/>
          <w:szCs w:val="24"/>
        </w:rPr>
        <w:t xml:space="preserve"> </w:t>
      </w:r>
      <w:r>
        <w:rPr>
          <w:rFonts w:hint="eastAsia"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起诉应当向人民法院递交起诉状，并按照被告人数提出副本。</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书写起诉状确有困难的，可以口头起诉，由人民法院记入笔录，出具注明日期的书面凭证，并告知对方当事人。</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第五十一条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人民法院在接到起诉状时对符合本法规定的起诉条件的，应当登记立案。</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起诉状内容欠缺或者有其他错误的，应当给予指导和释明，并一次性告知当事人需要补正的内容。不得未经指导和释明即以起诉不符合条件为由不接收起诉状。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对于不接收起诉状、接收起诉状后不出具书面凭证，以及不一次性告知当事人需要补正的起诉状内容的，当事人可以向上级人民法院投诉，上级人民法院应当责令改正，并对直接负责的主管人员和其他直接责任人员依法给予处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第五十二条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人民法院既不立案，又不作出不予立案裁定的，当事人可以向上一级人民法院起诉。上一级人民法院认为符合起诉条件的，应当立案、审理，也可以指定其他下级人民法院立案、审理。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第五十三条</w:t>
      </w:r>
      <w:r>
        <w:rPr>
          <w:rFonts w:ascii="Times New Roman" w:hAnsi="Times New Roman" w:cs="Times New Roman"/>
          <w:spacing w:val="8"/>
          <w:kern w:val="0"/>
          <w:sz w:val="24"/>
          <w:szCs w:val="24"/>
        </w:rPr>
        <w:t xml:space="preserve"> </w:t>
      </w:r>
      <w:r>
        <w:rPr>
          <w:rFonts w:hint="eastAsia"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公民、法人或者其他组织认为行政行为所依据的国务院部门和地方人民政府及其部门制定的规范性文件不合法，在对行政行为提起诉讼时，可以一并请求对该规范性文件进行审查。</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前款规定的规范性文件不含规章。</w:t>
      </w:r>
    </w:p>
    <w:p>
      <w:pPr>
        <w:pStyle w:val="63"/>
        <w:spacing w:before="218" w:after="218" w:line="412" w:lineRule="exact"/>
        <w:rPr>
          <w:kern w:val="0"/>
        </w:rPr>
      </w:pPr>
      <w:r>
        <w:rPr>
          <w:kern w:val="0"/>
        </w:rPr>
        <w:t>第七章  审理和判决</w:t>
      </w:r>
    </w:p>
    <w:p>
      <w:pPr>
        <w:pStyle w:val="64"/>
        <w:spacing w:before="156" w:after="156"/>
      </w:pPr>
      <w:r>
        <w:t xml:space="preserve">第一节 </w:t>
      </w:r>
      <w:r>
        <w:rPr>
          <w:rFonts w:hint="eastAsia"/>
        </w:rPr>
        <w:t xml:space="preserve"> </w:t>
      </w:r>
      <w:r>
        <w:t>一般规定</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人民法院公开审理行政案件，但涉及国家秘密、个人隐私和法律另有规定的除外。</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涉及商业秘密的案件，当事人申请不公开审理的，可以不公开审理。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第五十五条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当事人认为审判人员与本案有利害关系或者有其他关系可能影响公正审判，有权申请审判人员回避。</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审判人员认为自己与本案有利害关系或者有其他关系，应当申请回避。</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前两款规定，适用于书记员、翻译人员、鉴定人、勘验人。</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院长担任审判长时的回避，由审判委员会决定；审判人员的回避，由院长决定；其他人员的回避，由审判长决定。当事人对决定不服的，可以申请复议一次。</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诉讼期间，不停止行政行为的执行。但有下列情形之一的，裁定停止执行：</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（一）被告认为需要停止执行的；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（二）原告或者利害关系人申请停止执行，人民法院认为该行政行为的执行会造成难以弥补的损失，并且停止执行不损害国家利益、社会公共利益的；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（三）人民法院认为该行政行为的执行会给国家利益、社会公共利益造成重大损害的；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（四）法律、法规规定停止执行的。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当事人对停止执行或者不停止执行的裁定不服的，可以申请复议一次。</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第五十七条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人民法院对起诉行政机关没有依法支付抚恤金、最低生活保障金和工伤、医疗社会保险金的案件，权利义务关系明确、不先予执行将严重影响原告生活的，可以根据原告的申请，裁定先予执行。</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当事人对先予执行裁定不服的，可以申请复议一次。复议期间不停止裁定的执行。</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经人民法院传票传唤，原告无正当理由拒不到庭，或者未经法庭许可中途退庭的，可以按照撤诉处理；被告无正当理由拒不到庭，或者未经法庭许可中途退庭的，可以缺席判决。</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第五十九条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诉讼参与人或者其他人有下列行为之一的，人民法院可以根据情节轻重，予以训诫、责令具结悔过或者处一万元以下的罚款、十五日以下的拘留；构成犯罪的，依法追究刑事责任：</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（一）有义务协助调查、执行的人，对人民法院的协助调查决定、协助执行通知书，无故推拖、拒绝或者妨碍调查、执行的；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（二）伪造、隐藏、毁灭证据或者提供虚假证明材料，妨碍人民法院审理案件的；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（三）指使、贿买、胁迫他人作伪证或者威胁、阻止证人作证的；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（四）隐藏、转移、变卖、毁损已被查封、扣押、冻结的财产的；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（五）以欺骗、胁迫等非法手段使原告撤诉的；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（六）以暴力、威胁或者其他方法阻碍人民法院工作人员执行职务，或者以哄闹、冲击法庭等方法扰乱人民法院工作秩序的；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（七）对人民法院审判人员或者其他工作人员、诉讼参与人、协助调查和执行的人员恐吓、侮辱、诽谤、诬陷、殴打、围攻或者打击报复的。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人民法院对有前款规定的行为之一的单位，可以对其主要负责人或者直接责任人员依照前款规定予以罚款、拘留；构成犯罪的，依法追究刑事责任。</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罚款、拘留须经人民法院院长批准。当事人不服的，可以向上一级人民法院申请复议一次。复议期间不停止执行。</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人民法院审理行政案件，不适用调解。但是，行政赔偿、补偿以及行政机关行使法律、法规规定的自由裁量权的案件可以调解。</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调解应当遵循自愿、合法原则，不得损害国家利益、社会公共利益和他人合法权益。</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在涉及行政许可、登记、征收、征用和行政机关对民事争议所作的裁决的行政诉讼中，当事人申请一并解决相关民事争议的，人民法院可以一并审理。</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在行政诉讼中，人民法院认为行政案件的审理需以民事诉讼的裁判为依据的，可以裁定中止行政诉讼。</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第六十二条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人民法院对行政案件宣告判决或者裁定前，原告申请撤诉的，或者被告改变其所作的行政行为，原告同意并申请撤诉的，是否准许，由人民法院裁定。</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人民法院审理行政案件，以法律和行政法规、地方性法规为依据。地方性法规适用于本行政区域内发生的行政案件。</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人民法院审理民族自治地方的行政案件，并以该民族自治地方的自治条例和单行条例为依据。</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人民法院审理行政案件，参照规章。</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人民法院在审理行政案件中，经审查认为本法第五十三条规定的规范性文件不合法的，不作为认定行政行为合法的依据，并向制定机关提出处理建议。</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第六十五条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人民法院应当公开发生法律效力的判决书、裁定书，供公众查阅，但涉及国家秘密、商业秘密和个人隐私的内容除外。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人民法院在审理行政案件中，认为行政机关的主管人员、直接责任人员违法违纪的，应当将有关材料移送监察机关、该行政机关或者其上一级行政机关；认为有犯罪行为的，应当将有关材料移送公安、检察机关。</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pPr>
        <w:pStyle w:val="64"/>
        <w:spacing w:before="156" w:after="156"/>
      </w:pPr>
      <w:r>
        <w:t>第二节  第一审普通程序</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第六十七条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应当在立案之日起五日内，将起诉状副本发送被告。被告应当在收到起诉状副本之日起十五日内向人民法院提交作出行政行为的证据和所依据的规范性文件，并提出答辩状。人民法院应当在收到答辩状之日起五日内，将答辩状副本发送原告。</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被告不提出答辩状的，不影响人民法院审理。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人民法院审理行政案件，由审判员组成合议庭，或者由审判员、陪审员组成合议庭。合议庭的成员，应当是三人以上的单数。</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第六十九条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行政行为证据确凿，适用法律、法规正确，符合法定程序的，或者原告申请被告履行法定职责或者给付义务理由不成立的，人民法院判决驳回原告的诉讼请求。</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行政行为有下列情形之一的，人民法院判决撤销或者部分撤销，并可以判决被告重新作出行政行为：</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（一）主要证据不足的；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（二）适用法律、法规错误的；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（三）违反法定程序的；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（四）超越职权的；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（五）滥用职权的；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（六）明显不当的。</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人民法院判决被告重新作出行政行为的，被告不得以同一的事实和理由作出与原行政行为基本相同的行政行为。</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第七十二条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人民法院经过审理，查明被告不履行法定职责的，判决被告在一定期限内履行。</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人民法院经过审理，查明被告依法负有给付义务的，判决被告履行给付义务。</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行政行为有下列情形之一的，人民法院判决确认违法，但不撤销行政行为：</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（一）行政行为依法应当撤销，但撤销会给国家利益、社会公共利益造成重大损害的；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（二）行政行为程序轻微违法，但对原告权利不产生实际影响的。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行政行为有下列情形之一，不需要撤销或者判决履行的，人民法院判决确认违法：</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（一）行政行为违法，但不具有可撤销内容的；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（二）被告改变原违法行政行为，原告仍要求确认原行政行为违法的；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（三）被告不履行或者拖延履行法定职责，判决履行没有意义的。</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第七十五条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行政行为有实施主体不具有行政主体资格或者没有依据等重大且明显违法情形，原告申请确认行政行为无效的，人民法院判决确认无效。</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第七十六条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人民法院判决确认违法或者无效的，可以同时判决责令被告采取补救措施；给原告造成损失的，依法判决被告承担赔偿责任。</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第七十七条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行政处罚明显不当，或者其他行政行为涉及对款额的确定、认定确有错误的，人民法院可以判决变更。</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人民法院判决变更，不得加重原告的义务或者减损原告的权益。但利害关系人同为原告，且诉讼请求相反的除外。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被告不依法履行、未按照约定履行或者违法变更、解除本法第十二条第一款第十一项规定的协议的，人民法院判决被告承担继续履行、采取补救措施或者赔偿损失等责任。</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被告变更、解除本法第十二条第一款第十一项规定的协议合法，但未依法给予补偿的，人民法院判决给予补偿。</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第七十九条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复议机关与作出原行政行为的行政机关为共同被告的案件，人民法院应当对复议决定和原行政行为一并作出裁判。</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人民法院对公开审理和不公开审理的案件，一律公开宣告判决。</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当庭宣判的，应当在十日内发送判决书；定期宣判的，宣判后立即发给判决书。</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宣告判决时，必须告知当事人上诉权利、上诉期限和上诉的人民法院。</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人民法院应当在立案之日起六个月内作出第一审判决。有特殊情况需要延长的，由高级人民法院批准，高级人民法院审理第一审案件需要延长的，由最高人民法院批准。</w:t>
      </w:r>
    </w:p>
    <w:p>
      <w:pPr>
        <w:pStyle w:val="64"/>
        <w:spacing w:before="156" w:after="156"/>
      </w:pPr>
      <w:r>
        <w:t>第三节  简易程序</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第八十二条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人民法院审理下列第一审行政案件，认为事实清楚、权利义务关系明确、争议不大的，可以适用简易程序：</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（一）被诉行政行为是依法当场作出的；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（二）案件涉及款额二千元以下的；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（三）属于政府信息公开案件的。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除前款规定以外的第一审行政案件，当事人各方同意适用简易程序的，可以适用简易程序。</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发回重审、按照审判监督程序再审的案件不适用简易程序。</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适用简易程序审理的行政案件，由审判员一人独任审理，并应当在立案之日起四十五日内审结。</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第八十四条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人民法院在审理过程中，发现案件不宜适用简易程序的，裁定转为普通程序。</w:t>
      </w:r>
    </w:p>
    <w:p>
      <w:pPr>
        <w:pStyle w:val="64"/>
        <w:spacing w:before="156" w:after="156"/>
      </w:pPr>
      <w:r>
        <w:t>第四节  第二审程序</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第八十五条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第八十六条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人民法院对上诉案件，应当组成合议庭，开庭审理。经过阅卷、调查和询问当事人，对没有提出新的事实、证据或者理由，合议庭认为不需要开庭审理的，也可以不开庭审理。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第八十七条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人民法院审理上诉案件，应当对原审人民法院的判决、裁定和被诉行政行为进行全面审查。</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人民法院审理上诉案件，应当在收到上诉状之日起三个月内作出终审判决。有特殊情况需要延长的，由高级人民法院批准，高级人民法院审理上诉案件需要延长的，由最高人民法院批准。</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第八十九条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人民法院审上诉案件，按照下列情形，分别处理：</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（一）原判决、裁定认定事实清楚，适用法律、法规正确的，判决或者裁定驳回上诉，维持原判决、裁定；</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（二）原判决、裁定认定事实错误或者适用法律、法规错误的，依法改判、撤销或者变更；</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（三）原判决认定基本事实不清、证据不足的，发回原审人民法院重审，或者查清事实后改判。</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（四）原判决遗漏当事人或者违法缺席判决等严重违反法定程序的，裁定撤销原判决，发回原审人民法院重审。</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原审人民法院对发回重审的案件作出判决后，当事人提起上诉的，第二审人民法院不得再次发回重审。</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人民法院审理上诉案件，需要改变原审判决的，应当同时对被诉行政行为作出判决。</w:t>
      </w:r>
    </w:p>
    <w:p>
      <w:pPr>
        <w:pStyle w:val="64"/>
        <w:spacing w:before="156" w:after="156"/>
      </w:pPr>
      <w:r>
        <w:t>第五节  审判监督程序</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当事人对已经发生法律效力的判决、裁定，认为确有错误的，可以向上一级人民法院申请再审，但判决、裁定不停止执行。</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当事人的申请符合下列情形之一的，人民法院应当再审：</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（一）不予立案或者驳回起诉确有错误的；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（二）有新的证据，足以推翻原判决、裁定的；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（三）原判决、裁定认定事实的主要证据不足、未经质证或者系伪造的；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（四）原判决、裁定适用法律、法规确有错误的；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（五）违反法律规定的诉讼程序，可能影响公正审判的；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（六）原判决、裁定遗漏诉讼请求的；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（七）据以作出原判决、裁定的法律文书被撤销或者变更的；</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（八）审判人员在审理该案件时有贪污受贿、徇私舞弊、枉法裁判行为的。</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第九十二条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各级人民法院院长对本院已经发生法律效力的判决、裁定，发现有本法第九十一条规定情形之一，或者发现调解违反自愿原则或者调解书内容违法，认为需要再审的，应当提交审判委员会讨论决定。</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最高人民检察院对各级人民法院已经发生法律效力的判决、裁定，上级人民检察院对人民法院已经发生法律效力的判决、裁定，发现有本法第九十一条规定情形之一，或者发现调解书损害国家利益、社会公共利益的，应当提出抗诉。</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各级人民检察院对审判监督程序以外的其他审判程序中审判人员的违法行为，有权向同级人民法院提出检察建议。</w:t>
      </w:r>
    </w:p>
    <w:p>
      <w:pPr>
        <w:pStyle w:val="63"/>
        <w:spacing w:before="218" w:after="218" w:line="412" w:lineRule="exact"/>
        <w:rPr>
          <w:kern w:val="0"/>
        </w:rPr>
      </w:pPr>
      <w:r>
        <w:rPr>
          <w:kern w:val="0"/>
        </w:rPr>
        <w:t xml:space="preserve">第八章  执 </w:t>
      </w:r>
      <w:r>
        <w:rPr>
          <w:rFonts w:hint="eastAsia"/>
          <w:kern w:val="0"/>
        </w:rPr>
        <w:t xml:space="preserve"> </w:t>
      </w:r>
      <w:r>
        <w:rPr>
          <w:kern w:val="0"/>
        </w:rPr>
        <w:t>行</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第九十四条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当事人必须履行人民法院发生法律效力的判决、裁定、调解书。</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第九十五条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公民、法人或者其他组织拒绝履行判决、裁定、调解书的，行政机关或者第三人可以向第一审人民法院申请强制执行，或者由行政机关依法强制执行。</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第九十六条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行政机关拒绝履行判决、裁定、调解书的，第一审人民法院可以采取下列措施：</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（一）对应当归还的罚款或者应当给付的款额，通知银行从该行政机关的账户内划拨；</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（二）在规定期限内不履行的，从期满之日起，对该行政机关负责人按日处五十元至一百元的罚款；</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（三）将行政机关拒绝履行的情况予以公告；</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（四）向监察机关或者该行政机关的上一级行政机关提出司法建议。接受司法建议的机关，根据有关规定进行处理，并将处理情况告知人民法院；</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（五）拒不履行判决、裁定、调解书，社会影响恶劣的，可以对该行政机关直接负责的主管人员和其他直接责任人员予以拘留；情节严重，构成犯罪的，依法追究刑事责任。</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第九十七条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公民、法人或者其他组织对行政行为在法定期间不提起诉讼又不履行的，行政机关可以申请人民法院强制执行，或者依法强制执行。</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第九十八条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行政机关或者行政机关工作人员作出的行政行为侵犯公民、法人或者其他组织的合法权益造成损害的，由该行政机关或者该行政机关工作人员所在的行政机关负责赔偿。</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行政机关赔偿损失后，应当责令有故意或者重大过失的行政机关工作人员承担部分或者全部赔偿费用。</w:t>
      </w:r>
    </w:p>
    <w:p>
      <w:pPr>
        <w:pStyle w:val="63"/>
        <w:spacing w:before="218" w:after="218" w:line="412" w:lineRule="exact"/>
        <w:rPr>
          <w:kern w:val="0"/>
        </w:rPr>
      </w:pPr>
      <w:r>
        <w:rPr>
          <w:kern w:val="0"/>
        </w:rPr>
        <w:t>第九章  涉外行政诉讼</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第九十九条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外国人、无国籍人、外国组织在中华人民共和国进行行政诉讼，适用本法。法律另有规定的除外。</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第一百条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外国人、无国籍人、外国组织在中华人民共和国进行行政诉讼，同中华人民共和国公民、组织有同等的诉讼权利和义务。</w:t>
      </w:r>
    </w:p>
    <w:p>
      <w:pPr>
        <w:shd w:val="clear" w:color="auto" w:fill="FFFFFF"/>
        <w:topLinePunct/>
        <w:spacing w:beforeLines="0" w:afterLines="0" w:line="412" w:lineRule="exact"/>
        <w:ind w:firstLine="512" w:firstLineChars="200"/>
        <w:rPr>
          <w:rFonts w:ascii="Times New Roman" w:hAnsi="Times New Roman" w:cs="Times New Roman"/>
          <w:spacing w:val="8"/>
          <w:kern w:val="0"/>
          <w:sz w:val="24"/>
          <w:szCs w:val="24"/>
        </w:rPr>
      </w:pPr>
      <w:r>
        <w:rPr>
          <w:rFonts w:ascii="Times New Roman" w:cs="Times New Roman" w:hAnsiTheme="minorEastAsia"/>
          <w:spacing w:val="8"/>
          <w:kern w:val="0"/>
          <w:sz w:val="24"/>
          <w:szCs w:val="24"/>
        </w:rPr>
        <w:t>外国法院对中华人民共和国公民、组织的行政诉讼权利加以限制的，人民法院对该国公民、组织的行政诉讼权利，实行对等原则。</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第一百零一条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第一百零二条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外国人、无国籍人、外国组织在中华人民共和国进行行政诉讼，委托律师代理诉讼的，应当委托中华人民共和国律师机构的律师。</w:t>
      </w:r>
    </w:p>
    <w:p>
      <w:pPr>
        <w:pStyle w:val="63"/>
        <w:spacing w:before="218" w:after="218" w:line="412" w:lineRule="exact"/>
        <w:rPr>
          <w:kern w:val="0"/>
        </w:rPr>
      </w:pPr>
      <w:r>
        <w:rPr>
          <w:kern w:val="0"/>
        </w:rPr>
        <w:t xml:space="preserve">第十章  附 </w:t>
      </w:r>
      <w:r>
        <w:rPr>
          <w:rFonts w:hint="eastAsia"/>
          <w:kern w:val="0"/>
        </w:rPr>
        <w:t xml:space="preserve"> </w:t>
      </w:r>
      <w:r>
        <w:rPr>
          <w:kern w:val="0"/>
        </w:rPr>
        <w:t>则</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第一百零三条</w:t>
      </w:r>
      <w:r>
        <w:rPr>
          <w:rFonts w:ascii="Times New Roman" w:hAnsi="Times New Roman" w:cs="Times New Roman"/>
          <w:spacing w:val="8"/>
          <w:kern w:val="0"/>
          <w:sz w:val="24"/>
          <w:szCs w:val="24"/>
        </w:rPr>
        <w:t xml:space="preserve">  </w:t>
      </w:r>
      <w:r>
        <w:rPr>
          <w:rFonts w:ascii="Times New Roman" w:cs="Times New Roman" w:hAnsiTheme="minorEastAsia"/>
          <w:spacing w:val="8"/>
          <w:kern w:val="0"/>
          <w:sz w:val="24"/>
          <w:szCs w:val="24"/>
        </w:rPr>
        <w:t>人民法院审理行政案件，应当收取诉讼费用。诉讼费用由败诉方承担，双方都有责任的由双方分担。收取诉讼费用的具体办法另行规定。</w:t>
      </w:r>
    </w:p>
    <w:p>
      <w:pPr>
        <w:shd w:val="clear" w:color="auto" w:fill="FFFFFF"/>
        <w:topLinePunct/>
        <w:spacing w:beforeLines="0" w:afterLines="0" w:line="412" w:lineRule="exact"/>
        <w:ind w:firstLine="514" w:firstLineChars="200"/>
        <w:rPr>
          <w:rFonts w:ascii="Times New Roman" w:hAnsi="Times New Roman" w:cs="Times New Roman"/>
          <w:spacing w:val="8"/>
          <w:kern w:val="0"/>
          <w:sz w:val="24"/>
          <w:szCs w:val="24"/>
        </w:rPr>
      </w:pPr>
      <w:r>
        <w:rPr>
          <w:rFonts w:ascii="Times New Roman" w:cs="Times New Roman" w:hAnsiTheme="minorEastAsia"/>
          <w:b/>
          <w:bCs/>
          <w:spacing w:val="8"/>
          <w:kern w:val="0"/>
          <w:sz w:val="24"/>
          <w:szCs w:val="24"/>
        </w:rPr>
        <w:t>第一百零四条</w:t>
      </w:r>
      <w:r>
        <w:rPr>
          <w:rFonts w:ascii="Times New Roman" w:hAnsi="Times New Roman" w:cs="Times New Roman"/>
          <w:b/>
          <w:bCs/>
          <w:spacing w:val="8"/>
          <w:kern w:val="0"/>
          <w:sz w:val="24"/>
          <w:szCs w:val="24"/>
        </w:rPr>
        <w:t xml:space="preserve">  </w:t>
      </w:r>
      <w:r>
        <w:rPr>
          <w:rFonts w:ascii="Times New Roman" w:cs="Times New Roman" w:hAnsiTheme="minorEastAsia"/>
          <w:spacing w:val="8"/>
          <w:kern w:val="0"/>
          <w:sz w:val="24"/>
          <w:szCs w:val="24"/>
        </w:rPr>
        <w:t>本法自</w:t>
      </w:r>
      <w:r>
        <w:rPr>
          <w:rFonts w:ascii="Times New Roman" w:hAnsi="Times New Roman" w:cs="Times New Roman"/>
          <w:spacing w:val="8"/>
          <w:kern w:val="0"/>
          <w:sz w:val="24"/>
          <w:szCs w:val="24"/>
        </w:rPr>
        <w:t>1990</w:t>
      </w:r>
      <w:r>
        <w:rPr>
          <w:rFonts w:ascii="Times New Roman" w:cs="Times New Roman" w:hAnsiTheme="minorEastAsia"/>
          <w:spacing w:val="8"/>
          <w:kern w:val="0"/>
          <w:sz w:val="24"/>
          <w:szCs w:val="24"/>
        </w:rPr>
        <w:t>年</w:t>
      </w:r>
      <w:r>
        <w:rPr>
          <w:rFonts w:ascii="Times New Roman" w:hAnsi="Times New Roman" w:cs="Times New Roman"/>
          <w:spacing w:val="8"/>
          <w:kern w:val="0"/>
          <w:sz w:val="24"/>
          <w:szCs w:val="24"/>
        </w:rPr>
        <w:t>10</w:t>
      </w:r>
      <w:r>
        <w:rPr>
          <w:rFonts w:ascii="Times New Roman" w:cs="Times New Roman" w:hAnsiTheme="minorEastAsia"/>
          <w:spacing w:val="8"/>
          <w:kern w:val="0"/>
          <w:sz w:val="24"/>
          <w:szCs w:val="24"/>
        </w:rPr>
        <w:t>月</w:t>
      </w:r>
      <w:r>
        <w:rPr>
          <w:rFonts w:ascii="Times New Roman" w:hAnsi="Times New Roman" w:cs="Times New Roman"/>
          <w:spacing w:val="8"/>
          <w:kern w:val="0"/>
          <w:sz w:val="24"/>
          <w:szCs w:val="24"/>
        </w:rPr>
        <w:t>1</w:t>
      </w:r>
      <w:r>
        <w:rPr>
          <w:rFonts w:ascii="Times New Roman" w:cs="Times New Roman" w:hAnsiTheme="minorEastAsia"/>
          <w:spacing w:val="8"/>
          <w:kern w:val="0"/>
          <w:sz w:val="24"/>
          <w:szCs w:val="24"/>
        </w:rPr>
        <w:t>日起施行。</w:t>
      </w:r>
    </w:p>
    <w:p>
      <w:pPr>
        <w:topLinePunct/>
        <w:spacing w:beforeLines="0" w:afterLines="0" w:line="416" w:lineRule="exact"/>
        <w:ind w:firstLine="480" w:firstLineChars="200"/>
        <w:rPr>
          <w:rFonts w:ascii="Times New Roman" w:hAnsi="Times New Roman" w:cs="Times New Roman"/>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04" w:name="_Toc28252132"/>
      <w:bookmarkStart w:id="105" w:name="_Toc28156935"/>
      <w:bookmarkStart w:id="106" w:name="_Toc28250862"/>
      <w:bookmarkStart w:id="107" w:name="_Toc25648151"/>
      <w:bookmarkStart w:id="108" w:name="_Toc25653646"/>
      <w:bookmarkStart w:id="109" w:name="_Toc26347913"/>
      <w:r>
        <w:rPr>
          <w:shd w:val="clear" w:color="auto" w:fill="FFFFFF"/>
        </w:rPr>
        <w:t>最高人民法院关于适用《中华人民共和国</w:t>
      </w:r>
      <w:r>
        <w:rPr>
          <w:rFonts w:hint="eastAsia"/>
          <w:shd w:val="clear" w:color="auto" w:fill="FFFFFF"/>
        </w:rPr>
        <w:br w:type="textWrapping"/>
      </w:r>
      <w:r>
        <w:rPr>
          <w:shd w:val="clear" w:color="auto" w:fill="FFFFFF"/>
        </w:rPr>
        <w:t>行政诉讼法》的解释</w:t>
      </w:r>
      <w:bookmarkEnd w:id="104"/>
      <w:bookmarkEnd w:id="105"/>
      <w:bookmarkEnd w:id="106"/>
      <w:bookmarkEnd w:id="107"/>
      <w:bookmarkEnd w:id="108"/>
      <w:bookmarkEnd w:id="109"/>
    </w:p>
    <w:p>
      <w:pPr>
        <w:pStyle w:val="62"/>
        <w:topLinePunct w:val="0"/>
        <w:spacing w:line="420" w:lineRule="exact"/>
        <w:ind w:firstLine="0" w:firstLineChars="0"/>
        <w:jc w:val="center"/>
        <w:rPr>
          <w:b/>
          <w:bCs/>
        </w:rPr>
      </w:pPr>
      <w:r>
        <w:rPr>
          <w:rFonts w:hint="eastAsia"/>
          <w:shd w:val="clear" w:color="auto" w:fill="FFFFFF"/>
        </w:rPr>
        <w:t>（</w:t>
      </w:r>
      <w:r>
        <w:rPr>
          <w:shd w:val="clear" w:color="auto" w:fill="FFFFFF"/>
        </w:rPr>
        <w:t>法释〔2018〕1号</w:t>
      </w:r>
      <w:r>
        <w:rPr>
          <w:rFonts w:hint="eastAsia"/>
          <w:shd w:val="clear" w:color="auto" w:fill="FFFFFF"/>
        </w:rPr>
        <w:t>）</w:t>
      </w:r>
    </w:p>
    <w:p>
      <w:pPr>
        <w:shd w:val="clear" w:color="auto" w:fill="FFFFFF"/>
        <w:topLinePunct/>
        <w:spacing w:beforeLines="0" w:afterLines="0" w:line="416" w:lineRule="exact"/>
        <w:ind w:firstLine="482" w:firstLineChars="200"/>
        <w:rPr>
          <w:rFonts w:cs="Arial" w:asciiTheme="minorEastAsia" w:hAnsiTheme="minorEastAsia"/>
          <w:b/>
          <w:bCs/>
          <w:kern w:val="0"/>
          <w:sz w:val="24"/>
          <w:szCs w:val="24"/>
        </w:rPr>
      </w:pP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为正确适用《中华人民共和国行政诉讼法》（以下简称行政诉讼法），结合人民法院行政审判工作实际，制定本解释。</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一、受案范围</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第一条</w:t>
      </w:r>
      <w:r>
        <w:rPr>
          <w:rFonts w:hint="eastAsia" w:cs="Arial" w:asciiTheme="minorEastAsia" w:hAnsiTheme="minorEastAsia"/>
          <w:b/>
          <w:bCs/>
          <w:kern w:val="0"/>
          <w:sz w:val="24"/>
          <w:szCs w:val="24"/>
        </w:rPr>
        <w:t xml:space="preserve"> </w:t>
      </w:r>
      <w:r>
        <w:rPr>
          <w:rFonts w:ascii="宋体" w:hAnsi="宋体" w:eastAsia="宋体" w:cs="Arial"/>
          <w:bCs/>
          <w:kern w:val="0"/>
          <w:sz w:val="24"/>
          <w:szCs w:val="24"/>
        </w:rPr>
        <w:t xml:space="preserve"> 公民、法人或者其他组织对行政机关及其工作人员的行政行为不服，依法提起诉讼的，属于人民法院行政诉讼的受案范围。</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下列行为不属于人民法院行政诉讼的受案范围：</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（一）公安、国家安全等机关依照刑事诉讼法的明确授权实施的行为；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（二）调解行为以及法律规定的仲裁行为；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（三）行政指导行为；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（四）驳回当事人对行政行为提起申诉的重复处理行为；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（五）行政机关作出的不产生外部法律效力的行为；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（六）行政机关为作出行政行为而实施的准备、论证、研究、层报、咨询等过程性行为；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（七）行政机关根据人民法院的生效裁判、协助执行通知书作出的执行行为，但行政机关扩大执行范围或者采取违法方式实施的除外；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（八）上级行政机关基于内部层级监督关系对下级行政机关作出的听取报告、执法检查、督促履责等行为；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（九）行政机关针对信访事项作出的登记、受理、交办、转送、复查、复核意见等行为；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（十）对公民、法人或者其他组织权利义务不产生实际影响的行为。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诉讼法第十三条第一项规定的“国家行为”，是指国务院、中央军事委员会、国防部、外交部等根据宪法和法律的授权，以国家的名义实施的有关国防和外交事务的行为，以及经宪法和法律授权的国家机关宣布紧急状态等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行政诉讼法第十三条第二项规定的“具有普遍约束力的决定、命令”，是指行政机关针对不特定对象发布的能反复适用的规范性文件。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行政诉讼法第十三条第三项规定的“对行政机关工作人员的奖惩、任免等决定”，是指行政机关作出的涉及行政机关工作人员公务员权利义务的决定。</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行政诉讼法第十三条第四项规定的“法律规定由行政机关最终裁决的行政行为”中的“法律”，是指全国人民代表大会及其常务委员会制定、通过的规范性文件。</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二、管辖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各级人民法院行政审判庭审理行政案件和审查行政机关申请执行其行政行为的案件。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专门人民法院、人民法庭不审理行政案件，也不审查和执行行政机关申请执行其行政行为的案件。铁路运输法院等专门人民法院审理行政案件，应当执行行政诉讼法第十八条第二款的规定。</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立案后，受诉人民法院的管辖权不受当事人住所地改变、追加被告等事实和法律状态变更的影响。</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有下列情形之一的，属于行政诉讼法第十五条第三项规定的“本辖区内重大、复杂的案件”：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（一）社会影响重大的共同诉讼案件；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（二）涉外或者涉及香港特别行政区、澳门特别行政区、台湾地区的案件；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（三）其他重大、复杂案件。</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当事人以案件重大复杂为由，认为有管辖权的基层人民法院不宜行使管辖权或者根据行政诉讼法第五十二条的规定，向中级人民法院起诉，中级人民法院应当根据不同情况在七日内分别作出以下处理：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（一）决定自行审理；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（二）指定本辖区其他基层人民法院管辖；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（三）书面告知当事人向有管辖权的基层人民法院起诉。</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基层人民法院对其管辖的第一审行政案件，认为需要由中级人民法院审理或者指定管辖的，可以报请中级人民法院决定。中级人民法院应当根据不同情况在七日内分别作出以下处理：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（一）决定自行审理；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（二）指定本辖区其他基层人民法院管辖；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（三）决定由报请的人民法院审理。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行政诉讼法第十九条规定的“原告所在地”，包括原告的户籍所在地、经常居住地和被限制人身自由地。</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对行政机关基于同一事实，既采取限制公民人身自由的行政强制措施，又采取其他行政强制措施或者行政处罚不服的，由被告所在地或者原告所在地的人民法院管辖。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第九条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行政诉讼法第二十条规定的“因不动产提起的行政诉讼”是指因行政行为导致不动产物权变动而提起的诉讼。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不动产已登记的，以不动产登记簿记载的所在地为不动产所在地；不动产未登记的，以不动产实际所在地为不动产所在地。</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人民法院受理案件后，被告提出管辖异议的，应当在收到起诉状副本之日起十五日内提出。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对当事人提出的管辖异议，人民法院应当进行审查。异议成立的，裁定将案件移送有管辖权的人民法院；异议不成立的，裁定驳回。</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人民法院对管辖异议审查后确定有管辖权的，不因当事人增加或者变更诉讼请求等改变管辖，但违反级别管辖、专属管辖规定的除外。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第十一条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有下列情形之一的，人民法院不予审查：</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（一）人民法院发回重审或者按第一审程序再审的案件，当事人提出管辖异议的；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（二）当事人在第一审程序中未按照法律规定的期限和形式提出管辖异议，在第二审程序中提出的。</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三、诉讼参加人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第十二条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有下列情形之一的，属于行政诉讼法第二十五条第一款规定的“与行政行为有利害关系”：</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（一）被诉的行政行为涉及其相邻权或者公平竞争权的；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（二）在行政复议等行政程序中被追加为第三人的；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（三）要求行政机关依法追究加害人法律责任的；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（四）撤销或者变更行政行为涉及其合法权益的；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（五）为维护自身合法权益向行政机关投诉，具有处理投诉职责的行政机关作出或者未作出处理的；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（六）其他与行政行为有利害关系的情形。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第十三条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债权人以行政机关对债务人所作的行政行为损害债权实现为由提起行政诉讼的，人民法院应当告知其就民事争议提起民事诉讼，但行政机关作出行政行为时依法应予保护或者应予考虑的除外。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第十四条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行政诉讼法第二十五条第二款规定的“近亲属”，包括配偶、父母、子女、兄弟姐妹、祖父母、外祖父母、孙子女、外孙子女和其他具有扶养、赡养关系的亲属。</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公民因被限制人身自由而不能提起诉讼的，其近亲属可以依其口头或者书面委托以该公民的名义提起诉讼。近亲属起诉时无法与被限制人身自由的公民取得联系，近亲属可以先行起诉，并在诉讼中补充提交委托证明。</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第十五条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合伙企业向人民法院提起诉讼的，应当以核准登记的字号为原告。未依法登记领取营业执照的个人合伙的全体合伙人为共同原告；全体合伙人可以推选代表人，被推选的代表人，应当由全体合伙人出具推选书。</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个体工商户向人民法院提起诉讼的，以营业执照上登记的经营者为原告。有字号的，以营业执照上登记的字号为原告，并应当注明该字号经营者的基本信息。</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第十六条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股份制企业的股东大会、股东会、董事会等认为行政机关作出的行政行为侵犯企业经营自主权的，可以企业名义提起诉讼。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联营企业、中外合资或者合作企业的联营、合资、合作各方，认为联营、合资、合作企业权益或者自己一方合法权益受行政行为侵害的，可以自己的名义提起诉讼。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非国有企业被行政机关注销、撤销、合并、强令兼并、出售、分立或者改变企业隶属关系的，该企业或者其法定代表人可以提起诉讼。</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第十七条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事业单位、社会团体、基金会、社会服务机构等非营利法人的出资人、设立人认为行政行为损害法人合法权益的，可以自己的名义提起诉讼。</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第十八条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业主委员会对于行政机关作出的涉及业主共有利益的行政行为，可以自己的名义提起诉讼。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业主委员会不起诉的，专有部分占建筑物总面积过半数或者占总户数过半数的业主可以提起诉讼。</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第十九条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当事人不服经上级行政机关批准的行政行为，向人民法院提起诉讼的，以在对外发生法律效力的文书上署名的机关为被告。</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行政机关组建并赋予行政管理职能但不具有独立承担法律责任能力的机构，以自己的名义作出行政行为，当事人不服提起诉讼的，应当以组建该机构的行政机关为被告。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法律、法规或者规章授权行使行政职权的行政机关内设机构、派出机构或者其他组织，超出法定授权范围实施行政行为，当事人不服提起诉讼的，应当以实施该行为的机构或者组织为被告。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没有法律、法规或者规章规定，行政机关授权其内设机构、派出机构或者其他组织行使行政职权的，属于行政诉讼法第二十六条规定的委托。当事人不服提起诉讼的，应当以该行政机关为被告。</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第二十一条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当事人对由国务院、省级人民政府批准设立的开发区管理机构作出的行政行为不服提起诉讼的，以该开发区管理机构为被告；对由国务院、省级人民政府批准设立的开发区管理机构所属职能部门作出的行政行为不服提起诉讼的，以其职能部门为被告；对其他开发区管理机构所属职能部门作出的行政行为不服提起诉讼的，以开发区管理机构为被告；开发区管理机构没有行政主体资格的，以设立该机构的地方人民政府为被告。</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第二十二条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行政诉讼法第二十六条第二款规定的“复议机关改变原行政行为”，是指复议机关改变原行政行为的处理结果。复议机关改变原行政行为所认定的主要事实和证据、改变原行政行为所适用的规范依据，但未改变原行政行为处理结果的，视为复议机关维持原行政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复议机关确认原行政行为无效，属于改变原行政行为。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复议机关确认原行政行为违法，属于改变原行政行为，但复议机关以违反法定程序为由确认原行政行为违法的除外。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第二十三条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行政机关被撤销或者职权变更，没有继续行使其职权的行政机关的，以其所属的人民政府为被告；实行垂直领导的，以垂直领导的上一级行政机关为被告。</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第二十四条</w:t>
      </w:r>
      <w:r>
        <w:rPr>
          <w:rFonts w:hint="eastAsia" w:cs="Arial" w:asciiTheme="minorEastAsia" w:hAnsiTheme="minorEastAsia"/>
          <w:b/>
          <w:bCs/>
          <w:kern w:val="0"/>
          <w:sz w:val="24"/>
          <w:szCs w:val="24"/>
        </w:rPr>
        <w:t xml:space="preserve"> </w:t>
      </w:r>
      <w:r>
        <w:rPr>
          <w:rFonts w:ascii="宋体" w:hAnsi="宋体" w:eastAsia="宋体" w:cs="Arial"/>
          <w:bCs/>
          <w:kern w:val="0"/>
          <w:sz w:val="24"/>
          <w:szCs w:val="24"/>
        </w:rPr>
        <w:t xml:space="preserve"> 当事人对村民委员会或者居民委员会依据法律、法规、规章的授权履行行政管理职责的行为不服提起诉讼的，以村民委员会或者居民委员会为被告。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当事人对村民委员会、居民委员会受行政机关委托作出的行为不服提起诉讼的，以委托的行政机关为被告。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当事人对高等学校等事业单位以及律师协会、注册会计师协会等行业协会依据法律、法规、规章的授权实施的行政行为不服提起诉讼的，以该事业单位、行业协会为被告。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当事人对高等学校等事业单位以及律师协会、注册会计师协会等行业协会受行政机关委托作出的行为不服提起诉讼的，以委托的行政机关为被告。</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第二十五条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市、县级人民政府确定的房屋征收部门组织实施房屋征收与补偿工作过程中作出行政行为，被征收人不服提起诉讼的，以房屋征收部门为被告。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征收实施单位受房屋征收部门委托，在委托范围内从事的行为，被征收人不服提起诉讼的，应当以房屋征收部门为被告。</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第二十六条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原告所起诉的被告不适格，人民法院应当告知原告变更被告；原告不同意变更的，裁定驳回起诉。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应当追加被告而原告不同意追加的，人民法院应当通知其以第三人的身份参加诉讼，但行政复议机关作共同被告的除外。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第二十七条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必须共同进行诉讼的当事人没有参加诉讼的，人民法院应当依法通知其参加；当事人也可以向人民法院申请参加。</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人民法院应当对当事人提出的申请进行审查，申请理由不成立的，裁定驳回；申请理由成立的，书面通知其参加诉讼。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前款所称的必须共同进行诉讼，是指按照行政诉讼法第二十七条的规定，当事人一方或者双方为两人以上，因同一行政行为发生行政争议，人民法院必须合并审理的诉讼。</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第二十八条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人民法院追加共同诉讼的当事人时，应当通知其他当事人。应当追加的原告，已明确表示放弃实体权利的，可不予追加；既不愿意参加诉讼，又不放弃实体权利的，应追加为第三人，其不参加诉讼，不能阻碍人民法院对案件的审理和裁判。</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第二十九条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行政诉讼法第二十八条规定的“人数众多”，一般指十人以上。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根据行政诉讼法第二十八条的规定，当事人一方人数众多的，由当事人推选代表人。当事人推选不出的，可以由人民法院在起诉的当事人中指定代表人。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行政诉讼法第二十八条规定的代表人为二至五人。代表人可以委托一至二人作为诉讼代理人。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第三十条</w:t>
      </w:r>
      <w:r>
        <w:rPr>
          <w:rFonts w:hint="eastAsia" w:cs="Arial" w:asciiTheme="minorEastAsia" w:hAnsiTheme="minorEastAsia"/>
          <w:b/>
          <w:bCs/>
          <w:kern w:val="0"/>
          <w:sz w:val="24"/>
          <w:szCs w:val="24"/>
        </w:rPr>
        <w:t xml:space="preserve"> </w:t>
      </w:r>
      <w:r>
        <w:rPr>
          <w:rFonts w:ascii="宋体" w:hAnsi="宋体" w:eastAsia="宋体" w:cs="Arial"/>
          <w:bCs/>
          <w:kern w:val="0"/>
          <w:sz w:val="24"/>
          <w:szCs w:val="24"/>
        </w:rPr>
        <w:t xml:space="preserve"> 行政机关的同一行政行为涉及两个以上利害关系人，其中一部分利害关系人对行政行为不服提起诉讼，人民法院应当通知没有起诉的其他利害关系人作为第三人参加诉讼。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与行政案件处理结果有利害关系的第三人，可以申请参加诉讼，或者由人民法院通知其参加诉讼。人民法院判决其承担义务或者减损其权益的第三人，有权提出上诉或者申请再审。</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诉讼法第二十九条规定的第三人，因不能归责于本人的事由未参加诉讼，但有证据证明发生法律效力的判决、裁定、调解书损害其合法权益的，可以依照行政诉讼法第九十条的规定，自知道或者应当知道其合法权益受到损害之日起六个月内，向上一级人民法院申请再审。</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第三十一条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当事人委托诉讼代理人，应当向人民法院提交由委托人签名或者盖章的授权委托书。委托书应当载明委托事项和具体权限。公民在特殊情况下无法书面委托的，也可以由他人代书，并由自己捺印等方式确认，人民法院应当核实并记录在卷；被诉行政机关或者其他有义务协助的机关拒绝人民法院向被限制人身自由的公民核实的，视为委托成立。当事人解除或者变更委托的，应当书面报告人民法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第三十二条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依照行政诉讼法第三十一条第二款第二项规定，与当事人有合法劳动人事关系的职工，可以当事人工作人员的名义作为诉讼代理人。以当事人的工作人员身份参加诉讼活动，应当提交以下证据之一加以证明：</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（一）缴纳社会保险记录凭证；</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（二）领取工资凭证；</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（三）其他能够证明其为当事人工作人员身份的证据。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第三十三条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根据行政诉讼法第三十一条第二款第三项规定，有关社会团体推荐公民担任诉讼代理人的，应当符合下列条件：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（一）社会团体属于依法登记设立或者依法免予登记设立的非营利性法人组织；</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（二）被代理人属于该社会团体的成员，或者当事人一方住所地位于该社会团体的活动地域；</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（三）代理事务属于该社会团体章程载明的业务范围；</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（四）被推荐的公民是该社会团体的负责人或者与该社会团体有合法劳动人事关系的工作人员。</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专利代理人经中华全国专利代理人协会推荐，可以在专利行政案件中担任诉讼代理人。</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四、证据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第三十四条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根据行政诉讼法第三十六条第一款的规定，被告申请延期提供证据的，应当在收到起诉状副本之日起十五日内以书面方式向人民法院提出。人民法院准许延期提供的，被告应当在正当事由消除后十五日内提供证据。逾期提供的，视为被诉行政行为没有相应的证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第三十五条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原告或者第三人应当在开庭审理前或者人民法院指定的交换证据清单之日提供证据。因正当事由申请延期提供证据的，经人民法院准许，可以在法庭调查中提供。逾期提供证据的，人民法院应当责令其说明理由；拒不说明理由或者理由不成立的，视为放弃举证权利。</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原告或者第三人在第一审程序中无正当事由未提供而在第二审程序中提供的证据，人民法院不予接纳。</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第三十六条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当事人申请延长举证期限，应当在举证期限届满前向人民法院提出书面申请。</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申请理由成立的，人民法院应当准许，适当延长举证期限，并通知其他当事人。申请理由不成立的，人民法院不予准许，并通知申请人。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第三十七条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根据行政诉讼法第三十九条的规定，对当事人无争议，但涉及国家利益、公共利益或者他人合法权益的事实，人民法院可以责令当事人提供或者补充有关证据。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第三十八条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对于案情比较复杂或者证据数量较多的案件，人民法院可以组织当事人在开庭前向对方出示或者交换证据，并将交换证据清单的情况记录在卷。</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当事人在庭前证据交换过程中没有争议并记录在卷的证据，经审判人员在庭审中说明后，可以作为认定案件事实的依据。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第三十九条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当事人申请调查收集证据，但该证据与待证事实无关联、对证明待证事实无意义或者其他无调查收集必要的，人民法院不予准许。</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人民法院在证人出庭作证前应当告知其如实作证的义务以及作伪证的法律后果。</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证人因履行出庭作证义务而支出的交通、住宿、就餐等必要费用以及误工损失，由败诉一方当事人承担。</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第四十一条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有下列情形之一，原告或者第三人要求相关行政执法人员出庭说明的，人民法院可以准许：</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（一）对现场笔录的合法性或者真实性有异议的；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（二）对扣押财产的品种或者数量有异议的；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（三）对检验的物品取样或者保管有异议的；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（四）对行政执法人员身份的合法性有异议的；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（五）需要出庭说明的其他情形。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第四十二条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能够反映案件真实情况、与待证事实相关联、来源和形式符合法律规定的证据，应当作为认定案件事实的根据。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第四十三条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有下列情形之一的，属于行政诉讼法第四十三条第三款规定的“以非法手段取得的证据”：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（一）严重违反法定程序收集的证据材料；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（二）以违反法律强制性规定的手段获取且侵害他人合法权益的证据材料；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（三）以利诱、欺诈、胁迫、暴力等手段获取的证据材料。</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第四十四条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人民法院认为有必要的，可以要求当事人本人或者行政机关执法人员到庭，就案件有关事实接受询问。在询问之前，可以要求其签署保证书。</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保证书应当载明据实陈述、如有虚假陈述愿意接受处罚等内容。当事人或者行政机关执法人员应当在保证书上签名或者捺印。</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负有举证责任的当事人拒绝到庭、拒绝接受询问或者拒绝签署保证书，待证事实又欠缺其他证据加以佐证的，人民法院对其主张的事实不予认定。</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第四十五条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被告有证据证明其在行政程序中依照法定程序要求原告或者第三人提供证据，原告或者第三人依法应当提供而没有提供，在诉讼程序中提供的证据，人民法院一般不予采纳。</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第四十六条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原告或者第三人确有证据证明被告持有的证据对原告或者第三人有利的，可以在开庭审理前书面申请人民法院责令行政机关提交。</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申请理由成立的，人民法院应当责令行政机关提交，因提交证据所产生的费用，由申请人预付。行政机关无正当理由拒不提交的，人民法院可以推定原告或者第三人基于该证据主张的事实成立。</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持有证据的当事人以妨碍对方当事人使用为目的，毁灭有关证据或者实施其他致使证据不能使用行为的，人民法院可以推定对方当事人基于该证据主张的事实成立，并可依照行政诉讼法第五十九条规定处理。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第四十七条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根据行政诉讼法第三十八条第二款的规定，在行政赔偿、补偿案件中，因被告的原因导致原告无法就损害情况举证的，应当由被告就该损害情况承担举证责任。</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于各方主张损失的价值无法认定的，应当由负有举证责任的一方当事人申请鉴定，但法律、法规、规章规定行政机关在作出行政行为时依法应当评估或者鉴定的除外；负有举证责任的当事人拒绝申请鉴定的，由其承担不利的法律后果。</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当事人的损失因客观原因无法鉴定的，人民法院应当结合当事人的主张和在案证据，遵循法官职业道德，运用逻辑推理和生活经验、生活常识等，酌情确定赔偿数额。</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五、期间、送达</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第四十八条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期间包括法定期间和人民法院指定的期间。</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期间以时、日、月、年计算。期间开始的时和日，不计算在期间内。</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期间届满的最后一日是节假日的，以节假日后的第一日为期间届满的日期。</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期间不包括在途时间，诉讼文书在期满前交邮的，视为在期限内发送。</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第四十九条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行政诉讼法第五十一条第二款规定的立案期限，因起诉状内容欠缺或者有其他错误通知原告限期补正的，从补正后递交人民法院的次日起算。由上级人民法院转交下级人民法院立案的案件，从受诉人民法院收到起诉状的次日起算。</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诉讼法第八十一条、第八十三条、第八十八条规定的审理期限，是指从立案之日起至裁判宣告、调解书送达之日止的期间，但公告期间、鉴定期间、调解期间、中止诉讼期间、审理当事人提出的管辖异议以及处理人民法院之间的管辖争议期间不应计算在内。</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再审案件按照第一审程序或者第二审程序审理的，适用行政诉讼法第八十一条、第八十八条规定的审理期限。审理期限自再审立案的次日起算。</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基层人民法院申请延长审理期限，应当直接报请高级人民法院批准，同时报中级人民法院备案。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第五十一条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人民法院可以要求当事人签署送达地址确认书，当事人确认的送达地址为人民法院法律文书的送达地址。</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当事人同意电子送达的，应当提供并确认传真号、电子信箱等电子送达地址。</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当事人送达地址发生变更的，应当及时书面告知受理案件的人民法院；未及时告知的，人民法院按原地址送达，视为依法送达。</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人民法院可以通过国家邮政机构以法院专递方式进行送达。</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第五十二条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人民法院可以在当事人住所地以外向当事人直接送达诉讼文书。当事人拒绝签署送达回证的，采用拍照、录像等方式记录送达过程即视为送达。审判人员、书记员应当在送达回证上注明送达情况并签名。</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六、起诉与受理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第五十三条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人民法院对符合起诉条件的案件应当立案，依法保障当事人行使诉讼权利。</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当事人依法提起的诉讼，人民法院应当根据行政诉讼法第五十一条的规定接收起诉状。能够判断符合起诉条件的，应当当场登记立案；当场不能判断是否符合起诉条件的，应当在接收起诉状后七日内决定是否立案；七日内仍不能作出判断的，应当先予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第五十四条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依照行政诉讼法第四十九条的规定，公民、法人或者其他组织提起诉讼时应当提交以下起诉材料：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（一）原告的身份证明材料以及有效联系方式；</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（二）被诉行政行为或者不作为存在的材料；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（三）原告与被诉行政行为具有利害关系的材料；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（四）人民法院认为需要提交的其他材料。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由法定代理人或者委托代理人代为起诉的，还应当在起诉状中写明或者在口头起诉时向人民法院说明法定代理人或者委托代理人的基本情况，并提交法定代理人或者委托代理人的身份证明和代理权限证明等材料。</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第五十五条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依照行政诉讼法第五十一条的规定，人民法院应当就起诉状内容和材料是否完备以及是否符合行政诉讼法规定的起诉条件进行审查。</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起诉状内容或者材料欠缺的，人民法院应当给予指导和释明，并一次性全面告知当事人需要补正的内容、补充的材料及期限。在指定期限内补正并符合起诉条件的，应当登记立案。当事人拒绝补正或者经补正仍不符合起诉条件的，退回诉状并记录在册；坚持起诉的，裁定不予立案，并载明不予立案的理由。</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第五十六条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法律、法规规定应当先申请复议，公民、法人或者其他组织未申请复议直接提起诉讼的，人民法院裁定不予立案。</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依照行政诉讼法第四十五条的规定，复议机关不受理复议申请或者在法定期限内不作出复议决定，公民、法人或者其他组织不服，依法向人民法院提起诉讼的，人民法院应当依法立案。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第五十七条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法律、法规未规定行政复议为提起行政诉讼必经程序，公民、法人或者其他组织既提起诉讼又申请行政复议的，由先立案的机关管辖；同时立案的，由公民、法人或者其他组织选择。公民、法人或者其他组织已经申请行政复议，在法定复议期间内又向人民法院提起诉讼的，人民法院裁定不予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第五十八条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法律、法规未规定行政复议为提起行政诉讼必经程序，公民、法人或者其他组织向复议机关申请行政复议后，又经复议机关同意撤回复议申请，在法定起诉期限内对原行政行为提起诉讼的，人民法院应当依法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第五十九条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公民、法人或者其他组织向复议机关申请行政复议后，复议机关作出维持决定的，应当以复议机关和原行为机关为共同被告，并以复议决定送达时间确定起诉期限。</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人民法院裁定准许原告撤诉后，原告以同一事实和理由重新起诉的，人民法院不予立案。</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准予撤诉的裁定确有错误，原告申请再审的，人民法院应当通过审判监督程序撤销原准予撤诉的裁定，重新对案件进行审理。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第六十一条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原告或者上诉人未按规定的期限预交案件受理费，又不提出缓交、减交、免交申请，或者提出申请未获批准的，按自动撤诉处理。在按撤诉处理后，原告或者上诉人在法定期限内再次起诉或者上诉，并依法解决诉讼费预交问题的，人民法院应予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第六十二条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人民法院判决撤销行政机关的行政行为后，公民、法人或者其他组织对行政机关重新作出的行政行为不服向人民法院起诉的，人民法院应当依法立案。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第六十三条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行政机关作出行政行为时，没有制作或者没有送达法律文书，公民、法人或者其他组织只要能证明行政行为存在，并在法定期限内起诉的，人民法院应当依法立案。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第六十四条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行政机关作出行政行为时，未告知公民、法人或者其他组织起诉期限的，起诉期限从公民、法人或者其他组织知道或者应当知道起诉期限之日起计算，但从知道或者应当知道行政行为内容之日起最长不得超过一年。</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复议决定未告知公民、法人或者其他组织起诉期限的，适用前款规定。</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第六十五条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公民、法人或者其他组织不知道行政机关作出的行政行为内容的，其起诉期限从知道或者应当知道该行政行为内容之日起计算，但最长不得超过行政诉讼法第四十六条第二款规定的起诉期限。</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第六十六条</w:t>
      </w:r>
      <w:r>
        <w:rPr>
          <w:rFonts w:ascii="宋体" w:hAnsi="宋体" w:eastAsia="宋体" w:cs="Arial"/>
          <w:bCs/>
          <w:kern w:val="0"/>
          <w:sz w:val="24"/>
          <w:szCs w:val="24"/>
        </w:rPr>
        <w:t xml:space="preserve"> </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公民、法人或者其他组织依照行政诉讼法第四十七条第一款的规定，对行政机关不履行法定职责提起诉讼的，应当在行政机关履行法定职责期限届满之日起六个月内提出。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第六十七条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原告提供被告的名称等信息足以使被告与其他行政机关相区别的，可以认定为行政诉讼法第四十九条第二项规定的“有明确的被告”。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起诉状列写被告信息不足以认定明确的被告的，人民法院可以告知原告补正；原告补正后仍不能确定明确的被告的，人民法院裁定不予立案。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第六十八条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行政诉讼法第四十九条第三项规定的“有具体的诉讼请求”是指：</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（一）请求判决撤销或者变更行政行为；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（二）请求判决行政机关履行特定法定职责或者给付义务；</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（三）请求判决确认行政行为违法；</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（四）请求判决确认行政行为无效；</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（五）请求判决行政机关予以赔偿或者补偿；</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（六）请求解决行政协议争议；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（七）请求一并审查规章以下规范性文件；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（八）请求一并解决相关民事争议；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（九）其他诉讼请求。</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单独或者一并提起行政赔偿、补偿诉讼的，应当有具体的赔偿、补偿事项以及数额；请求一并审查规章以下规范性文件的，应当提供明确的文件名称或者审查对象；请求一并解决相关民事争议的，应当有具体的民事诉讼请求。</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当事人未能正确表达诉讼请求的，人民法院应当要求其明确诉讼请求。</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第六十九条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有下列情形之一，已经立案的，应当裁定驳回起诉：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（一）不符合行政诉讼法第四十九条规定的；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（二）超过法定起诉期限且无行政诉讼法第四十八条规定情形的；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（三）错列被告且拒绝变更的；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（四）未按照法律规定由法定代理人、指定代理人、代表人为诉讼行为的；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（五）未按照法律、法规规定先向行政机关申请复议的；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（六）重复起诉的；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（七）撤回起诉后无正当理由再行起诉的；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（八）行政行为对其合法权益明显不产生实际影响的；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（九）诉讼标的已为生效裁判或者调解书所羁束的；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（十）其他不符合法定起诉条件的情形。</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前款所列情形可以补正或者更正的，人民法院应当指定期间责令补正或者更正；在指定期间已经补正或者更正的，应当依法审理。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人民法院经过阅卷、调查或者询问当事人，认为不需要开庭审理的，可以迳行裁定驳回起诉。</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第七十条</w:t>
      </w:r>
      <w:r>
        <w:rPr>
          <w:rFonts w:hint="eastAsia" w:cs="Arial" w:asciiTheme="minorEastAsia" w:hAnsiTheme="minorEastAsia"/>
          <w:bCs/>
          <w:kern w:val="0"/>
          <w:sz w:val="24"/>
          <w:szCs w:val="24"/>
        </w:rPr>
        <w:t xml:space="preserve"> </w:t>
      </w:r>
      <w:r>
        <w:rPr>
          <w:rFonts w:ascii="宋体" w:hAnsi="宋体" w:eastAsia="宋体" w:cs="Arial"/>
          <w:bCs/>
          <w:kern w:val="0"/>
          <w:sz w:val="24"/>
          <w:szCs w:val="24"/>
        </w:rPr>
        <w:t xml:space="preserve"> 起诉状副本送达被告后，原告提出新的诉讼请求的，人民法院不予准许，但有正当理由的除外。</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七、审理与判决</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第七十一条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人民法院适用普通程序审理案件，应当在开庭三日前用传票传唤当事人。对证人、鉴定人、勘验人、翻译人员，应当用通知书通知其到庭。当事人或者其他诉讼参与人在外地的，应当留有必要的在途时间。</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第七十二条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有下列情形之一的，可以延期开庭审理：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（一）应当到庭的当事人和其他诉讼参与人有正当理由没有到庭的；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（二）当事人临时提出回避申请且无法及时作出决定的；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（三）需要通知新的证人到庭，调取新的证据，重新鉴定、勘验，或者需要补充调查的；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（四）其他应当延期的情形。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第七十三条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根据行政诉讼法第二十七条的规定，有下列情形之一的，人民法院可以决定合并审理：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（一）两个以上行政机关分别对同一事实作出行政行为，公民、法人或者其他组织不服向同一人民法院起诉的；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（二）行政机关就同一事实对若干公民、法人或者其他组织分别作出行政行为，公民、法人或者其他组织不服分别向同一人民法院起诉的；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（三）在诉讼过程中，被告对原告作出新的行政行为，原告不服向同一人民法院起诉的；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（四）人民法院认为可以合并审理的其他情形。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第七十四条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当事人申请回避，应当说明理由，在案件开始审理时提出；回避事由在案件开始审理后知道的，应当在法庭辩论终结前提出。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被申请回避的人员，在人民法院作出是否回避的决定前，应当暂停参与本案的工作，但案件需要采取紧急措施的除外。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对当事人提出的回避申请，人民法院应当在三日内以口头或者书面形式作出决定。对当事人提出的明显不属于法定回避事由的申请，法庭可以依法当庭驳回。</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申请人对驳回回避申请决定不服的，可以向作出决定的人民法院申请复议一次。复议期间，被申请回避的人员不停止参与本案的工作。对申请人的复议申请，人民法院应当在三日内作出复议决定，并通知复议申请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第七十五条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在一个审判程序中参与过本案审判工作的审判人员，不得再参与该案其他程序的审判。</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发回重审的案件，在一审法院作出裁判后又进入第二审程序的，原第二审程序中合议庭组成人员不受前款规定的限制。</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第七十六条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对于因一方当事人的行为或者其他原因，可能使行政行为或者人民法院生效裁判不能或者难以执行的案件，根据对方当事人的申请，可以裁定对其财产进行保全、责令其作出一定行为或者禁止其作出一定行为；当事人没有提出申请的，人民法院在必要时也可以裁定采取上述保全措施。</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人民法院采取保全措施，可以责令申请人提供担保；申请人不提供担保的，裁定驳回申请。</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人民法院接受申请后，对情况紧急的，必须在四十八小时内作出裁定；裁定采取保全措施的，应当立即开始执行。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当事人对保全的裁定不服的，可以申请复议；复议期间不停止裁定的执行。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利害关系人因情况紧急，不立即申请保全将会使其合法权益受到难以弥补的损害的，可以在提起诉讼前向被保全财产所在地、被申请人住所地或者对案件有管辖权的人民法院申请采取保全措施。申请人应当提供担保，不提供担保的，裁定驳回申请。</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人民法院接受申请后，必须在四十八小时内作出裁定；裁定采取保全措施的，应当立即开始执行。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申请人在人民法院采取保全措施后三十日内不依法提起诉讼的，人民法院应当解除保全。</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当事人对保全的裁定不服的，可以申请复议；复议期间不停止裁定的执行。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第七十八条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保全限于请求的范围，或者与本案有关的财物。</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财产保全采取查封、扣押、冻结或者法律规定的其他方法。人民法院保全财产后，应当立即通知被保全人。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财产已被查封、冻结的，不得重复查封、冻结。</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涉及财产的案件，被申请人提供担保的，人民法院应当裁定解除保全。</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申请有错误的，申请人应当赔偿被申请人因保全所遭受的损失。</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第七十九条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原告或者上诉人申请撤诉，人民法院裁定不予准许的，原告或者上诉人经传票传唤无正当理由拒不到庭，或者未经法庭许可中途退庭的，人民法院可以缺席判决。</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第三人经传票传唤无正当理由拒不到庭，或者未经法庭许可中途退庭的，不发生阻止案件审理的效果。</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根据行政诉讼法第五十八条的规定，被告经传票传唤无正当理由拒不到庭，或者未经法庭许可中途退庭的，人民法院可以按期开庭或者继续开庭审理，对到庭的当事人诉讼请求、双方的诉辩理由以及已经提交的证据及其他诉讼材料进行审理后，依法缺席判决。</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原告或者上诉人在庭审中明确拒绝陈述或者以其他方式拒绝陈述，导致庭审无法进行，经法庭释明法律后果后仍不陈述意见的，视为放弃陈述权利，由其承担不利的法律后果。</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当事人申请撤诉或者依法可以按撤诉处理的案件，当事人有违反法律的行为需要依法处理的，人民法院可以不准许撤诉或者不按撤诉处理。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法庭辩论终结后原告申请撤诉，人民法院可以准许，但涉及到国家利益和社会公共利益的除外。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第八十一条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被告在一审期间改变被诉行政行为的，应当书面告知人民法院。</w:t>
      </w:r>
    </w:p>
    <w:p>
      <w:pPr>
        <w:shd w:val="clear" w:color="auto" w:fill="FFFFFF"/>
        <w:topLinePunct/>
        <w:spacing w:beforeLines="0" w:afterLines="0" w:line="412" w:lineRule="exact"/>
        <w:ind w:firstLine="480" w:firstLineChars="200"/>
        <w:rPr>
          <w:rFonts w:ascii="宋体" w:hAnsi="宋体" w:eastAsia="宋体" w:cs="Arial"/>
          <w:bCs/>
          <w:kern w:val="0"/>
          <w:sz w:val="24"/>
          <w:szCs w:val="24"/>
        </w:rPr>
      </w:pPr>
      <w:r>
        <w:rPr>
          <w:rFonts w:ascii="宋体" w:hAnsi="宋体" w:eastAsia="宋体" w:cs="Arial"/>
          <w:bCs/>
          <w:kern w:val="0"/>
          <w:sz w:val="24"/>
          <w:szCs w:val="24"/>
        </w:rPr>
        <w:t>原告或者第三人对改变后的行政行为不服提起诉讼的，人民法院应当就改变后的行政行为进行审理。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被告改变原违法行政行为，原告仍要求确认原行政行为违法的，人民法院应当依法作出确认判决。</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原告起诉被告不作为，在诉讼中被告作出行政行为，原告不撤诉的，人民法院应当就不作为依法作出确认判决。</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第八十二条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当事人之间恶意串通，企图通过诉讼等方式侵害国家利益、社会公共利益或者他人合法权益的，人民法院应当裁定驳回起诉或者判决驳回其请求，并根据情节轻重予以罚款、拘留；构成犯罪的，依法追究刑事责任。</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第八十三条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行政诉讼法第五十九条规定的罚款、拘留可以单独适用，也可以合并适用。</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对同一妨害行政诉讼行为的罚款、拘留不得连续适用。发生新的妨害行政诉讼行为的，人民法院可以重新予以罚款、拘留。</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第八十四条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人民法院审理行政诉讼法第六十条第一款规定的行政案件，认为法律关系明确、事实清楚，在征得当事人双方同意后，可以迳行调解。</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第八十五条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调解达成协议，人民法院应当制作调解书。调解书应当写明诉讼请求、案件的事实和调解结果。</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调解书由审判人员、书记员署名，加盖人民法院印章，送达双方当事人。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调解书经双方当事人签收后，即具有法律效力。调解书生效日期根据最后收到调解书的当事人签收的日期确定。</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第八十六条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人民法院审理行政案件，调解过程不公开，但当事人同意公开的除外。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经人民法院准许，第三人可以参加调解。人民法院认为有必要的，可以通知第三人参加调解。</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调解协议内容不公开，但为保护国家利益、社会公共利益、他人合法权益，人民法院认为确有必要公开的除外。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当事人一方或者双方不愿调解、调解未达成协议的，人民法院应当及时判决。</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当事人自行和解或者调解达成协议后，请求人民法院按照和解协议或者调解协议的内容制作判决书的，人民法院不予准许。</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第八十七条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在诉讼过程中，有下列情形之一的，中止诉讼：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（一）原告死亡，须等待其近亲属表明是否参加诉讼的；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（二）原告丧失诉讼行为能力，尚未确定法定代理人的；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（三）作为一方当事人的行政机关、法人或者其他组织终止，尚未确定权利义务承受人的；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（四）一方当事人因不可抗力的事由不能参加诉讼的；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（五）案件涉及法律适用问题，需要送请有权机关作出解释或者确认的；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（六）案件的审判须以相关民事、刑事或者其他行政案件的审理结果为依据，而相关案件尚未审结的；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（七）其他应当中止诉讼的情形。</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中止诉讼的原因消除后，恢复诉讼。</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第八十八条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在诉讼过程中，有下列情形之一的，终结诉讼：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（一）原告死亡，没有近亲属或者近亲属放弃诉讼权利的；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（二）作为原告的法人或者其他组织终止后，其权利义务的承受人放弃诉讼权利的。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因本解释第八十七条第一款第一、二、三项原因中止诉讼满九十日仍无人继续诉讼的，裁定终结诉讼，但有特殊情况的除外。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第八十九条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复议决定改变原行政行为错误，人民法院判决撤销复议决定时，可以一并责令复议机关重新作出复议决定或者判决恢复原行政行为的法律效力。</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人民法院判决被告重新作出行政行为，被告重新作出的行政行为与原行政行为的结果相同，但主要事实或者主要理由有改变的，不属于行政诉讼法第七十一条规定的情形。</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人民法院以违反法定程序为由，判决撤销被诉行政行为的，行政机关重新作出行政行为不受行政诉讼法第七十一条规定的限制。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行政机关以同一事实和理由重新作出与原行政行为基本相同的行政行为，人民法院应当根据行政诉讼法第七十条、第七十一条的规定判决撤销或者部分撤销，并根据行政诉讼法第九十六条的规定处理。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第九十一条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原告请求被告履行法定职责的理由成立，被告违法拒绝履行或者无正当理由逾期不予答复的，人民法院可以根据行政诉讼法第七十二条的规定，判决被告在一定期限内依法履行原告请求的法定职责；尚需被告调查或者裁量的，应当判决被告针对原告的请求重新作出处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第九十二条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原告申请被告依法履行支付抚恤金、最低生活保障待遇或者社会保险待遇等给付义务的理由成立，被告依法负有给付义务而拒绝或者拖延履行义务的，人民法院可以根据行政诉讼法第七十三条的规定，判决被告在一定期限内履行相应的给付义务。</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第九十三条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原告请求被告履行法定职责或者依法履行支付抚恤金、最低生活保障待遇或者社会保险待遇等给付义务，原告未先向行政机关提出申请的，人民法院裁定驳回起诉。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人民法院经审理认为原告所请求履行的法定职责或者给付义务明显不属于行政机关权限范围的，可以裁定驳回起诉。</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第九十四条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公民、法人或者其他组织起诉请求撤销行政行为，人民法院经审查认为行政行为无效的，应当作出确认无效的判决。</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公民、法人或者其他组织起诉请求确认行政行为无效，人民法院审查认为行政行为不属于无效情形，经释明，原告请求撤销行政行为的，应当继续审理并依法作出相应判决；原告请求撤销行政行为但超过法定起诉期限的，裁定驳回起诉；原告拒绝变更诉讼请求的，判决驳回其诉讼请求。</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第九十五条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经审理认为被诉行政行为违法或者无效，可能给原告造成损失，经释明，原告请求一并解决行政赔偿争议的，人民法院可以就赔偿事项进行调解；调解不成的，应当一并判决。人民法院也可以告知其就赔偿事项另行提起诉讼。</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第九十六条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有下列情形之一，且对原告依法享有的听证、陈述、申辩等重要程序性权利不产生实质损害的，属于行政诉讼法第七十四条第一款第二项规定的“程序轻微违法”：</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（一）处理期限轻微违法；</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（二）通知、送达等程序轻微违法；</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（三）其他程序轻微违法的情形。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原告或者第三人的损失系由其自身过错和行政机关的违法行政行为共同造成的，人民法院应当依据各方行为与损害结果之间有无因果关系以及在损害发生和结果中作用力的大小，确定行政机关相应的赔偿责任。</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第九十八条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因行政机关不履行、拖延履行法定职责，致使公民、法人或者其他组织的合法权益遭受损害的，人民法院应当判决行政机关承担行政赔偿责任。在确定赔偿数额时，应当考虑该不履行、拖延履行法定职责的行为在损害发生过程和结果中所起的作用等因素。</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第九十九条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有下列情形之一的，属于行政诉讼法第七十五条规定的“重大且明显违法”：</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（一）行政行为实施主体不具有行政主体资格；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（二）减损权利或者增加义务的行政行为没有法律规范依据；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（三）行政行为的内容客观上不可能实施；</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（四）其他重大且明显违法的情形。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人民法院审理行政案件，适用最高人民法院司法解释的，应当在裁判文书中援引。</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人民法院审理行政案件，可以在裁判文书中引用合法有效的规章及其他规范性文件。</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第一百零一条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裁定适用于下列范围：</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（一）不予立案；</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（二）驳回起诉；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（三）管辖异议；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（四）终结诉讼；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（五）中止诉讼；</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（六）移送或者指定管辖；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（七）诉讼期间停止行政行为的执行或者驳回停止执行的申请；</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（八）财产保全；</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（九）先予执行；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（十）准许或者不准许撤诉；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（十一）补正裁判文书中的笔误；</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（十二）中止或者终结执行；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（十三）提审、指令再审或者发回重审；</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（十四）准许或者不准许执行行政机关的行政行为；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（十五）其他需要裁定的事项。</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对第一、二、三项裁定，当事人可以上诉。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裁定书应当写明裁定结果和作出该裁定的理由。裁定书由审判人员、书记员署名，加盖人民法院印章。口头裁定的，记入笔录。</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第一百零二条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诉讼法第八十二条规定的行政案件中的“事实清楚”，是指当事人对争议的事实陈述基本一致，并能提供相应的证据，无须人民法院调查收集证据即可查明事实；“权利义务关系明确”，是指行政法律关系中权利和义务能够明确区分；“争议不大”，是指当事人对行政行为的合法性、责任承担等没有实质分歧。</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第一百零三条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适用简易程序审理的行政案件，人民法院可以用口头通知、电话、短信、传真、电子邮件等简便方式传唤当事人、通知证人、送达裁判文书以外的诉讼文书。</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以简便方式送达的开庭通知，未经当事人确认或者没有其他证据证明当事人已经收到的，人民法院不得缺席判决。</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第一百零四条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适用简易程序案件的举证期限由人民法院确定，也可以由当事人协商一致并经人民法院准许，但不得超过十五日。被告要求书面答辩的，人民法院可以确定合理的答辩期间。</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人民法院应当将举证期限和开庭日期告知双方当事人，并向当事人说明逾期举证以及拒不到庭的法律后果，由双方当事人在笔录和开庭传票的送达回证上签名或者捺印。</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当事人双方均表示同意立即开庭或者缩短举证期限、答辩期间的，人民法院可以立即开庭审理或者确定近期开庭。</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第一百零五条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人民法院发现案情复杂，需要转为普通程序审理的，应当在审理期限届满前作出裁定并将合议庭组成人员及相关事项书面通知双方当事人。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案件转为普通程序审理的，审理期限自人民法院立案之日起计算。</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第一百零六条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当事人就已经提起诉讼的事项在诉讼过程中或者裁判生效后再次起诉，同时具有下列情形的，构成重复起诉：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（一）后诉与前诉的当事人相同；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（二）后诉与前诉的诉讼标的相同；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（三）后诉与前诉的诉讼请求相同，或者后诉的诉讼请求被前诉裁判所包含。</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第一审人民法院作出判决和裁定后，当事人均提起上诉的，上诉各方均为上诉人。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诉讼当事人中的一部分人提出上诉，没有提出上诉的对方当事人为被上诉人，其他当事人依原审诉讼地位列明。</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第一百零八条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当事人提出上诉，应当按照其他当事人或者诉讼代表人的人数提出上诉状副本。</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原审人民法院收到上诉状，应当在五日内将上诉状副本发送其他当事人，对方当事人应当在收到上诉状副本之日起十五日内提出答辩状。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原审人民法院应当在收到答辩状之日起五日内将副本发送上诉人。对方当事人不提出答辩状的，不影响人民法院审理。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原审人民法院收到上诉状、答辩状，应当在五日内连同全部案卷和证据，报送第二审人民法院；已经预收的诉讼费用，一并报送。</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第一百零九条 </w:t>
      </w:r>
      <w:r>
        <w:rPr>
          <w:rFonts w:hint="eastAsia" w:ascii="宋体" w:hAnsi="宋体" w:eastAsia="宋体" w:cs="Arial"/>
          <w:b/>
          <w:bCs/>
          <w:kern w:val="0"/>
          <w:sz w:val="24"/>
          <w:szCs w:val="24"/>
        </w:rPr>
        <w:t xml:space="preserve"> </w:t>
      </w:r>
      <w:r>
        <w:rPr>
          <w:rFonts w:ascii="宋体" w:hAnsi="宋体" w:eastAsia="宋体" w:cs="Arial"/>
          <w:bCs/>
          <w:kern w:val="0"/>
          <w:sz w:val="24"/>
          <w:szCs w:val="24"/>
        </w:rPr>
        <w:t>第二审人民法院经审理认为原审人民法院不予立案或者驳回起诉的裁定确有错误且当事人的起诉符合起诉条件的，应当裁定撤销原审人民法院的裁定，指令原审人民法院依法立案或者继续审理。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第二审人民法院裁定发回原审人民法院重新审理的行政案件，原审人民法院应当另行组成合议庭进行审理。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原审判决遗漏了必须参加诉讼的当事人或者诉讼请求的，第二审人民法院应当裁定撤销原审判决，发回重审。</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原审判决遗漏行政赔偿请求，第二审人民法院经审查认为依法不应当予以赔偿的，应当判决驳回行政赔偿请求。</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原审判决遗漏行政赔偿请求，第二审人民法院经审理认为依法应当予以赔偿的，在确认被诉行政行为违法的同时，可以就行政赔偿问题进行调解；调解不成的，应当就行政赔偿部分发回重审。</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当事人在第二审期间提出行政赔偿请求的，第二审人民法院可以进行调解；调解不成的，应当告知当事人另行起诉。</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第一百一十条</w:t>
      </w:r>
      <w:r>
        <w:rPr>
          <w:rFonts w:hint="eastAsia" w:ascii="宋体" w:hAnsi="宋体" w:eastAsia="宋体" w:cs="Arial"/>
          <w:b/>
          <w:bCs/>
          <w:kern w:val="0"/>
          <w:sz w:val="24"/>
          <w:szCs w:val="24"/>
        </w:rPr>
        <w:t xml:space="preserve"> </w:t>
      </w:r>
      <w:r>
        <w:rPr>
          <w:rFonts w:ascii="宋体" w:hAnsi="宋体" w:eastAsia="宋体" w:cs="Arial"/>
          <w:bCs/>
          <w:kern w:val="0"/>
          <w:sz w:val="24"/>
          <w:szCs w:val="24"/>
        </w:rPr>
        <w:t xml:space="preserve"> 当事人向上一级人民法院申请再审，应当在判决、裁定或者调解书发生法律效力后六个月内提出。有下列情形之一的，自知道或者应当知道之日起六个月内提出：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（一）有新的证据，足以推翻原判决、裁定的；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（二）原判决、裁定认定事实的主要证据是伪造的；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（三）据以作出原判决、裁定的法律文书被撤销或者变更的；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（四）审判人员审理该案件时有贪污受贿、徇私舞弊、枉法裁判行为的。</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第一百一十一条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当事人申请再审的，应当提交再审申请书等材料。人民法院认为有必要的，可以自收到再审申请书之日起五日内将再审申请书副本发送对方当事人。对方当事人应当自收到再审申请书副本之日起十五日内提交书面意见。人民法院可以要求申请人和对方当事人补充有关材料，询问有关事项。</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第一百一十二条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人民法院应当自再审申请案件立案之日起六个月内审查，有特殊情况需要延长的，由本院院长批准。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第一百一十三条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人民法院根据审查再审申请案件的需要决定是否询问当事人；新的证据可能推翻原判决、裁定的，人民法院应当询问当事人。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第一百一十四条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审查再审申请期间，被申请人及原审其他当事人依法提出再审申请的，人民法院应当将其列为再审申请人，对其再审事由一并审查，审查期限重新计算。经审查，其中一方再审申请人主张的再审事由成立的，应当裁定再审。各方再审申请人主张的再审事由均不成立的，一并裁定驳回再审申请。</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第一百一十五条 </w:t>
      </w:r>
      <w:r>
        <w:rPr>
          <w:rFonts w:hint="eastAsia" w:ascii="宋体" w:hAnsi="宋体" w:eastAsia="宋体" w:cs="Arial"/>
          <w:b/>
          <w:bCs/>
          <w:kern w:val="0"/>
          <w:sz w:val="24"/>
          <w:szCs w:val="24"/>
        </w:rPr>
        <w:t xml:space="preserve"> </w:t>
      </w:r>
      <w:r>
        <w:rPr>
          <w:rFonts w:ascii="宋体" w:hAnsi="宋体" w:eastAsia="宋体" w:cs="Arial"/>
          <w:bCs/>
          <w:kern w:val="0"/>
          <w:sz w:val="24"/>
          <w:szCs w:val="24"/>
        </w:rPr>
        <w:t>审查再审申请期间，再审申请人申请人民法院委托鉴定、勘验的，人民法院不予准许。</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审查再审申请期间，再审申请人撤回再审申请的，是否准许，由人民法院裁定。</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再审申请人经传票传唤，无正当理由拒不接受询问的，按撤回再审申请处理。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准许撤回再审申请或者按撤回再审申请处理后，再审申请人再次申请再审的，不予立案，但有行政诉讼法第九十一条第二项、第三项、第七项、第八项规定情形，自知道或者应当知道之日起六个月内提出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第一百一十六条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当事人主张的再审事由成立，且符合行政诉讼法和本解释规定的申请再审条件的，人民法院应当裁定再审。</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当事人主张的再审事由不成立，或者当事人申请再审超过法定申请再审期限、超出法定再审事由范围等不符合行政诉讼法和本解释规定的申请再审条件的，人民法院应当裁定驳回再审申请。</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有下列情形之一的，当事人可以向人民检察院申请抗诉或者检察建议：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（一）人民法院驳回再审申请的；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（二）人民法院逾期未对再审申请作出裁定的；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（三）再审判决、裁定有明显错误的。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人民法院基于抗诉或者检察建议作出再审判决、裁定后，当事人申请再审的，人民法院不予立案。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第一百一十八条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按照审判监督程序决定再审的案件，裁定中止原判决、裁定、调解书的执行，但支付抚恤金、最低生活保障费或者社会保险待遇的案件，可以不中止执行。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上级人民法院决定提审或者指令下级人民法院再审的，应当作出裁定，裁定应当写明中止原判决的执行；情况紧急的，可以将中止执行的裁定口头通知负责执行的人民法院或者作出生效判决、裁定的人民法院，但应当在口头通知后十日内发出裁定书。</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第一百一十九条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按照审判监督程序再审的案件，发生法律效力的判决、裁定是由第一审法院作出的，按照第一审程序审理，所作的判决、裁定，当事人可以上诉；发生法律效力的判决、裁定是由第二审法院作出的，按照第二审程序审理，所作的判决、裁定，是发生法律效力的判决、裁定；上级人民法院按照审判监督程序提审的，按照第二审程序审理，所作的判决、裁定是发生法律效力的判决、裁定。</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人民法院审理再审案件，应当另行组成合议庭。</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第一百二十条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人民法院审理再审案件应当围绕再审请求和被诉行政行为合法性进行。当事人的再审请求超出原审诉讼请求，符合另案诉讼条件的，告知当事人可以另行起诉。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被申请人及原审其他当事人在庭审辩论结束前提出的再审请求，符合本解释规定的申请期限的，人民法院应当一并审理。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人民法院经再审，发现已经发生法律效力的判决、裁定损害国家利益、社会公共利益、他人合法权益的，应当一并审理。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第一百二十一条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再审审理期间，有下列情形之一的，裁定终结再审程序：</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（一）再审申请人在再审期间撤回再审请求，人民法院准许的；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（二）再审申请人经传票传唤，无正当理由拒不到庭的，或者未经法庭许可中途退庭，按撤回再审请求处理的；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（三）人民检察院撤回抗诉的；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（四）其他应当终结再审程序的情形。</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因人民检察院提出抗诉裁定再审的案件，申请抗诉的当事人有前款规定的情形，且不损害国家利益、社会公共利益或者他人合法权益的，人民法院裁定终结再审程序。</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再审程序终结后，人民法院裁定中止执行的原生效判决自动恢复执行。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第一百二十二条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审理再审案件，认为原生效判决、裁定确有错误，在撤销原生效判决或者裁定的同时，可以对生效判决、裁定的内容作出相应裁判，也可以裁定撤销生效判决或者裁定，发回作出生效判决、裁定的人民法院重新审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第一百二十三条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人民法院审理二审案件和再审案件，对原审法院立案、不予立案或者驳回起诉错误的，应当分别情况作如下处理：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（一）第一审人民法院作出实体判决后，第二审人民法院认为不应当立案的，在撤销第一审人民法院判决的同时，可以迳行驳回起诉；</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（二）第二审人民法院维持第一审人民法院不予立案裁定错误的，再审法院应当撤销第一审、第二审人民法院裁定，指令第一审人民法院受理；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（三）第二审人民法院维持第一审人民法院驳回起诉裁定错误的，再审法院应当撤销第一审、第二审人民法院裁定，指令第一审人民法院审理。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第一百二十四条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检察院提出抗诉的案件，接受抗诉的人民法院应当自收到抗诉书之日起三十日内作出再审的裁定；有行政诉讼法第九十一条第二、三项规定情形之一的，可以指令下一级人民法院再审，但经该下一级人民法院再审过的除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人民法院在审查抗诉材料期间，当事人之间已经达成和解协议的，人民法院可以建议人民检察院撤回抗诉。</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第一百二十五条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人民检察院提出抗诉的案件，人民法院再审开庭时，应当在开庭三日前通知人民检察院派员出庭。</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第一百二十六条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收到再审检察建议后，应当组成合议庭，在三个月内进行审查，发现原判决、裁定、调解书确有错误，需要再审的，依照行政诉讼法第九十二条规定裁定再审，并通知当事人；经审查，决定不予再审的，应当书面回复人民检察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第一百二十七条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人民法院审理因人民检察院抗诉或者检察建议裁定再审的案件，不受此前已经作出的驳回当事人再审申请裁定的限制。</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八、行政机关负责人出庭应诉</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第一百二十八条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行政诉讼法第三条第三款规定的行政机关负责人，包括行政机关的正职、副职负责人以及其他参与分管的负责人。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行政机关负责人出庭应诉的，可以另行委托一至二名诉讼代理人。行政机关负责人不能出庭的，应当委托行政机关相应的工作人员出庭，不得仅委托律师出庭。</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第一百二十九条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涉及重大公共利益、社会高度关注或者可能引发群体性事件等案件以及人民法院书面建议行政机关负责人出庭的案件，被诉行政机关负责人应当出庭。</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被诉行政机关负责人出庭应诉的，应当在当事人及其诉讼代理人基本情况、案件由来部分予以列明。</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行政机关负责人有正当理由不能出庭应诉的，应当向人民法院提交情况说明，并加盖行政机关印章或者由该机关主要负责人签字认可。</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行政机关拒绝说明理由的，不发生阻止案件审理的效果，人民法院可以向监察机关、上一级行政机关提出司法建议。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 xml:space="preserve">第一百三十条 </w:t>
      </w:r>
      <w:r>
        <w:rPr>
          <w:rFonts w:hint="eastAsia" w:ascii="宋体" w:hAnsi="宋体" w:eastAsia="宋体" w:cs="Arial"/>
          <w:b/>
          <w:bCs/>
          <w:kern w:val="0"/>
          <w:sz w:val="24"/>
          <w:szCs w:val="24"/>
        </w:rPr>
        <w:t xml:space="preserve"> </w:t>
      </w:r>
      <w:r>
        <w:rPr>
          <w:rFonts w:ascii="宋体" w:hAnsi="宋体" w:eastAsia="宋体" w:cs="Arial"/>
          <w:bCs/>
          <w:kern w:val="0"/>
          <w:sz w:val="24"/>
          <w:szCs w:val="24"/>
        </w:rPr>
        <w:t>行政诉讼法第三条第三款规定的“行政机关相应的工作人员”，包括该行政机关具有国家行政编制身份的工作人员以及其他依法履行公职的人员。</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被诉行政行为是地方人民政府作出的，地方人民政府法制工作机构的工作人员，以及被诉行政行为具体承办机关工作人员，可以视为被诉人民政府相应的工作人员。</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第一百三十一条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行政机关负责人出庭应诉的，应当向人民法院提交能够证明该行政机关负责人职务的材料。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行政机关委托相应的工作人员出庭应诉的，应当向人民法院提交加盖行政机关印章的授权委托书，并载明工作人员的姓名、职务和代理权限。</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第一百三十二条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行政机关负责人和行政机关相应的工作人员均不出庭，仅委托律师出庭的或者人民法院书面建议行政机关负责人出庭应诉，行政机关负责人不出庭应诉的，人民法院应当记录在案和在裁判文书中载明，并可以建议有关机关依法作出处理。</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九、复议机关作共同被告</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第一百三十三条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行政诉讼法第二十六条第二款规定的“复议机关决定维持原行政行为”，包括复议机关驳回复议申请或者复议请求的情形，但以复议申请不符合受理条件为由驳回的除外。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第一百三十四条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复议机关决定维持原行政行为的，作出原行政行为的行政机关和复议机关是共同被告。原告只起诉作出原行政行为的行政机关或者复议机关的，人民法院应当告知原告追加被告。原告不同意追加的，人民法院应当将另一机关列为共同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行政复议决定既有维持原行政行为内容，又有改变原行政行为内容或者不予受理申请内容的，作出原行政行为的行政机关和复议机关为共同被告。</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复议机关作共同被告的案件，以作出原行政行为的行政机关确定案件的级别管辖。</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第一百三十五条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复议机关决定维持原行政行为的，人民法院应当在审查原行政行为合法性的同时，一并审查复议决定的合法性。</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作出原行政行为的行政机关和复议机关对原行政行为合法性共同承担举证责任，可以由其中一个机关实施举证行为。复议机关对复议决定的合法性承担举证责任。</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复议机关作共同被告的案件，复议机关在复议程序中依法收集和补充的证据，可以作为人民法院认定复议决定和原行政行为合法的依据。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第一百三十六条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人民法院对原行政行为作出判决的同时，应当对复议决定一并作出相应判决。</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人民法院依职权追加作出原行政行为的行政机关或者复议机关为共同被告的，对原行政行为或者复议决定可以作出相应判决。</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人民法院判决撤销原行政行为和复议决定的，可以判决作出原行政行为的行政机关重新作出行政行为。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人民法院判决作出原行政行为的行政机关履行法定职责或者给付义务的，应当同时判决撤销复议决定。</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原行政行为合法、复议决定违法的，人民法院可以判决撤销复议决定或者确认复议决定违法，同时判决驳回原告针对原行政行为的诉讼请求。</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原行政行为被撤销、确认违法或者无效，给原告造成损失的，应当由作出原行政行为的行政机关承担赔偿责任；因复议决定加重损害的，由复议机关对加重部分承担赔偿责任。</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原行政行为不符合复议或者诉讼受案范围等受理条件，复议机关作出维持决定的，人民法院应当裁定一并驳回对原行政行为和复议决定的起诉。</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十、相关民事争议的一并审理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公民、法人或者其他组织请求一并审理行政诉讼法第六十一条规定的相关民事争议，应当在第一审开庭审理前提出；有正当理由的，也可以在法庭调查中提出。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第一百三十八条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人民法院决定在行政诉讼中一并审理相关民事争议，或者案件当事人一致同意相关民事争议在行政诉讼中一并解决，人民法院准许的，由受理行政案件的人民法院管辖。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公民、法人或者其他组织请求一并审理相关民事争议，人民法院经审查发现行政案件已经超过起诉期限，民事案件尚未立案的，告知当事人另行提起民事诉讼；民事案件已经立案的，由原审判组织继续审理。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在审理行政案件中发现民事争议为解决行政争议的基础，当事人没有请求人民法院一并审理相关民事争议的，人民法院应当告知当事人依法申请一并解决民事争议。当事人就民事争议另行提起民事诉讼并已立案的，人民法院应当中止行政诉讼的审理。民事争议处理期间不计算在行政诉讼审理期限内。</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第一百三十九条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有下列情形之一的，人民法院应当作出不予准许一并审理民事争议的决定，并告知当事人可以依法通过其他渠道主张权利：</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（一）法律规定应当由行政机关先行处理的；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（二）违反民事诉讼法专属管辖规定或者协议管辖约定的；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（三）约定仲裁或者已经提起民事诉讼的；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（四）其他不宜一并审理民事争议的情形。</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对不予准许的决定可以申请复议一次。</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人民法院在行政诉讼中一并审理相关民事争议的，民事争议应当单独立案，由同一审判组织审理。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人民法院审理行政机关对民事争议所作裁决的案件，一并审理民事争议的，不另行立案。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第一百四十一条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人民法院一并审理相关民事争议，适用民事法律规范的相关规定，法律另有规定的除外。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当事人在调解中对民事权益的处分，不能作为审查被诉行政行为合法性的根据。</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第一百四十二条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对行政争议和民事争议应当分别裁判。</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当事人仅对行政裁判或者民事裁判提出上诉的，未上诉的裁判在上诉期满后即发生法律效力。第一审人民法院应当将全部案卷一并移送第二审人民法院，由行政审判庭审理。第二审人民法院发现未上诉的生效裁判确有错误的，应当按照审判监督程序再审。</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第一百四十三条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行政诉讼原告在宣判前申请撤诉的，是否准许由人民法院裁定。人民法院裁定准许行政诉讼原告撤诉，但其对已经提起的一并审理相关民事争议不撤诉的，人民法院应当继续审理。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第一百四十四条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人民法院一并审理相关民事争议，应当按行政案件、民事案件的标准分别收取诉讼费用。</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十一、规范性文件的一并审查</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第一百四十五条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公民、法人或者其他组织在对行政行为提起诉讼时一并请求对所依据的规范性文件审查的，由行政行为案件管辖法院一并审查。</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第一百四十六条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公民、法人或者其他组织请求人民法院一并审查行政诉讼法第五十三条规定的规范性文件，应当在第一审开庭审理前提出；有正当理由的，也可以在法庭调查中提出。</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人民法院在对规范性文件审查过程中，发现规范性文件可能不合法的，应当听取规范性文件制定机关的意见。</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制定机关申请出庭陈述意见的，人民法院应当准许。</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行政机关未陈述意见或者未提供相关证明材料的，不能阻止人民法院对规范性文件进行审查。</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第一百四十八条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人民法院对规范性文件进行一并审查时，可以从规范性文件制定机关是否超越权限或者违反法定程序、作出行政行为所依据的条款以及相关条款等方面进行。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有下列情形之一的，属于行政诉讼法第六十四条规定的“规范性文件不合法”：</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（一）超越制定机关的法定职权或者超越法律、法规、规章的授权范围的；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（二）与法律、法规、规章等上位法的规定相抵触的；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（三）没有法律、法规、规章依据，违法增加公民、法人和其他组织义务或者减损公民、法人和其他组织合法权益的；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（四）未履行法定批准程序、公开发布程序，严重违反制定程序的；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（五）其他违反法律、法规以及规章规定的情形。</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第一百四十九条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经审查认为行政行为所依据的规范性文件合法的，应当作为认定行政行为合法的依据；经审查认为规范性文件不合法的，不作为人民法院认定行政行为合法的依据，并在裁判理由中予以阐明。作出生效裁判的人民法院应当向规范性文件的制定机关提出处理建议，并可以抄送制定机关的同级人民政府、上一级行政机关、监察机关以及规范性文件的备案机关。</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规范性文件不合法的，人民法院可以在裁判生效之日起三个月内，向规范性文件制定机关提出修改或者废止该规范性文件的司法建议。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规范性文件由多个部门联合制定的，人民法院可以向该规范性文件的主办机关或者共同上一级行政机关发送司法建议。</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接收司</w:t>
      </w:r>
      <w:r>
        <w:rPr>
          <w:rFonts w:ascii="宋体" w:hAnsi="宋体" w:eastAsia="宋体" w:cs="Arial"/>
          <w:bCs/>
          <w:spacing w:val="-4"/>
          <w:kern w:val="0"/>
          <w:sz w:val="24"/>
          <w:szCs w:val="24"/>
        </w:rPr>
        <w:t>法建议的行政机关应当在收到司法建议之日起六十日内予以书面答复。情况紧急的，人民法院可以建议制定机关或者其上一级行政机关立即停止执行该规范性文件。</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人民法院认为规范性文件不合法的，应当在裁判生效后报送上一级人民法院进行备案。涉及国务院部门、省级行政机关制定的规范性文件，司法建议还应当分别层报最高人民法院、高级人民法院备案。</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第一百五十一条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各级人民法院院长对本院已经发生法律效力的判决、裁定，发现规范性文件合法性认定错误，认为需要再审的，应当提交审判委员会讨论。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最高人民法院对地方各级人民法院已经发生法律效力的判决、裁定，上级人民法院对下级人民法院已经发生法律效力的判决、裁定，发现规范性文件合法性认定错误的，有权提审或者指令下级人民法院再审。</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十二、执行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第一百五十二条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对发生法律效力的行政判决书、行政裁定书、行政赔偿判决书和行政调解书，负有义务的一方当事人拒绝履行的，对方当事人可以依法申请人民法院强制执行。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人民法院判决行政机关履行行政赔偿、行政补偿或者其他行政给付义务，行政机关拒不履行的，对方当事人可以依法向法院申请强制执行。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第一百五十三条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申请执行的期限为二年。申请执行时效的中止、中断，适用法律有关规定。</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申请执行的期限从法律文书规定的履行期间最后一日起计算；法律文书规定分期履行的，从规定的每次履行期间的最后一日起计算；法律文书中没有规定履行期限的，从该法律文书送达当事人之日起计算。</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逾期申请的，除有正当理由外，人民法院不予受理。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第一百五十四条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发生法律效力的行政判决书、行政裁定书、行政赔偿判决书和行政调解书，由第一审人民法院执行。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第一审人民</w:t>
      </w:r>
      <w:r>
        <w:rPr>
          <w:rFonts w:ascii="宋体" w:hAnsi="宋体" w:eastAsia="宋体" w:cs="Arial"/>
          <w:bCs/>
          <w:spacing w:val="-4"/>
          <w:kern w:val="0"/>
          <w:sz w:val="24"/>
          <w:szCs w:val="24"/>
        </w:rPr>
        <w:t>法院认为情况特殊，需要由第二审人民法院执行的，可以报请第二审人民法院执行；第二审人民法院可以决定由其执行，也可以决定由第一审人民法院执行。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第一百五十五条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行政机关根据行政诉讼法第九十七条的规定申请执行其行政行为，应当具备以下条件：</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（一）行政行为依法可以由人民法院执行；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（二）行政行为已经生效并具有可执行内容；</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（三）申请人是作出该行政行为的行政机关或者法律、法规、规章授权的组织；</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（四）被申请人是该行政行为所确定的义务人；</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（五）被申请人在行政行为确定的期限内或者行政机关催告期限内未履行义务；</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（六）申请人在法定期限内提出申请；</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（七）被申请执行的行政案件属于受理执行申请的人民法院管辖。</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行政机关申请人民法院执行，应当提交行政强制法第五十五条规定的相关材料。</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对符合条件的申请，应当在五日内立案受理，并通知申请人；对不符合条件的申请，应当裁定不予受理。行政机关对不予受理裁定有异议，在十五日内向上一级人民法院申请复议的，上一级人民法院应当在收到复议申请之日起十五日内作出裁定。</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第一百五十六条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没有强制执行权的行政机关申请人民法院强制执行其行政行为，应当自被执行人的法定起诉期限届满之日起三个月内提出。逾期申请的，除有正当理由外，人民法院不予受理。</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第一百五十七条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行政机关申请人民法院强制执行其行政行为的，由申请人所在地的基层人民法院受理；执行对象为不动产的，由不动产所在地的基层人民法院受理。</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基层人民法院认为执行确有困难的，可以报请上级人民法院执行；上级人民法院可以决定由其执行，也可以决定由下级人民法院执行。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第一百五十八条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机关根据法律的授权对平等主体之间民事争议作出裁决后，当事人在法定期限内不起诉又不履行，作出裁决的行政机关在申请执行的期限内未申请人民法院强制执行的，生效行政裁决确定的权利人或者其继承人、权利承受人在六个月内可以申请人民法院强制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享有权利的公民、法人或者其他组织申请人民法院强制执行生效行政裁决，参照行政机关申请人民法院强制执行行政行为的规定。</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第一百五十九条</w:t>
      </w:r>
      <w:r>
        <w:rPr>
          <w:rFonts w:hint="eastAsia" w:ascii="宋体" w:hAnsi="宋体" w:eastAsia="宋体" w:cs="Arial"/>
          <w:bCs/>
          <w:kern w:val="0"/>
          <w:sz w:val="24"/>
          <w:szCs w:val="24"/>
        </w:rPr>
        <w:t xml:space="preserve"> </w:t>
      </w:r>
      <w:r>
        <w:rPr>
          <w:rFonts w:ascii="宋体" w:hAnsi="宋体" w:eastAsia="宋体" w:cs="Arial"/>
          <w:bCs/>
          <w:kern w:val="0"/>
          <w:sz w:val="24"/>
          <w:szCs w:val="24"/>
        </w:rPr>
        <w:t xml:space="preserve"> 行政机关或者行政行为确定的权利人申请人民法院强制执行前，有充分理由认为被执行人可能逃避执行的，可以申请人民法院采取财产保全措施。后者申请强制执行的，应当提供相应的财产担保。</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第一百六十条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人民法院受理行政机关申请执行其行政行为的案件后，应当在七日内由行政审判庭对行政行为的合法性进行审查，并作出是否准予执行的裁定。</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人民法院在作出裁定前发现行政行为明显违法并损害被执行人合法权益的，应当听取被执行人和行政机关的意见，并自受理之日起三十日内作出是否准予执行的裁定。</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需要采取强制执行措施的，由本院负责强制执行非诉行政行为的机构执行。</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第一百六十一条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被申请执行的行政行为有下列情形之一的，人民法院应当裁定不准予执行：</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（一）实施主体不具有行政主体资格的；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（二）明显缺乏事实根据的；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（三）明显缺乏法律、法规依据的；</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（四）其他明显违法并损害被执行人合法权益的情形。</w:t>
      </w:r>
    </w:p>
    <w:p>
      <w:pPr>
        <w:shd w:val="clear" w:color="auto" w:fill="FFFFFF"/>
        <w:topLinePunct/>
        <w:spacing w:beforeLines="0" w:afterLines="0" w:line="412" w:lineRule="exact"/>
        <w:ind w:firstLine="480" w:firstLineChars="200"/>
        <w:rPr>
          <w:rFonts w:cs="Arial" w:asciiTheme="minorEastAsia" w:hAnsiTheme="minorEastAsia"/>
          <w:bCs/>
          <w:kern w:val="0"/>
          <w:sz w:val="24"/>
          <w:szCs w:val="24"/>
        </w:rPr>
      </w:pPr>
      <w:r>
        <w:rPr>
          <w:rFonts w:ascii="宋体" w:hAnsi="宋体" w:eastAsia="宋体" w:cs="Arial"/>
          <w:bCs/>
          <w:kern w:val="0"/>
          <w:sz w:val="24"/>
          <w:szCs w:val="24"/>
        </w:rPr>
        <w:t>行政机关对不准予执行的裁定有异议，在十五日内向上一级人民法院申请复议的，上一级人民法院应当在收到复议申请之日起三十日内作出裁定。</w:t>
      </w:r>
    </w:p>
    <w:p>
      <w:pPr>
        <w:shd w:val="clear" w:color="auto" w:fill="FFFFFF"/>
        <w:topLinePunct/>
        <w:spacing w:beforeLines="0" w:afterLines="0" w:line="412" w:lineRule="exact"/>
        <w:ind w:firstLine="480" w:firstLineChars="200"/>
        <w:rPr>
          <w:rFonts w:ascii="黑体" w:hAnsi="黑体" w:eastAsia="黑体" w:cs="Arial"/>
          <w:bCs/>
          <w:kern w:val="0"/>
          <w:sz w:val="24"/>
          <w:szCs w:val="24"/>
        </w:rPr>
      </w:pPr>
      <w:r>
        <w:rPr>
          <w:rFonts w:ascii="黑体" w:hAnsi="黑体" w:eastAsia="黑体" w:cs="Arial"/>
          <w:bCs/>
          <w:kern w:val="0"/>
          <w:sz w:val="24"/>
          <w:szCs w:val="24"/>
        </w:rPr>
        <w:t>十三、附则</w:t>
      </w:r>
    </w:p>
    <w:p>
      <w:pPr>
        <w:shd w:val="clear" w:color="auto" w:fill="FFFFFF"/>
        <w:topLinePunct/>
        <w:spacing w:beforeLines="0" w:afterLines="0" w:line="412" w:lineRule="exact"/>
        <w:ind w:firstLine="482" w:firstLineChars="200"/>
        <w:rPr>
          <w:rFonts w:cs="Arial" w:asciiTheme="minorEastAsia" w:hAnsiTheme="minorEastAsia"/>
          <w:bCs/>
          <w:kern w:val="0"/>
          <w:sz w:val="24"/>
          <w:szCs w:val="24"/>
        </w:rPr>
      </w:pPr>
      <w:r>
        <w:rPr>
          <w:rFonts w:ascii="宋体" w:hAnsi="宋体" w:eastAsia="宋体" w:cs="Arial"/>
          <w:b/>
          <w:bCs/>
          <w:kern w:val="0"/>
          <w:sz w:val="24"/>
          <w:szCs w:val="24"/>
        </w:rPr>
        <w:t>第一百六十二条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公民、法人或者其他组织对2015年5月1日之前作出的行政行为提起诉讼，请求确认行政行为无效的，人民法院不予立案。</w:t>
      </w:r>
    </w:p>
    <w:p>
      <w:pPr>
        <w:shd w:val="clear" w:color="auto" w:fill="FFFFFF"/>
        <w:topLinePunct/>
        <w:spacing w:beforeLines="0" w:afterLines="0" w:line="412" w:lineRule="exact"/>
        <w:ind w:firstLine="482" w:firstLineChars="200"/>
        <w:rPr>
          <w:rFonts w:asciiTheme="minorEastAsia" w:hAnsiTheme="minorEastAsia"/>
          <w:sz w:val="24"/>
          <w:szCs w:val="24"/>
        </w:rPr>
      </w:pPr>
      <w:r>
        <w:rPr>
          <w:rFonts w:ascii="宋体" w:hAnsi="宋体" w:eastAsia="宋体" w:cs="Arial"/>
          <w:b/>
          <w:bCs/>
          <w:kern w:val="0"/>
          <w:sz w:val="24"/>
          <w:szCs w:val="24"/>
        </w:rPr>
        <w:t>第一百六十三条</w:t>
      </w:r>
      <w:r>
        <w:rPr>
          <w:rFonts w:ascii="宋体" w:hAnsi="宋体" w:eastAsia="宋体" w:cs="Arial"/>
          <w:bCs/>
          <w:kern w:val="0"/>
          <w:sz w:val="24"/>
          <w:szCs w:val="24"/>
        </w:rPr>
        <w:t xml:space="preserve"> </w:t>
      </w:r>
      <w:r>
        <w:rPr>
          <w:rFonts w:hint="eastAsia" w:ascii="宋体" w:hAnsi="宋体" w:eastAsia="宋体" w:cs="Arial"/>
          <w:bCs/>
          <w:kern w:val="0"/>
          <w:sz w:val="24"/>
          <w:szCs w:val="24"/>
        </w:rPr>
        <w:t xml:space="preserve"> </w:t>
      </w:r>
      <w:r>
        <w:rPr>
          <w:rFonts w:ascii="宋体" w:hAnsi="宋体" w:eastAsia="宋体" w:cs="Arial"/>
          <w:bCs/>
          <w:kern w:val="0"/>
          <w:sz w:val="24"/>
          <w:szCs w:val="24"/>
        </w:rPr>
        <w:t>本解释自2018年2月8日起施行。</w:t>
      </w:r>
      <w:r>
        <w:rPr>
          <w:rFonts w:asciiTheme="minorEastAsia" w:hAnsiTheme="minorEastAsia"/>
          <w:sz w:val="24"/>
          <w:szCs w:val="24"/>
        </w:rPr>
        <w:br w:type="page"/>
      </w:r>
      <w:bookmarkStart w:id="110" w:name="_Toc2539457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bookmarkEnd w:id="110"/>
    <w:p>
      <w:pPr>
        <w:pStyle w:val="61"/>
      </w:pPr>
      <w:bookmarkStart w:id="111" w:name="_Toc28252133"/>
      <w:bookmarkStart w:id="112" w:name="_Toc25653647"/>
      <w:bookmarkStart w:id="113" w:name="_Toc28156936"/>
      <w:bookmarkStart w:id="114" w:name="_Toc28250863"/>
      <w:bookmarkStart w:id="115" w:name="_Toc25648152"/>
      <w:bookmarkStart w:id="116" w:name="_Toc26347914"/>
      <w:bookmarkStart w:id="117" w:name="_Toc25394580"/>
      <w:r>
        <w:rPr>
          <w:shd w:val="clear" w:color="auto" w:fill="FFFFFF"/>
        </w:rPr>
        <w:t>中华人民共和国国家赔偿法</w:t>
      </w:r>
      <w:bookmarkEnd w:id="111"/>
      <w:bookmarkEnd w:id="112"/>
      <w:bookmarkEnd w:id="113"/>
      <w:bookmarkEnd w:id="114"/>
      <w:bookmarkEnd w:id="115"/>
      <w:bookmarkEnd w:id="116"/>
    </w:p>
    <w:p>
      <w:pPr>
        <w:pStyle w:val="62"/>
      </w:pPr>
      <w:r>
        <w:rPr>
          <w:rFonts w:hint="eastAsia"/>
        </w:rPr>
        <w:t>（</w:t>
      </w:r>
      <w:r>
        <w:t>1994</w:t>
      </w:r>
      <w:r>
        <w:rPr>
          <w:spacing w:val="-2"/>
        </w:rPr>
        <w:t>年5月12日第八届全国人民代表大会常务委员会第七次会议通过</w:t>
      </w:r>
      <w:r>
        <w:rPr>
          <w:rFonts w:hint="eastAsia"/>
          <w:spacing w:val="-2"/>
        </w:rPr>
        <w:t>，</w:t>
      </w:r>
      <w:r>
        <w:t>根据2010年4月29日第十一届全国人民代表大会常务委员会第十四次会议《关于修改〈中华人民共和国国家赔偿法〉的决定》第一次修正</w:t>
      </w:r>
      <w:r>
        <w:rPr>
          <w:rFonts w:hint="eastAsia"/>
        </w:rPr>
        <w:t>，</w:t>
      </w:r>
      <w:r>
        <w:t>根据20</w:t>
      </w:r>
      <w:r>
        <w:rPr>
          <w:spacing w:val="-2"/>
        </w:rPr>
        <w:t>12年10月26日第十一届全国人民代表大会常务委员会第二十九次会议《关于修改〈中华人民共和国国家赔偿法〉的决定》第二次修正</w:t>
      </w:r>
      <w:r>
        <w:rPr>
          <w:rFonts w:hint="eastAsia"/>
        </w:rPr>
        <w:t>）</w:t>
      </w:r>
    </w:p>
    <w:p>
      <w:pPr>
        <w:pStyle w:val="63"/>
        <w:spacing w:before="218" w:after="218" w:line="412" w:lineRule="exact"/>
        <w:rPr>
          <w:szCs w:val="26"/>
        </w:rPr>
      </w:pPr>
      <w:r>
        <w:rPr>
          <w:rStyle w:val="30"/>
          <w:rFonts w:hint="eastAsia"/>
          <w:b w:val="0"/>
          <w:bCs/>
          <w:szCs w:val="21"/>
        </w:rPr>
        <w:t>第一章  总  则</w:t>
      </w:r>
    </w:p>
    <w:p>
      <w:pPr>
        <w:pStyle w:val="25"/>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第一条</w:t>
      </w:r>
      <w:r>
        <w:rPr>
          <w:rFonts w:ascii="Times New Roman" w:hAnsi="Times New Roman" w:cs="Times New Roman" w:eastAsiaTheme="minorEastAsia"/>
        </w:rPr>
        <w:t xml:space="preserve">  </w:t>
      </w:r>
      <w:r>
        <w:rPr>
          <w:rFonts w:ascii="Times New Roman" w:cs="Times New Roman" w:hAnsiTheme="minorEastAsia" w:eastAsiaTheme="minorEastAsia"/>
        </w:rPr>
        <w:t>为保障公民、法人和其他组织享有依法取得国家赔偿的权利，促进国家机关依法行使职权，根据宪法，制定本法。</w:t>
      </w:r>
    </w:p>
    <w:p>
      <w:pPr>
        <w:pStyle w:val="25"/>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第二条</w:t>
      </w:r>
      <w:r>
        <w:rPr>
          <w:rFonts w:ascii="Times New Roman" w:hAnsi="Times New Roman" w:cs="Times New Roman" w:eastAsiaTheme="minorEastAsia"/>
        </w:rPr>
        <w:t xml:space="preserve">  </w:t>
      </w:r>
      <w:r>
        <w:rPr>
          <w:rFonts w:ascii="Times New Roman" w:cs="Times New Roman" w:hAnsiTheme="minorEastAsia" w:eastAsiaTheme="minorEastAsia"/>
        </w:rPr>
        <w:t>国家机关和国家机关工作人员行使职权，有本法规定的侵犯公民、法人和其他组织合法权益的情形，造成损害的，受害人有依照本法取得国家赔偿的权利。</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本法规定的赔偿义务机关，应当依照本法及时履行赔偿义务。</w:t>
      </w:r>
    </w:p>
    <w:p>
      <w:pPr>
        <w:pStyle w:val="63"/>
        <w:spacing w:before="218" w:after="218" w:line="412" w:lineRule="exact"/>
        <w:rPr>
          <w:rStyle w:val="30"/>
          <w:bCs w:val="0"/>
          <w:szCs w:val="21"/>
        </w:rPr>
      </w:pPr>
      <w:r>
        <w:rPr>
          <w:rStyle w:val="30"/>
          <w:b w:val="0"/>
          <w:bCs/>
          <w:szCs w:val="21"/>
        </w:rPr>
        <w:t>第二章  行政赔偿</w:t>
      </w:r>
    </w:p>
    <w:p>
      <w:pPr>
        <w:pStyle w:val="64"/>
        <w:spacing w:before="156" w:after="156"/>
        <w:rPr>
          <w:rFonts w:hAnsi="Times New Roman"/>
        </w:rPr>
      </w:pPr>
      <w:r>
        <w:t>第一节</w:t>
      </w:r>
      <w:r>
        <w:rPr>
          <w:rFonts w:hAnsi="Times New Roman"/>
        </w:rPr>
        <w:t xml:space="preserve">  </w:t>
      </w:r>
      <w:r>
        <w:t>赔偿范围</w:t>
      </w:r>
    </w:p>
    <w:p>
      <w:pPr>
        <w:pStyle w:val="25"/>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第三条</w:t>
      </w:r>
      <w:r>
        <w:rPr>
          <w:rFonts w:ascii="Times New Roman" w:hAnsi="Times New Roman" w:cs="Times New Roman" w:eastAsiaTheme="minorEastAsia"/>
        </w:rPr>
        <w:t xml:space="preserve">  </w:t>
      </w:r>
      <w:r>
        <w:rPr>
          <w:rFonts w:ascii="Times New Roman" w:cs="Times New Roman" w:hAnsiTheme="minorEastAsia" w:eastAsiaTheme="minorEastAsia"/>
        </w:rPr>
        <w:t>行政机关及其工作人员在行使行政职权时有下列侵犯人身权情形之一的，受害人有取得赔偿的权利：</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（一）违法拘留或者违法采取限制公民人身自由的行政强制措施的；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（二）非法拘禁或者以其他方法非法剥夺公民人身自由的；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（三）以殴打、虐待等行为或者唆使、放纵他人以殴打、虐待等行为造成公民身体伤害或者死亡的；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（四）违法使用武器、警械造成公民身体伤害或者死亡的；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（五）造成公民身体伤害或者死亡的其他违法行为。</w:t>
      </w:r>
    </w:p>
    <w:p>
      <w:pPr>
        <w:pStyle w:val="25"/>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第四条</w:t>
      </w:r>
      <w:r>
        <w:rPr>
          <w:rFonts w:ascii="Times New Roman" w:hAnsi="Times New Roman" w:cs="Times New Roman" w:eastAsiaTheme="minorEastAsia"/>
        </w:rPr>
        <w:t xml:space="preserve">  </w:t>
      </w:r>
      <w:r>
        <w:rPr>
          <w:rFonts w:ascii="Times New Roman" w:cs="Times New Roman" w:hAnsiTheme="minorEastAsia" w:eastAsiaTheme="minorEastAsia"/>
        </w:rPr>
        <w:t>行政机关及其工作人员在行使行政职权时有下列侵犯财产权情形之一的，受害人有取得赔偿的权利：</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（一）违法实施罚款、吊销许可证和执照、责令停产停业、没收财物等行政处罚的；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（二）违法对财产采取查封、扣押、冻结等行政强制措施的；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（三）违法征收、征用财产的；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（四）造成财产损害的其他违法行为。</w:t>
      </w:r>
    </w:p>
    <w:p>
      <w:pPr>
        <w:pStyle w:val="25"/>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第五条</w:t>
      </w:r>
      <w:r>
        <w:rPr>
          <w:rFonts w:ascii="Times New Roman" w:hAnsi="Times New Roman" w:cs="Times New Roman" w:eastAsiaTheme="minorEastAsia"/>
        </w:rPr>
        <w:t xml:space="preserve">  </w:t>
      </w:r>
      <w:r>
        <w:rPr>
          <w:rFonts w:ascii="Times New Roman" w:cs="Times New Roman" w:hAnsiTheme="minorEastAsia" w:eastAsiaTheme="minorEastAsia"/>
        </w:rPr>
        <w:t>属于下列情形之一的，国家不承担赔偿责任：</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（一）行政机关工作人员与行使职权无关的个人行为；</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（二）因公民、法人和其他组织自己的行为致使损害发生的；</w:t>
      </w:r>
    </w:p>
    <w:p>
      <w:pPr>
        <w:pStyle w:val="25"/>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（三）法律规定的其他情形。</w:t>
      </w:r>
    </w:p>
    <w:p>
      <w:pPr>
        <w:pStyle w:val="64"/>
        <w:spacing w:before="156" w:after="156"/>
        <w:rPr>
          <w:rFonts w:hAnsi="Times New Roman"/>
        </w:rPr>
      </w:pPr>
      <w:r>
        <w:t>第二节</w:t>
      </w:r>
      <w:r>
        <w:rPr>
          <w:rFonts w:hAnsi="Times New Roman"/>
        </w:rPr>
        <w:t xml:space="preserve">  </w:t>
      </w:r>
      <w:r>
        <w:t>赔偿请求人和赔偿义务机关</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受害的公民、法人和其他组织有权要求赔偿。</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受害的公民死亡，其继承人和其他有扶养关系的亲属有权要求赔偿。</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受害的法人或者其他组织终止的，其权利承受人有权要求赔偿。</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第七条</w:t>
      </w:r>
      <w:r>
        <w:rPr>
          <w:rFonts w:ascii="Times New Roman" w:hAnsi="Times New Roman" w:cs="Times New Roman" w:eastAsiaTheme="minorEastAsia"/>
        </w:rPr>
        <w:t xml:space="preserve">  </w:t>
      </w:r>
      <w:r>
        <w:rPr>
          <w:rFonts w:ascii="Times New Roman" w:cs="Times New Roman" w:hAnsiTheme="minorEastAsia" w:eastAsiaTheme="minorEastAsia"/>
        </w:rPr>
        <w:t>行政机关及其工作人员行使行政职权侵犯公民、法人和其他组织的合法权益造成损害的，该行政机关为赔偿义务机关。</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两个以上行政机关共同行使行政职权时侵犯公民、法人和其他组织的合法权益造成损害的，共同行使行政职权的行政机关为共同赔偿义务机关。</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法律、法规授权的组织在行使授予的行政权力时侵犯公民、法人和其他组织的合法权益造成损害的，被授权的组织为赔偿义务机关。</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受行政机关委托的组织或者个人在行使受委托的行政权力时侵犯公民、法人和其他组织的合法权益造成损害的，委托的行政机关为赔偿义务机关。</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赔偿义务机关被撤销的，继续行使其职权的行政机关为赔偿义务机关；没有继续行使其职权的行政机关的，撤销该赔偿义务机关的行政机关为赔偿义务机关。</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第八条</w:t>
      </w:r>
      <w:r>
        <w:rPr>
          <w:rStyle w:val="30"/>
          <w:rFonts w:ascii="Times New Roman" w:hAnsi="Times New Roman" w:cs="Times New Roman" w:eastAsiaTheme="minorEastAsia"/>
        </w:rPr>
        <w:t xml:space="preserve">  </w:t>
      </w:r>
      <w:r>
        <w:rPr>
          <w:rFonts w:ascii="Times New Roman" w:cs="Times New Roman" w:hAnsiTheme="minorEastAsia" w:eastAsiaTheme="minorEastAsia"/>
        </w:rPr>
        <w:t>经复议机关复议的，最初造成侵权行为的行政机关为赔偿义务机关，但复议机关的复议决定加重损害的，复议机关对加重的部分履行赔偿义务。</w:t>
      </w:r>
    </w:p>
    <w:p>
      <w:pPr>
        <w:pStyle w:val="64"/>
        <w:spacing w:before="156" w:after="156"/>
        <w:rPr>
          <w:rFonts w:hAnsi="Times New Roman"/>
        </w:rPr>
      </w:pPr>
      <w:r>
        <w:t>第三节</w:t>
      </w:r>
      <w:r>
        <w:rPr>
          <w:rFonts w:hAnsi="Times New Roman"/>
        </w:rPr>
        <w:t xml:space="preserve">  </w:t>
      </w:r>
      <w:r>
        <w:t>赔偿程序</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第九条</w:t>
      </w:r>
      <w:r>
        <w:rPr>
          <w:rFonts w:ascii="Times New Roman" w:hAnsi="Times New Roman" w:cs="Times New Roman" w:eastAsiaTheme="minorEastAsia"/>
        </w:rPr>
        <w:t xml:space="preserve">  </w:t>
      </w:r>
      <w:r>
        <w:rPr>
          <w:rFonts w:ascii="Times New Roman" w:cs="Times New Roman" w:hAnsiTheme="minorEastAsia" w:eastAsiaTheme="minorEastAsia"/>
        </w:rPr>
        <w:t>赔偿义务机关有本法第三条、第四条规定情形之一的，应当给予赔偿。</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赔偿请求人要求赔偿，应当先向赔偿义务机关提出，也可以在申请行政复议或者提起行政诉讼时一并提出。</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第十条</w:t>
      </w:r>
      <w:r>
        <w:rPr>
          <w:rFonts w:ascii="Times New Roman" w:hAnsi="Times New Roman" w:cs="Times New Roman" w:eastAsiaTheme="minorEastAsia"/>
        </w:rPr>
        <w:t xml:space="preserve">  </w:t>
      </w:r>
      <w:r>
        <w:rPr>
          <w:rFonts w:ascii="Times New Roman" w:cs="Times New Roman" w:hAnsiTheme="minorEastAsia" w:eastAsiaTheme="minorEastAsia"/>
        </w:rPr>
        <w:t>赔偿请求人可以向共同赔偿义务机关中的任何一个赔偿义务机关要求赔偿，该赔偿义务机关应当先予赔偿。</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第十一条</w:t>
      </w:r>
      <w:r>
        <w:rPr>
          <w:rStyle w:val="30"/>
          <w:rFonts w:ascii="Times New Roman" w:hAnsi="Times New Roman" w:cs="Times New Roman" w:eastAsiaTheme="minorEastAsia"/>
        </w:rPr>
        <w:t xml:space="preserve">  </w:t>
      </w:r>
      <w:r>
        <w:rPr>
          <w:rFonts w:ascii="Times New Roman" w:cs="Times New Roman" w:hAnsiTheme="minorEastAsia" w:eastAsiaTheme="minorEastAsia"/>
        </w:rPr>
        <w:t>赔偿请求人根据受到的不同损害，可以同时提出数项赔偿要求。</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第十二条</w:t>
      </w:r>
      <w:r>
        <w:rPr>
          <w:rStyle w:val="30"/>
          <w:rFonts w:ascii="Times New Roman" w:hAnsi="Times New Roman" w:cs="Times New Roman" w:eastAsiaTheme="minorEastAsia"/>
        </w:rPr>
        <w:t xml:space="preserve">  </w:t>
      </w:r>
      <w:r>
        <w:rPr>
          <w:rFonts w:ascii="Times New Roman" w:cs="Times New Roman" w:hAnsiTheme="minorEastAsia" w:eastAsiaTheme="minorEastAsia"/>
        </w:rPr>
        <w:t>要求赔偿应当递交申请书，申请书应当载明下列事项：</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（一）受害人的姓名、性别、年龄、工作单位和住所，法人或者其他组织的名称、住所和法定代表人或者主要负责人的姓名、职务；</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（二）具体的要求、事实根据和理由；</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（三）申请的年、月、日。</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赔偿请求人书写申请书确有困难的，可以委托他人代书；也可以口头申请，由赔偿义务机关记入笔录。</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赔偿请求人不是受害人本人的，应当说明与受害人的关系，并提供相应证明。</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当面递交申请书的，赔偿义务机关应当当场出具加盖本行政机关专用印章并注明收讫日期的书面凭证。申请材料不齐全的，赔偿义务机关应当当场或者在五日内一次性告知赔偿请求人需要补正的全部内容。</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第十三条</w:t>
      </w:r>
      <w:r>
        <w:rPr>
          <w:rFonts w:ascii="Times New Roman" w:hAnsi="Times New Roman" w:cs="Times New Roman" w:eastAsiaTheme="minorEastAsia"/>
        </w:rPr>
        <w:t xml:space="preserve">  </w:t>
      </w:r>
      <w:r>
        <w:rPr>
          <w:rFonts w:ascii="Times New Roman" w:cs="Times New Roman" w:hAnsiTheme="minorEastAsia" w:eastAsiaTheme="minorEastAsia"/>
        </w:rPr>
        <w:t>赔偿义务机关应当自收到申请之日起两个月内，作出是否赔偿的决定。赔偿义务机关作出赔偿决定，应当充分听取赔偿请求人的意见，并可以与赔偿请求人就赔偿方式、赔偿项目和赔偿数额依照本法第四章的规定进行协商。</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赔偿义务机关决定赔偿的，应当制作赔偿决定书，并自作出决定之日起十日内送达赔偿请求人。</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赔偿义务机关决定不予赔偿的，应当自作出决定之日起十日内书面通知赔偿请求人，并说明不予赔偿的理由。</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第十四条</w:t>
      </w:r>
      <w:r>
        <w:rPr>
          <w:rFonts w:ascii="Times New Roman" w:hAnsi="Times New Roman" w:cs="Times New Roman" w:eastAsiaTheme="minorEastAsia"/>
        </w:rPr>
        <w:t xml:space="preserve">  </w:t>
      </w:r>
      <w:r>
        <w:rPr>
          <w:rFonts w:ascii="Times New Roman" w:cs="Times New Roman" w:hAnsiTheme="minorEastAsia" w:eastAsiaTheme="minorEastAsia"/>
        </w:rPr>
        <w:t>赔偿义务机关在规定期限内未作出是否赔偿的决定，赔偿请求人可以自期限届满之日起三个月内，向人民法院提起诉讼。</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赔偿请求人对赔偿的方式、项目、数额有异议的，或者赔偿义务机关作出不予赔偿决定的，赔偿请求人可以自赔偿义务机关作出赔偿或者不予赔偿决定之日起三个月内，向人民法院提起诉讼。</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第十五条</w:t>
      </w:r>
      <w:r>
        <w:rPr>
          <w:rFonts w:ascii="Times New Roman" w:hAnsi="Times New Roman" w:cs="Times New Roman" w:eastAsiaTheme="minorEastAsia"/>
        </w:rPr>
        <w:t xml:space="preserve">  </w:t>
      </w:r>
      <w:r>
        <w:rPr>
          <w:rFonts w:ascii="Times New Roman" w:cs="Times New Roman" w:hAnsiTheme="minorEastAsia" w:eastAsiaTheme="minorEastAsia"/>
        </w:rPr>
        <w:t>人民法院审理行政赔偿案件，赔偿请求人和赔偿义务机关对自己提出的主张，应当提供证据。</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采取行政拘留或者限制人身自由的强制措施期间，被限制人身自由的人死亡或者丧失行为能力的，赔偿义务机关的行为与被限制人身自由的人的死亡或者丧失行为能力是否存在因果关系，赔偿义务机关应当提供证据。</w:t>
      </w:r>
    </w:p>
    <w:p>
      <w:pPr>
        <w:pStyle w:val="25"/>
        <w:widowControl w:val="0"/>
        <w:shd w:val="clear" w:color="auto" w:fill="FFFFFF"/>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第十六条</w:t>
      </w:r>
      <w:r>
        <w:rPr>
          <w:rStyle w:val="30"/>
          <w:rFonts w:ascii="Times New Roman" w:hAnsi="Times New Roman" w:cs="Times New Roman" w:eastAsiaTheme="minorEastAsia"/>
        </w:rPr>
        <w:t xml:space="preserve">  </w:t>
      </w:r>
      <w:r>
        <w:rPr>
          <w:rFonts w:ascii="Times New Roman" w:cs="Times New Roman" w:hAnsiTheme="minorEastAsia" w:eastAsiaTheme="minorEastAsia"/>
        </w:rPr>
        <w:t>赔偿义务机关赔偿损失后，应当责令有故意或者重大过失的工作人员或者受委托的组织或者个人承担部分或者全部赔偿费用。</w:t>
      </w:r>
    </w:p>
    <w:p>
      <w:pPr>
        <w:pStyle w:val="25"/>
        <w:widowControl w:val="0"/>
        <w:shd w:val="clear" w:color="auto" w:fill="FFFFFF"/>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对有故意或者重大过失的责任人员，有关机关应当依法给予处分；构成犯罪的，应当依法追究刑事责任。</w:t>
      </w:r>
    </w:p>
    <w:p>
      <w:pPr>
        <w:pStyle w:val="63"/>
        <w:spacing w:before="218" w:after="218" w:line="412" w:lineRule="exact"/>
        <w:rPr>
          <w:rStyle w:val="30"/>
          <w:bCs w:val="0"/>
          <w:szCs w:val="21"/>
        </w:rPr>
      </w:pPr>
      <w:r>
        <w:rPr>
          <w:rStyle w:val="30"/>
          <w:b w:val="0"/>
          <w:bCs/>
          <w:szCs w:val="21"/>
        </w:rPr>
        <w:t>第三章  刑事赔偿</w:t>
      </w:r>
    </w:p>
    <w:p>
      <w:pPr>
        <w:pStyle w:val="64"/>
        <w:spacing w:before="156" w:after="156"/>
        <w:rPr>
          <w:rFonts w:hAnsi="Times New Roman"/>
        </w:rPr>
      </w:pPr>
      <w:r>
        <w:t>第一节</w:t>
      </w:r>
      <w:r>
        <w:rPr>
          <w:rFonts w:hAnsi="Times New Roman"/>
        </w:rPr>
        <w:t xml:space="preserve">  </w:t>
      </w:r>
      <w:r>
        <w:t>赔偿范围</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第十七条</w:t>
      </w:r>
      <w:r>
        <w:rPr>
          <w:rFonts w:ascii="Times New Roman" w:hAnsi="Times New Roman" w:cs="Times New Roman" w:eastAsiaTheme="minorEastAsia"/>
        </w:rPr>
        <w:t xml:space="preserve">  </w:t>
      </w:r>
      <w:r>
        <w:rPr>
          <w:rFonts w:ascii="Times New Roman" w:cs="Times New Roman" w:hAnsiTheme="minorEastAsia" w:eastAsiaTheme="minorEastAsia"/>
        </w:rPr>
        <w:t>行使侦查、检察、审判职权的机关以及看守所、监狱管理机关及其工作人员在行使职权时有下列侵犯人身权情形之一的，受害人有取得赔偿的权利：</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违反刑事诉讼法的规定对公民采取拘留措施的，或者依照刑事诉讼法规定的条件和程序对公民采取拘留措施，但是拘留时间超过刑事诉讼法规定的时限，其后决定撤销案件、不起诉或者判决宣告无罪终止追究刑事责任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（二）对公民采取逮捕措施后，决定撤销案件、不起诉或者判决宣告无罪终止追究刑事责任的；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（三）依照审判监督程序再审改判无罪，原判刑罚已经执行的；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（四）刑讯逼供或者以殴打、虐待等行为或者唆使、放纵他人以殴打、虐待等行为造成公民身体伤害或者死亡的；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（五）违法使用武器、警械造成公民身体伤害或者死亡的。</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第十八条</w:t>
      </w:r>
      <w:r>
        <w:rPr>
          <w:rFonts w:ascii="Times New Roman" w:hAnsi="Times New Roman" w:cs="Times New Roman" w:eastAsiaTheme="minorEastAsia"/>
        </w:rPr>
        <w:t xml:space="preserve">  </w:t>
      </w:r>
      <w:r>
        <w:rPr>
          <w:rFonts w:ascii="Times New Roman" w:cs="Times New Roman" w:hAnsiTheme="minorEastAsia" w:eastAsiaTheme="minorEastAsia"/>
        </w:rPr>
        <w:t>行使侦查、检察、审判职权的机关以及看守所、监狱管理机关及其工作人员在行使职权时有下列侵犯财产权情形之一的，受害人有取得赔偿的权利：</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（一）违法对财产采取查封、扣押、冻结、追缴等措施的；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（二）依照审判监督程序再审改判无罪，原判罚金、没收财产已经执行的。</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第十九条</w:t>
      </w:r>
      <w:r>
        <w:rPr>
          <w:rFonts w:ascii="Times New Roman" w:hAnsi="Times New Roman" w:cs="Times New Roman" w:eastAsiaTheme="minorEastAsia"/>
        </w:rPr>
        <w:t xml:space="preserve">  </w:t>
      </w:r>
      <w:r>
        <w:rPr>
          <w:rFonts w:ascii="Times New Roman" w:cs="Times New Roman" w:hAnsiTheme="minorEastAsia" w:eastAsiaTheme="minorEastAsia"/>
        </w:rPr>
        <w:t>属于下列情形之一的，国家不承担赔偿责任：</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（一）因公民自己故意作虚伪供述，或者伪造其他有罪证据被羁押或者被判处刑罚的；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（二）依照刑法第十七条、第十八条规定不负刑事责任的人被羁押的；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（三）依照刑事诉讼法第十五条、第一百七十三条第二款、第二百七十三条第二款、第二百七十九条规定不追究刑事责任的人被羁押的；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（四）行使侦查、检察、审判职权的机关以及看守所、监狱管理机关的工作人员与行使职权无关的个人行为；</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（五）因公民自伤、自残等故意行为致使损害发生的；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（六）法律规定的其他情形。</w:t>
      </w:r>
    </w:p>
    <w:p>
      <w:pPr>
        <w:pStyle w:val="64"/>
        <w:spacing w:before="156" w:after="156"/>
        <w:rPr>
          <w:rFonts w:hAnsi="Times New Roman"/>
        </w:rPr>
      </w:pPr>
      <w:r>
        <w:t>第二节</w:t>
      </w:r>
      <w:r>
        <w:rPr>
          <w:rFonts w:hAnsi="Times New Roman"/>
        </w:rPr>
        <w:t xml:space="preserve">  </w:t>
      </w:r>
      <w:r>
        <w:t>赔偿请求人和赔偿义务机关</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第二十条</w:t>
      </w:r>
      <w:r>
        <w:rPr>
          <w:rFonts w:ascii="Times New Roman" w:hAnsi="Times New Roman" w:cs="Times New Roman" w:eastAsiaTheme="minorEastAsia"/>
        </w:rPr>
        <w:t xml:space="preserve">  </w:t>
      </w:r>
      <w:r>
        <w:rPr>
          <w:rFonts w:ascii="Times New Roman" w:cs="Times New Roman" w:hAnsiTheme="minorEastAsia" w:eastAsiaTheme="minorEastAsia"/>
        </w:rPr>
        <w:t>赔偿请求人的确定依照本法第六条的规定。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第二十一条</w:t>
      </w:r>
      <w:r>
        <w:rPr>
          <w:rFonts w:ascii="Times New Roman" w:hAnsi="Times New Roman" w:cs="Times New Roman" w:eastAsiaTheme="minorEastAsia"/>
        </w:rPr>
        <w:t xml:space="preserve">  </w:t>
      </w:r>
      <w:r>
        <w:rPr>
          <w:rFonts w:ascii="Times New Roman" w:cs="Times New Roman" w:hAnsiTheme="minorEastAsia" w:eastAsiaTheme="minorEastAsia"/>
        </w:rPr>
        <w:t>行使侦查、检察、审判职权的机关以及看守所、监狱管理机关及其工作人员在行使职权时侵犯公民、法人和其他组织的合法权益造成损害的，该机关为赔偿义务机关。</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对公民采取拘留措施，依照本法的规定应当给予国家赔偿的，作出拘留决定的机关为赔偿义务机关。</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对公民采取逮捕措施后决定撤销案件、不起诉或者判决宣告无罪的，作出逮捕决定的机关为赔偿义务机关。</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再审改判无罪的，作出原生效判决的人民法院为赔偿义务机关。二审改判无罪，以及二审发回重审后作无罪处理的，作出一审有罪判决的人民法院为赔偿义务机关。</w:t>
      </w:r>
    </w:p>
    <w:p>
      <w:pPr>
        <w:pStyle w:val="64"/>
        <w:spacing w:before="156" w:after="156"/>
        <w:rPr>
          <w:rFonts w:hAnsi="Times New Roman"/>
        </w:rPr>
      </w:pPr>
      <w:r>
        <w:t>第三节</w:t>
      </w:r>
      <w:r>
        <w:rPr>
          <w:rFonts w:hAnsi="Times New Roman"/>
        </w:rPr>
        <w:t xml:space="preserve">  </w:t>
      </w:r>
      <w:r>
        <w:t>赔偿程序</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第二十二条</w:t>
      </w:r>
      <w:r>
        <w:rPr>
          <w:rFonts w:ascii="Times New Roman" w:hAnsi="Times New Roman" w:cs="Times New Roman" w:eastAsiaTheme="minorEastAsia"/>
        </w:rPr>
        <w:t xml:space="preserve">  </w:t>
      </w:r>
      <w:r>
        <w:rPr>
          <w:rFonts w:ascii="Times New Roman" w:cs="Times New Roman" w:hAnsiTheme="minorEastAsia" w:eastAsiaTheme="minorEastAsia"/>
        </w:rPr>
        <w:t>赔偿义务机关有本法第十七条、第十八条规定情形之一的，应当给予赔偿。</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赔偿请求人要求赔偿，应当先向赔偿义务机关提出。</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赔偿请求人提出赔偿请求，适用本法第十一条、第十二条的规定。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第二十三条</w:t>
      </w:r>
      <w:r>
        <w:rPr>
          <w:rFonts w:ascii="Times New Roman" w:hAnsi="Times New Roman" w:cs="Times New Roman" w:eastAsiaTheme="minorEastAsia"/>
        </w:rPr>
        <w:t xml:space="preserve">  </w:t>
      </w:r>
      <w:r>
        <w:rPr>
          <w:rFonts w:ascii="Times New Roman" w:cs="Times New Roman" w:hAnsiTheme="minorEastAsia" w:eastAsiaTheme="minorEastAsia"/>
        </w:rPr>
        <w:t>赔偿义务机关应当自收到申请之日起两个月内，作出是否赔偿的决定。赔偿义务机关作出赔偿决定，应当充分听取赔偿请求人的意见，并可以与赔偿请求人就赔偿方式、赔偿项目和赔偿数额依照本法第四章的规定进行协商。</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赔偿义务机关决定赔偿的，应当制作赔偿决定书，并自作出决定之日起十日内送达赔偿请求人。</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赔偿义务机关决定不予赔偿的，应当自作出决定之日起十日内书面通知赔偿请求人，并说明不予赔偿的理由。</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第二十四条</w:t>
      </w:r>
      <w:r>
        <w:rPr>
          <w:rFonts w:ascii="Times New Roman" w:hAnsi="Times New Roman" w:cs="Times New Roman" w:eastAsiaTheme="minorEastAsia"/>
        </w:rPr>
        <w:t xml:space="preserve">  </w:t>
      </w:r>
      <w:r>
        <w:rPr>
          <w:rFonts w:ascii="Times New Roman" w:cs="Times New Roman" w:hAnsiTheme="minorEastAsia" w:eastAsiaTheme="minorEastAsia"/>
        </w:rPr>
        <w:t>赔偿义务机关在规定期限内未作出是否赔偿的决定，赔偿请求人可以自期限届满之日起三十日内向赔偿义务机关的上一级机关申请复议。</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赔偿请求人对赔偿的方式、项目、数额有异议的，或者赔偿义务机关作出不予赔偿决定的，赔偿请求人可以自赔偿义务机关作出赔偿或者不予赔偿决定之日起三十日内，向赔偿义务机关的上一级机关申请复议。</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赔偿义务机关是人民法院的，赔偿请求人可以依照本条规定向其上一级人民法院赔偿委员会申请作出赔偿决定。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第二十五条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复议机关应当自收到申请之日起两个月内作出决定。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不服复议决定的，可以在收到复议决定之日起三十日内向复议机关所在地的同级人民法院赔偿委员会申请作出赔偿决定；复议机关逾期不作决定的，赔偿请求人可以自期限届满之日起三十日内向复议机关所在地的同级人民法院赔偿委员会申请作出赔偿决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第二十六条</w:t>
      </w:r>
      <w:r>
        <w:rPr>
          <w:rFonts w:ascii="Times New Roman" w:hAnsi="Times New Roman" w:cs="Times New Roman" w:eastAsiaTheme="minorEastAsia"/>
        </w:rPr>
        <w:t xml:space="preserve">  </w:t>
      </w:r>
      <w:r>
        <w:rPr>
          <w:rFonts w:ascii="Times New Roman" w:cs="Times New Roman" w:hAnsiTheme="minorEastAsia" w:eastAsiaTheme="minorEastAsia"/>
        </w:rPr>
        <w:t>人民法院赔偿委员会处理赔偿请求，赔偿请求人和赔偿义务机关对自己提出的主张，应当提供证据。</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被羁押人在羁押期间死亡或者丧失行为能力的，赔偿义务机关的行为与被羁押人的死亡或者丧失行为能力是否存在因果关系，赔偿义务机关应当提供证据。</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第二十七条</w:t>
      </w:r>
      <w:r>
        <w:rPr>
          <w:rStyle w:val="30"/>
          <w:rFonts w:ascii="Times New Roman" w:hAnsi="Times New Roman" w:cs="Times New Roman" w:eastAsiaTheme="minorEastAsia"/>
        </w:rPr>
        <w:t xml:space="preserve">  </w:t>
      </w:r>
      <w:r>
        <w:rPr>
          <w:rFonts w:ascii="Times New Roman" w:cs="Times New Roman" w:hAnsiTheme="minorEastAsia" w:eastAsiaTheme="minorEastAsia"/>
        </w:rPr>
        <w:t>人民法院赔偿委员会处理赔偿请求，采取书面审查的办法。必要时，可以向有关单位和人员调查情况、收集证据。赔偿请求人与赔偿义务机关对损害事实及因果关系有争议的，赔偿委员会可以听取赔偿请求人和赔偿义务机关的陈述和申辩，并可以进行质证。</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第二十八条</w:t>
      </w:r>
      <w:r>
        <w:rPr>
          <w:rFonts w:ascii="Times New Roman" w:hAnsi="Times New Roman" w:cs="Times New Roman" w:eastAsiaTheme="minorEastAsia"/>
        </w:rPr>
        <w:t xml:space="preserve">  </w:t>
      </w:r>
      <w:r>
        <w:rPr>
          <w:rFonts w:ascii="Times New Roman" w:cs="Times New Roman" w:hAnsiTheme="minorEastAsia" w:eastAsiaTheme="minorEastAsia"/>
        </w:rPr>
        <w:t>人民法院赔偿委员会应当自收到赔偿申请之日起三个月内作出决定；属于疑难、复杂、重大案件的，经本院院长批准，可以延长三个月。</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第二十九条</w:t>
      </w:r>
      <w:r>
        <w:rPr>
          <w:rFonts w:ascii="Times New Roman" w:hAnsi="Times New Roman" w:cs="Times New Roman" w:eastAsiaTheme="minorEastAsia"/>
        </w:rPr>
        <w:t xml:space="preserve">  </w:t>
      </w:r>
      <w:r>
        <w:rPr>
          <w:rFonts w:ascii="Times New Roman" w:cs="Times New Roman" w:hAnsiTheme="minorEastAsia" w:eastAsiaTheme="minorEastAsia"/>
        </w:rPr>
        <w:t>中级以上的人民法院设立赔偿委员会，由人民法院三名以上审判员组成，组成人员的人数应当为单数。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赔偿委员会作赔偿决定，实行少数服从多数的原则。</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赔偿委员会作出的赔偿决定，是发生法律效力的决定，必须执行。</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第三十条</w:t>
      </w:r>
      <w:r>
        <w:rPr>
          <w:rFonts w:ascii="Times New Roman" w:hAnsi="Times New Roman" w:cs="Times New Roman" w:eastAsiaTheme="minorEastAsia"/>
        </w:rPr>
        <w:t xml:space="preserve">  </w:t>
      </w:r>
      <w:r>
        <w:rPr>
          <w:rFonts w:ascii="Times New Roman" w:cs="Times New Roman" w:hAnsiTheme="minorEastAsia" w:eastAsiaTheme="minorEastAsia"/>
        </w:rPr>
        <w:t>赔偿请求人或者赔偿义务机关对赔偿委员会作出的决定，认为确有错误的，可以向上一级人民法院赔偿委员会提出申诉。</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委员会作出的赔偿决定生效后，如发现赔偿决定违反本法规定的，经本院院长决定或者上级人民法院指令，赔偿委员会应当在两个月内重新审查并依法作出决定，上一级人民法院赔偿委员会也可以直接审查并作出决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最高人民检察院对各级人民法院赔偿委员会作出的决定，上级人民检察院对下级人民法院赔偿委员会作出的决定，发现违反本法规定的，应当向同级人民法院赔偿委员会提出意见，同级人民法院赔偿委员会应当在两个月内重新审查并依法作出决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第三十一条</w:t>
      </w:r>
      <w:r>
        <w:rPr>
          <w:rFonts w:ascii="Times New Roman" w:hAnsi="Times New Roman" w:cs="Times New Roman" w:eastAsiaTheme="minorEastAsia"/>
        </w:rPr>
        <w:t xml:space="preserve">  </w:t>
      </w:r>
      <w:r>
        <w:rPr>
          <w:rFonts w:ascii="Times New Roman" w:cs="Times New Roman" w:hAnsiTheme="minorEastAsia" w:eastAsiaTheme="minorEastAsia"/>
        </w:rPr>
        <w:t>赔偿义务机关赔偿后，应当向有下列情形之一的工作人员追偿部分或者全部赔偿费用：</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（一）有本法第十七条第四项、第五项规定情形的；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（二）在处理案件中有贪污受贿，徇私舞弊，枉法裁判行为的。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对有前款规定情形的责任人员，有关机关应当依法给予处分；构成犯罪的，应当依法追究刑事责任。</w:t>
      </w:r>
    </w:p>
    <w:p>
      <w:pPr>
        <w:pStyle w:val="63"/>
        <w:spacing w:before="218" w:after="218" w:line="412" w:lineRule="exact"/>
        <w:rPr>
          <w:rStyle w:val="30"/>
          <w:bCs w:val="0"/>
          <w:szCs w:val="21"/>
        </w:rPr>
      </w:pPr>
      <w:r>
        <w:rPr>
          <w:rStyle w:val="30"/>
          <w:b w:val="0"/>
          <w:bCs/>
          <w:szCs w:val="21"/>
        </w:rPr>
        <w:t>第四章  赔偿方式和计算标准</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第三十二条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国家赔偿以支付赔偿金为主要方式。</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能够返还财产或者恢复原状的，予以返还财产或者恢复原状。</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第三十三条</w:t>
      </w:r>
      <w:r>
        <w:rPr>
          <w:rFonts w:ascii="Times New Roman" w:hAnsi="Times New Roman" w:cs="Times New Roman" w:eastAsiaTheme="minorEastAsia"/>
        </w:rPr>
        <w:t xml:space="preserve">  </w:t>
      </w:r>
      <w:r>
        <w:rPr>
          <w:rFonts w:ascii="Times New Roman" w:cs="Times New Roman" w:hAnsiTheme="minorEastAsia" w:eastAsiaTheme="minorEastAsia"/>
        </w:rPr>
        <w:t>侵犯公民人身自由的，每日赔偿金按照国家上年度职工日平均工资计算。</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第三十四条</w:t>
      </w:r>
      <w:r>
        <w:rPr>
          <w:rStyle w:val="30"/>
          <w:rFonts w:ascii="Times New Roman" w:hAnsi="Times New Roman" w:cs="Times New Roman" w:eastAsiaTheme="minorEastAsia"/>
        </w:rPr>
        <w:t xml:space="preserve">  </w:t>
      </w:r>
      <w:r>
        <w:rPr>
          <w:rFonts w:ascii="Times New Roman" w:cs="Times New Roman" w:hAnsiTheme="minorEastAsia" w:eastAsiaTheme="minorEastAsia"/>
        </w:rPr>
        <w:t>侵犯公民生命健康权的，赔偿金按照下列规定计算：</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（一）造成身体伤害的，应当支付医疗费、护理费，以及赔偿因误工减少的收入。减少的收入每日的赔偿金按照国家上年度职工日平均工资计算，最高额为国家上年度职工年平均工资的五倍；</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造成部分或者全部丧失劳动能力的，应当支付医疗费、护理费、残疾生活辅助具费、康复费等因残疾而增加的必要支出和继续治疗所必需的费用，以及残疾赔偿金。残疾赔偿金根据丧失劳动能力的程度，按照国家规定的伤残等级确定，最高不超过国家上年度职工年平均工资的二十倍。造成全部丧失劳动能力的，对其扶养的无劳动能力的人，还应当支付生活费；</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（三）造成死亡的，应当支付死亡赔偿金、丧葬费，总额为国家上年度职工年平均工资的二十倍。对死者生前扶养的无劳动能力的人，还应当支付生活费。</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前款第二项、第三项规定的生活费的发放标准，参照当地最低生活保障标准执行。被扶养的人是未成年人的，生活费给付至十八周岁止；其他无劳动能力的人，生活费给付至死亡时止。</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第三十五条</w:t>
      </w:r>
      <w:r>
        <w:rPr>
          <w:rFonts w:ascii="Times New Roman" w:hAnsi="Times New Roman" w:cs="Times New Roman" w:eastAsiaTheme="minorEastAsia"/>
        </w:rPr>
        <w:t xml:space="preserve">  </w:t>
      </w:r>
      <w:r>
        <w:rPr>
          <w:rFonts w:ascii="Times New Roman" w:cs="Times New Roman" w:hAnsiTheme="minorEastAsia" w:eastAsiaTheme="minorEastAsia"/>
        </w:rPr>
        <w:t>有本法第三条或者第十七条规定情形之一，致人精神损害的，应当在侵权行为影响的范围内，为受害人消除影响，恢复名誉，赔礼道歉；造成严重后果的，应当支付相应的精神损害抚慰金。</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第三十六条</w:t>
      </w:r>
      <w:r>
        <w:rPr>
          <w:rFonts w:ascii="Times New Roman" w:hAnsi="Times New Roman" w:cs="Times New Roman" w:eastAsiaTheme="minorEastAsia"/>
        </w:rPr>
        <w:t xml:space="preserve">  </w:t>
      </w:r>
      <w:r>
        <w:rPr>
          <w:rFonts w:ascii="Times New Roman" w:cs="Times New Roman" w:hAnsiTheme="minorEastAsia" w:eastAsiaTheme="minorEastAsia"/>
        </w:rPr>
        <w:t>侵犯公民、法人和其他组织的财产权造成损害的，按照下列规定处理：</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（一）处罚款、罚金、追缴、没收财产或者违法征收、征用财产的，返还财产；</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（二）查封、扣押、冻结财产的，解除对财产的查封、扣押、冻结，造成财产损坏或者灭失的，依照本条第三项、第四项的规定赔偿；</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（三）应当返还的财产损坏的，能够恢复原状的恢复原状，不能恢复原状的，按照损害程度给付相应的赔偿金；</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（四）应当返还的财产灭失的，给付相应的赔偿金；</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（五）财产已经拍卖或者变卖的，给付拍卖或者变卖所得的价款；变卖的价款明显低于财产价值的，应当支付相应的赔偿金；</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（六）吊销许可证和执照、责令停产停业的，赔偿停产停业期间必要的经常性费用开支；</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（七）返还执行的罚款或者罚金、追缴或者没收的金钱，解除冻结的存款或者汇款的，应当支付银行同期存款利息；</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（八）对财产权造成其他损害的，按照直接损失给予赔偿。</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第三十七条</w:t>
      </w:r>
      <w:r>
        <w:rPr>
          <w:rStyle w:val="30"/>
          <w:rFonts w:ascii="Times New Roman" w:hAnsi="Times New Roman" w:cs="Times New Roman" w:eastAsiaTheme="minorEastAsia"/>
        </w:rPr>
        <w:t xml:space="preserve">  </w:t>
      </w:r>
      <w:r>
        <w:rPr>
          <w:rFonts w:ascii="Times New Roman" w:cs="Times New Roman" w:hAnsiTheme="minorEastAsia" w:eastAsiaTheme="minorEastAsia"/>
        </w:rPr>
        <w:t>赔偿费用列入各级财政预算。</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赔偿请求人凭生效的判决书、复议决定书、赔偿决定书或者调解书，向赔偿义务机关申请支付赔偿金。</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赔偿义务机关应当自收到支付赔偿金申请之日起七日内，依照预算管理权限向有关的财政部门提出支付申请。财政部门应当自收到支付申请之日起十五日内支付赔偿金。</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赔偿费用预算与支付管理的具体办法由国务院规定。</w:t>
      </w:r>
    </w:p>
    <w:p>
      <w:pPr>
        <w:pStyle w:val="63"/>
        <w:spacing w:before="218" w:after="218" w:line="412" w:lineRule="exact"/>
        <w:rPr>
          <w:rStyle w:val="30"/>
          <w:bCs w:val="0"/>
          <w:szCs w:val="21"/>
        </w:rPr>
      </w:pPr>
      <w:r>
        <w:rPr>
          <w:rStyle w:val="30"/>
          <w:b w:val="0"/>
          <w:bCs/>
          <w:szCs w:val="21"/>
        </w:rPr>
        <w:t>第五章  其他规定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第三十八条</w:t>
      </w:r>
      <w:r>
        <w:rPr>
          <w:rFonts w:ascii="Times New Roman" w:hAnsi="Times New Roman" w:cs="Times New Roman" w:eastAsiaTheme="minorEastAsia"/>
        </w:rPr>
        <w:t xml:space="preserve">  </w:t>
      </w:r>
      <w:r>
        <w:rPr>
          <w:rFonts w:ascii="Times New Roman" w:cs="Times New Roman" w:hAnsiTheme="minorEastAsia" w:eastAsiaTheme="minorEastAsia"/>
        </w:rPr>
        <w:t>人民法院在民事诉讼、行政诉讼过程中，违法采取对妨害诉讼的强制措施、保全措施或者对判决、裁定及其他生效法律文书执行错误，造成损害的，赔偿请求人要求赔偿的程序，适用本法刑事赔偿程序的规定。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第三十九条</w:t>
      </w:r>
      <w:r>
        <w:rPr>
          <w:rFonts w:ascii="Times New Roman" w:hAnsi="Times New Roman" w:cs="Times New Roman" w:eastAsiaTheme="minorEastAsia"/>
        </w:rPr>
        <w:t xml:space="preserve">  </w:t>
      </w:r>
      <w:r>
        <w:rPr>
          <w:rFonts w:ascii="Times New Roman" w:cs="Times New Roman" w:hAnsiTheme="minorEastAsia" w:eastAsiaTheme="minorEastAsia"/>
        </w:rPr>
        <w:t>赔偿请求人请求国家赔偿的时效为两年，自其知道或者应当知道国家机关及其工作人员行使职权时的行为侵犯其人身权、财产权之日起计算，但被羁押等限制人身自由期间不计算在内。在申请行政复议或者提起行政诉讼时一并提出赔偿请求的，适用行政复议法、行政诉讼法有关时效的规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赔偿</w:t>
      </w:r>
      <w:r>
        <w:rPr>
          <w:rFonts w:ascii="Times New Roman" w:cs="Times New Roman" w:hAnsiTheme="minorEastAsia" w:eastAsiaTheme="minorEastAsia"/>
          <w:spacing w:val="-4"/>
        </w:rPr>
        <w:t>请求人在赔偿请求时效的最后六个月内，因不可抗力或者其他障碍不能行使请求权的，时效中止。从中止时效的原因消除之日起，赔偿请求时效期间继续计算。</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第四十条</w:t>
      </w:r>
      <w:r>
        <w:rPr>
          <w:rFonts w:ascii="Times New Roman" w:hAnsi="Times New Roman" w:cs="Times New Roman" w:eastAsiaTheme="minorEastAsia"/>
        </w:rPr>
        <w:t xml:space="preserve">  </w:t>
      </w:r>
      <w:r>
        <w:rPr>
          <w:rFonts w:ascii="Times New Roman" w:cs="Times New Roman" w:hAnsiTheme="minorEastAsia" w:eastAsiaTheme="minorEastAsia"/>
        </w:rPr>
        <w:t>外国人、外国企业和组织在中华人民共和国领域内要求中华人民共和国国家赔偿的，适用本法。</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外国人、外国企业和组织的所属国对中华人民共和国公民、法人和其他组织要求该国国家赔偿的权利不予保护或者限制的，中华人民共和国与该外国人、外国企业和组织的所属国实行对等原则。</w:t>
      </w:r>
    </w:p>
    <w:p>
      <w:pPr>
        <w:pStyle w:val="63"/>
        <w:spacing w:before="218" w:after="218" w:line="412" w:lineRule="exact"/>
        <w:rPr>
          <w:rStyle w:val="30"/>
          <w:bCs w:val="0"/>
          <w:szCs w:val="21"/>
        </w:rPr>
      </w:pPr>
      <w:r>
        <w:rPr>
          <w:rStyle w:val="30"/>
          <w:b w:val="0"/>
          <w:bCs/>
          <w:szCs w:val="21"/>
        </w:rPr>
        <w:t>第六章  附 则</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第四十一条</w:t>
      </w:r>
      <w:r>
        <w:rPr>
          <w:rFonts w:ascii="Times New Roman" w:hAnsi="Times New Roman" w:cs="Times New Roman" w:eastAsiaTheme="minorEastAsia"/>
        </w:rPr>
        <w:t xml:space="preserve">  </w:t>
      </w:r>
      <w:r>
        <w:rPr>
          <w:rFonts w:ascii="Times New Roman" w:cs="Times New Roman" w:hAnsiTheme="minorEastAsia" w:eastAsiaTheme="minorEastAsia"/>
        </w:rPr>
        <w:t>赔偿请求人要求国家赔偿的，赔偿义务机关、复议机关和人民法院不得向赔偿请求人收取任何费用。</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对赔偿请求人取得的赔偿金不予征税。</w:t>
      </w:r>
    </w:p>
    <w:p>
      <w:pPr>
        <w:pStyle w:val="25"/>
        <w:widowControl w:val="0"/>
        <w:shd w:val="clear" w:color="auto" w:fill="FFFFFF"/>
        <w:topLinePunct/>
        <w:spacing w:beforeAutospacing="0" w:afterAutospacing="0" w:line="412" w:lineRule="exact"/>
        <w:ind w:firstLine="482" w:firstLineChars="200"/>
        <w:jc w:val="both"/>
        <w:rPr>
          <w:rFonts w:asciiTheme="minorEastAsia" w:hAnsiTheme="minorEastAsia" w:eastAsiaTheme="minorEastAsia"/>
        </w:rPr>
      </w:pPr>
      <w:r>
        <w:rPr>
          <w:rStyle w:val="30"/>
          <w:rFonts w:ascii="Times New Roman" w:cs="Times New Roman" w:hAnsiTheme="minorEastAsia" w:eastAsiaTheme="minorEastAsia"/>
        </w:rPr>
        <w:t>第四十二条</w:t>
      </w:r>
      <w:r>
        <w:rPr>
          <w:rFonts w:ascii="Times New Roman" w:hAnsi="Times New Roman" w:cs="Times New Roman" w:eastAsiaTheme="minorEastAsia"/>
        </w:rPr>
        <w:t xml:space="preserve">  </w:t>
      </w:r>
      <w:r>
        <w:rPr>
          <w:rFonts w:ascii="Times New Roman" w:cs="Times New Roman" w:hAnsiTheme="minorEastAsia" w:eastAsiaTheme="minorEastAsia"/>
        </w:rPr>
        <w:t>本法自</w:t>
      </w:r>
      <w:r>
        <w:rPr>
          <w:rFonts w:ascii="Times New Roman" w:hAnsi="Times New Roman" w:cs="Times New Roman" w:eastAsiaTheme="minorEastAsia"/>
        </w:rPr>
        <w:t>1995</w:t>
      </w:r>
      <w:r>
        <w:rPr>
          <w:rFonts w:ascii="Times New Roman" w:cs="Times New Roman" w:hAnsiTheme="minorEastAsia" w:eastAsiaTheme="minorEastAsia"/>
        </w:rPr>
        <w:t>年</w:t>
      </w:r>
      <w:r>
        <w:rPr>
          <w:rFonts w:ascii="Times New Roman" w:hAnsi="Times New Roman" w:cs="Times New Roman" w:eastAsiaTheme="minorEastAsia"/>
        </w:rPr>
        <w:t>1</w:t>
      </w:r>
      <w:r>
        <w:rPr>
          <w:rFonts w:ascii="Times New Roman" w:cs="Times New Roman" w:hAnsiTheme="minorEastAsia" w:eastAsiaTheme="minorEastAsia"/>
        </w:rPr>
        <w:t>月</w:t>
      </w:r>
      <w:r>
        <w:rPr>
          <w:rFonts w:ascii="Times New Roman" w:hAnsi="Times New Roman" w:cs="Times New Roman" w:eastAsiaTheme="minorEastAsia"/>
        </w:rPr>
        <w:t>1</w:t>
      </w:r>
      <w:r>
        <w:rPr>
          <w:rFonts w:ascii="Times New Roman" w:cs="Times New Roman" w:hAnsiTheme="minorEastAsia" w:eastAsiaTheme="minorEastAsia"/>
        </w:rPr>
        <w:t>日起施行。</w:t>
      </w:r>
      <w: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18" w:name="_Toc28250864"/>
      <w:bookmarkStart w:id="119" w:name="_Toc26347915"/>
      <w:bookmarkStart w:id="120" w:name="_Toc25653648"/>
      <w:bookmarkStart w:id="121" w:name="_Toc28252134"/>
      <w:bookmarkStart w:id="122" w:name="_Toc28156937"/>
      <w:bookmarkStart w:id="123" w:name="_Toc25648153"/>
      <w:r>
        <w:t>行政执法机关移送涉嫌犯罪案件的规定</w:t>
      </w:r>
      <w:bookmarkEnd w:id="118"/>
      <w:bookmarkEnd w:id="119"/>
      <w:bookmarkEnd w:id="120"/>
      <w:bookmarkEnd w:id="121"/>
      <w:bookmarkEnd w:id="122"/>
      <w:bookmarkEnd w:id="123"/>
    </w:p>
    <w:p>
      <w:pPr>
        <w:pStyle w:val="62"/>
        <w:topLinePunct w:val="0"/>
        <w:ind w:firstLine="0" w:firstLineChars="0"/>
        <w:jc w:val="center"/>
      </w:pPr>
      <w:r>
        <w:rPr>
          <w:rFonts w:hint="eastAsia"/>
        </w:rPr>
        <w:t>（2001年7月9日中华人民共和国国务院令2001年第310号公布）</w:t>
      </w:r>
    </w:p>
    <w:p>
      <w:pPr>
        <w:pStyle w:val="3"/>
        <w:topLinePunct/>
        <w:spacing w:line="416" w:lineRule="exact"/>
        <w:ind w:firstLine="482"/>
        <w:rPr>
          <w:rFonts w:asciiTheme="minorEastAsia" w:hAnsiTheme="minorEastAsia" w:eastAsiaTheme="minorEastAsia"/>
          <w:b/>
          <w:bCs/>
          <w:kern w:val="0"/>
          <w:sz w:val="24"/>
          <w:szCs w:val="24"/>
        </w:rPr>
      </w:pP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第一条</w:t>
      </w:r>
      <w:r>
        <w:rPr>
          <w:rFonts w:asciiTheme="minorEastAsia" w:hAnsiTheme="minorEastAsia" w:eastAsiaTheme="minorEastAsia"/>
          <w:kern w:val="0"/>
          <w:sz w:val="24"/>
          <w:szCs w:val="24"/>
        </w:rPr>
        <w:t xml:space="preserve">  为了保证行政执法机关向公安机关及时移送涉嫌犯罪案件，依法惩罚破坏社会主义市场经济秩序罪、妨害社会管理秩序罪以及其他罪，保障社会主义建设事业顺利进行，制定本规定。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第二条</w:t>
      </w:r>
      <w:r>
        <w:rPr>
          <w:rFonts w:asciiTheme="minorEastAsia" w:hAnsiTheme="minorEastAsia" w:eastAsiaTheme="minorEastAsia"/>
          <w:kern w:val="0"/>
          <w:sz w:val="24"/>
          <w:szCs w:val="24"/>
        </w:rPr>
        <w:t xml:space="preserve">  本规定所称行政执法机关，是指依照法律、法规或者规章的规定，对破坏社会主义市场经济秩序、妨害社会管理秩序以及其他违法行为具有行政处罚权的行政机关，以及法律、法规授权的具有管理公共事务职能、在法定授权范围内实施行政处罚的组织。</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第三条</w:t>
      </w:r>
      <w:r>
        <w:rPr>
          <w:rFonts w:asciiTheme="minorEastAsia" w:hAnsiTheme="minorEastAsia" w:eastAsiaTheme="minorEastAsia"/>
          <w:kern w:val="0"/>
          <w:sz w:val="24"/>
          <w:szCs w:val="24"/>
        </w:rPr>
        <w:t xml:space="preserve">  行政执法机关在依法查处违法行为过程中，发现违法事实涉及的金额、违法事实的情节、违法事实造成的后果等，根据刑法关于破坏社会主义市场经济秩序罪、妨害社会管理秩序罪等罪的规定和最高人民法院、最高人民检察院关于破坏社会主义市场经济秩序罪、妨害社会管理秩序罪等罪的司法解释以及最高人民检察院、公安部关于经济犯罪案件的追诉标准等规定，涉嫌构成犯罪，依法需要追究刑事责任的，必须依照本规定向公安机关移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第四条</w:t>
      </w:r>
      <w:r>
        <w:rPr>
          <w:rFonts w:asciiTheme="minorEastAsia" w:hAnsiTheme="minorEastAsia" w:eastAsiaTheme="minorEastAsia"/>
          <w:kern w:val="0"/>
          <w:sz w:val="24"/>
          <w:szCs w:val="24"/>
        </w:rPr>
        <w:t xml:space="preserve">  行政执法机关在查处违法行为过程中，必须妥善保存所收集的与违法行为有关的证据。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行政执法机关对查获的涉案物品，应当如实填写涉案物品清单，并按照国家有关规定予以处理。对易腐烂、变质等不宜或者不易保管的涉案物品，应当采取必要措施，留取证据；对需要进行检验、鉴定的涉案物品，应当由法定检验、鉴定机构进行检验、鉴定，并出具检验报告或者鉴定结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第五条</w:t>
      </w:r>
      <w:r>
        <w:rPr>
          <w:rFonts w:asciiTheme="minorEastAsia" w:hAnsiTheme="minorEastAsia" w:eastAsiaTheme="minorEastAsia"/>
          <w:kern w:val="0"/>
          <w:sz w:val="24"/>
          <w:szCs w:val="24"/>
        </w:rPr>
        <w:t xml:space="preserve">  行政执法机关对应当向公安机关移送的涉嫌犯罪案件，应当立即指定2名或者2名以上行政执法人员组成专案组专门负责，核实情况后提出移送涉嫌犯罪案件的书面报告，报经本机关正职负责人或者主持工作的负责人审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行政执法机关正职负责人或者主持工作的负责人应当自接到报告之日起3日内作出批准移送或者不批准移送的决定。决定批准的，应当在24小时内向同级公安机关移送；决定不批准的，应当将不予批准的理由记录在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第六条</w:t>
      </w:r>
      <w:r>
        <w:rPr>
          <w:rFonts w:asciiTheme="minorEastAsia" w:hAnsiTheme="minorEastAsia" w:eastAsiaTheme="minorEastAsia"/>
          <w:kern w:val="0"/>
          <w:sz w:val="24"/>
          <w:szCs w:val="24"/>
        </w:rPr>
        <w:t xml:space="preserve">  行政执法机关向公安机关移送涉嫌犯罪案件，应当附有下列材料：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（一）涉嫌犯罪案件移送书；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（二）涉嫌犯罪案件情况的调查报告；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（三）涉案物品清单；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（四）有关检验报告或者鉴定结论；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（五）其他有关涉嫌犯罪的材料。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第七条</w:t>
      </w:r>
      <w:r>
        <w:rPr>
          <w:rFonts w:asciiTheme="minorEastAsia" w:hAnsiTheme="minorEastAsia" w:eastAsiaTheme="minorEastAsia"/>
          <w:kern w:val="0"/>
          <w:sz w:val="24"/>
          <w:szCs w:val="24"/>
        </w:rPr>
        <w:t xml:space="preserve">  公安机关对行政执法机关移送的涉嫌犯罪案件，应当在涉嫌犯罪案件移送书的回执上签字；其中，不属于本机关管辖的，应当在24小时内转送有管辖权的机关，并书面告知移送案件的行政执法机关。</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第八条</w:t>
      </w:r>
      <w:r>
        <w:rPr>
          <w:rFonts w:asciiTheme="minorEastAsia" w:hAnsiTheme="minorEastAsia" w:eastAsiaTheme="minorEastAsia"/>
          <w:kern w:val="0"/>
          <w:sz w:val="24"/>
          <w:szCs w:val="24"/>
        </w:rPr>
        <w:t xml:space="preserve">  公安机</w:t>
      </w:r>
      <w:r>
        <w:rPr>
          <w:rFonts w:asciiTheme="minorEastAsia" w:hAnsiTheme="minorEastAsia" w:eastAsiaTheme="minorEastAsia"/>
          <w:spacing w:val="-4"/>
          <w:kern w:val="0"/>
          <w:sz w:val="24"/>
          <w:szCs w:val="24"/>
        </w:rPr>
        <w:t>关应当自接受行政执法机关移送的涉嫌犯罪案件之日起3日内，依照刑法、刑事诉讼法以及最高人民法院、最高人民检察院关于立案标准和公安部关于公安机关办理刑事案件程序的规定，对所移送的案件进行审查。认为有犯罪事实，需要追究刑事责任，依法决定立案的，应当书面通知移送案件的行政执法机关；认为没有犯罪事实，或者犯罪事实显著轻微，不需要追究刑事责任，依法不予立案的，应当说明理由，并书面通知移送案件的行政执法机关，相应退回案卷材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第九条</w:t>
      </w:r>
      <w:r>
        <w:rPr>
          <w:rFonts w:asciiTheme="minorEastAsia" w:hAnsiTheme="minorEastAsia" w:eastAsiaTheme="minorEastAsia"/>
          <w:kern w:val="0"/>
          <w:sz w:val="24"/>
          <w:szCs w:val="24"/>
        </w:rPr>
        <w:t xml:space="preserve">  行政执法机关接到公安机关不予立案的通知书后，认为依法应当由公安机关决定立案的，可以自接到不予立案通知书之日起3日内，提请作出不予立案决定的公安机关复议，也可以建议人民检察院依法进行立案监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作出不予立案决定的公安机关应当自收到行政执法机关提请复议的文件之日起3日内作出立案或者不予立案的决定，并书面通知移送案件的行政执法机关。移送案件的行政执法机关对公安机关不予立案的复议决定仍有异议的，应当自收到复议决定通知书之日起3日内建议人民检察院依法进行立案监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公安机关应当接受人民检察院依法进行的立案监督。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第十条</w:t>
      </w:r>
      <w:r>
        <w:rPr>
          <w:rFonts w:asciiTheme="minorEastAsia" w:hAnsiTheme="minorEastAsia" w:eastAsiaTheme="minorEastAsia"/>
          <w:kern w:val="0"/>
          <w:sz w:val="24"/>
          <w:szCs w:val="24"/>
        </w:rPr>
        <w:t xml:space="preserve">  行政执法机关对公安机关决定不予立案的案件，应当依法作出处理；其中，依照有关法律、法规或者规章的规定应当给予行政处罚的，应当依法实施行政处罚。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第十一条</w:t>
      </w:r>
      <w:r>
        <w:rPr>
          <w:rFonts w:asciiTheme="minorEastAsia" w:hAnsiTheme="minorEastAsia" w:eastAsiaTheme="minorEastAsia"/>
          <w:kern w:val="0"/>
          <w:sz w:val="24"/>
          <w:szCs w:val="24"/>
        </w:rPr>
        <w:t xml:space="preserve">  行政执法机关对应当向公安机关移送的涉嫌犯罪案件，不得以行政处罚代替移送。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行政执法机关向公安机关移送涉嫌犯罪案件前已经作出的警告，责令停产停业，暂扣或者吊销许可证、暂扣或者吊销执照的行政处罚决定，不停止执行。</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依照行政处罚法的规定，行政执法机关向公安机关移送涉嫌犯罪案件前，已经依法给予当事人罚款的，人民法院判处罚金时，依法折抵相应罚金。</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第十二条</w:t>
      </w:r>
      <w:r>
        <w:rPr>
          <w:rFonts w:asciiTheme="minorEastAsia" w:hAnsiTheme="minorEastAsia" w:eastAsiaTheme="minorEastAsia"/>
          <w:kern w:val="0"/>
          <w:sz w:val="24"/>
          <w:szCs w:val="24"/>
        </w:rPr>
        <w:t xml:space="preserve">  行政执法机关对公安机关决定立案的案件，应当自接到立案通知书之日起3日内将涉案物品以及与案件有关的其他材料移交公安机关，并办结交接手续；法律、行政法规另有规定的，依照其规定。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第十三条</w:t>
      </w:r>
      <w:r>
        <w:rPr>
          <w:rFonts w:asciiTheme="minorEastAsia" w:hAnsiTheme="minorEastAsia" w:eastAsiaTheme="minorEastAsia"/>
          <w:kern w:val="0"/>
          <w:sz w:val="24"/>
          <w:szCs w:val="24"/>
        </w:rPr>
        <w:t xml:space="preserve">  公安</w:t>
      </w:r>
      <w:r>
        <w:rPr>
          <w:rFonts w:asciiTheme="minorEastAsia" w:hAnsiTheme="minorEastAsia" w:eastAsiaTheme="minorEastAsia"/>
          <w:spacing w:val="-4"/>
          <w:kern w:val="0"/>
          <w:sz w:val="24"/>
          <w:szCs w:val="24"/>
        </w:rPr>
        <w:t>机关对发现的违法行为，经审查，没有犯罪事实，或者立案侦查后认为犯罪事实显著轻微，不需要追究刑事责任，但依法应当追究行政责任的，应当及时将案件移送同级行政执法机关，有关行政执法机关应当依法作出处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第十四条</w:t>
      </w:r>
      <w:r>
        <w:rPr>
          <w:rFonts w:asciiTheme="minorEastAsia" w:hAnsiTheme="minorEastAsia" w:eastAsiaTheme="minorEastAsia"/>
          <w:kern w:val="0"/>
          <w:sz w:val="24"/>
          <w:szCs w:val="24"/>
        </w:rPr>
        <w:t xml:space="preserve">  行政执法机关移送涉嫌犯罪案件，应当接受人民检察院和监察机关依法实施的监督。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任何单位和个人对行政执法机关违反本规定，应当向公安机关移送涉嫌犯罪案件而不移送的，有权向人民检察院、监察机关或者上级行政执法机关举报。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第十五条</w:t>
      </w:r>
      <w:r>
        <w:rPr>
          <w:rFonts w:asciiTheme="minorEastAsia" w:hAnsiTheme="minorEastAsia" w:eastAsiaTheme="minorEastAsia"/>
          <w:kern w:val="0"/>
          <w:sz w:val="24"/>
          <w:szCs w:val="24"/>
        </w:rPr>
        <w:t xml:space="preserve">  行政执法机关违反本规定，隐匿、私分、销毁涉案物品的，由本级或者上级人民政府，或者实行垂直管理的上级行政执法机关，对其正职负责人根据情节轻重，给予降级以上的行政处分；构成犯罪的，依法追究刑事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对前款所列行为直接负责的主管人员和其他直接责任人员，比照前款的规定给予行政处分；构成犯罪的，依法追究刑事责任。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第十六条</w:t>
      </w:r>
      <w:r>
        <w:rPr>
          <w:rFonts w:asciiTheme="minorEastAsia" w:hAnsiTheme="minorEastAsia" w:eastAsiaTheme="minorEastAsia"/>
          <w:kern w:val="0"/>
          <w:sz w:val="24"/>
          <w:szCs w:val="24"/>
        </w:rPr>
        <w:t xml:space="preserve">  行政执法机关违反本规定，逾期不将案件移送公安机关的，由本级或者上级人民政府，或者实行垂直管理的上级行政执法机关，责令限期移送，并对其正职负责人或者主持工作的负责人根据情节轻重，给予记过以上的行政处分；构成犯罪的，依法追究刑事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行政执法机关违反本规定，对应当向公安机关移送的案件不移送，或者以行政处罚代替移送的，由本级或者上级人民政府，或者实行垂直管理的上级行政执法机关，责令改正，给予通报；拒不改正的，对其正职负责人或者主持工作的负责人给予记过以上的行政处分；构成犯罪的，依法追究刑事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对本条第一款、第二款所列行为直接负责的主管人员和其他直接责任人员，分别比照前两款的规定给予行政处分；构成犯罪的，依法追究刑事责任。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第十七条</w:t>
      </w:r>
      <w:r>
        <w:rPr>
          <w:rFonts w:asciiTheme="minorEastAsia" w:hAnsiTheme="minorEastAsia" w:eastAsiaTheme="minorEastAsia"/>
          <w:kern w:val="0"/>
          <w:sz w:val="24"/>
          <w:szCs w:val="24"/>
        </w:rPr>
        <w:t xml:space="preserve">  公安机关违反本规定，不接受行政执法机关移送的涉嫌犯罪案件，或者逾期不作出立案或者不予立案的决定的，除由人民检察院依法实施立案监督外，由本级或者上级人民政府责令改正，对其正职负责人根据情节轻重，给予记过以上的行政处分；构成犯罪的，依法追究刑事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对前款所列行为直接负责的主管人员和其他直接责任人员，比照前款的规定给予行政处分；构成犯罪的，依法追究刑事责任。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bCs/>
          <w:kern w:val="0"/>
          <w:sz w:val="24"/>
          <w:szCs w:val="24"/>
        </w:rPr>
        <w:t>第十八条</w:t>
      </w:r>
      <w:r>
        <w:rPr>
          <w:rFonts w:asciiTheme="minorEastAsia" w:hAnsiTheme="minorEastAsia" w:eastAsiaTheme="minorEastAsia"/>
          <w:kern w:val="0"/>
          <w:sz w:val="24"/>
          <w:szCs w:val="24"/>
        </w:rPr>
        <w:t xml:space="preserve">  行政执法机关在依法查处违法行为过程中，发现贪污贿赂、国家工作人员渎职或者国家机关工作人员利用职权侵犯公民人身权利和民主权利等违法行为，涉嫌构成犯罪的，应当比照本规定及时将案件移送人民检察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bCs/>
          <w:kern w:val="0"/>
          <w:sz w:val="24"/>
          <w:szCs w:val="24"/>
        </w:rPr>
        <w:t>第十九条</w:t>
      </w:r>
      <w:r>
        <w:rPr>
          <w:rFonts w:asciiTheme="minorEastAsia" w:hAnsiTheme="minorEastAsia" w:eastAsiaTheme="minorEastAsia"/>
          <w:kern w:val="0"/>
          <w:sz w:val="24"/>
          <w:szCs w:val="24"/>
        </w:rPr>
        <w:t xml:space="preserve">  本规定自公布之日起施行。</w:t>
      </w:r>
      <w:bookmarkEnd w:id="102"/>
      <w:bookmarkEnd w:id="103"/>
      <w:bookmarkEnd w:id="117"/>
      <w:r>
        <w:rPr>
          <w:rFonts w:asciiTheme="minorEastAsia" w:hAnsiTheme="minorEastAsia" w:eastAsiaTheme="minorEastAsia"/>
          <w:sz w:val="24"/>
          <w:szCs w:val="24"/>
        </w:rPr>
        <w:br w:type="page"/>
      </w:r>
    </w:p>
    <w:p>
      <w:pPr>
        <w:pStyle w:val="2"/>
        <w:keepNext w:val="0"/>
        <w:keepLines w:val="0"/>
        <w:topLinePunct/>
        <w:spacing w:line="412" w:lineRule="exact"/>
        <w:ind w:firstLine="482" w:firstLineChars="200"/>
        <w:jc w:val="both"/>
        <w:rPr>
          <w:sz w:val="24"/>
          <w:szCs w:val="24"/>
        </w:rPr>
      </w:pPr>
      <w:bookmarkStart w:id="124" w:name="_Toc25394581"/>
      <w:bookmarkStart w:id="125" w:name="_Toc14889"/>
    </w:p>
    <w:p>
      <w:pPr>
        <w:pStyle w:val="61"/>
        <w:spacing w:line="412" w:lineRule="exact"/>
      </w:pPr>
      <w:bookmarkStart w:id="126" w:name="_Toc25648154"/>
      <w:bookmarkStart w:id="127" w:name="_Toc25653649"/>
      <w:bookmarkStart w:id="128" w:name="_Toc26347916"/>
      <w:bookmarkStart w:id="129" w:name="_Toc28156938"/>
      <w:bookmarkStart w:id="130" w:name="_Toc28250865"/>
      <w:bookmarkStart w:id="131" w:name="_Toc28252135"/>
      <w:r>
        <w:t>北京市行政执法机关移送涉嫌犯罪案件工作办法</w:t>
      </w:r>
      <w:bookmarkEnd w:id="126"/>
      <w:bookmarkEnd w:id="127"/>
      <w:bookmarkEnd w:id="128"/>
      <w:bookmarkEnd w:id="129"/>
      <w:bookmarkEnd w:id="130"/>
      <w:bookmarkEnd w:id="131"/>
    </w:p>
    <w:p>
      <w:pPr>
        <w:pStyle w:val="62"/>
        <w:spacing w:line="412" w:lineRule="exact"/>
      </w:pPr>
      <w:r>
        <w:rPr>
          <w:rFonts w:hint="eastAsia"/>
        </w:rPr>
        <w:t>（2016年12月15日北京市人民政府第274号令公布，根据2018年4月24日北京市人民政府令第281号修订）</w:t>
      </w:r>
    </w:p>
    <w:p>
      <w:pPr>
        <w:pStyle w:val="3"/>
        <w:topLinePunct/>
        <w:spacing w:line="412" w:lineRule="exact"/>
        <w:ind w:firstLine="482"/>
        <w:rPr>
          <w:b/>
          <w:kern w:val="0"/>
          <w:sz w:val="24"/>
          <w:szCs w:val="24"/>
        </w:rPr>
      </w:pPr>
    </w:p>
    <w:p>
      <w:pPr>
        <w:pStyle w:val="3"/>
        <w:topLinePunct/>
        <w:spacing w:line="412" w:lineRule="exact"/>
        <w:ind w:firstLine="482"/>
        <w:rPr>
          <w:kern w:val="0"/>
          <w:sz w:val="24"/>
          <w:szCs w:val="24"/>
        </w:rPr>
      </w:pPr>
      <w:r>
        <w:rPr>
          <w:rFonts w:hint="eastAsia"/>
          <w:b/>
          <w:kern w:val="0"/>
          <w:sz w:val="24"/>
          <w:szCs w:val="24"/>
        </w:rPr>
        <w:t>第一条</w:t>
      </w:r>
      <w:r>
        <w:rPr>
          <w:rFonts w:hint="eastAsia"/>
          <w:kern w:val="0"/>
          <w:sz w:val="24"/>
          <w:szCs w:val="24"/>
        </w:rPr>
        <w:t xml:space="preserve">  为了规范行政执法机关对涉嫌犯罪案件的移送工作,依法惩治违法犯罪活动,依据国家有关法律法规,结合本市实际,制定本办法。</w:t>
      </w:r>
    </w:p>
    <w:p>
      <w:pPr>
        <w:pStyle w:val="3"/>
        <w:topLinePunct/>
        <w:spacing w:line="412" w:lineRule="exact"/>
        <w:ind w:firstLine="482"/>
        <w:rPr>
          <w:kern w:val="0"/>
          <w:sz w:val="24"/>
          <w:szCs w:val="24"/>
        </w:rPr>
      </w:pPr>
      <w:r>
        <w:rPr>
          <w:rFonts w:hint="eastAsia"/>
          <w:b/>
          <w:kern w:val="0"/>
          <w:sz w:val="24"/>
          <w:szCs w:val="24"/>
        </w:rPr>
        <w:t>第二条</w:t>
      </w:r>
      <w:r>
        <w:rPr>
          <w:rFonts w:hint="eastAsia"/>
          <w:kern w:val="0"/>
          <w:sz w:val="24"/>
          <w:szCs w:val="24"/>
        </w:rPr>
        <w:t xml:space="preserve">  本市各级行政执法机关依法实施行政检查或者案件调查过程中,发现违法行为且违法情节或者后果涉嫌构成犯罪,依法需要追究刑事责任的,应当依照本办法向公安机关移送。</w:t>
      </w:r>
    </w:p>
    <w:p>
      <w:pPr>
        <w:pStyle w:val="3"/>
        <w:topLinePunct/>
        <w:spacing w:line="412" w:lineRule="exact"/>
        <w:ind w:firstLine="482"/>
        <w:rPr>
          <w:kern w:val="0"/>
          <w:sz w:val="24"/>
          <w:szCs w:val="24"/>
        </w:rPr>
      </w:pPr>
      <w:r>
        <w:rPr>
          <w:rFonts w:hint="eastAsia"/>
          <w:b/>
          <w:kern w:val="0"/>
          <w:sz w:val="24"/>
          <w:szCs w:val="24"/>
        </w:rPr>
        <w:t xml:space="preserve">第三条 </w:t>
      </w:r>
      <w:r>
        <w:rPr>
          <w:rFonts w:hint="eastAsia"/>
          <w:kern w:val="0"/>
          <w:sz w:val="24"/>
          <w:szCs w:val="24"/>
        </w:rPr>
        <w:t xml:space="preserve"> 市级行政执法机关应当向市级公安机关移送涉嫌犯罪案件,区级和区级以下行政执法机关应当向其所在地的区级公安机关移送涉嫌犯罪案件。</w:t>
      </w:r>
    </w:p>
    <w:p>
      <w:pPr>
        <w:pStyle w:val="3"/>
        <w:topLinePunct/>
        <w:spacing w:line="412" w:lineRule="exact"/>
        <w:ind w:firstLine="480"/>
        <w:rPr>
          <w:kern w:val="0"/>
          <w:sz w:val="24"/>
          <w:szCs w:val="24"/>
        </w:rPr>
      </w:pPr>
      <w:r>
        <w:rPr>
          <w:rFonts w:hint="eastAsia"/>
          <w:kern w:val="0"/>
          <w:sz w:val="24"/>
          <w:szCs w:val="24"/>
        </w:rPr>
        <w:t>受行政执法机关委托执法的组织,应当通过委托机关按照前款规定移送涉嫌犯罪案件。</w:t>
      </w:r>
    </w:p>
    <w:p>
      <w:pPr>
        <w:pStyle w:val="3"/>
        <w:topLinePunct/>
        <w:spacing w:line="412" w:lineRule="exact"/>
        <w:ind w:firstLine="482"/>
        <w:rPr>
          <w:kern w:val="0"/>
          <w:sz w:val="24"/>
          <w:szCs w:val="24"/>
        </w:rPr>
      </w:pPr>
      <w:r>
        <w:rPr>
          <w:rFonts w:hint="eastAsia"/>
          <w:b/>
          <w:kern w:val="0"/>
          <w:sz w:val="24"/>
          <w:szCs w:val="24"/>
        </w:rPr>
        <w:t xml:space="preserve">第四条 </w:t>
      </w:r>
      <w:r>
        <w:rPr>
          <w:rFonts w:hint="eastAsia"/>
          <w:kern w:val="0"/>
          <w:sz w:val="24"/>
          <w:szCs w:val="24"/>
        </w:rPr>
        <w:t xml:space="preserve"> 行政执法机关应当严格履行涉嫌犯罪案件移送职责,不得以行政处罚代替刑事责任追究;在公安机关立案前,不得擅自中止或者终止对移送案件的行政处理。</w:t>
      </w:r>
    </w:p>
    <w:p>
      <w:pPr>
        <w:pStyle w:val="3"/>
        <w:topLinePunct/>
        <w:spacing w:line="412" w:lineRule="exact"/>
        <w:ind w:firstLine="482"/>
        <w:rPr>
          <w:kern w:val="0"/>
          <w:sz w:val="24"/>
          <w:szCs w:val="24"/>
        </w:rPr>
      </w:pPr>
      <w:r>
        <w:rPr>
          <w:rFonts w:hint="eastAsia"/>
          <w:b/>
          <w:kern w:val="0"/>
          <w:sz w:val="24"/>
          <w:szCs w:val="24"/>
        </w:rPr>
        <w:t xml:space="preserve">第五条 </w:t>
      </w:r>
      <w:r>
        <w:rPr>
          <w:rFonts w:hint="eastAsia"/>
          <w:kern w:val="0"/>
          <w:sz w:val="24"/>
          <w:szCs w:val="24"/>
        </w:rPr>
        <w:t xml:space="preserve"> 行政执法机关对涉嫌犯罪的行政违法案件调查取证应当符合行政执法证据规则,向公安机关移送的证据材料应当符合案件移送的证据要件要求。</w:t>
      </w:r>
    </w:p>
    <w:p>
      <w:pPr>
        <w:pStyle w:val="3"/>
        <w:topLinePunct/>
        <w:spacing w:line="412" w:lineRule="exact"/>
        <w:ind w:firstLine="480"/>
        <w:rPr>
          <w:kern w:val="0"/>
          <w:sz w:val="24"/>
          <w:szCs w:val="24"/>
        </w:rPr>
      </w:pPr>
      <w:r>
        <w:rPr>
          <w:rFonts w:hint="eastAsia"/>
          <w:kern w:val="0"/>
          <w:sz w:val="24"/>
          <w:szCs w:val="24"/>
        </w:rPr>
        <w:t>涉嫌犯罪案件移送的证据要件要求应当根据涉嫌犯罪类型,按照一类一确定的原则,由市级行政执法机关与市级公安机关共同确定；双方存在异议的,共同提请市政府法制机构和市人民检察院确定。</w:t>
      </w:r>
    </w:p>
    <w:p>
      <w:pPr>
        <w:pStyle w:val="3"/>
        <w:topLinePunct/>
        <w:spacing w:line="412" w:lineRule="exact"/>
        <w:ind w:firstLine="482"/>
        <w:rPr>
          <w:kern w:val="0"/>
          <w:sz w:val="24"/>
          <w:szCs w:val="24"/>
        </w:rPr>
      </w:pPr>
      <w:r>
        <w:rPr>
          <w:rFonts w:hint="eastAsia"/>
          <w:b/>
          <w:kern w:val="0"/>
          <w:sz w:val="24"/>
          <w:szCs w:val="24"/>
        </w:rPr>
        <w:t xml:space="preserve">第六条 </w:t>
      </w:r>
      <w:r>
        <w:rPr>
          <w:rFonts w:hint="eastAsia"/>
          <w:kern w:val="0"/>
          <w:sz w:val="24"/>
          <w:szCs w:val="24"/>
        </w:rPr>
        <w:t xml:space="preserve"> 行政执法机关向公安机关移送涉嫌犯罪案件应当在案件调查终结后进行,并提供下列材料:</w:t>
      </w:r>
    </w:p>
    <w:p>
      <w:pPr>
        <w:pStyle w:val="3"/>
        <w:topLinePunct/>
        <w:spacing w:line="412" w:lineRule="exact"/>
        <w:ind w:firstLine="480"/>
        <w:rPr>
          <w:kern w:val="0"/>
          <w:sz w:val="24"/>
          <w:szCs w:val="24"/>
        </w:rPr>
      </w:pPr>
      <w:r>
        <w:rPr>
          <w:rFonts w:hint="eastAsia"/>
          <w:kern w:val="0"/>
          <w:sz w:val="24"/>
          <w:szCs w:val="24"/>
        </w:rPr>
        <w:t>（一）涉嫌犯罪案件移送书。</w:t>
      </w:r>
    </w:p>
    <w:p>
      <w:pPr>
        <w:pStyle w:val="3"/>
        <w:topLinePunct/>
        <w:spacing w:line="412" w:lineRule="exact"/>
        <w:ind w:firstLine="480"/>
        <w:rPr>
          <w:kern w:val="0"/>
          <w:sz w:val="24"/>
          <w:szCs w:val="24"/>
        </w:rPr>
      </w:pPr>
      <w:r>
        <w:rPr>
          <w:rFonts w:hint="eastAsia"/>
          <w:kern w:val="0"/>
          <w:sz w:val="24"/>
          <w:szCs w:val="24"/>
        </w:rPr>
        <w:t>（二）涉嫌犯罪案件的调查报告。调查报告应当载明案件来源、查获情况、涉嫌犯罪人员基本情况、涉嫌犯罪的事实、采取相关行政强制措施、实施行政处罚情况,以及认为应当追究刑事责任的意见等。</w:t>
      </w:r>
    </w:p>
    <w:p>
      <w:pPr>
        <w:pStyle w:val="3"/>
        <w:topLinePunct/>
        <w:spacing w:line="412" w:lineRule="exact"/>
        <w:ind w:firstLine="480"/>
        <w:rPr>
          <w:kern w:val="0"/>
          <w:sz w:val="24"/>
          <w:szCs w:val="24"/>
        </w:rPr>
      </w:pPr>
      <w:r>
        <w:rPr>
          <w:rFonts w:hint="eastAsia"/>
          <w:kern w:val="0"/>
          <w:sz w:val="24"/>
          <w:szCs w:val="24"/>
        </w:rPr>
        <w:t>（三）行政违法案件的证据材料。证据材料应当包括行政案件调查中获取的案件当事人以及相关人员陈述、证人证言、物证、书证、电子数据、视听资料以及现场勘验、检查笔录等。</w:t>
      </w:r>
    </w:p>
    <w:p>
      <w:pPr>
        <w:pStyle w:val="3"/>
        <w:topLinePunct/>
        <w:spacing w:line="412" w:lineRule="exact"/>
        <w:ind w:firstLine="480"/>
        <w:rPr>
          <w:kern w:val="0"/>
          <w:sz w:val="24"/>
          <w:szCs w:val="24"/>
        </w:rPr>
      </w:pPr>
      <w:r>
        <w:rPr>
          <w:rFonts w:hint="eastAsia"/>
          <w:kern w:val="0"/>
          <w:sz w:val="24"/>
          <w:szCs w:val="24"/>
        </w:rPr>
        <w:t>（四）符合移送要求的涉嫌犯罪案件证据要件材料。</w:t>
      </w:r>
    </w:p>
    <w:p>
      <w:pPr>
        <w:pStyle w:val="3"/>
        <w:topLinePunct/>
        <w:spacing w:line="412" w:lineRule="exact"/>
        <w:ind w:firstLine="480"/>
        <w:rPr>
          <w:kern w:val="0"/>
          <w:sz w:val="24"/>
          <w:szCs w:val="24"/>
        </w:rPr>
      </w:pPr>
      <w:r>
        <w:rPr>
          <w:rFonts w:hint="eastAsia"/>
          <w:kern w:val="0"/>
          <w:sz w:val="24"/>
          <w:szCs w:val="24"/>
        </w:rPr>
        <w:t>（五）行政执法机关取得的其他证据材料。</w:t>
      </w:r>
    </w:p>
    <w:p>
      <w:pPr>
        <w:pStyle w:val="3"/>
        <w:topLinePunct/>
        <w:spacing w:line="412" w:lineRule="exact"/>
        <w:ind w:firstLine="480"/>
        <w:rPr>
          <w:kern w:val="0"/>
          <w:sz w:val="24"/>
          <w:szCs w:val="24"/>
        </w:rPr>
      </w:pPr>
      <w:r>
        <w:rPr>
          <w:rFonts w:hint="eastAsia"/>
          <w:kern w:val="0"/>
          <w:sz w:val="24"/>
          <w:szCs w:val="24"/>
        </w:rPr>
        <w:t>查封、扣押的涉案物品应当附有涉案物品清单,经检验或者鉴定的涉案物品应当附有专业机构的检验或者鉴定意见,已按照规定处理的涉案物品应当说明处理情况。</w:t>
      </w:r>
    </w:p>
    <w:p>
      <w:pPr>
        <w:pStyle w:val="3"/>
        <w:topLinePunct/>
        <w:spacing w:line="412" w:lineRule="exact"/>
        <w:ind w:firstLine="482"/>
        <w:rPr>
          <w:kern w:val="0"/>
          <w:sz w:val="24"/>
          <w:szCs w:val="24"/>
        </w:rPr>
      </w:pPr>
      <w:r>
        <w:rPr>
          <w:rFonts w:hint="eastAsia"/>
          <w:b/>
          <w:kern w:val="0"/>
          <w:sz w:val="24"/>
          <w:szCs w:val="24"/>
        </w:rPr>
        <w:t>第七条</w:t>
      </w:r>
      <w:r>
        <w:rPr>
          <w:rFonts w:hint="eastAsia"/>
          <w:kern w:val="0"/>
          <w:sz w:val="24"/>
          <w:szCs w:val="24"/>
        </w:rPr>
        <w:t xml:space="preserve">  行政执法机关应当在依法作出批准移送决定后24小时内向公安机关移送涉嫌犯罪案件,并指定不少于2人专门负责。相关移送材料应当抄送同级人民检察院。</w:t>
      </w:r>
    </w:p>
    <w:p>
      <w:pPr>
        <w:pStyle w:val="3"/>
        <w:topLinePunct/>
        <w:spacing w:line="412" w:lineRule="exact"/>
        <w:ind w:firstLine="482"/>
        <w:rPr>
          <w:kern w:val="0"/>
          <w:sz w:val="24"/>
          <w:szCs w:val="24"/>
        </w:rPr>
      </w:pPr>
      <w:r>
        <w:rPr>
          <w:rFonts w:hint="eastAsia"/>
          <w:b/>
          <w:kern w:val="0"/>
          <w:sz w:val="24"/>
          <w:szCs w:val="24"/>
        </w:rPr>
        <w:t>第八条</w:t>
      </w:r>
      <w:r>
        <w:rPr>
          <w:rFonts w:hint="eastAsia"/>
          <w:kern w:val="0"/>
          <w:sz w:val="24"/>
          <w:szCs w:val="24"/>
        </w:rPr>
        <w:t xml:space="preserve">  公安机关应当对行政执法机关移送的涉嫌犯罪案件当场登记并出具回执。移送材料符合本办法第六条要求的,公安机关应当在登记后48小时内确定具体承办机构并书面告知行政执法机关；移送材料需要补正的,公安机关应当在登记后48小时内一次性告知行政执法机关,行政执法机关应当在3日内补正。</w:t>
      </w:r>
    </w:p>
    <w:p>
      <w:pPr>
        <w:pStyle w:val="3"/>
        <w:topLinePunct/>
        <w:spacing w:line="412" w:lineRule="exact"/>
        <w:ind w:firstLine="482"/>
        <w:rPr>
          <w:kern w:val="0"/>
          <w:sz w:val="24"/>
          <w:szCs w:val="24"/>
        </w:rPr>
      </w:pPr>
      <w:r>
        <w:rPr>
          <w:rFonts w:hint="eastAsia"/>
          <w:b/>
          <w:kern w:val="0"/>
          <w:sz w:val="24"/>
          <w:szCs w:val="24"/>
        </w:rPr>
        <w:t>第九条</w:t>
      </w:r>
      <w:r>
        <w:rPr>
          <w:rFonts w:hint="eastAsia"/>
          <w:kern w:val="0"/>
          <w:sz w:val="24"/>
          <w:szCs w:val="24"/>
        </w:rPr>
        <w:t xml:space="preserve">  公安机关应当及时办理行政执法机关移送的涉嫌犯罪案件,自案件登记之日起10日内作出立案或者不予立案的决定；案情重大复杂的,可以在案件登记之日起30日内作出立案或者不予立案的决定。</w:t>
      </w:r>
    </w:p>
    <w:p>
      <w:pPr>
        <w:pStyle w:val="3"/>
        <w:topLinePunct/>
        <w:spacing w:line="412" w:lineRule="exact"/>
        <w:ind w:firstLine="480"/>
        <w:rPr>
          <w:kern w:val="0"/>
          <w:sz w:val="24"/>
          <w:szCs w:val="24"/>
        </w:rPr>
      </w:pPr>
      <w:r>
        <w:rPr>
          <w:rFonts w:hint="eastAsia"/>
          <w:kern w:val="0"/>
          <w:sz w:val="24"/>
          <w:szCs w:val="24"/>
        </w:rPr>
        <w:t>公安机关作出立案或者不予立案决定的,应当书面告知移送案件的行政执法机关、同级人民检察院。公安机关作出不予立案决定的,应当说明不予立案的原因。</w:t>
      </w:r>
    </w:p>
    <w:p>
      <w:pPr>
        <w:pStyle w:val="3"/>
        <w:topLinePunct/>
        <w:spacing w:line="412" w:lineRule="exact"/>
        <w:ind w:firstLine="482"/>
        <w:rPr>
          <w:kern w:val="0"/>
          <w:sz w:val="24"/>
          <w:szCs w:val="24"/>
        </w:rPr>
      </w:pPr>
      <w:r>
        <w:rPr>
          <w:rFonts w:hint="eastAsia"/>
          <w:b/>
          <w:kern w:val="0"/>
          <w:sz w:val="24"/>
          <w:szCs w:val="24"/>
        </w:rPr>
        <w:t>第十条</w:t>
      </w:r>
      <w:r>
        <w:rPr>
          <w:rFonts w:hint="eastAsia"/>
          <w:kern w:val="0"/>
          <w:sz w:val="24"/>
          <w:szCs w:val="24"/>
        </w:rPr>
        <w:t xml:space="preserve">  行政执法机关应当在收到公安机关立案决定告知之日起3日内与公安机关办结交接手续,并于交接之日起解除对查封、扣押的涉案物品的行政强制措施。</w:t>
      </w:r>
    </w:p>
    <w:p>
      <w:pPr>
        <w:pStyle w:val="3"/>
        <w:topLinePunct/>
        <w:spacing w:line="412" w:lineRule="exact"/>
        <w:ind w:firstLine="480"/>
        <w:rPr>
          <w:kern w:val="0"/>
          <w:sz w:val="24"/>
          <w:szCs w:val="24"/>
        </w:rPr>
      </w:pPr>
      <w:r>
        <w:rPr>
          <w:rFonts w:hint="eastAsia"/>
          <w:kern w:val="0"/>
          <w:sz w:val="24"/>
          <w:szCs w:val="24"/>
        </w:rPr>
        <w:t>因客观条件限制,查封、扣押的涉案物品需要由行政执法机关代为保管的,公安机关应当与行政执法机关签订委托保管协议。委托保管协议应当附有公安机关实施查封、扣押的涉案物品清单。</w:t>
      </w:r>
    </w:p>
    <w:p>
      <w:pPr>
        <w:pStyle w:val="3"/>
        <w:topLinePunct/>
        <w:spacing w:line="412" w:lineRule="exact"/>
        <w:ind w:firstLine="482"/>
        <w:rPr>
          <w:kern w:val="0"/>
          <w:sz w:val="24"/>
          <w:szCs w:val="24"/>
        </w:rPr>
      </w:pPr>
      <w:r>
        <w:rPr>
          <w:rFonts w:hint="eastAsia"/>
          <w:b/>
          <w:kern w:val="0"/>
          <w:sz w:val="24"/>
          <w:szCs w:val="24"/>
        </w:rPr>
        <w:t>第十一条</w:t>
      </w:r>
      <w:r>
        <w:rPr>
          <w:rFonts w:hint="eastAsia"/>
          <w:kern w:val="0"/>
          <w:sz w:val="24"/>
          <w:szCs w:val="24"/>
        </w:rPr>
        <w:t xml:space="preserve">  公安机关的立案决定不影响行政执法机关对涉嫌犯罪的违法行为作出或者执行警告、责令停产停业、暂扣或者吊销许可证、暂扣或者吊销执照等行政处罚决定。</w:t>
      </w:r>
    </w:p>
    <w:p>
      <w:pPr>
        <w:pStyle w:val="3"/>
        <w:topLinePunct/>
        <w:spacing w:line="412" w:lineRule="exact"/>
        <w:ind w:firstLine="480"/>
        <w:rPr>
          <w:kern w:val="0"/>
          <w:sz w:val="24"/>
          <w:szCs w:val="24"/>
        </w:rPr>
      </w:pPr>
      <w:r>
        <w:rPr>
          <w:rFonts w:hint="eastAsia"/>
          <w:kern w:val="0"/>
          <w:sz w:val="24"/>
          <w:szCs w:val="24"/>
        </w:rPr>
        <w:t>公安机关立案之日起,行政执法机关对涉嫌犯罪案件已作出但尚未执行完毕的罚款、没收违法所得、没收非法财物的行政处罚,应当中止执行。</w:t>
      </w:r>
    </w:p>
    <w:p>
      <w:pPr>
        <w:pStyle w:val="3"/>
        <w:topLinePunct/>
        <w:spacing w:line="412" w:lineRule="exact"/>
        <w:ind w:firstLine="480"/>
        <w:rPr>
          <w:kern w:val="0"/>
          <w:sz w:val="24"/>
          <w:szCs w:val="24"/>
        </w:rPr>
      </w:pPr>
      <w:r>
        <w:rPr>
          <w:rFonts w:hint="eastAsia"/>
          <w:kern w:val="0"/>
          <w:sz w:val="24"/>
          <w:szCs w:val="24"/>
        </w:rPr>
        <w:t>行政执法机关应当将相关处罚决定或者中止处罚决定及时送达公安机关,公安机关应当将该决定附于侦查卷。</w:t>
      </w:r>
    </w:p>
    <w:p>
      <w:pPr>
        <w:pStyle w:val="3"/>
        <w:topLinePunct/>
        <w:spacing w:line="412" w:lineRule="exact"/>
        <w:ind w:firstLine="482"/>
        <w:rPr>
          <w:kern w:val="0"/>
          <w:sz w:val="24"/>
          <w:szCs w:val="24"/>
        </w:rPr>
      </w:pPr>
      <w:r>
        <w:rPr>
          <w:rFonts w:hint="eastAsia"/>
          <w:b/>
          <w:kern w:val="0"/>
          <w:sz w:val="24"/>
          <w:szCs w:val="24"/>
        </w:rPr>
        <w:t>第十二条</w:t>
      </w:r>
      <w:r>
        <w:rPr>
          <w:rFonts w:hint="eastAsia"/>
          <w:kern w:val="0"/>
          <w:sz w:val="24"/>
          <w:szCs w:val="24"/>
        </w:rPr>
        <w:t xml:space="preserve">  行政执法机关对公安机关不予立案决定存在异议的,可以在收到书面告知之日起3日内向作出决定的公安机关提请复核,公安机关应当在收到复核请求之日起3日内进行复核并出具书面复核意见。行政执法机关对复核意见仍有异议的,可以提请同级人民检察院立案监督。</w:t>
      </w:r>
    </w:p>
    <w:p>
      <w:pPr>
        <w:pStyle w:val="3"/>
        <w:topLinePunct/>
        <w:spacing w:line="412" w:lineRule="exact"/>
        <w:ind w:firstLine="482"/>
        <w:rPr>
          <w:kern w:val="0"/>
          <w:sz w:val="24"/>
          <w:szCs w:val="24"/>
        </w:rPr>
      </w:pPr>
      <w:r>
        <w:rPr>
          <w:rFonts w:hint="eastAsia"/>
          <w:b/>
          <w:kern w:val="0"/>
          <w:sz w:val="24"/>
          <w:szCs w:val="24"/>
        </w:rPr>
        <w:t>第十三条</w:t>
      </w:r>
      <w:r>
        <w:rPr>
          <w:rFonts w:hint="eastAsia"/>
          <w:kern w:val="0"/>
          <w:sz w:val="24"/>
          <w:szCs w:val="24"/>
        </w:rPr>
        <w:t xml:space="preserve">  对涉嫌犯罪案件,有下列情形之一的,行政执法机关可以在初步核实案件线索并立案后,立即书面提请公安机关协助:</w:t>
      </w:r>
    </w:p>
    <w:p>
      <w:pPr>
        <w:pStyle w:val="3"/>
        <w:topLinePunct/>
        <w:spacing w:line="412" w:lineRule="exact"/>
        <w:ind w:firstLine="480"/>
        <w:rPr>
          <w:kern w:val="0"/>
          <w:sz w:val="24"/>
          <w:szCs w:val="24"/>
        </w:rPr>
      </w:pPr>
      <w:r>
        <w:rPr>
          <w:rFonts w:hint="eastAsia"/>
          <w:kern w:val="0"/>
          <w:sz w:val="24"/>
          <w:szCs w:val="24"/>
        </w:rPr>
        <w:t>（一）涉案人员众多或者涉案金额特别巨大的；</w:t>
      </w:r>
    </w:p>
    <w:p>
      <w:pPr>
        <w:pStyle w:val="3"/>
        <w:topLinePunct/>
        <w:spacing w:line="412" w:lineRule="exact"/>
        <w:ind w:firstLine="480"/>
        <w:rPr>
          <w:kern w:val="0"/>
          <w:sz w:val="24"/>
          <w:szCs w:val="24"/>
        </w:rPr>
      </w:pPr>
      <w:r>
        <w:rPr>
          <w:rFonts w:hint="eastAsia"/>
          <w:kern w:val="0"/>
          <w:sz w:val="24"/>
          <w:szCs w:val="24"/>
        </w:rPr>
        <w:t>（二）有证据证明涉案人员可能逃匿的；</w:t>
      </w:r>
    </w:p>
    <w:p>
      <w:pPr>
        <w:pStyle w:val="3"/>
        <w:topLinePunct/>
        <w:spacing w:line="412" w:lineRule="exact"/>
        <w:ind w:firstLine="480"/>
        <w:rPr>
          <w:kern w:val="0"/>
          <w:sz w:val="24"/>
          <w:szCs w:val="24"/>
        </w:rPr>
      </w:pPr>
      <w:r>
        <w:rPr>
          <w:rFonts w:hint="eastAsia"/>
          <w:kern w:val="0"/>
          <w:sz w:val="24"/>
          <w:szCs w:val="24"/>
        </w:rPr>
        <w:t>（三）必须采取侦查手段才能获取涉嫌犯罪证据的；</w:t>
      </w:r>
    </w:p>
    <w:p>
      <w:pPr>
        <w:pStyle w:val="3"/>
        <w:topLinePunct/>
        <w:spacing w:line="412" w:lineRule="exact"/>
        <w:ind w:firstLine="480"/>
        <w:rPr>
          <w:kern w:val="0"/>
          <w:sz w:val="24"/>
          <w:szCs w:val="24"/>
        </w:rPr>
      </w:pPr>
      <w:r>
        <w:rPr>
          <w:rFonts w:hint="eastAsia"/>
          <w:kern w:val="0"/>
          <w:sz w:val="24"/>
          <w:szCs w:val="24"/>
        </w:rPr>
        <w:t>（四）可能严重危害公共安全或者严重损害公共利益的。</w:t>
      </w:r>
    </w:p>
    <w:p>
      <w:pPr>
        <w:pStyle w:val="3"/>
        <w:topLinePunct/>
        <w:spacing w:line="412" w:lineRule="exact"/>
        <w:ind w:firstLine="480"/>
        <w:rPr>
          <w:kern w:val="0"/>
          <w:sz w:val="24"/>
          <w:szCs w:val="24"/>
        </w:rPr>
      </w:pPr>
      <w:r>
        <w:rPr>
          <w:rFonts w:hint="eastAsia"/>
          <w:kern w:val="0"/>
          <w:sz w:val="24"/>
          <w:szCs w:val="24"/>
        </w:rPr>
        <w:t>行政执法机关提请公安机关协助,应当提供案件线索和已取得的证据,并说明需要提请协助的事项和理由。</w:t>
      </w:r>
    </w:p>
    <w:p>
      <w:pPr>
        <w:pStyle w:val="3"/>
        <w:topLinePunct/>
        <w:spacing w:line="412" w:lineRule="exact"/>
        <w:ind w:firstLine="482"/>
        <w:rPr>
          <w:kern w:val="0"/>
          <w:sz w:val="24"/>
          <w:szCs w:val="24"/>
        </w:rPr>
      </w:pPr>
      <w:r>
        <w:rPr>
          <w:rFonts w:hint="eastAsia"/>
          <w:b/>
          <w:kern w:val="0"/>
          <w:sz w:val="24"/>
          <w:szCs w:val="24"/>
        </w:rPr>
        <w:t>第十四条</w:t>
      </w:r>
      <w:r>
        <w:rPr>
          <w:rFonts w:hint="eastAsia"/>
          <w:kern w:val="0"/>
          <w:sz w:val="24"/>
          <w:szCs w:val="24"/>
        </w:rPr>
        <w:t xml:space="preserve">  公安机关应当在收到书面协助请求后24小时内与行政执法机关进行会商,并作出下列决定:</w:t>
      </w:r>
    </w:p>
    <w:p>
      <w:pPr>
        <w:pStyle w:val="3"/>
        <w:topLinePunct/>
        <w:spacing w:line="412" w:lineRule="exact"/>
        <w:ind w:firstLine="480"/>
        <w:rPr>
          <w:kern w:val="0"/>
          <w:sz w:val="24"/>
          <w:szCs w:val="24"/>
        </w:rPr>
      </w:pPr>
      <w:r>
        <w:rPr>
          <w:rFonts w:hint="eastAsia"/>
          <w:kern w:val="0"/>
          <w:sz w:val="24"/>
          <w:szCs w:val="24"/>
        </w:rPr>
        <w:t>（一）由行政执法机关立即移送案件；</w:t>
      </w:r>
    </w:p>
    <w:p>
      <w:pPr>
        <w:pStyle w:val="3"/>
        <w:topLinePunct/>
        <w:spacing w:line="412" w:lineRule="exact"/>
        <w:ind w:firstLine="480"/>
        <w:rPr>
          <w:kern w:val="0"/>
          <w:sz w:val="24"/>
          <w:szCs w:val="24"/>
        </w:rPr>
      </w:pPr>
      <w:r>
        <w:rPr>
          <w:rFonts w:hint="eastAsia"/>
          <w:kern w:val="0"/>
          <w:sz w:val="24"/>
          <w:szCs w:val="24"/>
        </w:rPr>
        <w:t>（二）协助行政执法机关调查；</w:t>
      </w:r>
    </w:p>
    <w:p>
      <w:pPr>
        <w:pStyle w:val="3"/>
        <w:topLinePunct/>
        <w:spacing w:line="412" w:lineRule="exact"/>
        <w:ind w:firstLine="480"/>
        <w:rPr>
          <w:kern w:val="0"/>
          <w:sz w:val="24"/>
          <w:szCs w:val="24"/>
        </w:rPr>
      </w:pPr>
      <w:r>
        <w:rPr>
          <w:rFonts w:hint="eastAsia"/>
          <w:kern w:val="0"/>
          <w:sz w:val="24"/>
          <w:szCs w:val="24"/>
        </w:rPr>
        <w:t>（三）由行政执法机关继续自行调查。</w:t>
      </w:r>
    </w:p>
    <w:p>
      <w:pPr>
        <w:pStyle w:val="3"/>
        <w:topLinePunct/>
        <w:spacing w:line="412" w:lineRule="exact"/>
        <w:ind w:firstLine="480"/>
        <w:rPr>
          <w:kern w:val="0"/>
          <w:sz w:val="24"/>
          <w:szCs w:val="24"/>
        </w:rPr>
      </w:pPr>
      <w:r>
        <w:rPr>
          <w:rFonts w:hint="eastAsia"/>
          <w:kern w:val="0"/>
          <w:sz w:val="24"/>
          <w:szCs w:val="24"/>
        </w:rPr>
        <w:t>公安机关作出立即移送案件决定的,行政执法机关应当在24小时内向公安机关提交涉嫌犯罪案件移送书。</w:t>
      </w:r>
    </w:p>
    <w:p>
      <w:pPr>
        <w:pStyle w:val="3"/>
        <w:topLinePunct/>
        <w:spacing w:line="412" w:lineRule="exact"/>
        <w:ind w:firstLine="480"/>
        <w:rPr>
          <w:kern w:val="0"/>
          <w:sz w:val="24"/>
          <w:szCs w:val="24"/>
        </w:rPr>
      </w:pPr>
      <w:r>
        <w:rPr>
          <w:rFonts w:hint="eastAsia"/>
          <w:kern w:val="0"/>
          <w:sz w:val="24"/>
          <w:szCs w:val="24"/>
        </w:rPr>
        <w:t>公安机关作出协助调查决定的,应当指定专人协助行政执法机关调查,并根据相关证据收集情况及时决定是否要求移送。</w:t>
      </w:r>
    </w:p>
    <w:p>
      <w:pPr>
        <w:pStyle w:val="3"/>
        <w:topLinePunct/>
        <w:spacing w:line="412" w:lineRule="exact"/>
        <w:ind w:firstLine="482"/>
        <w:rPr>
          <w:kern w:val="0"/>
          <w:sz w:val="24"/>
          <w:szCs w:val="24"/>
        </w:rPr>
      </w:pPr>
      <w:r>
        <w:rPr>
          <w:rFonts w:hint="eastAsia"/>
          <w:b/>
          <w:kern w:val="0"/>
          <w:sz w:val="24"/>
          <w:szCs w:val="24"/>
        </w:rPr>
        <w:t>第十五条</w:t>
      </w:r>
      <w:r>
        <w:rPr>
          <w:rFonts w:hint="eastAsia"/>
          <w:kern w:val="0"/>
          <w:sz w:val="24"/>
          <w:szCs w:val="24"/>
        </w:rPr>
        <w:t xml:space="preserve">  公安机关对犯罪嫌疑人采取刑事拘留、取保候审、监视居住、逮捕等强制措施的,应当在采取强制措施之日起3日内书面告知行政执法机关。</w:t>
      </w:r>
    </w:p>
    <w:p>
      <w:pPr>
        <w:pStyle w:val="3"/>
        <w:topLinePunct/>
        <w:spacing w:line="412" w:lineRule="exact"/>
        <w:ind w:firstLine="482"/>
        <w:rPr>
          <w:kern w:val="0"/>
          <w:sz w:val="24"/>
          <w:szCs w:val="24"/>
        </w:rPr>
      </w:pPr>
      <w:r>
        <w:rPr>
          <w:rFonts w:hint="eastAsia"/>
          <w:b/>
          <w:kern w:val="0"/>
          <w:sz w:val="24"/>
          <w:szCs w:val="24"/>
        </w:rPr>
        <w:t>第十六条</w:t>
      </w:r>
      <w:r>
        <w:rPr>
          <w:rFonts w:hint="eastAsia"/>
          <w:kern w:val="0"/>
          <w:sz w:val="24"/>
          <w:szCs w:val="24"/>
        </w:rPr>
        <w:t xml:space="preserve">  公安机关决定撤销立案或者人民检察院作出不起诉决定的,行政执法机关应当在收到撤销立案决定或者不起诉决定告知之日起恢复执行已中止的行政处罚。</w:t>
      </w:r>
    </w:p>
    <w:p>
      <w:pPr>
        <w:pStyle w:val="3"/>
        <w:topLinePunct/>
        <w:spacing w:line="412" w:lineRule="exact"/>
        <w:ind w:firstLine="480"/>
        <w:rPr>
          <w:kern w:val="0"/>
          <w:sz w:val="24"/>
          <w:szCs w:val="24"/>
        </w:rPr>
      </w:pPr>
      <w:r>
        <w:rPr>
          <w:rFonts w:hint="eastAsia"/>
          <w:kern w:val="0"/>
          <w:sz w:val="24"/>
          <w:szCs w:val="24"/>
        </w:rPr>
        <w:t>人民法院对移送案件作出判决的,行政执法机关应当在收到或者知道判决结果之日起2日内,对已中止的行政处罚作出恢复执行或者终止执行的决定。</w:t>
      </w:r>
    </w:p>
    <w:p>
      <w:pPr>
        <w:pStyle w:val="3"/>
        <w:topLinePunct/>
        <w:spacing w:line="412" w:lineRule="exact"/>
        <w:ind w:firstLine="482"/>
        <w:rPr>
          <w:kern w:val="0"/>
          <w:sz w:val="24"/>
          <w:szCs w:val="24"/>
        </w:rPr>
      </w:pPr>
      <w:r>
        <w:rPr>
          <w:rFonts w:hint="eastAsia"/>
          <w:b/>
          <w:kern w:val="0"/>
          <w:sz w:val="24"/>
          <w:szCs w:val="24"/>
        </w:rPr>
        <w:t>第十七条</w:t>
      </w:r>
      <w:r>
        <w:rPr>
          <w:rFonts w:hint="eastAsia"/>
          <w:kern w:val="0"/>
          <w:sz w:val="24"/>
          <w:szCs w:val="24"/>
        </w:rPr>
        <w:t xml:space="preserve">  公安机关、人民检察院查办刑事案件或者人民法院审理刑事案件过程中,需要行政执法机关予以协助的,行政执法机关应当予以协助。</w:t>
      </w:r>
    </w:p>
    <w:p>
      <w:pPr>
        <w:pStyle w:val="3"/>
        <w:topLinePunct/>
        <w:spacing w:line="412" w:lineRule="exact"/>
        <w:ind w:firstLine="480"/>
        <w:rPr>
          <w:kern w:val="0"/>
          <w:sz w:val="24"/>
          <w:szCs w:val="24"/>
        </w:rPr>
      </w:pPr>
      <w:r>
        <w:rPr>
          <w:rFonts w:hint="eastAsia"/>
          <w:kern w:val="0"/>
          <w:sz w:val="24"/>
          <w:szCs w:val="24"/>
        </w:rPr>
        <w:t>公安机关、人民检察院查办刑事案件或者人民法院审理刑事案件过程中发现涉嫌行政违法行为并移送行政执法机关查处的,行政执法机关应当在收到移送材料后当场登记、出具回执,并在5日内进行立案。行政执法机关应当在作出行政处理决定之日起3日内将行政处理结果反馈移送的司法机关。</w:t>
      </w:r>
    </w:p>
    <w:p>
      <w:pPr>
        <w:pStyle w:val="3"/>
        <w:topLinePunct/>
        <w:spacing w:line="412" w:lineRule="exact"/>
        <w:ind w:firstLine="482"/>
        <w:rPr>
          <w:kern w:val="0"/>
          <w:sz w:val="24"/>
          <w:szCs w:val="24"/>
        </w:rPr>
      </w:pPr>
      <w:r>
        <w:rPr>
          <w:rFonts w:hint="eastAsia"/>
          <w:b/>
          <w:kern w:val="0"/>
          <w:sz w:val="24"/>
          <w:szCs w:val="24"/>
        </w:rPr>
        <w:t>第十八条</w:t>
      </w:r>
      <w:r>
        <w:rPr>
          <w:rFonts w:hint="eastAsia"/>
          <w:kern w:val="0"/>
          <w:sz w:val="24"/>
          <w:szCs w:val="24"/>
        </w:rPr>
        <w:t xml:space="preserve">  本市建立涉嫌犯罪案件移送信息系统。各级行政执法机关、公安机关应当即时将涉嫌犯罪案件移送的证据要件以及案件移送和办理信息录入系统。</w:t>
      </w:r>
    </w:p>
    <w:p>
      <w:pPr>
        <w:pStyle w:val="3"/>
        <w:topLinePunct/>
        <w:spacing w:line="412" w:lineRule="exact"/>
        <w:ind w:firstLine="482"/>
        <w:rPr>
          <w:kern w:val="0"/>
          <w:sz w:val="24"/>
          <w:szCs w:val="24"/>
        </w:rPr>
      </w:pPr>
      <w:r>
        <w:rPr>
          <w:rFonts w:hint="eastAsia"/>
          <w:b/>
          <w:kern w:val="0"/>
          <w:sz w:val="24"/>
          <w:szCs w:val="24"/>
        </w:rPr>
        <w:t>第十九条</w:t>
      </w:r>
      <w:r>
        <w:rPr>
          <w:rFonts w:hint="eastAsia"/>
          <w:kern w:val="0"/>
          <w:sz w:val="24"/>
          <w:szCs w:val="24"/>
        </w:rPr>
        <w:t xml:space="preserve">  行政执法机关移送涉嫌犯罪案件工作应当接受政府法制机构和人民检察院的动态监控和全过程监督。</w:t>
      </w:r>
    </w:p>
    <w:p>
      <w:pPr>
        <w:pStyle w:val="3"/>
        <w:topLinePunct/>
        <w:spacing w:line="412" w:lineRule="exact"/>
        <w:ind w:firstLine="480"/>
        <w:rPr>
          <w:kern w:val="0"/>
          <w:sz w:val="24"/>
          <w:szCs w:val="24"/>
        </w:rPr>
      </w:pPr>
      <w:r>
        <w:rPr>
          <w:rFonts w:hint="eastAsia"/>
          <w:kern w:val="0"/>
          <w:sz w:val="24"/>
          <w:szCs w:val="24"/>
        </w:rPr>
        <w:t>任何单位和个人发现行政执法机关不按照规定向公安机关移送涉嫌犯罪案件,均有权向公安机关、监察机关或者人民检察院提出检举或者控告。</w:t>
      </w:r>
    </w:p>
    <w:p>
      <w:pPr>
        <w:pStyle w:val="3"/>
        <w:topLinePunct/>
        <w:spacing w:line="412" w:lineRule="exact"/>
        <w:ind w:firstLine="482"/>
        <w:rPr>
          <w:kern w:val="0"/>
          <w:sz w:val="24"/>
          <w:szCs w:val="24"/>
        </w:rPr>
      </w:pPr>
      <w:r>
        <w:rPr>
          <w:rFonts w:hint="eastAsia"/>
          <w:b/>
          <w:kern w:val="0"/>
          <w:sz w:val="24"/>
          <w:szCs w:val="24"/>
        </w:rPr>
        <w:t>第二十条</w:t>
      </w:r>
      <w:r>
        <w:rPr>
          <w:rFonts w:hint="eastAsia"/>
          <w:kern w:val="0"/>
          <w:sz w:val="24"/>
          <w:szCs w:val="24"/>
        </w:rPr>
        <w:t xml:space="preserve">  行政执法机关及其工作人员违反本规定,有下列情形之一的,由同级政府法制机构责令限期改正；行政执法机关逾期未改正的,政府法制机构可以提请监察机关或者该行政执法机关的上级主管机关依法追究责任；构成犯罪的,依法追究刑事责任:</w:t>
      </w:r>
    </w:p>
    <w:p>
      <w:pPr>
        <w:pStyle w:val="3"/>
        <w:topLinePunct/>
        <w:spacing w:line="412" w:lineRule="exact"/>
        <w:ind w:firstLine="480"/>
        <w:rPr>
          <w:kern w:val="0"/>
          <w:sz w:val="24"/>
          <w:szCs w:val="24"/>
        </w:rPr>
      </w:pPr>
      <w:r>
        <w:rPr>
          <w:rFonts w:hint="eastAsia"/>
          <w:kern w:val="0"/>
          <w:sz w:val="24"/>
          <w:szCs w:val="24"/>
        </w:rPr>
        <w:t>（一）未履行涉嫌犯罪案件移送职责或者以行政处罚代替刑事责任追究的；</w:t>
      </w:r>
    </w:p>
    <w:p>
      <w:pPr>
        <w:pStyle w:val="3"/>
        <w:topLinePunct/>
        <w:spacing w:line="412" w:lineRule="exact"/>
        <w:ind w:firstLine="480"/>
        <w:rPr>
          <w:kern w:val="0"/>
          <w:sz w:val="24"/>
          <w:szCs w:val="24"/>
        </w:rPr>
      </w:pPr>
      <w:r>
        <w:rPr>
          <w:rFonts w:hint="eastAsia"/>
          <w:kern w:val="0"/>
          <w:sz w:val="24"/>
          <w:szCs w:val="24"/>
        </w:rPr>
        <w:t>（二）在公安机关决定立案前,擅自中止或者终止对移送案件行政处理的；</w:t>
      </w:r>
    </w:p>
    <w:p>
      <w:pPr>
        <w:pStyle w:val="3"/>
        <w:topLinePunct/>
        <w:spacing w:line="412" w:lineRule="exact"/>
        <w:ind w:firstLine="480"/>
        <w:rPr>
          <w:kern w:val="0"/>
          <w:sz w:val="24"/>
          <w:szCs w:val="24"/>
        </w:rPr>
      </w:pPr>
      <w:r>
        <w:rPr>
          <w:rFonts w:hint="eastAsia"/>
          <w:kern w:val="0"/>
          <w:sz w:val="24"/>
          <w:szCs w:val="24"/>
        </w:rPr>
        <w:t>（三）在公安机关立案后,未及时办理交接、解除行政强制措施手续或者不按规定中止、擅自停止有关行政处罚的；</w:t>
      </w:r>
    </w:p>
    <w:p>
      <w:pPr>
        <w:pStyle w:val="3"/>
        <w:topLinePunct/>
        <w:spacing w:line="412" w:lineRule="exact"/>
        <w:ind w:firstLine="480"/>
        <w:rPr>
          <w:kern w:val="0"/>
          <w:sz w:val="24"/>
          <w:szCs w:val="24"/>
        </w:rPr>
      </w:pPr>
      <w:r>
        <w:rPr>
          <w:rFonts w:hint="eastAsia"/>
          <w:kern w:val="0"/>
          <w:sz w:val="24"/>
          <w:szCs w:val="24"/>
        </w:rPr>
        <w:t>（四）未按规定恢复或者终止行政处罚执行的；</w:t>
      </w:r>
    </w:p>
    <w:p>
      <w:pPr>
        <w:pStyle w:val="3"/>
        <w:topLinePunct/>
        <w:spacing w:line="412" w:lineRule="exact"/>
        <w:ind w:firstLine="480"/>
        <w:rPr>
          <w:kern w:val="0"/>
          <w:sz w:val="24"/>
          <w:szCs w:val="24"/>
        </w:rPr>
      </w:pPr>
      <w:r>
        <w:rPr>
          <w:rFonts w:hint="eastAsia"/>
          <w:kern w:val="0"/>
          <w:sz w:val="24"/>
          <w:szCs w:val="24"/>
        </w:rPr>
        <w:t>（五）对公安机关、人民检察院、人民法院提出的协助请求未予协助或者对其移送的案件未立案查处的；</w:t>
      </w:r>
    </w:p>
    <w:p>
      <w:pPr>
        <w:pStyle w:val="3"/>
        <w:topLinePunct/>
        <w:spacing w:line="412" w:lineRule="exact"/>
        <w:ind w:firstLine="480"/>
        <w:rPr>
          <w:kern w:val="0"/>
          <w:sz w:val="24"/>
          <w:szCs w:val="24"/>
        </w:rPr>
      </w:pPr>
      <w:r>
        <w:rPr>
          <w:rFonts w:hint="eastAsia"/>
          <w:kern w:val="0"/>
          <w:sz w:val="24"/>
          <w:szCs w:val="24"/>
        </w:rPr>
        <w:t>（六）未按规定将涉嫌犯罪案件移送的证据要件以及案件移送和办理信息录入本市涉嫌犯罪案件移送信息系统的。</w:t>
      </w:r>
    </w:p>
    <w:p>
      <w:pPr>
        <w:pStyle w:val="3"/>
        <w:topLinePunct/>
        <w:spacing w:line="412" w:lineRule="exact"/>
        <w:ind w:firstLine="482"/>
        <w:rPr>
          <w:kern w:val="0"/>
          <w:sz w:val="24"/>
          <w:szCs w:val="24"/>
        </w:rPr>
      </w:pPr>
      <w:r>
        <w:rPr>
          <w:rFonts w:hint="eastAsia"/>
          <w:b/>
          <w:kern w:val="0"/>
          <w:sz w:val="24"/>
          <w:szCs w:val="24"/>
        </w:rPr>
        <w:t>第二十一条</w:t>
      </w:r>
      <w:r>
        <w:rPr>
          <w:rFonts w:hint="eastAsia"/>
          <w:kern w:val="0"/>
          <w:sz w:val="24"/>
          <w:szCs w:val="24"/>
        </w:rPr>
        <w:t xml:space="preserve">  公安机关及其工作人员违反本规定,有下列情形之一的,由监察机关或者上级公安机关依法追究责任；构成犯罪的,依法追究刑事责任:</w:t>
      </w:r>
    </w:p>
    <w:p>
      <w:pPr>
        <w:pStyle w:val="3"/>
        <w:topLinePunct/>
        <w:spacing w:line="412" w:lineRule="exact"/>
        <w:ind w:firstLine="480"/>
        <w:rPr>
          <w:kern w:val="0"/>
          <w:sz w:val="24"/>
          <w:szCs w:val="24"/>
        </w:rPr>
      </w:pPr>
      <w:r>
        <w:rPr>
          <w:rFonts w:hint="eastAsia"/>
          <w:kern w:val="0"/>
          <w:sz w:val="24"/>
          <w:szCs w:val="24"/>
        </w:rPr>
        <w:t>（一）未按规定对移送案件进行登记或者立案的；</w:t>
      </w:r>
    </w:p>
    <w:p>
      <w:pPr>
        <w:pStyle w:val="3"/>
        <w:topLinePunct/>
        <w:spacing w:line="412" w:lineRule="exact"/>
        <w:ind w:firstLine="480"/>
        <w:rPr>
          <w:kern w:val="0"/>
          <w:sz w:val="24"/>
          <w:szCs w:val="24"/>
        </w:rPr>
      </w:pPr>
      <w:r>
        <w:rPr>
          <w:rFonts w:hint="eastAsia"/>
          <w:kern w:val="0"/>
          <w:sz w:val="24"/>
          <w:szCs w:val="24"/>
        </w:rPr>
        <w:t>（二）未按规定与行政执法机关办理立案后交接手续的；</w:t>
      </w:r>
    </w:p>
    <w:p>
      <w:pPr>
        <w:pStyle w:val="3"/>
        <w:topLinePunct/>
        <w:spacing w:line="412" w:lineRule="exact"/>
        <w:ind w:firstLine="480"/>
        <w:rPr>
          <w:kern w:val="0"/>
          <w:sz w:val="24"/>
          <w:szCs w:val="24"/>
        </w:rPr>
      </w:pPr>
      <w:r>
        <w:rPr>
          <w:rFonts w:hint="eastAsia"/>
          <w:kern w:val="0"/>
          <w:sz w:val="24"/>
          <w:szCs w:val="24"/>
        </w:rPr>
        <w:t>（三）对行政执法机关提请协助的案件未及时作出决定或者因工作不当造成犯罪证据灭失、犯罪人员逃匿、危害损害扩大等后果的。</w:t>
      </w:r>
    </w:p>
    <w:p>
      <w:pPr>
        <w:pStyle w:val="3"/>
        <w:topLinePunct/>
        <w:spacing w:line="412" w:lineRule="exact"/>
        <w:ind w:firstLine="482"/>
        <w:rPr>
          <w:kern w:val="0"/>
          <w:sz w:val="24"/>
          <w:szCs w:val="24"/>
        </w:rPr>
      </w:pPr>
      <w:r>
        <w:rPr>
          <w:rFonts w:hint="eastAsia"/>
          <w:b/>
          <w:kern w:val="0"/>
          <w:sz w:val="24"/>
          <w:szCs w:val="24"/>
        </w:rPr>
        <w:t>第二十二条</w:t>
      </w:r>
      <w:r>
        <w:rPr>
          <w:rFonts w:hint="eastAsia"/>
          <w:kern w:val="0"/>
          <w:sz w:val="24"/>
          <w:szCs w:val="24"/>
        </w:rPr>
        <w:t xml:space="preserve">  行政执法机关在执法过程中,发现违反海关监管规定的涉嫌走私犯罪案件,应当依照相关规定移送海关走私犯罪侦查机关；发现贪污贿赂、国家机关工作人员渎职或者利用职权侵犯公民人身权利和民主权利等违法行为,涉嫌构成犯罪的,应当参照本办法及时将案件线索移送有关部门。法律、法规另有规定的,从其规定。</w:t>
      </w:r>
    </w:p>
    <w:p>
      <w:pPr>
        <w:pStyle w:val="2"/>
        <w:keepNext w:val="0"/>
        <w:keepLines w:val="0"/>
        <w:topLinePunct/>
        <w:spacing w:line="412" w:lineRule="exact"/>
        <w:ind w:firstLine="482" w:firstLineChars="200"/>
        <w:jc w:val="both"/>
        <w:rPr>
          <w:rFonts w:asciiTheme="minorEastAsia" w:hAnsiTheme="minorEastAsia" w:eastAsiaTheme="minorEastAsia"/>
          <w:b w:val="0"/>
          <w:sz w:val="24"/>
          <w:szCs w:val="24"/>
        </w:rPr>
      </w:pPr>
      <w:r>
        <w:rPr>
          <w:rFonts w:hint="eastAsia"/>
          <w:sz w:val="24"/>
          <w:szCs w:val="24"/>
        </w:rPr>
        <w:t xml:space="preserve">第二十三条  </w:t>
      </w:r>
      <w:r>
        <w:rPr>
          <w:rFonts w:hint="eastAsia"/>
          <w:b w:val="0"/>
          <w:sz w:val="24"/>
          <w:szCs w:val="24"/>
        </w:rPr>
        <w:t>本办法自2017年3月1日起施行。</w:t>
      </w:r>
    </w:p>
    <w:p>
      <w:pPr>
        <w:pStyle w:val="3"/>
      </w:pPr>
    </w:p>
    <w:bookmarkEnd w:id="124"/>
    <w:bookmarkEnd w:id="125"/>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widowControl/>
        <w:spacing w:before="156" w:after="156"/>
        <w:ind w:firstLine="240"/>
        <w:rPr>
          <w:rFonts w:asciiTheme="minorEastAsia" w:hAnsiTheme="minorEastAsia"/>
          <w:sz w:val="24"/>
          <w:szCs w:val="24"/>
        </w:rPr>
      </w:pPr>
      <w:bookmarkStart w:id="132" w:name="_Toc466579802"/>
      <w:bookmarkStart w:id="133" w:name="_Toc31960"/>
      <w:bookmarkStart w:id="134" w:name="_Toc25394582"/>
    </w:p>
    <w:p>
      <w:pPr>
        <w:pStyle w:val="61"/>
      </w:pPr>
      <w:bookmarkStart w:id="135" w:name="_Toc28252136"/>
      <w:bookmarkStart w:id="136" w:name="_Toc28156939"/>
      <w:bookmarkStart w:id="137" w:name="_Toc26347917"/>
      <w:bookmarkStart w:id="138" w:name="_Toc28250866"/>
      <w:r>
        <w:rPr>
          <w:rFonts w:hint="eastAsia"/>
        </w:rPr>
        <w:t>北京市人民政府办公厅关于印发《北京市全面推行行政执法公示制度执法全过程记录制度重大执法决定法制审核制度实施方案》的通知</w:t>
      </w:r>
      <w:bookmarkEnd w:id="135"/>
      <w:bookmarkEnd w:id="136"/>
      <w:bookmarkEnd w:id="137"/>
      <w:bookmarkEnd w:id="138"/>
    </w:p>
    <w:p>
      <w:pPr>
        <w:pStyle w:val="62"/>
        <w:ind w:left="0" w:leftChars="0" w:firstLine="0" w:firstLineChars="0"/>
        <w:jc w:val="center"/>
      </w:pPr>
      <w:r>
        <w:rPr>
          <w:rFonts w:hint="eastAsia"/>
        </w:rPr>
        <w:t>京政办发〔2019〕13号</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autoSpaceDN w:val="0"/>
        <w:spacing w:beforeAutospacing="0" w:afterAutospacing="0" w:line="412" w:lineRule="exact"/>
        <w:jc w:val="both"/>
        <w:rPr>
          <w:rFonts w:cs="Times New Roman"/>
        </w:rPr>
      </w:pPr>
      <w:r>
        <w:rPr>
          <w:rFonts w:hint="eastAsia" w:cs="Times New Roman"/>
        </w:rPr>
        <w:t>各区人民政府，市政府各委、办、局，各市属机构：</w:t>
      </w:r>
    </w:p>
    <w:p>
      <w:pPr>
        <w:pStyle w:val="25"/>
        <w:widowControl w:val="0"/>
        <w:shd w:val="clear" w:color="auto" w:fill="FFFFFF"/>
        <w:topLinePunct/>
        <w:spacing w:beforeAutospacing="0" w:afterAutospacing="0" w:line="412" w:lineRule="exact"/>
        <w:ind w:firstLine="480" w:firstLineChars="200"/>
        <w:jc w:val="both"/>
        <w:rPr>
          <w:rFonts w:cs="Times New Roman"/>
        </w:rPr>
      </w:pPr>
      <w:r>
        <w:rPr>
          <w:rFonts w:hint="eastAsia" w:cs="Times New Roman"/>
        </w:rPr>
        <w:t>《北京市全面推行行政执法公示制度执法全过程记录制度重大执法决定法制审核制度实施方案》已经市政府同意，现印发给你们，请结合实际认真贯彻执行。</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ind w:firstLine="480" w:firstLineChars="200"/>
        <w:jc w:val="right"/>
        <w:rPr>
          <w:rFonts w:cs="Times New Roman"/>
        </w:rPr>
      </w:pPr>
      <w:r>
        <w:rPr>
          <w:rFonts w:hint="eastAsia" w:cs="Times New Roman"/>
        </w:rPr>
        <w:t>北京市人民政府办公厅</w:t>
      </w:r>
    </w:p>
    <w:p>
      <w:pPr>
        <w:pStyle w:val="25"/>
        <w:widowControl w:val="0"/>
        <w:shd w:val="clear" w:color="auto" w:fill="FFFFFF"/>
        <w:topLinePunct/>
        <w:spacing w:beforeAutospacing="0" w:afterAutospacing="0" w:line="412" w:lineRule="exact"/>
        <w:ind w:firstLine="480" w:firstLineChars="200"/>
        <w:jc w:val="right"/>
        <w:rPr>
          <w:rFonts w:cs="Times New Roman"/>
        </w:rPr>
      </w:pPr>
      <w:r>
        <w:rPr>
          <w:rFonts w:hint="eastAsia" w:cs="Times New Roman"/>
        </w:rPr>
        <w:t>2019年5月6日</w:t>
      </w:r>
      <w:r>
        <w:rPr>
          <w:rFonts w:hint="eastAsia" w:cs="Times New Roman" w:asciiTheme="minorEastAsia" w:hAnsiTheme="minorEastAsia" w:eastAsiaTheme="minorEastAsia"/>
        </w:rPr>
        <w:t xml:space="preserve">  </w:t>
      </w:r>
    </w:p>
    <w:p>
      <w:pPr>
        <w:pStyle w:val="25"/>
        <w:widowControl w:val="0"/>
        <w:shd w:val="clear" w:color="auto" w:fill="FFFFFF"/>
        <w:topLinePunct/>
        <w:spacing w:beforeAutospacing="0" w:afterAutospacing="0" w:line="412" w:lineRule="exact"/>
        <w:ind w:firstLine="480" w:firstLineChars="200"/>
        <w:jc w:val="both"/>
        <w:rPr>
          <w:rFonts w:cs="Times New Roman"/>
        </w:rPr>
      </w:pPr>
    </w:p>
    <w:p>
      <w:pPr>
        <w:pStyle w:val="25"/>
        <w:shd w:val="clear" w:color="auto" w:fill="FFFFFF"/>
        <w:topLinePunct/>
        <w:spacing w:beforeAutospacing="0" w:afterAutospacing="0" w:line="412" w:lineRule="exact"/>
        <w:jc w:val="center"/>
        <w:rPr>
          <w:rFonts w:ascii="方正黑体简体" w:eastAsia="方正黑体简体" w:cs="Times New Roman"/>
          <w:sz w:val="36"/>
          <w:szCs w:val="36"/>
        </w:rPr>
      </w:pPr>
      <w:r>
        <w:rPr>
          <w:rFonts w:hint="eastAsia" w:ascii="方正黑体简体" w:eastAsia="方正黑体简体" w:cs="Times New Roman"/>
          <w:sz w:val="36"/>
          <w:szCs w:val="36"/>
        </w:rPr>
        <w:t>北京市全面推行行政执法公示制度执法</w:t>
      </w:r>
      <w:r>
        <w:rPr>
          <w:rFonts w:ascii="方正黑体简体" w:eastAsia="方正黑体简体" w:cs="Times New Roman"/>
          <w:sz w:val="36"/>
          <w:szCs w:val="36"/>
        </w:rPr>
        <w:br w:type="textWrapping"/>
      </w:r>
      <w:r>
        <w:rPr>
          <w:rFonts w:hint="eastAsia" w:ascii="方正黑体简体" w:eastAsia="方正黑体简体" w:cs="Times New Roman"/>
          <w:sz w:val="36"/>
          <w:szCs w:val="36"/>
        </w:rPr>
        <w:t>全过程记录制度重大执法决定法制审核制度实施方案</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ind w:firstLine="480" w:firstLineChars="200"/>
        <w:jc w:val="both"/>
        <w:rPr>
          <w:rFonts w:cs="Times New Roman"/>
        </w:rPr>
      </w:pPr>
      <w:r>
        <w:rPr>
          <w:rFonts w:hint="eastAsia" w:cs="Times New Roman"/>
        </w:rPr>
        <w:t>为深入贯彻落实《国务院办公厅关于全面推行行政执法公示制度执法全过程记录制度重大执法决定法制审核制度的指导意见》</w:t>
      </w:r>
      <w:r>
        <w:rPr>
          <w:rFonts w:hint="eastAsia" w:cs="Times New Roman" w:asciiTheme="minorEastAsia" w:hAnsiTheme="minorEastAsia" w:eastAsiaTheme="minorEastAsia"/>
        </w:rPr>
        <w:t>（</w:t>
      </w:r>
      <w:r>
        <w:rPr>
          <w:rFonts w:hint="eastAsia" w:cs="Times New Roman"/>
        </w:rPr>
        <w:t>国办发〔2018〕118号</w:t>
      </w:r>
      <w:r>
        <w:rPr>
          <w:rFonts w:hint="eastAsia" w:cs="Times New Roman" w:asciiTheme="minorEastAsia" w:hAnsiTheme="minorEastAsia" w:eastAsiaTheme="minorEastAsia"/>
        </w:rPr>
        <w:t>）</w:t>
      </w:r>
      <w:r>
        <w:rPr>
          <w:rFonts w:hint="eastAsia" w:cs="Times New Roman"/>
        </w:rPr>
        <w:t>，严格规范行政执法行为，全面提高行政执法效能，结合本市实际，特制定本实施方案。</w:t>
      </w:r>
    </w:p>
    <w:p>
      <w:pPr>
        <w:pStyle w:val="25"/>
        <w:widowControl w:val="0"/>
        <w:shd w:val="clear" w:color="auto" w:fill="FFFFFF"/>
        <w:topLinePunct/>
        <w:spacing w:beforeLines="50" w:beforeAutospacing="0" w:afterLines="50" w:afterAutospacing="0" w:line="412" w:lineRule="exact"/>
        <w:ind w:firstLine="480" w:firstLineChars="200"/>
        <w:jc w:val="both"/>
        <w:rPr>
          <w:rFonts w:ascii="方正黑体简体" w:eastAsia="方正黑体简体" w:cs="Times New Roman"/>
        </w:rPr>
      </w:pPr>
      <w:r>
        <w:rPr>
          <w:rFonts w:hint="eastAsia" w:ascii="方正黑体简体" w:eastAsia="方正黑体简体" w:cs="Times New Roman"/>
        </w:rPr>
        <w:t>一、总体要求</w:t>
      </w:r>
    </w:p>
    <w:p>
      <w:pPr>
        <w:pStyle w:val="25"/>
        <w:widowControl w:val="0"/>
        <w:shd w:val="clear" w:color="auto" w:fill="FFFFFF"/>
        <w:topLinePunct/>
        <w:spacing w:beforeAutospacing="0" w:afterAutospacing="0" w:line="400" w:lineRule="exact"/>
        <w:ind w:firstLine="480" w:firstLineChars="200"/>
        <w:jc w:val="both"/>
        <w:rPr>
          <w:rFonts w:cs="Times New Roman"/>
        </w:rPr>
      </w:pPr>
      <w:r>
        <w:rPr>
          <w:rFonts w:hint="eastAsia" w:cs="Times New Roman"/>
        </w:rPr>
        <w:t>以习近平新时代中国特色社会主义思想为指导，全面贯彻党的十九大和十九届二中、三中全会精神，坚持依法规范、执法为民、务实高效、改革创新、统筹协调的原则，在各级行政执法机关全面推行行政执法公示制度、执法全过程记录制度、重大执法决定法制审核制度</w:t>
      </w:r>
      <w:r>
        <w:rPr>
          <w:rFonts w:hint="eastAsia" w:cs="Times New Roman" w:asciiTheme="minorEastAsia" w:hAnsiTheme="minorEastAsia" w:eastAsiaTheme="minorEastAsia"/>
        </w:rPr>
        <w:t>（</w:t>
      </w:r>
      <w:r>
        <w:rPr>
          <w:rFonts w:hint="eastAsia" w:cs="Times New Roman"/>
        </w:rPr>
        <w:t>以下简称“三项制度”</w:t>
      </w:r>
      <w:r>
        <w:rPr>
          <w:rFonts w:hint="eastAsia" w:cs="Times New Roman" w:asciiTheme="minorEastAsia" w:hAnsiTheme="minorEastAsia" w:eastAsiaTheme="minorEastAsia"/>
        </w:rPr>
        <w:t>）</w:t>
      </w:r>
      <w:r>
        <w:rPr>
          <w:rFonts w:hint="eastAsia" w:cs="Times New Roman"/>
        </w:rPr>
        <w:t>，不断完善执法程序、创新执法方式、加强执法监督，全面提高执法效能，推动形成权责统一、权威高效的行政执法体系和职责明确、依法行政的政府治理体系，确保行政机关依法履行法定职责，切实维护人民群众合法权益，为落实全面依法治国基本方略、推进法治中国首善之区建设奠定坚实基础。</w:t>
      </w:r>
    </w:p>
    <w:p>
      <w:pPr>
        <w:pStyle w:val="25"/>
        <w:widowControl w:val="0"/>
        <w:shd w:val="clear" w:color="auto" w:fill="FFFFFF"/>
        <w:topLinePunct/>
        <w:spacing w:beforeLines="50" w:beforeAutospacing="0" w:afterLines="50" w:afterAutospacing="0" w:line="412" w:lineRule="exact"/>
        <w:ind w:firstLine="480" w:firstLineChars="200"/>
        <w:jc w:val="both"/>
        <w:rPr>
          <w:rFonts w:ascii="方正黑体简体" w:eastAsia="方正黑体简体" w:cs="Times New Roman"/>
        </w:rPr>
      </w:pPr>
      <w:r>
        <w:rPr>
          <w:rFonts w:hint="eastAsia" w:ascii="方正黑体简体" w:eastAsia="方正黑体简体" w:cs="Times New Roman"/>
        </w:rPr>
        <w:t>二、主要任务</w:t>
      </w:r>
    </w:p>
    <w:p>
      <w:pPr>
        <w:pStyle w:val="25"/>
        <w:widowControl w:val="0"/>
        <w:shd w:val="clear" w:color="auto" w:fill="FFFFFF"/>
        <w:topLinePunct/>
        <w:spacing w:beforeAutospacing="0" w:afterAutospacing="0" w:line="412" w:lineRule="exact"/>
        <w:ind w:firstLine="480" w:firstLineChars="200"/>
        <w:jc w:val="both"/>
        <w:rPr>
          <w:rFonts w:cs="Times New Roman"/>
        </w:rPr>
      </w:pPr>
      <w:r>
        <w:rPr>
          <w:rFonts w:hint="eastAsia" w:cs="Times New Roman" w:asciiTheme="minorEastAsia" w:hAnsiTheme="minorEastAsia" w:eastAsiaTheme="minorEastAsia"/>
        </w:rPr>
        <w:t>（</w:t>
      </w:r>
      <w:r>
        <w:rPr>
          <w:rFonts w:hint="eastAsia" w:cs="Times New Roman"/>
        </w:rPr>
        <w:t>一</w:t>
      </w:r>
      <w:r>
        <w:rPr>
          <w:rFonts w:cs="Times New Roman" w:asciiTheme="minorEastAsia" w:hAnsiTheme="minorEastAsia" w:eastAsiaTheme="minorEastAsia"/>
        </w:rPr>
        <w:t>）</w:t>
      </w:r>
      <w:r>
        <w:rPr>
          <w:rFonts w:hint="eastAsia" w:cs="Times New Roman"/>
        </w:rPr>
        <w:t>全面推行行政执法公示制度，施行《北京市行政执法公示办法》。各级行政执法机关要按照“谁执法谁公示”的原则，建立行政执法公示的信息审核、发布、撤销和更新制度，以政府网站公示、办公场所现场公示、政务新媒体公示等多种方式，将与行政执法相关的信息主动向社会公开，提高行政执法透明度，主动接受社会监督。</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全面推行执法全过程记录制度，施行《北京市行政执法全过程记录办法》。各级行政执法机关要通过文字、音像等记录形式，对行政执法的启动、调查取证、审核决定、送达执行等全部过程进行记录，并全面系统归档保存，做到执法全过程留痕和可回溯管理，促进严格规范公正文明执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全面推行重大执法决定法制审核制度，施行《北京市重大行政执法决定法制审核办法》。各级行政执法机关作出重大执法决定前，要严格进行法制审核，未经法制审核或者审核未通过的，不得作出决定。</w:t>
      </w:r>
    </w:p>
    <w:p>
      <w:pPr>
        <w:pStyle w:val="25"/>
        <w:widowControl w:val="0"/>
        <w:shd w:val="clear" w:color="auto" w:fill="FFFFFF"/>
        <w:topLinePunct/>
        <w:spacing w:beforeLines="50" w:beforeAutospacing="0" w:afterLines="50" w:afterAutospacing="0" w:line="412" w:lineRule="exact"/>
        <w:ind w:firstLine="480" w:firstLineChars="200"/>
        <w:jc w:val="both"/>
        <w:rPr>
          <w:rFonts w:ascii="方正黑体简体" w:eastAsia="方正黑体简体" w:cs="Times New Roman" w:hAnsiTheme="minorEastAsia"/>
        </w:rPr>
      </w:pPr>
      <w:r>
        <w:rPr>
          <w:rFonts w:hint="eastAsia" w:ascii="方正黑体简体" w:eastAsia="方正黑体简体" w:cs="Times New Roman"/>
        </w:rPr>
        <w:t>三、工作安排</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动员部署阶段</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2019年5月底前，召开全市全面推行“三项制度”动员部署会议，对涉及的任务、具体措施和工作要求等进行全面部署。</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完善制度阶段</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2019年7月底前，各市级行政执法部门细化本系统全面推行“三项制度”的具体措施，报送市司法局备案；各区政府组织所属街道、乡镇细化全面推行“三项制度”的具体措施，汇总后报送市司法局备案。</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实施准备阶段</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2019年9月底前，各市级行政执法部门完成本系统全面推行“三项制度”的专题培训等实施准备工作；各区政府完成对所属街道、乡镇全面推行“三项制度”的专题培训等实施准备工作。</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2019年12月底前，各市级行政执法部门实现行政执法基本信息和动态信息全面、及时、准确公示，实现行政执法全过程的文字记录统一规范，对纳入重大执法决定法制审核目录清单的重大执法决定全部进行法制审核；各区政府组织所属街道、乡镇，按照上述标准完成相关工作；市司法局会同市财政局完成执法装备配备标准制定工作。</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全面推行阶段</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2020年1月1日起，全面推行“三项制度”，正式施行《北京市行政执法公示办法》《北京市行政执法全过程记录办法》《北京市重大行政执法决定法制审核办法》。各市级行政执法部门、各区政府要按照相关制度和工作流程，全面、严格、规范实施“三项制度”，并对本系统、本地区落实情况开展自查评估；其中，各市级行政执法部门要于2020年2月15日前将评估结果和验收申报材料报送市司法局，各区政府要于2020年2月底前组织完成所属街道、乡镇落实情况的评估工作，并将评估结果报送市司法局。市政府将于2020年2月底前组织对各系统全面推行“三项制度”情况进行评估，并提出整改意见。</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五</w:t>
      </w:r>
      <w:r>
        <w:rPr>
          <w:rFonts w:hint="eastAsia" w:cs="Times New Roman" w:asciiTheme="minorEastAsia" w:hAnsiTheme="minorEastAsia" w:eastAsiaTheme="minorEastAsia"/>
        </w:rPr>
        <w:t>）</w:t>
      </w:r>
      <w:r>
        <w:rPr>
          <w:rFonts w:hint="eastAsia" w:cs="Times New Roman"/>
        </w:rPr>
        <w:t>整改验收阶段</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2020年3月底前，各市级行政执法部门要完成整改任务，各区政府要督促所属街道、乡镇抓好整改落实；市政府、各区政府分别对市级行政执法部门、所属街道或乡镇的整改落实情况开展验收。由市司法局牵头，对本市全面推行“三项制度”情况进行总结，经市政府审定后报市委和司法部。</w:t>
      </w:r>
    </w:p>
    <w:p>
      <w:pPr>
        <w:pStyle w:val="25"/>
        <w:widowControl w:val="0"/>
        <w:shd w:val="clear" w:color="auto" w:fill="FFFFFF"/>
        <w:topLinePunct/>
        <w:spacing w:beforeLines="50" w:beforeAutospacing="0" w:afterLines="50" w:afterAutospacing="0" w:line="412" w:lineRule="exact"/>
        <w:ind w:firstLine="480" w:firstLineChars="200"/>
        <w:jc w:val="both"/>
        <w:rPr>
          <w:rFonts w:ascii="方正黑体简体" w:eastAsia="方正黑体简体" w:cs="Times New Roman" w:hAnsiTheme="minorEastAsia"/>
        </w:rPr>
      </w:pPr>
      <w:r>
        <w:rPr>
          <w:rFonts w:hint="eastAsia" w:ascii="方正黑体简体" w:eastAsia="方正黑体简体" w:cs="Times New Roman"/>
        </w:rPr>
        <w:t>四、保障措施</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加强组织领导。成立北京市全面推进“三项制度”工作小组，负责统筹协调全面推进“三项制度”工作；小组组长由分管市领导担任，成员单位包括市司法局、市政务服务局等部门。各区政府、市政府各部门要充分认识全面推行“三项制度”的重要意义，建立健全全面推行“三项制度”统筹协调机制；主要负责人要切实履行第一责任人职责，加强对本地区、本部门行政执法工作的领导，定期听取工作情况汇报，及时研究解决工作中的重大问题，确保工作有方案、部署有进度、推进有标准、结果有考核。</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健全制度体系。各区政府、市政府各部门要进一步加强和完善行政执法案例指导、行政执法裁量基准、行政执法案卷管理和评查、行政执法投诉举报以及行政执法考核监督等制度建设，持续强化行政执法岗位、资格和证件管理，形成与“三项制度”衔接配套、统筹行政执法各个环节的制度体系。</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做好执法保障。各区政府、市政府各部门要建立责任明确、管理规范、投入稳定的执法经费保障机制，按照因地制宜、务实高效的原则，制定装备配备规划和年度实施计划，并将行政执法装备采购、维护等费用纳入预算；要保障执法人员待遇，健全完善执法人员人身意外伤害和工伤保险制度，落实国家抚恤政策，提高执法人员履职积极性，增强执法队伍稳定性。</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强化舆论宣传。各区政府、市政府各部门要通过政府网站以及报刊、广播、电视、新媒体等渠道，全方位宣传全面推行“三项制度”的重要意义、主要做法、典型经验和实施效果，发挥示范带动作用，及时回应社会关切，合理引导社会预期，为全面推行“三项制度”营造良好的社会氛围。</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五</w:t>
      </w:r>
      <w:r>
        <w:rPr>
          <w:rFonts w:hint="eastAsia" w:cs="Times New Roman" w:asciiTheme="minorEastAsia" w:hAnsiTheme="minorEastAsia" w:eastAsiaTheme="minorEastAsia"/>
        </w:rPr>
        <w:t>）</w:t>
      </w:r>
      <w:r>
        <w:rPr>
          <w:rFonts w:hint="eastAsia" w:cs="Times New Roman"/>
        </w:rPr>
        <w:t>加强信息化建设。依托大数据、云计算、人工智能等技术手段，加强行政执法信息化平台建设，着力推进执法信息互联互通共享，切实做到执法信息网上录入、执法程序网上流转、执法活动网上监督、执法决定实时推送、执法信息统一公示、执法信息网上查询，实现对行政执法活动的即时性、过程性、系统性管理；加快推动政务服务“一网通办”，推行网上受理、网上审批、网上办公，让数据多跑路、群众少跑腿，从而使行政执法更规范、群众办事更便捷、政府治理更高效、营商环境更优化。</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六</w:t>
      </w:r>
      <w:r>
        <w:rPr>
          <w:rFonts w:hint="eastAsia" w:cs="Times New Roman" w:asciiTheme="minorEastAsia" w:hAnsiTheme="minorEastAsia" w:eastAsiaTheme="minorEastAsia"/>
        </w:rPr>
        <w:t>）</w:t>
      </w:r>
      <w:r>
        <w:rPr>
          <w:rFonts w:hint="eastAsia" w:cs="Times New Roman"/>
        </w:rPr>
        <w:t>加强督促检查。要把“三项制度”推进情况纳入法治政府建设考评指标体系和年度绩效考评体系，坚持鼓励先进与鞭策落后相结合，充分调动全面推行“三项制度”工作的积极性、主动性。严格执行督促整改和通报制度，对工作不力的要及时督促整改，对工作中出现问题造成不良后果的单位及人员要通报批评，依纪依法问责。</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附件：1.北京市行政执法公示办法</w:t>
      </w:r>
    </w:p>
    <w:p>
      <w:pPr>
        <w:pStyle w:val="25"/>
        <w:widowControl w:val="0"/>
        <w:shd w:val="clear" w:color="auto" w:fill="FFFFFF"/>
        <w:topLinePunct/>
        <w:spacing w:beforeAutospacing="0" w:afterAutospacing="0" w:line="412" w:lineRule="exact"/>
        <w:ind w:firstLine="1200" w:firstLineChars="500"/>
        <w:jc w:val="both"/>
        <w:rPr>
          <w:rFonts w:cs="Times New Roman" w:asciiTheme="minorEastAsia" w:hAnsiTheme="minorEastAsia" w:eastAsiaTheme="minorEastAsia"/>
        </w:rPr>
      </w:pPr>
      <w:r>
        <w:rPr>
          <w:rFonts w:hint="eastAsia" w:cs="Times New Roman"/>
        </w:rPr>
        <w:t>2.北京市行政执法全过程记录办法</w:t>
      </w:r>
    </w:p>
    <w:p>
      <w:pPr>
        <w:pStyle w:val="25"/>
        <w:widowControl w:val="0"/>
        <w:shd w:val="clear" w:color="auto" w:fill="FFFFFF"/>
        <w:topLinePunct/>
        <w:spacing w:beforeAutospacing="0" w:afterAutospacing="0" w:line="412" w:lineRule="exact"/>
        <w:ind w:firstLine="1200" w:firstLineChars="500"/>
        <w:jc w:val="both"/>
        <w:rPr>
          <w:rFonts w:cs="Times New Roman"/>
        </w:rPr>
      </w:pPr>
      <w:r>
        <w:rPr>
          <w:rFonts w:hint="eastAsia" w:cs="Times New Roman"/>
        </w:rPr>
        <w:t>3.北京市重大行政执法决定法制审核办法</w:t>
      </w:r>
    </w:p>
    <w:p>
      <w:pPr>
        <w:pStyle w:val="25"/>
        <w:widowControl w:val="0"/>
        <w:shd w:val="clear" w:color="auto" w:fill="FFFFFF"/>
        <w:topLinePunct/>
        <w:spacing w:beforeAutospacing="0" w:afterAutospacing="0" w:line="412" w:lineRule="exact"/>
        <w:jc w:val="both"/>
        <w:rPr>
          <w:rFonts w:cs="Times New Roman"/>
          <w:b/>
        </w:rPr>
      </w:pPr>
      <w:r>
        <w:rPr>
          <w:rFonts w:cs="Times New Roman"/>
          <w:b/>
        </w:rPr>
        <w:br w:type="page"/>
      </w:r>
      <w:r>
        <w:rPr>
          <w:rFonts w:hint="eastAsia" w:cs="Times New Roman"/>
          <w:b/>
        </w:rPr>
        <w:t>附件1</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jc w:val="center"/>
        <w:rPr>
          <w:rFonts w:ascii="方正黑体简体" w:eastAsia="方正黑体简体" w:cs="Times New Roman" w:hAnsiTheme="minorEastAsia"/>
          <w:sz w:val="36"/>
          <w:szCs w:val="36"/>
        </w:rPr>
      </w:pPr>
      <w:r>
        <w:rPr>
          <w:rFonts w:hint="eastAsia" w:ascii="方正黑体简体" w:eastAsia="方正黑体简体" w:cs="Times New Roman"/>
          <w:sz w:val="36"/>
          <w:szCs w:val="36"/>
        </w:rPr>
        <w:t>北京市行政执法公示办法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第一条</w:t>
      </w:r>
      <w:r>
        <w:rPr>
          <w:rFonts w:hint="eastAsia" w:cs="Times New Roman"/>
        </w:rPr>
        <w:t>　为提高行政执法的透明度，主动接受社会监督，促进严格规范公正文明执法，根据《政府信息公开条例》和国务院有关规定，结合本市实际，制定本办法。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第二条</w:t>
      </w:r>
      <w:r>
        <w:rPr>
          <w:rFonts w:hint="eastAsia" w:cs="Times New Roman"/>
        </w:rPr>
        <w:t>　本市具有行政执法权的行政机关、法律法规授权的组织或依法受委托的组织</w:t>
      </w:r>
      <w:r>
        <w:rPr>
          <w:rFonts w:hint="eastAsia" w:cs="Times New Roman" w:asciiTheme="minorEastAsia" w:hAnsiTheme="minorEastAsia" w:eastAsiaTheme="minorEastAsia"/>
        </w:rPr>
        <w:t>（</w:t>
      </w:r>
      <w:r>
        <w:rPr>
          <w:rFonts w:hint="eastAsia" w:cs="Times New Roman"/>
        </w:rPr>
        <w:t>以下简称行政执法机关</w:t>
      </w:r>
      <w:r>
        <w:rPr>
          <w:rFonts w:hint="eastAsia" w:cs="Times New Roman" w:asciiTheme="minorEastAsia" w:hAnsiTheme="minorEastAsia" w:eastAsiaTheme="minorEastAsia"/>
        </w:rPr>
        <w:t>）</w:t>
      </w:r>
      <w:r>
        <w:rPr>
          <w:rFonts w:hint="eastAsia" w:cs="Times New Roman"/>
        </w:rPr>
        <w:t>的行政执法公示活动适用本办法。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第三条</w:t>
      </w:r>
      <w:r>
        <w:rPr>
          <w:rFonts w:hint="eastAsia" w:cs="Times New Roman"/>
        </w:rPr>
        <w:t>　行政执法公示是指各级行政执法机关通过特定载体和方式，将与行政执法相关的信息主动向社会公示，并自觉接受社会监督的活动。</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第四条</w:t>
      </w:r>
      <w:r>
        <w:rPr>
          <w:rFonts w:hint="eastAsia" w:cs="Times New Roman"/>
        </w:rPr>
        <w:t>　行政执法公示信息分为基本信息和动态信息。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行政执法公示以政府或者部门网站公示为主，以办公场所现场公示、政务新媒体公示等为辅。</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第五条</w:t>
      </w:r>
      <w:r>
        <w:rPr>
          <w:rFonts w:hint="eastAsia" w:cs="Times New Roman"/>
        </w:rPr>
        <w:t>　行政执法机关应当按照“谁执法、谁公示”的要求建立行政执法公示的信息审核、发布、撤销和更新制度。</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行政执法公示应当主动、及时、准确。</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第六条</w:t>
      </w:r>
      <w:r>
        <w:rPr>
          <w:rFonts w:hint="eastAsia" w:cs="Times New Roman"/>
        </w:rPr>
        <w:t>　除依法属于国家秘密的信息外，行政执法机关应当主动公示以下行政执法基本信息：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机构职能、执法主体、办公地点、办公时间、通信地址、咨询电话、监督电话。</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各执法主体的权责清单、双随机抽查事项清单。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执法人员信息，包括：姓名、单位、执法证号码、执法证是否有效等信息；有行政执法服装、标志、标识、证件的，还应当公示服装、标志、标识、证件的样式信息。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政务服务事项的服务对象、办理条件、办理方式、办理流程、法定时限、承诺时限、收费方式、收费依据以及申办材料的目录、表格、填写说明、示范文本。</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五</w:t>
      </w:r>
      <w:r>
        <w:rPr>
          <w:rFonts w:hint="eastAsia" w:cs="Times New Roman" w:asciiTheme="minorEastAsia" w:hAnsiTheme="minorEastAsia" w:eastAsiaTheme="minorEastAsia"/>
        </w:rPr>
        <w:t>）</w:t>
      </w:r>
      <w:r>
        <w:rPr>
          <w:rFonts w:hint="eastAsia" w:cs="Times New Roman"/>
        </w:rPr>
        <w:t>行政处罚、行政强制的执法流程。</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六</w:t>
      </w:r>
      <w:r>
        <w:rPr>
          <w:rFonts w:hint="eastAsia" w:cs="Times New Roman" w:asciiTheme="minorEastAsia" w:hAnsiTheme="minorEastAsia" w:eastAsiaTheme="minorEastAsia"/>
        </w:rPr>
        <w:t>）</w:t>
      </w:r>
      <w:r>
        <w:rPr>
          <w:rFonts w:hint="eastAsia" w:cs="Times New Roman"/>
        </w:rPr>
        <w:t>行政处罚的裁量基准、听证标准。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七</w:t>
      </w:r>
      <w:r>
        <w:rPr>
          <w:rFonts w:hint="eastAsia" w:cs="Times New Roman" w:asciiTheme="minorEastAsia" w:hAnsiTheme="minorEastAsia" w:eastAsiaTheme="minorEastAsia"/>
        </w:rPr>
        <w:t>）</w:t>
      </w:r>
      <w:r>
        <w:rPr>
          <w:rFonts w:hint="eastAsia" w:cs="Times New Roman"/>
        </w:rPr>
        <w:t>法律法规规章规定的其他应当主动公示的基本信息。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前款规定的行政执法基本信息，有条件的行政执法机关可以在办公场所采取设置专栏、自助查询终端等方式公示，并提供咨询服务。</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第七条</w:t>
      </w:r>
      <w:r>
        <w:rPr>
          <w:rFonts w:hint="eastAsia" w:cs="Times New Roman"/>
        </w:rPr>
        <w:t>　行政执法机关聘用辅助人员从事执法辅助活动的，应当主动公示辅助人员的工作职责、辅助权限等基本信息；行政执法机关为聘用辅助人员配发服装、标志、标识、工作证件的，还应当主动公示相关服装、标志、标识、工作证件的样式信息。</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第八条</w:t>
      </w:r>
      <w:r>
        <w:rPr>
          <w:rFonts w:hint="eastAsia" w:cs="Times New Roman"/>
        </w:rPr>
        <w:t>　行政执法机关的执法人员和辅助人员在执行公务过程中，应当佩戴相关标志标识、主动出示证件。</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执法人员在进行监督检查、调查取证、采取强制措施和强制执行、送达文书等执法活动时，应当主动出具行政执法文书，并告知当事人执法事由、执法依据、权利义务、救济方式和救济渠道等内容。</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第九条</w:t>
      </w:r>
      <w:r>
        <w:rPr>
          <w:rFonts w:hint="eastAsia" w:cs="Times New Roman"/>
        </w:rPr>
        <w:t>　政务服务窗口应当设置信息公示牌或者电子信息屏，主动公示窗口办理业务名称和办理人员信息。</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第十条</w:t>
      </w:r>
      <w:r>
        <w:rPr>
          <w:rFonts w:hint="eastAsia" w:cs="Times New Roman"/>
        </w:rPr>
        <w:t>　行政执法动态信息公示主要包括年度执法检查计划公示、特定执法过程信息公示、执法结果公示和执法统计年报公示。</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第十一条</w:t>
      </w:r>
      <w:r>
        <w:rPr>
          <w:rFonts w:hint="eastAsia" w:cs="Times New Roman"/>
        </w:rPr>
        <w:t>　行政执法机关应当于每年一季度公示当年的执法检查</w:t>
      </w:r>
      <w:r>
        <w:rPr>
          <w:rFonts w:hint="eastAsia" w:cs="Times New Roman" w:asciiTheme="minorEastAsia" w:hAnsiTheme="minorEastAsia" w:eastAsiaTheme="minorEastAsia"/>
        </w:rPr>
        <w:t>（</w:t>
      </w:r>
      <w:r>
        <w:rPr>
          <w:rFonts w:hint="eastAsia" w:cs="Times New Roman"/>
        </w:rPr>
        <w:t>含双随机抽查</w:t>
      </w:r>
      <w:r>
        <w:rPr>
          <w:rFonts w:hint="eastAsia" w:cs="Times New Roman" w:asciiTheme="minorEastAsia" w:hAnsiTheme="minorEastAsia" w:eastAsiaTheme="minorEastAsia"/>
        </w:rPr>
        <w:t>）</w:t>
      </w:r>
      <w:r>
        <w:rPr>
          <w:rFonts w:hint="eastAsia" w:cs="Times New Roman"/>
        </w:rPr>
        <w:t>计划。</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年度执法检查计划应当包括检查主体、检查方式、管理对象基数和对应的检查比例等内容。</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第十二条</w:t>
      </w:r>
      <w:r>
        <w:rPr>
          <w:rFonts w:hint="eastAsia" w:cs="Times New Roman"/>
        </w:rPr>
        <w:t>　下列行政执法过程中的信息应当主动公示：</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根据考试成绩实施行政许可、行政确认的，应当在实施行政许可、行政确认前公示考试成绩信息。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采取摇号、抽签等方式实施行政许可或者行政给付的，应当在摇号或者抽签之日前，公示符合条件的相对人信息。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采取招标、拍卖方式实施行政许可或者行政强制执行的，应当依照《中华人民共和国招投标法》和《中华人民共和国政府采购法》的相关规定，采取发布招标或者拍卖公告的方式公示相关信息。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需要组织公开听证的，应当采取发布听证公告的方式，公示听证时间、地点、听证事项等信息。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五</w:t>
      </w:r>
      <w:r>
        <w:rPr>
          <w:rFonts w:hint="eastAsia" w:cs="Times New Roman" w:asciiTheme="minorEastAsia" w:hAnsiTheme="minorEastAsia" w:eastAsiaTheme="minorEastAsia"/>
        </w:rPr>
        <w:t>）</w:t>
      </w:r>
      <w:r>
        <w:rPr>
          <w:rFonts w:hint="eastAsia" w:cs="Times New Roman"/>
        </w:rPr>
        <w:t>其他执法过程中应当依法公示的信息。</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第十三条</w:t>
      </w:r>
      <w:r>
        <w:rPr>
          <w:rFonts w:hint="eastAsia" w:cs="Times New Roman"/>
        </w:rPr>
        <w:t>　除法律法规规章另有规定外，执法检查的结果应当按月或者按季主动公示；行政许可、行政处罚的结果应当在决定作出之日起7个工作日内主动公示；其他行政执法结果应当在决定作出之日起20个工作日内主动公示。</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第十四条</w:t>
      </w:r>
      <w:r>
        <w:rPr>
          <w:rFonts w:hint="eastAsia" w:cs="Times New Roman"/>
        </w:rPr>
        <w:t>　行政执法结果公示可以采取公示执法决定文书或者公示执法决定摘要的方式进行。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第十五条</w:t>
      </w:r>
      <w:r>
        <w:rPr>
          <w:rFonts w:hint="eastAsia" w:cs="Times New Roman"/>
        </w:rPr>
        <w:t>　行政执法结果采取公示执法决定文书方式的，应当隐去执法决定文书中有关银行账号、动产或者不动产权属证书编号、单位或者个人财产状况等涉及财产的信息以及个人的姓名、年龄、家庭住址、身份证号码、通讯方式等隐私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行政执法结果采取公示执法决定摘要方式的，应当包括执法主体、执法类别、执法对象</w:t>
      </w:r>
      <w:r>
        <w:rPr>
          <w:rFonts w:hint="eastAsia" w:cs="Times New Roman" w:asciiTheme="minorEastAsia" w:hAnsiTheme="minorEastAsia" w:eastAsiaTheme="minorEastAsia"/>
        </w:rPr>
        <w:t>（</w:t>
      </w:r>
      <w:r>
        <w:rPr>
          <w:rFonts w:hint="eastAsia" w:cs="Times New Roman"/>
        </w:rPr>
        <w:t>个人隐去真实姓名</w:t>
      </w:r>
      <w:r>
        <w:rPr>
          <w:rFonts w:hint="eastAsia" w:cs="Times New Roman" w:asciiTheme="minorEastAsia" w:hAnsiTheme="minorEastAsia" w:eastAsiaTheme="minorEastAsia"/>
        </w:rPr>
        <w:t>）</w:t>
      </w:r>
      <w:r>
        <w:rPr>
          <w:rFonts w:hint="eastAsia" w:cs="Times New Roman"/>
        </w:rPr>
        <w:t>、执法日期、执法结果等内容。作出行政执法决定的，还应当公示执法决定书的文号和决定的内容。</w:t>
      </w:r>
    </w:p>
    <w:p>
      <w:pPr>
        <w:pStyle w:val="25"/>
        <w:widowControl w:val="0"/>
        <w:shd w:val="clear" w:color="auto" w:fill="FFFFFF"/>
        <w:topLinePunct/>
        <w:spacing w:beforeAutospacing="0" w:afterAutospacing="0" w:line="400" w:lineRule="exact"/>
        <w:ind w:firstLine="482" w:firstLineChars="200"/>
        <w:jc w:val="both"/>
        <w:rPr>
          <w:rFonts w:cs="Times New Roman" w:asciiTheme="minorEastAsia" w:hAnsiTheme="minorEastAsia" w:eastAsiaTheme="minorEastAsia"/>
        </w:rPr>
      </w:pPr>
      <w:r>
        <w:rPr>
          <w:rFonts w:hint="eastAsia" w:cs="Times New Roman"/>
          <w:b/>
        </w:rPr>
        <w:t>第十六条</w:t>
      </w:r>
      <w:r>
        <w:rPr>
          <w:rFonts w:hint="eastAsia" w:cs="Times New Roman"/>
        </w:rPr>
        <w:t>　符合下列情形的行政执法结果不予公示：</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当事人属于未成年人的；</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涉及国家秘密的；</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公示后可能影响国家安全、公共安全、经济安全或者社会稳定的；</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公示后可能影响系列案件调查处理的；</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五</w:t>
      </w:r>
      <w:r>
        <w:rPr>
          <w:rFonts w:hint="eastAsia" w:cs="Times New Roman" w:asciiTheme="minorEastAsia" w:hAnsiTheme="minorEastAsia" w:eastAsiaTheme="minorEastAsia"/>
        </w:rPr>
        <w:t>）</w:t>
      </w:r>
      <w:r>
        <w:rPr>
          <w:rFonts w:hint="eastAsia" w:cs="Times New Roman"/>
        </w:rPr>
        <w:t>案件涉嫌犯罪需移送公安机关调查处理或者正在公安机关调查处理中的；</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六</w:t>
      </w:r>
      <w:r>
        <w:rPr>
          <w:rFonts w:hint="eastAsia" w:cs="Times New Roman" w:asciiTheme="minorEastAsia" w:hAnsiTheme="minorEastAsia" w:eastAsiaTheme="minorEastAsia"/>
        </w:rPr>
        <w:t>）</w:t>
      </w:r>
      <w:r>
        <w:rPr>
          <w:rFonts w:hint="eastAsia" w:cs="Times New Roman"/>
        </w:rPr>
        <w:t>法律法规规章规定不予公示的其他情形。</w:t>
      </w:r>
    </w:p>
    <w:p>
      <w:pPr>
        <w:pStyle w:val="25"/>
        <w:widowControl w:val="0"/>
        <w:shd w:val="clear" w:color="auto" w:fill="FFFFFF"/>
        <w:topLinePunct/>
        <w:spacing w:beforeAutospacing="0" w:afterAutospacing="0" w:line="400" w:lineRule="exact"/>
        <w:ind w:firstLine="482" w:firstLineChars="200"/>
        <w:jc w:val="both"/>
        <w:rPr>
          <w:rFonts w:cs="Times New Roman" w:asciiTheme="minorEastAsia" w:hAnsiTheme="minorEastAsia" w:eastAsiaTheme="minorEastAsia"/>
        </w:rPr>
      </w:pPr>
      <w:r>
        <w:rPr>
          <w:rFonts w:hint="eastAsia" w:cs="Times New Roman"/>
          <w:b/>
        </w:rPr>
        <w:t>第十七条</w:t>
      </w:r>
      <w:r>
        <w:rPr>
          <w:rFonts w:hint="eastAsia" w:cs="Times New Roman"/>
        </w:rPr>
        <w:t>　行政执法机关应当建立行政执法统计年报制度，每年1月31日前主动公示上年度行政执法情况，并报本级人民政府和上级主管部门。</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rPr>
        <w:t>行政执法统计年报应当包括下列内容：</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行政执法机关的执法主体名称和数量情况；</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各执法主体的执法岗位设置及执法人员在岗情况；</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执法力量投入情况；</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政务服务事项的办理情况；</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五</w:t>
      </w:r>
      <w:r>
        <w:rPr>
          <w:rFonts w:hint="eastAsia" w:cs="Times New Roman" w:asciiTheme="minorEastAsia" w:hAnsiTheme="minorEastAsia" w:eastAsiaTheme="minorEastAsia"/>
        </w:rPr>
        <w:t>）</w:t>
      </w:r>
      <w:r>
        <w:rPr>
          <w:rFonts w:hint="eastAsia" w:cs="Times New Roman"/>
        </w:rPr>
        <w:t>执法检查计划执行情况；</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六</w:t>
      </w:r>
      <w:r>
        <w:rPr>
          <w:rFonts w:hint="eastAsia" w:cs="Times New Roman" w:asciiTheme="minorEastAsia" w:hAnsiTheme="minorEastAsia" w:eastAsiaTheme="minorEastAsia"/>
        </w:rPr>
        <w:t>）</w:t>
      </w:r>
      <w:r>
        <w:rPr>
          <w:rFonts w:hint="eastAsia" w:cs="Times New Roman"/>
        </w:rPr>
        <w:t>行政处罚、行政强制等案件的办理情况；</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七</w:t>
      </w:r>
      <w:r>
        <w:rPr>
          <w:rFonts w:hint="eastAsia" w:cs="Times New Roman" w:asciiTheme="minorEastAsia" w:hAnsiTheme="minorEastAsia" w:eastAsiaTheme="minorEastAsia"/>
        </w:rPr>
        <w:t>）</w:t>
      </w:r>
      <w:r>
        <w:rPr>
          <w:rFonts w:hint="eastAsia" w:cs="Times New Roman"/>
        </w:rPr>
        <w:t>投诉、举报案件的受理和分类办理情况；</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八</w:t>
      </w:r>
      <w:r>
        <w:rPr>
          <w:rFonts w:hint="eastAsia" w:cs="Times New Roman" w:asciiTheme="minorEastAsia" w:hAnsiTheme="minorEastAsia" w:eastAsiaTheme="minorEastAsia"/>
        </w:rPr>
        <w:t>）</w:t>
      </w:r>
      <w:r>
        <w:rPr>
          <w:rFonts w:hint="eastAsia" w:cs="Times New Roman"/>
        </w:rPr>
        <w:t>行政执法机关认为需要公示的其他情况。</w:t>
      </w:r>
    </w:p>
    <w:p>
      <w:pPr>
        <w:pStyle w:val="25"/>
        <w:widowControl w:val="0"/>
        <w:shd w:val="clear" w:color="auto" w:fill="FFFFFF"/>
        <w:topLinePunct/>
        <w:spacing w:beforeAutospacing="0" w:afterAutospacing="0" w:line="400" w:lineRule="exact"/>
        <w:ind w:firstLine="482" w:firstLineChars="200"/>
        <w:jc w:val="both"/>
        <w:rPr>
          <w:rFonts w:cs="Times New Roman" w:asciiTheme="minorEastAsia" w:hAnsiTheme="minorEastAsia" w:eastAsiaTheme="minorEastAsia"/>
        </w:rPr>
      </w:pPr>
      <w:r>
        <w:rPr>
          <w:rFonts w:hint="eastAsia" w:cs="Times New Roman"/>
          <w:b/>
        </w:rPr>
        <w:t>第十八条</w:t>
      </w:r>
      <w:r>
        <w:rPr>
          <w:rFonts w:hint="eastAsia" w:cs="Times New Roman"/>
        </w:rPr>
        <w:t>　行政执法基本信息发生变化的，行政执法机关应当及时更新。</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rPr>
        <w:t>行政执法决定被依法撤销、部分撤销、确认违法、确认无效或者被依法变更的，行政执法机关应当在10个工作日内撤下已公示的相关行政执法结果信息。</w:t>
      </w:r>
    </w:p>
    <w:p>
      <w:pPr>
        <w:pStyle w:val="25"/>
        <w:widowControl w:val="0"/>
        <w:shd w:val="clear" w:color="auto" w:fill="FFFFFF"/>
        <w:topLinePunct/>
        <w:spacing w:beforeAutospacing="0" w:afterAutospacing="0" w:line="400" w:lineRule="exact"/>
        <w:ind w:firstLine="482" w:firstLineChars="200"/>
        <w:jc w:val="both"/>
        <w:rPr>
          <w:rFonts w:cs="Times New Roman" w:asciiTheme="minorEastAsia" w:hAnsiTheme="minorEastAsia" w:eastAsiaTheme="minorEastAsia"/>
        </w:rPr>
      </w:pPr>
      <w:r>
        <w:rPr>
          <w:rFonts w:hint="eastAsia" w:cs="Times New Roman"/>
          <w:b/>
        </w:rPr>
        <w:t>第十九条</w:t>
      </w:r>
      <w:r>
        <w:rPr>
          <w:rFonts w:hint="eastAsia" w:cs="Times New Roman"/>
        </w:rPr>
        <w:t>　公民、法人或者其他组织认为行政执法公示的内容存在合法性、适当性问题并向行政执法机关提出监督建议的，行政执法机关应当及时研究；确实存在问题的，应当及时纠正。</w:t>
      </w:r>
    </w:p>
    <w:p>
      <w:pPr>
        <w:pStyle w:val="25"/>
        <w:widowControl w:val="0"/>
        <w:shd w:val="clear" w:color="auto" w:fill="FFFFFF"/>
        <w:topLinePunct/>
        <w:spacing w:beforeAutospacing="0" w:afterAutospacing="0" w:line="400" w:lineRule="exact"/>
        <w:ind w:firstLine="480" w:firstLineChars="200"/>
        <w:jc w:val="both"/>
        <w:rPr>
          <w:rFonts w:cs="Times New Roman" w:asciiTheme="minorEastAsia" w:hAnsiTheme="minorEastAsia" w:eastAsiaTheme="minorEastAsia"/>
        </w:rPr>
      </w:pPr>
      <w:r>
        <w:rPr>
          <w:rFonts w:hint="eastAsia" w:cs="Times New Roman"/>
        </w:rPr>
        <w:t>行政执法相对人认为公示的行政执法信息侵犯其合法权益并要求行政执法机关更正的，行政机关应当及时核实，确需更正的，应当及时更正；不予更正的，向当事人说明理由。</w:t>
      </w:r>
    </w:p>
    <w:p>
      <w:pPr>
        <w:pStyle w:val="25"/>
        <w:widowControl w:val="0"/>
        <w:shd w:val="clear" w:color="auto" w:fill="FFFFFF"/>
        <w:topLinePunct/>
        <w:spacing w:beforeAutospacing="0" w:afterAutospacing="0" w:line="400" w:lineRule="exact"/>
        <w:ind w:firstLine="482" w:firstLineChars="200"/>
        <w:jc w:val="both"/>
        <w:rPr>
          <w:rFonts w:cs="Times New Roman" w:asciiTheme="minorEastAsia" w:hAnsiTheme="minorEastAsia" w:eastAsiaTheme="minorEastAsia"/>
        </w:rPr>
      </w:pPr>
      <w:r>
        <w:rPr>
          <w:rFonts w:hint="eastAsia" w:cs="Times New Roman"/>
          <w:b/>
        </w:rPr>
        <w:t>第二十条</w:t>
      </w:r>
      <w:r>
        <w:rPr>
          <w:rFonts w:hint="eastAsia" w:cs="Times New Roman"/>
        </w:rPr>
        <w:t>　公民、法人或者其他组织申请公示行政执法信息的，行政执法机关应当按照政府信息公开相关规定办理。属于申请查询特定第三人信用信息的，应当告知申请人按照国家和本市信用信息归集管理的规定查询。</w:t>
      </w:r>
    </w:p>
    <w:p>
      <w:pPr>
        <w:pStyle w:val="25"/>
        <w:widowControl w:val="0"/>
        <w:shd w:val="clear" w:color="auto" w:fill="FFFFFF"/>
        <w:topLinePunct/>
        <w:spacing w:beforeAutospacing="0" w:afterAutospacing="0" w:line="412" w:lineRule="exact"/>
        <w:ind w:firstLine="482" w:firstLineChars="200"/>
        <w:jc w:val="both"/>
        <w:rPr>
          <w:rFonts w:cs="Times New Roman"/>
        </w:rPr>
      </w:pPr>
      <w:r>
        <w:rPr>
          <w:rFonts w:hint="eastAsia" w:cs="Times New Roman"/>
          <w:b/>
        </w:rPr>
        <w:t>第二十一条</w:t>
      </w:r>
      <w:r>
        <w:rPr>
          <w:rFonts w:hint="eastAsia" w:cs="Times New Roman"/>
        </w:rPr>
        <w:t>　本办法自2020年1月1日起施行。</w:t>
      </w:r>
    </w:p>
    <w:p>
      <w:pPr>
        <w:pStyle w:val="25"/>
        <w:widowControl w:val="0"/>
        <w:shd w:val="clear" w:color="auto" w:fill="FFFFFF"/>
        <w:topLinePunct/>
        <w:spacing w:beforeAutospacing="0" w:afterAutospacing="0" w:line="412" w:lineRule="exact"/>
        <w:jc w:val="both"/>
        <w:rPr>
          <w:rFonts w:cs="Times New Roman"/>
          <w:b/>
        </w:rPr>
      </w:pPr>
      <w:r>
        <w:rPr>
          <w:rFonts w:cs="Times New Roman"/>
          <w:b/>
        </w:rPr>
        <w:br w:type="page"/>
      </w:r>
      <w:r>
        <w:rPr>
          <w:rFonts w:hint="eastAsia" w:cs="Times New Roman"/>
          <w:b/>
        </w:rPr>
        <w:t>附件2</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jc w:val="center"/>
        <w:rPr>
          <w:rFonts w:ascii="方正黑体简体" w:eastAsia="方正黑体简体" w:cs="Times New Roman" w:hAnsiTheme="minorEastAsia"/>
          <w:sz w:val="36"/>
          <w:szCs w:val="36"/>
        </w:rPr>
      </w:pPr>
      <w:r>
        <w:rPr>
          <w:rFonts w:hint="eastAsia" w:ascii="方正黑体简体" w:eastAsia="方正黑体简体" w:cs="Times New Roman"/>
          <w:sz w:val="36"/>
          <w:szCs w:val="36"/>
        </w:rPr>
        <w:t>北京市行政执法全过程记录办法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第一条</w:t>
      </w:r>
      <w:r>
        <w:rPr>
          <w:rFonts w:hint="eastAsia" w:cs="Times New Roman"/>
        </w:rPr>
        <w:t>　为规范行政执法程序，促进严格规范公正文明执法，依据国家有关规定，结合本市实际，制定本办法。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第二条</w:t>
      </w:r>
      <w:r>
        <w:rPr>
          <w:rFonts w:hint="eastAsia" w:cs="Times New Roman"/>
        </w:rPr>
        <w:t>　本市具有行政执法权的行政机关、法律法规授权的组织或依法受委托的组织</w:t>
      </w:r>
      <w:r>
        <w:rPr>
          <w:rFonts w:hint="eastAsia" w:cs="Times New Roman" w:asciiTheme="minorEastAsia" w:hAnsiTheme="minorEastAsia" w:eastAsiaTheme="minorEastAsia"/>
        </w:rPr>
        <w:t>（</w:t>
      </w:r>
      <w:r>
        <w:rPr>
          <w:rFonts w:hint="eastAsia" w:cs="Times New Roman"/>
        </w:rPr>
        <w:t>以下简称行政执法机关</w:t>
      </w:r>
      <w:r>
        <w:rPr>
          <w:rFonts w:hint="eastAsia" w:cs="Times New Roman" w:asciiTheme="minorEastAsia" w:hAnsiTheme="minorEastAsia" w:eastAsiaTheme="minorEastAsia"/>
        </w:rPr>
        <w:t>）</w:t>
      </w:r>
      <w:r>
        <w:rPr>
          <w:rFonts w:hint="eastAsia" w:cs="Times New Roman"/>
        </w:rPr>
        <w:t>依据法律、法规和规章规定，对行政执法过程进行记录的活动适用本办法。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第三条</w:t>
      </w:r>
      <w:r>
        <w:rPr>
          <w:rFonts w:hint="eastAsia" w:cs="Times New Roman"/>
        </w:rPr>
        <w:t>　本办法所称行政执法全过程，是指从行政执法程序启动直至执法程序完结经历的过程。</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第四条</w:t>
      </w:r>
      <w:r>
        <w:rPr>
          <w:rFonts w:hint="eastAsia" w:cs="Times New Roman"/>
        </w:rPr>
        <w:t>　行政许可、行政确认、规费征收、行政给付、行政奖励、行政裁决的全过程自接收相关办理材料开始，包括接收、受理、审查决定、送达等一般程序环节和补正、勘验、中止、延期、听证等特别程序环节。</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行政检查的全过程自检查活动开始，包括现场核查、送达、复查等一般程序环节和询问、勘验、抽样、鉴定、责令改正等特别程序环节。</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实物征收征用的全过程自论证和征求意见开始，包括论证、征求意见、审查决定、送达、实施、补偿、终结等一般程序环节和中止、延期等特别程序环节。</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行政处罚的全过程自获取违法线索开始，包括受案、立案、调查取证、审查决定、送达、终结等一般程序环节和抽样调查、先行登记保存、听证、中止、延期等特别程序环节。</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行政强制的全过程自呈报审批开始，包括审查决定、催告、送达、实施、终结等一般程序环节和中止、延期等特别程序环节。</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第五条</w:t>
      </w:r>
      <w:r>
        <w:rPr>
          <w:rFonts w:hint="eastAsia" w:cs="Times New Roman"/>
        </w:rPr>
        <w:t>　行政执法全过程记录应当遵循合法、全面、客观、准确和可回溯管理的原则。</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第六条</w:t>
      </w:r>
      <w:r>
        <w:rPr>
          <w:rFonts w:hint="eastAsia" w:cs="Times New Roman"/>
        </w:rPr>
        <w:t>　行政执法全过程记录应当采取文字记录、音像记录等方式。</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文字记录可以采用纸质文书或者电子文书进行记录。音像记录可以采用执法记录仪、摄像机、音视频监控等设备进行记录。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第七条</w:t>
      </w:r>
      <w:r>
        <w:rPr>
          <w:rFonts w:hint="eastAsia" w:cs="Times New Roman"/>
        </w:rPr>
        <w:t>　纸质文书记录应当使用行政执法机关印制的制式文书，过程记录的要素应当包括时间、地点、执法人员、执法对象、执法事项等过程性信息。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纸质文书记录的制作、归档、保管、使用，依照国家和本市有关行政执法档案或者文书档案管理的规定执行。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第八条</w:t>
      </w:r>
      <w:r>
        <w:rPr>
          <w:rFonts w:hint="eastAsia" w:cs="Times New Roman"/>
        </w:rPr>
        <w:t>　鼓励行政执法机关采用电子文书并结合电子签章等信息化技术对行政执法全过程进行记录和管理。</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第九条</w:t>
      </w:r>
      <w:r>
        <w:rPr>
          <w:rFonts w:hint="eastAsia" w:cs="Times New Roman"/>
        </w:rPr>
        <w:t>　对查封扣押财产、强制拆除等直接涉及人身自由、生命健康、重大财产权益的现场执法活动和执法办案场所，要推行全程音像记录。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对现场执法、调查取证、举行听证、留置送达和公告送达等容易引发争议的行政执法过程，要根据实际情况进行音像记录。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鼓励行政执法机关在办事窗口、询问室、听证室等场所安装音视频监控系统，对执法过程进行记录。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法律法规规章或者国家有关部门对使用音像设备记录执法过程有强制性规定的，从其规定。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第十条</w:t>
      </w:r>
      <w:r>
        <w:rPr>
          <w:rFonts w:hint="eastAsia" w:cs="Times New Roman"/>
        </w:rPr>
        <w:t>　音像记录设备使用前，执法人员应当检查音像设备的性能、电量和存储空间使用情况，并对系统时间进行校准。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音像记录应当包含记录时间、记录地点、执法人员、执法对象等基本信息。有条件的可以使用多台音像设备从不同角度，同时进行不间断记录。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音像记录过程中，因天气恶劣、设备故障、设备损坏等原因造成音像记录中断的，应当在重新开启设备后对中断原因进行语音说明；无法继续记录的，应当事后书面说明情况。</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第十一条</w:t>
      </w:r>
      <w:r>
        <w:rPr>
          <w:rFonts w:hint="eastAsia" w:cs="Times New Roman"/>
        </w:rPr>
        <w:t>　导出和存储执法音像设备中的音像记录应当使用专用存储设备进行。</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行政执法记录的保管、借阅、复制和使用应当按照档案管理的有关规定执行。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第十二条</w:t>
      </w:r>
      <w:r>
        <w:rPr>
          <w:rFonts w:hint="eastAsia" w:cs="Times New Roman"/>
        </w:rPr>
        <w:t>　执法过程的文字记录保存期限按照行政执法档案或文书档案的保存期限执行。专用设备存储的音像记录保存期限不少于6个月，具体期限由各市级行政执法机关确定。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音像记录作为证据使用的，应当刻制光盘并注明制作人、提取人、提取时间等信息，与档案一并归档。光盘保存期限按照行政执法档案或文书档案保存期限执行。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第十三条</w:t>
      </w:r>
      <w:r>
        <w:rPr>
          <w:rFonts w:hint="eastAsia" w:cs="Times New Roman"/>
        </w:rPr>
        <w:t>　行政执法机关及其工作人员不得伪造、篡改、编辑、剪辑执法过程的原始记录；不得在保存期内销毁执法过程的文字记录和专用存储设备中的音像记录。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第十四条</w:t>
      </w:r>
      <w:r>
        <w:rPr>
          <w:rFonts w:hint="eastAsia" w:cs="Times New Roman"/>
        </w:rPr>
        <w:t>　行政执法全过程记录为行政执法机关内部资料，不向社会公开。涉及国家秘密的，应当严格按照保密工作的有关规定进行管理。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监察、司法、审计等国家机关基于办案需要，依法调阅、复制相关案件执法过程记录的，行政执法机关应当协助提供。</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执法相对人要求查阅、复制与其相关的执法过程记录的，行政执法机关应当协助提供，但不得泄露国家秘密或者举报人、投诉人以及其他第三人的信息。已经结案归档的执法过程记录，应当按照档案管理有关规定办理查阅、复制手续。</w:t>
      </w:r>
    </w:p>
    <w:p>
      <w:pPr>
        <w:pStyle w:val="25"/>
        <w:widowControl w:val="0"/>
        <w:shd w:val="clear" w:color="auto" w:fill="FFFFFF"/>
        <w:topLinePunct/>
        <w:spacing w:beforeAutospacing="0" w:afterAutospacing="0" w:line="412" w:lineRule="exact"/>
        <w:ind w:firstLine="482" w:firstLineChars="200"/>
        <w:jc w:val="both"/>
        <w:rPr>
          <w:rFonts w:cs="Times New Roman"/>
        </w:rPr>
      </w:pPr>
      <w:r>
        <w:rPr>
          <w:rFonts w:hint="eastAsia" w:cs="Times New Roman"/>
          <w:b/>
        </w:rPr>
        <w:t>第十五条</w:t>
      </w:r>
      <w:r>
        <w:rPr>
          <w:rFonts w:hint="eastAsia" w:cs="Times New Roman"/>
        </w:rPr>
        <w:t>　本办法自2020年1月1日起施行。</w:t>
      </w:r>
    </w:p>
    <w:p>
      <w:pPr>
        <w:pStyle w:val="25"/>
        <w:widowControl w:val="0"/>
        <w:shd w:val="clear" w:color="auto" w:fill="FFFFFF"/>
        <w:topLinePunct/>
        <w:spacing w:beforeAutospacing="0" w:afterAutospacing="0" w:line="412" w:lineRule="exact"/>
        <w:jc w:val="both"/>
        <w:rPr>
          <w:rFonts w:cs="Times New Roman"/>
          <w:b/>
        </w:rPr>
      </w:pPr>
      <w:r>
        <w:rPr>
          <w:rFonts w:cs="Times New Roman"/>
          <w:b/>
        </w:rPr>
        <w:br w:type="page"/>
      </w:r>
      <w:r>
        <w:rPr>
          <w:rFonts w:hint="eastAsia" w:cs="Times New Roman"/>
          <w:b/>
        </w:rPr>
        <w:t>附件3</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jc w:val="center"/>
        <w:rPr>
          <w:rFonts w:ascii="方正黑体简体" w:eastAsia="方正黑体简体" w:cs="Times New Roman" w:hAnsiTheme="minorEastAsia"/>
          <w:sz w:val="36"/>
          <w:szCs w:val="36"/>
        </w:rPr>
      </w:pPr>
      <w:r>
        <w:rPr>
          <w:rFonts w:hint="eastAsia" w:ascii="方正黑体简体" w:eastAsia="方正黑体简体" w:cs="Times New Roman"/>
          <w:sz w:val="36"/>
          <w:szCs w:val="36"/>
        </w:rPr>
        <w:t>北京市重大行政执法决定法制审核办法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第一条</w:t>
      </w:r>
      <w:r>
        <w:rPr>
          <w:rFonts w:hint="eastAsia" w:cs="Times New Roman"/>
        </w:rPr>
        <w:t>　为规范重大行政执法决定法制审核程序，促进严格规范公正文明执法，保护公民、法人和其他组织的合法权益，根据国家有关规定，制定本办法。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第二条</w:t>
      </w:r>
      <w:r>
        <w:rPr>
          <w:rFonts w:hint="eastAsia" w:cs="Times New Roman"/>
        </w:rPr>
        <w:t>　本市具有行政执法权的行政机关、法律法规授权的组织或依法受委托的组织</w:t>
      </w:r>
      <w:r>
        <w:rPr>
          <w:rFonts w:hint="eastAsia" w:cs="Times New Roman" w:asciiTheme="minorEastAsia" w:hAnsiTheme="minorEastAsia" w:eastAsiaTheme="minorEastAsia"/>
        </w:rPr>
        <w:t>（</w:t>
      </w:r>
      <w:r>
        <w:rPr>
          <w:rFonts w:hint="eastAsia" w:cs="Times New Roman"/>
        </w:rPr>
        <w:t>以下简称行政执法机关</w:t>
      </w:r>
      <w:r>
        <w:rPr>
          <w:rFonts w:hint="eastAsia" w:cs="Times New Roman" w:asciiTheme="minorEastAsia" w:hAnsiTheme="minorEastAsia" w:eastAsiaTheme="minorEastAsia"/>
        </w:rPr>
        <w:t>）</w:t>
      </w:r>
      <w:r>
        <w:rPr>
          <w:rFonts w:hint="eastAsia" w:cs="Times New Roman"/>
        </w:rPr>
        <w:t>进行重大行政执法决定的法制审核适用本办法。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公安、国家安全等机关限制公民人身自由的行政处罚和行政强制决定的法制审核，按照国家或者相关部门有关规定执行。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第三条</w:t>
      </w:r>
      <w:r>
        <w:rPr>
          <w:rFonts w:hint="eastAsia" w:cs="Times New Roman"/>
        </w:rPr>
        <w:t>　重大行政执法决定法制审核属于行政执法机关的内部工作机制。</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行政执法机关作出重大行政执法决定应当经过集体讨论。</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重大行政执法决定法制审核应当在作出行政执法决定前进行。未经法制审核，行政执法机关不得作出重大行政执法决定。主体、事实、依据、程序存在合法性问题的，应当在纠正或者改正后作出重大行政执法决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第四条</w:t>
      </w:r>
      <w:r>
        <w:rPr>
          <w:rFonts w:hint="eastAsia" w:cs="Times New Roman"/>
        </w:rPr>
        <w:t>　各级行政执法机关的主要负责人是推动落实本机关重大行政执法决定法制审核制度的第一责任人，并对以本机关名义作出的行政执法决定负责。</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各级行政执法机关的法制机构或者承担法制职责的机构</w:t>
      </w:r>
      <w:r>
        <w:rPr>
          <w:rFonts w:hint="eastAsia" w:cs="Times New Roman" w:asciiTheme="minorEastAsia" w:hAnsiTheme="minorEastAsia" w:eastAsiaTheme="minorEastAsia"/>
        </w:rPr>
        <w:t>（</w:t>
      </w:r>
      <w:r>
        <w:rPr>
          <w:rFonts w:hint="eastAsia" w:cs="Times New Roman"/>
        </w:rPr>
        <w:t>以下简称法制机构</w:t>
      </w:r>
      <w:r>
        <w:rPr>
          <w:rFonts w:hint="eastAsia" w:cs="Times New Roman" w:asciiTheme="minorEastAsia" w:hAnsiTheme="minorEastAsia" w:eastAsiaTheme="minorEastAsia"/>
        </w:rPr>
        <w:t>）</w:t>
      </w:r>
      <w:r>
        <w:rPr>
          <w:rFonts w:hint="eastAsia" w:cs="Times New Roman"/>
        </w:rPr>
        <w:t>负责本机关重大行政执法决定的法制审核工作并对审核意见负责。</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经行政执法机关授权或者委托，相对集中执法权的机构</w:t>
      </w:r>
      <w:r>
        <w:rPr>
          <w:rFonts w:hint="eastAsia" w:cs="Times New Roman" w:asciiTheme="minorEastAsia" w:hAnsiTheme="minorEastAsia" w:eastAsiaTheme="minorEastAsia"/>
        </w:rPr>
        <w:t>（</w:t>
      </w:r>
      <w:r>
        <w:rPr>
          <w:rFonts w:hint="eastAsia" w:cs="Times New Roman"/>
        </w:rPr>
        <w:t>含政务服务机构</w:t>
      </w:r>
      <w:r>
        <w:rPr>
          <w:rFonts w:hint="eastAsia" w:cs="Times New Roman" w:asciiTheme="minorEastAsia" w:hAnsiTheme="minorEastAsia" w:eastAsiaTheme="minorEastAsia"/>
        </w:rPr>
        <w:t>）</w:t>
      </w:r>
      <w:r>
        <w:rPr>
          <w:rFonts w:hint="eastAsia" w:cs="Times New Roman"/>
        </w:rPr>
        <w:t>和受委托执法的组织，可以由其法制机构在授权或者委托范围内具体承担重大行政执法决定法制审核职责。</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第五条</w:t>
      </w:r>
      <w:r>
        <w:rPr>
          <w:rFonts w:hint="eastAsia" w:cs="Times New Roman"/>
        </w:rPr>
        <w:t>　下列行政许可决定属于重大行政执法决定：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采取招标、拍卖等方式作出的行政许可决定；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经过听证作出的行政许可决定；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撤回或者撤销行政许可的决定；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行政执法机关认为属于重大的其他行政许可决定。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第六条</w:t>
      </w:r>
      <w:r>
        <w:rPr>
          <w:rFonts w:hint="eastAsia" w:cs="Times New Roman"/>
        </w:rPr>
        <w:t>　下列行政处罚决定属于重大行政执法决定：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暂扣、吊销营业执照或者许可证件的行政处罚决定；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责令停产停业的行政处罚决定；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案情复杂或者罚款数额较大且经过听证程序作出的行政处罚决定；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行政执法机关认为属于重大的其他行政处罚决定。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第七条</w:t>
      </w:r>
      <w:r>
        <w:rPr>
          <w:rFonts w:hint="eastAsia" w:cs="Times New Roman"/>
        </w:rPr>
        <w:t>　下列行政强制决定属于重大行政执法决定：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划拨存款、汇款的行政强制执行决定；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拆除建筑物、构筑物的行政强制执行决定；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拍卖或者变卖当事人合法财物用以抵缴罚款的行政强制执行决定；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行政执法机关认为属于重大的其他行政强制决定。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第八条</w:t>
      </w:r>
      <w:r>
        <w:rPr>
          <w:rFonts w:hint="eastAsia" w:cs="Times New Roman"/>
        </w:rPr>
        <w:t>　下列行政征收征用决定属于重大行政执法决定：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征收或者征用房屋、土地的决定；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征收或者征用车辆、设施、设备等合法财产的决定；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行政执法机关认为属于重大的其他行政征收征用决定。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第九条</w:t>
      </w:r>
      <w:r>
        <w:rPr>
          <w:rFonts w:hint="eastAsia" w:cs="Times New Roman"/>
        </w:rPr>
        <w:t>　行政执法机关向公安机关移送涉嫌犯罪案件或者向监察机关移送涉嫌职务违法、职务犯罪案件的决定，属于重大行政执法决定。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第十条</w:t>
      </w:r>
      <w:r>
        <w:rPr>
          <w:rFonts w:hint="eastAsia" w:cs="Times New Roman"/>
        </w:rPr>
        <w:t>　法律法规规章对行政确认、行政给付、行政收费、行政裁决、行政奖励等重大执法决定的范围有明确规定的，按照有关规定执行；没有明确规定的，由各行政执法机关自行确定。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第十一条</w:t>
      </w:r>
      <w:r>
        <w:rPr>
          <w:rFonts w:hint="eastAsia" w:cs="Times New Roman"/>
        </w:rPr>
        <w:t>　本市实行重大行政执法决定事项目录管理制度。行政执法机关应当按照本办法第五条至第十条的规定，制定本机关重大行政执法决定事项目录，报市、区政府司法行政部门备案。因法律变更、机构职能调整等原因需要对目录进行调整的，应当及时调整并重新备案。</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第十二条</w:t>
      </w:r>
      <w:r>
        <w:rPr>
          <w:rFonts w:hint="eastAsia" w:cs="Times New Roman"/>
        </w:rPr>
        <w:t>　具体承担案件或者政务服务事项办理的机构</w:t>
      </w:r>
      <w:r>
        <w:rPr>
          <w:rFonts w:hint="eastAsia" w:cs="Times New Roman" w:asciiTheme="minorEastAsia" w:hAnsiTheme="minorEastAsia" w:eastAsiaTheme="minorEastAsia"/>
        </w:rPr>
        <w:t>（</w:t>
      </w:r>
      <w:r>
        <w:rPr>
          <w:rFonts w:hint="eastAsia" w:cs="Times New Roman"/>
        </w:rPr>
        <w:t>以下简称办案机构</w:t>
      </w:r>
      <w:r>
        <w:rPr>
          <w:rFonts w:hint="eastAsia" w:cs="Times New Roman" w:asciiTheme="minorEastAsia" w:hAnsiTheme="minorEastAsia" w:eastAsiaTheme="minorEastAsia"/>
        </w:rPr>
        <w:t>）</w:t>
      </w:r>
      <w:r>
        <w:rPr>
          <w:rFonts w:hint="eastAsia" w:cs="Times New Roman"/>
        </w:rPr>
        <w:t>应当将下列材料提交法制机构审核，并对提交材料的完整性、真实性、合法性负责：</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完整的卷宗材料；</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办理建议及理由、依据；</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其他需要提交的证据、证明材料。</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法律法规规章对行政执法时限有明确规定的，办案机构应当在法定时限届满前5个工作日提交法制审核。</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第十三条</w:t>
      </w:r>
      <w:r>
        <w:rPr>
          <w:rFonts w:hint="eastAsia" w:cs="Times New Roman"/>
        </w:rPr>
        <w:t>　重大行政执法决定法制审核以书面审核为主，重点审核以下内容：</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一</w:t>
      </w:r>
      <w:r>
        <w:rPr>
          <w:rFonts w:hint="eastAsia" w:cs="Times New Roman" w:asciiTheme="minorEastAsia" w:hAnsiTheme="minorEastAsia" w:eastAsiaTheme="minorEastAsia"/>
        </w:rPr>
        <w:t>）</w:t>
      </w:r>
      <w:r>
        <w:rPr>
          <w:rFonts w:hint="eastAsia" w:cs="Times New Roman"/>
        </w:rPr>
        <w:t>材料是否完整、文书是否完备、制作是否规范；</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二</w:t>
      </w:r>
      <w:r>
        <w:rPr>
          <w:rFonts w:hint="eastAsia" w:cs="Times New Roman" w:asciiTheme="minorEastAsia" w:hAnsiTheme="minorEastAsia" w:eastAsiaTheme="minorEastAsia"/>
        </w:rPr>
        <w:t>）</w:t>
      </w:r>
      <w:r>
        <w:rPr>
          <w:rFonts w:hint="eastAsia" w:cs="Times New Roman"/>
        </w:rPr>
        <w:t>执法主体和执法权限是否合法；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三</w:t>
      </w:r>
      <w:r>
        <w:rPr>
          <w:rFonts w:hint="eastAsia" w:cs="Times New Roman" w:asciiTheme="minorEastAsia" w:hAnsiTheme="minorEastAsia" w:eastAsiaTheme="minorEastAsia"/>
        </w:rPr>
        <w:t>）</w:t>
      </w:r>
      <w:r>
        <w:rPr>
          <w:rFonts w:hint="eastAsia" w:cs="Times New Roman"/>
        </w:rPr>
        <w:t>执法人员是否具备执法资格；</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四</w:t>
      </w:r>
      <w:r>
        <w:rPr>
          <w:rFonts w:hint="eastAsia" w:cs="Times New Roman" w:asciiTheme="minorEastAsia" w:hAnsiTheme="minorEastAsia" w:eastAsiaTheme="minorEastAsia"/>
        </w:rPr>
        <w:t>）</w:t>
      </w:r>
      <w:r>
        <w:rPr>
          <w:rFonts w:hint="eastAsia" w:cs="Times New Roman"/>
        </w:rPr>
        <w:t>执法对象是否认定准确；</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五</w:t>
      </w:r>
      <w:r>
        <w:rPr>
          <w:rFonts w:hint="eastAsia" w:cs="Times New Roman" w:asciiTheme="minorEastAsia" w:hAnsiTheme="minorEastAsia" w:eastAsiaTheme="minorEastAsia"/>
        </w:rPr>
        <w:t>）</w:t>
      </w:r>
      <w:r>
        <w:rPr>
          <w:rFonts w:hint="eastAsia" w:cs="Times New Roman"/>
        </w:rPr>
        <w:t>事实是否清楚，证据是否充分、确凿；</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六</w:t>
      </w:r>
      <w:r>
        <w:rPr>
          <w:rFonts w:hint="eastAsia" w:cs="Times New Roman" w:asciiTheme="minorEastAsia" w:hAnsiTheme="minorEastAsia" w:eastAsiaTheme="minorEastAsia"/>
        </w:rPr>
        <w:t>）</w:t>
      </w:r>
      <w:r>
        <w:rPr>
          <w:rFonts w:hint="eastAsia" w:cs="Times New Roman"/>
        </w:rPr>
        <w:t>执法程序是否合法；</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七</w:t>
      </w:r>
      <w:r>
        <w:rPr>
          <w:rFonts w:hint="eastAsia" w:cs="Times New Roman" w:asciiTheme="minorEastAsia" w:hAnsiTheme="minorEastAsia" w:eastAsiaTheme="minorEastAsia"/>
        </w:rPr>
        <w:t>）</w:t>
      </w:r>
      <w:r>
        <w:rPr>
          <w:rFonts w:hint="eastAsia" w:cs="Times New Roman"/>
        </w:rPr>
        <w:t>法律法规规章是否适用准确；</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八</w:t>
      </w:r>
      <w:r>
        <w:rPr>
          <w:rFonts w:hint="eastAsia" w:cs="Times New Roman" w:asciiTheme="minorEastAsia" w:hAnsiTheme="minorEastAsia" w:eastAsiaTheme="minorEastAsia"/>
        </w:rPr>
        <w:t>）</w:t>
      </w:r>
      <w:r>
        <w:rPr>
          <w:rFonts w:hint="eastAsia" w:cs="Times New Roman"/>
        </w:rPr>
        <w:t>办理意见或者裁量建议是否明确、适当；</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hint="eastAsia" w:cs="Times New Roman"/>
        </w:rPr>
        <w:t>九</w:t>
      </w:r>
      <w:r>
        <w:rPr>
          <w:rFonts w:hint="eastAsia" w:cs="Times New Roman" w:asciiTheme="minorEastAsia" w:hAnsiTheme="minorEastAsia" w:eastAsiaTheme="minorEastAsia"/>
        </w:rPr>
        <w:t>）</w:t>
      </w:r>
      <w:r>
        <w:rPr>
          <w:rFonts w:hint="eastAsia" w:cs="Times New Roman"/>
        </w:rPr>
        <w:t>其他应当审核的内容。</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第十四条</w:t>
      </w:r>
      <w:r>
        <w:rPr>
          <w:rFonts w:hint="eastAsia" w:cs="Times New Roman"/>
        </w:rPr>
        <w:t>　法制机构应当在办案机构提交审核之日起5个工作日内，逐项对照本办法第十三条规定的内容提出明确、具体的书面审核意见。</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hint="eastAsia" w:cs="Times New Roman"/>
        </w:rPr>
        <w:t>法制审核书面意见一式两份，一份反馈办案机构存入执法案卷，一份由法制机构留存归档。</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hint="eastAsia" w:cs="Times New Roman"/>
          <w:b/>
        </w:rPr>
        <w:t>第十五条</w:t>
      </w:r>
      <w:r>
        <w:rPr>
          <w:rFonts w:hint="eastAsia" w:cs="Times New Roman"/>
        </w:rPr>
        <w:t>　办案机构应当对法制机构审核中提出的合法性、合理性意见进行研究并提出是否采纳的意见；存在异议的，可以与法制机构协商沟通；经沟通仍不能达成一致意见的，报请行政执法机关负责人集体讨论决定。</w:t>
      </w:r>
    </w:p>
    <w:p>
      <w:pPr>
        <w:pStyle w:val="25"/>
        <w:widowControl w:val="0"/>
        <w:shd w:val="clear" w:color="auto" w:fill="FFFFFF"/>
        <w:topLinePunct/>
        <w:spacing w:beforeAutospacing="0" w:afterAutospacing="0" w:line="412" w:lineRule="exact"/>
        <w:ind w:firstLine="482" w:firstLineChars="200"/>
        <w:jc w:val="both"/>
        <w:rPr>
          <w:rFonts w:asciiTheme="minorEastAsia" w:hAnsiTheme="minorEastAsia"/>
        </w:rPr>
      </w:pPr>
      <w:r>
        <w:rPr>
          <w:rFonts w:hint="eastAsia" w:cs="Times New Roman"/>
          <w:b/>
        </w:rPr>
        <w:t>第十六条</w:t>
      </w:r>
      <w:r>
        <w:rPr>
          <w:rFonts w:hint="eastAsia" w:cs="Times New Roman"/>
        </w:rPr>
        <w:t>　本办法自2020年1月1日起施行。</w:t>
      </w:r>
    </w:p>
    <w:p>
      <w:pPr>
        <w:widowControl/>
        <w:spacing w:before="156" w:after="156"/>
        <w:ind w:firstLine="240"/>
        <w:rPr>
          <w:rFonts w:asciiTheme="minorEastAsia" w:hAnsiTheme="minorEastAsia"/>
          <w:sz w:val="24"/>
          <w:szCs w:val="24"/>
        </w:rPr>
      </w:pPr>
    </w:p>
    <w:p>
      <w:pPr>
        <w:widowControl/>
        <w:spacing w:before="156" w:after="156"/>
        <w:ind w:firstLine="240"/>
        <w:rPr>
          <w:rFonts w:cs="Times New Roman" w:asciiTheme="minorEastAsia" w:hAnsiTheme="minorEastAsia"/>
          <w:b/>
          <w:bCs/>
          <w:kern w:val="0"/>
          <w:sz w:val="24"/>
          <w:szCs w:val="24"/>
        </w:rPr>
      </w:pPr>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9" w:name="_Toc25648156"/>
      <w:bookmarkStart w:id="140" w:name="_Toc28250867"/>
      <w:bookmarkStart w:id="141" w:name="_Toc26347918"/>
      <w:bookmarkStart w:id="142" w:name="_Toc28252137"/>
      <w:bookmarkStart w:id="143" w:name="_Toc25653651"/>
      <w:bookmarkStart w:id="144" w:name="_Toc28156940"/>
      <w:r>
        <w:t>农业行政处罚程序规定</w:t>
      </w:r>
      <w:bookmarkEnd w:id="132"/>
      <w:bookmarkEnd w:id="133"/>
      <w:bookmarkEnd w:id="134"/>
      <w:bookmarkEnd w:id="139"/>
      <w:bookmarkEnd w:id="140"/>
      <w:bookmarkEnd w:id="141"/>
      <w:bookmarkEnd w:id="142"/>
      <w:bookmarkEnd w:id="143"/>
      <w:bookmarkEnd w:id="144"/>
    </w:p>
    <w:p>
      <w:pPr>
        <w:pStyle w:val="62"/>
      </w:pPr>
      <w:r>
        <w:t>（2006年4月25日中华人民共和国农业部令第63号公布，根据2011年12月31日中华人民共和国农业部令第4号公布、自2012年1月1日起施行的《农业部关于修订部分规章和规范性文件的决定》修订）</w:t>
      </w:r>
    </w:p>
    <w:p>
      <w:pPr>
        <w:pStyle w:val="40"/>
        <w:topLinePunct/>
        <w:spacing w:line="416" w:lineRule="exact"/>
        <w:ind w:firstLine="480" w:firstLineChars="200"/>
        <w:jc w:val="both"/>
        <w:outlineLvl w:val="9"/>
        <w:rPr>
          <w:rFonts w:cs="Times New Roman" w:asciiTheme="minorEastAsia" w:hAnsiTheme="minorEastAsia" w:eastAsiaTheme="minorEastAsia"/>
          <w:sz w:val="24"/>
          <w:szCs w:val="24"/>
        </w:rPr>
      </w:pPr>
    </w:p>
    <w:p>
      <w:pPr>
        <w:pStyle w:val="63"/>
        <w:spacing w:before="218" w:after="218" w:line="412" w:lineRule="exact"/>
        <w:rPr>
          <w:b/>
        </w:rPr>
      </w:pPr>
      <w:r>
        <w:t>第一章  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w:t>
      </w:r>
      <w:r>
        <w:rPr>
          <w:rFonts w:asciiTheme="minorEastAsia" w:hAnsiTheme="minorEastAsia" w:eastAsiaTheme="minorEastAsia"/>
          <w:spacing w:val="6"/>
          <w:sz w:val="24"/>
          <w:szCs w:val="24"/>
        </w:rPr>
        <w:t>规范农业行政处罚，保障和监督农业行政主管部门有效实施行政管理，保护公民、法人和其他组织的合法权益，根据《中华人民共和国行政处罚法》（以下简称行政处罚法）和有关法律、法规的规定，结合农业系统实际，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w:t>
      </w:r>
      <w:r>
        <w:rPr>
          <w:rFonts w:asciiTheme="minorEastAsia" w:hAnsiTheme="minorEastAsia" w:eastAsiaTheme="minorEastAsia"/>
          <w:spacing w:val="6"/>
          <w:sz w:val="24"/>
          <w:szCs w:val="24"/>
        </w:rPr>
        <w:t>业行政处罚应当遵守行政处罚法和有关法律、法规、规章及本规定。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本规定所称农业行政主管部门，是指种植业、畜牧（草原）、兽医、渔业、农垦、乡镇企业、饲料工业和农业机械化等行政主管机关。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本规定所称农业行政处罚机关，是指依法行使行政处罚权的县级以上人民政府的农业行政主管部门和法律、法规授权的农业管理机构。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法律、法规授权的农业管理机构在法定授权范围内实施行政处罚，并对该行为的后果承担法律责任。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农业行政主管部门依法设立的农业行政综合执法机构具体承担农业行政处罚工作。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未设立农业行政综合执法机构的，农业行政主管部门根据法律、法规或规章的规定，可以委托符合行政处罚法第十九条规定的农业管理机构实施行政处罚。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农业行政综合执法机构和受委托的农业管理机构应当以农业行政主管部门的名义实施农业行政处罚。农业行政主管部门对受委托的农业管理机构实施行政处罚行为应当进行监督，并对该行为的后果承担法律责任。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上级农业行政处罚机关应当加强对下级农业行政处罚机关实施行政处罚的监督检查。</w:t>
      </w:r>
    </w:p>
    <w:p>
      <w:pPr>
        <w:pStyle w:val="63"/>
        <w:spacing w:before="218" w:after="218" w:line="412" w:lineRule="exact"/>
        <w:rPr>
          <w:b/>
        </w:rPr>
      </w:pPr>
      <w:r>
        <w:t>第二章  农业行政处罚的管辖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农业行政处罚由违法行为发生地的农业行政处罚机关管辖。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县级农业行政处罚机关管辖本行政区域内的行政违法案件。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设区的市、自治州的农业行政处罚机关和省级农业行政处罚机关管辖本行政区域内重大、复杂的行政违法案件。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农业部及其所属的经法律、法规授权的农业管理机构管辖全国或所辖区域内重大、复杂的行政违法案件。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渔业行政处罚机关管辖本辖区范围内发生的和上级部门指定管辖的渔业违法案件。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渔业行政处罚有下列情况之一的，适用"谁查获谁处理"的原则：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（一）违法行为发生在共管区、叠区的；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（二）违法行为发生在管辖权不明确或者有争议的区域的；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（三）违法行为发生地与查获地不一致的。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对当事人的同一违法行为，两个以上农业行政处罚机关都有管辖权的，应当由先立案的农业行政处罚机关管辖。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上级农业行政处罚机关在必要时可以管辖下级农业行政处罚机关管辖的行政处罚案件。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下级农业行政处罚机关认为行政处罚案件重大复杂或者本地不宜管辖，可以报请上一级农业行政处罚机关管辖。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农业行政处罚机关对管辖发生争议的，应当协商解决。协商不成的，报请共同上一级农业行政处罚机关指定管辖。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农业行政处罚机关发现受理的行政处罚案件不属于自己管辖的，应当移送有管辖权的行政处罚机关处理。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受移送的农业行政处罚机关如果认为移送不当，应当报请共同上一级农业行政处罚机关指定管辖，不得再自行移送。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上级农业行政处罚机关在收到报请管辖或指定管辖的请示后，应当在十日内作出书面决定。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县级以上地方农业行政处罚机关在办理跨行政区域案件时，需要其他农业行政处罚机关协查的，可以发送协查函。有关农业行政处罚机关应当予以协助并及时书面告知协查结果。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农业行政处罚机关在办理案件时，对需要其他部门作出吊销有关许可证、批准文号、营业执照等行政处罚决定的，应当将查处结果告知作出许可决定的部门并提出处理建议。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违法行为涉嫌构成犯罪的，农业行政处罚机关应当将案件移送司法机关，依法追究刑事责任，不得以行政处罚代替刑罚。</w:t>
      </w:r>
    </w:p>
    <w:p>
      <w:pPr>
        <w:pStyle w:val="63"/>
        <w:spacing w:before="218" w:after="218" w:line="412" w:lineRule="exact"/>
        <w:rPr>
          <w:b/>
        </w:rPr>
      </w:pPr>
      <w:r>
        <w:t>第三章  农业行政处罚的决定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公民、法人或者其他组织违反农业行政管理秩序的行为，依法应当给予行政处罚的，农业行政处罚机关必须查明事实；违法事实不清的，不得给予行政处罚。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执法人员调查处理农业行政处罚案件时，应当向当事人或者有关人员出示执法证件。有统一执法服装或执法标志的应当着装或佩戴执法标志。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农业行政执法证件由农业部统一制定，省级以上农业行政主管部门法制工作机构负责执法证件的发放和管理工作。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农业行政处罚机关在作出农业行政处罚决定前，应当告知当事人作出行政处罚的事实、理由及依据，并告知当事人依法享有的权利。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农业行政处罚机关必须充分听取当事人的意见，对当事人提出的事实、理由及证据，应当进行复核；当事人提出的事实、理由或者证据成立的，农业行政处罚机关应当采纳。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农业行政处罚机关不得因当事人申辩而加重处罚。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农业行政处罚程序分为简易程序和一般程序。</w:t>
      </w:r>
    </w:p>
    <w:p>
      <w:pPr>
        <w:pStyle w:val="64"/>
        <w:spacing w:before="156" w:after="156"/>
      </w:pPr>
      <w:r>
        <w:t>第一节  简易程序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违法事实确凿并有法定依据，对公民处以五十元以下、对法人或者其他组织处以一千元以下罚款或者警告的行政处罚的，可以当场作出农业行政处罚决定。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当场作出行政处罚决定时应当遵守下列程序：（一）向当事人表明身份，出示执法证件；（二）当场查清违法事实，收集和保存必要的证据；（三）告知当事人违法事实、处罚理由和依据，并听取当事人陈述和申辩；（四）填写《当场处罚决定书》，当场交付当事人，并应当告知当事人，如不服行政处罚决定，可以依法申请行政复议或者提起行政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执法人员应当在作出当场处罚决定之日起、渔业执法人员应当自抵岸之日起二日内将《当场处罚决定书》报所属农业行政处罚机关备案。</w:t>
      </w:r>
    </w:p>
    <w:p>
      <w:pPr>
        <w:pStyle w:val="64"/>
        <w:spacing w:before="156" w:after="156"/>
      </w:pPr>
      <w:r>
        <w:t>第二节  一般程序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实施农业行政处罚，除适用简易程序的外，应当适用一般程序。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除依法可以当场决定行政处罚的外，执法人员经初步调查，发现公民、法人或者其他组织涉嫌有违法行为依法应当给予行政处罚的，应当填写《行政处罚立案审批表》，报本行政处罚机关负责人批准立案。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农业行政处罚机关应当对案件情况进行全面、客观、公正地调查，收集证据；必要时，依照法律、法规的规定，可以进行检查。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执法人员调查收集证据时不得少于二人。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证据包括书证、物证、视听资料、证人证言、当事人陈述、鉴定结论、勘验笔录和现场笔录。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执法人员询问证人或当事人（以下简称被询问人），应当制作《询问笔录》。笔录经被询问人阅核后，由询问人和被询问人签名或者盖章。被询问人拒绝签名或盖章的，由询问人在笔录上注明情况。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农业行政处罚机关为调查案件需要，有权要求当事人或者有关人员协助调查；有权依法进行现场检查或者勘验；有权要求当事人提供相应的证据资料；对重要的书证，有权进行复制。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法人员对与案件有关的物品或者场所进行现场检查或者勘验检查时，应当通知当事人到场，制作《现场检查（勘验）笔录》，当事人拒不到场或拒绝签名盖章的，应当在笔录中注明，并可以请在场的其他人员见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农业行政处罚机关在调查案件时，对需要鉴定的专门性问题，交由法定鉴定部门进行鉴定；没有法定鉴定部门的，可以提交有资质的专业机构进行鉴定。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农业行政处罚机关收集证据时，可以采取抽样取证的方法。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在证据可能灭失或者以后难以取得的情况下，经农业行政处罚机关负责人批准，可以先行登记保存。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农业行政处罚机关可以依据有关法律、法规的规定，对涉案场所、设施或者财物采取查封、扣押等强制措施。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对抽样取证、登记保存、查封扣押的物品，农业行政处罚机关应当制作《抽样取证凭证》、《证据登记保存清单》、《查封（扣押）决定书》和《查封（扣押）清单》。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农业行政处罚机关抽样送检的，应当将检测结果及时告知当事人。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非从生产单位直接抽样的，农业行政处罚机关可以向产品标注生产单位发送《产品确认通知书》。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先行登记保存物品时，就地由当事人保存的，当事人或者有关人员不得使用、销售、转移、损毁或者隐匿。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就地保存可能妨害公共秩序、公共安全，或者存在其他不适宜就地保存情况的，可以异地保存。对异地保存的物品，农业行政处罚机关应当妥善保管。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农业行政处罚机关对先行登记保存的证据，应当在七日内作出下列处理决定并告知当事人：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（一）需要进行技术检验或者鉴定的，送交有关部门检验或者鉴定；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（二）对依法应予没收的物品，依照法定程序处理；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（三）对依法应当由有关部门处理的，移交有关部门；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（四）为防止损害公共利益，需要销毁或者无害化处理的，依法进行处理；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（五）不需要继续登记保存的，解除登记保存。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案件调查人员与本案有利害关系或者其他关系可能影响公正处理的，应当申请回避，当事人也有权向农业行政处罚机关申请要求回避。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案件调查人员的回避，由农业行政处罚机关负责人决定；农业行政处罚机关负责人的回避由集体讨论决定。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回避未被决定前，不得停止对案件的调查处理。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执法人员在调查结束后，认为案件事实清楚，证据充分，应当制作《案件处理意见书》，报农业行政处罚机关负责人审批。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案情复杂或者有重大违法行为需要给予较重行政处罚的，应当由农业行政处罚机关负责人集体讨论决定。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当事人无正当理由逾期未提出陈述、申辩或者要求听证的，视为放弃上述权利。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农业行政处罚机关应当及时对当事人的陈述、申辩或者听证情况进行审查，认为违法事实清楚，证据确凿，决定给予行政处罚的，应当制作《行政处罚决定书》。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在边远、水上和交通不便的地区按一般程序实施处罚时，执法人员可以采用通讯方式报请处罚机关负责人批准立案和对调查结果及处理意见进行审查。报批记录必须存档备案。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当事人可当场向执法人员进行陈述和申辩。不提出陈述和申辩的，视为放弃此权利。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本条不适用于应当由农业行政处罚机关负责人集体讨论决定的案件。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农业行政处罚案件自立案之日起，应当在三个月内作出处理决定；特殊情况下三个月内不能作出处理的，报经上一级农业行政处罚机关批准可以延长至一年。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对专门性问题需要鉴定的，所需时间不计算在办案期限内。</w:t>
      </w:r>
    </w:p>
    <w:p>
      <w:pPr>
        <w:pStyle w:val="64"/>
        <w:spacing w:before="156" w:after="156"/>
      </w:pPr>
      <w:r>
        <w:t>第三节  听证程序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农业行政处罚机关作出责令停产停业、吊销许可证或者执照、较大数额罚款的行政处罚决定前，应当告知当事人有要求举行听证的权利。当事人要求听证的，农业行政处罚机关应当组织听证。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所指的较大数额罚款，地方农业行政处罚机关按省级人大常委会或者人民政府规定的标准执行；农业部及其所属的经法律、法规授权的农业管理机构对公民罚款超过三千元、对法人或其他组织罚款超过三万元属较大数额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听证由拟作出行政处罚的农业行政处罚机关组织。具体实施工作由其法制工作机构或者相应机构负责。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当事人要求听证的，应当在收到《行政处罚事先告知书》之日起三日内向听证机关提出。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听证机关应当在举行听证会的七日前送达《行政处罚听证会通知书》，告知当事人举行听证的时间、地点、听证主持人名单及可以申请回避和可以委托代理人等事项。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当事人应当按期参加听证。当事人有正当理由要求延期的，经听证机关批准可以延期一次；当事人未按期参加听证并且未事先说明理由的，视为放弃听证权利。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听证参加人由听证主持人、听证员、书记员、案件调查人员、当事人及其委托代理人组成。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听证主持人、听证员、书记员应当由听证机关负责人指定的法制工作机构工作人员或其他相应工作人员等非本案调查人员担任。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当事人委托代理人参加听证的，应当提交授权委托书。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除涉及国家秘密、商业秘密或个人隐私外，听证应当公开举行。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当事人在听证中的权利和义务：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（一）有权对案件涉及的事实、适用法律及有关情况进行陈述和申辩；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（二）有权对案件调查人员提出的证据质证并提出新的证据；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（三）如实回答主持人的提问；（四）遵守听证会场纪律，服从听证主持人指挥。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听证按下列程序进行：（一）听证书记员宣布听证会场纪律、当事人的权利和义务。听证主持人宣布案由，核实听证参加人名单，宣布听证开始；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（二）案件调查人员提出当事人的违法事实、出示证据，说明拟作出的农业行政处罚的内容及法律依据；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（三）当事人或其委托代理人对案件的事实、证据、适用的法律等进行陈述、申辩和质证，可以向听证会提交新的证据；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（四）听证主持人就案件的有关问题向当事人、案件调查人员、证人询问；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（五）案件调查人员、当事人或其委托代理人相互辩论；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（六）当事人或其委托代理人作最后陈述；（七）听证主持人宣布听证结束。听证笔录交当事人和案件调查人员审核无误后签字或者盖章。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听证结束后，听证主持人应当依据听证情况，制作《行政处罚听证会报告书》，连同听证笔录，报农业行政处罚机关负责人审查。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听证机关组织听证，不得向当事人收取费用。</w:t>
      </w:r>
    </w:p>
    <w:p>
      <w:pPr>
        <w:pStyle w:val="63"/>
        <w:spacing w:before="218" w:after="218" w:line="412" w:lineRule="exact"/>
        <w:rPr>
          <w:b/>
        </w:rPr>
      </w:pPr>
      <w:r>
        <w:t>第四章  农业行政处罚决定的送达和执行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行政处罚决定书》应当在宣告后当场交付当事人；当事人不在场的，应当在七日内送达当事人，并由当事人在《送达回证》上签名或者盖章；当事人不在的，可以交给其成年家属或者所在单位代收，并在送达回证上签名或者盖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直接送达农业行政处罚文书有困难的，可委托其他农业行政处罚机关代为送达，也可以邮寄、公告送达。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邮寄送达的，挂号回执上注明的收件日期为送达日期；公告送达的，自发出公告之日起经过六十天，即视为送达。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除本规定第五十四、第五十五条规定外，农业行政处罚机关不得自行收缴罚款。决定罚款的农业行政处罚机关或执法人员应当书面告知当事人向指定的银行缴纳罚款。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依照本规定第二十二条的规定当场作出农业行政处罚决定，有下列情形之一的，执法人员可以当场收缴罚款：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（一）依法给予二十元以下罚款的；（二）不当场收缴事后难以执行的。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在边远、水上、交通不便地区，农业行政处罚机关及其执法人员依照本规定第二十二条、第三十九条的规定作出罚款决定后，当事人向指定的银行缴纳罚款确有困难，经当事人提出，农业行政处罚机关及其执法人员可以当场收缴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农业行政处罚机关及其执法人员当场收缴罚款的，应当向当事人出具省级财政部门统一制发的罚款收据，不出具财政部门统一制发的罚款收据的，当事人有权拒绝缴纳罚款。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执法人员当场收缴的罚款，应当自返回行政处罚机关所在地之日起二日内，交至农业行政处罚机关；在水上当场收缴的罚款，应当自抵岸之日起二日内交至农业行政处罚机关；农业行政处罚机关应当在二日内将罚款交至指定的银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农业行政处罚决定依法作出后，当事人对行政处罚决定不服申请行政复议或者提起行政诉讼的，除法律另有规定外，行政处罚决定不停止执行。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对需要继续行驶的农业机械、渔业船舶实施暂扣或者吊销证照的行政处罚，农业行政处罚机关在实施行政处罚的同时，应当发给当事人相应的证明，允许农业机械、渔业船舶驶往预定或指定的地点。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对生效的农业行政处罚决定，当事人拒不履行的，作出农业行政处罚决定的农业行政处罚机关依法可以采取下列措施：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（一）到期不缴纳罚款的，每日按罚款数额的百分之三加处罚款；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（二）根据法律规定，将查封、扣押的财物拍卖抵缴罚款；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（三）申请人民法院强制执行。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当事人确有经济困难，需要延期或者分期缴纳罚款的，当事人应当书面申请，经作出行政处罚决定的机关批准，可以暂缓或者分期缴纳。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除依法应当予以销毁的物品外，依法没收的非法财物必须按照国家有关规定处理。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罚款、没收的违法所得或者拍卖非法财物的款项，必须全部上缴国库，农业行政处罚机关或者个人不得以任何形式截留、私分或者变相私分。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农业行政处罚案件终结后，案件调查人员应填写《行政处罚结案报告》，经农业行政处罚机关负责人批准后结案。</w:t>
      </w:r>
    </w:p>
    <w:p>
      <w:pPr>
        <w:pStyle w:val="63"/>
        <w:spacing w:before="218" w:after="218" w:line="412" w:lineRule="exact"/>
        <w:rPr>
          <w:b/>
        </w:rPr>
      </w:pPr>
      <w:r>
        <w:t>第五章  立卷归档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农业行政处罚机关应当按照下列要求及时将案件材料立卷归档：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（一）一案一卷；（二）文书齐全，手续完备；（三）案卷应当按顺序装订。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案件立卷归档后，任何单位和个人不得私自增加或者抽取案卷材料，不得修改案卷内容。</w:t>
      </w:r>
    </w:p>
    <w:p>
      <w:pPr>
        <w:pStyle w:val="63"/>
        <w:spacing w:before="218" w:after="218" w:line="412" w:lineRule="exact"/>
        <w:rPr>
          <w:b/>
        </w:rPr>
      </w:pPr>
      <w:r>
        <w:t>第六章  附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农业行政处罚机关及其执法人员违反本规定的，按照行政处罚法和有关规定追究法律责任。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农业行政处罚基本文书格式由农业部统一制定。省级农业行政主管部门可以根据地方性法规、规章和工作需要，调整有关内容或补充相应文书，报农业部备案。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本规定自2006年7月1日起实施。1997年10月25日农业部发布的《农业行政处罚程序规定》同时废止。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145" w:name="_Toc466579805"/>
      <w:bookmarkStart w:id="146" w:name="_Toc28498"/>
      <w:bookmarkStart w:id="147" w:name="_Toc25394583"/>
      <w:bookmarkStart w:id="148" w:name="OLE_LINK2"/>
    </w:p>
    <w:p>
      <w:pPr>
        <w:pStyle w:val="61"/>
      </w:pPr>
      <w:bookmarkStart w:id="149" w:name="_Toc28156941"/>
      <w:bookmarkStart w:id="150" w:name="_Toc28250868"/>
      <w:bookmarkStart w:id="151" w:name="_Toc25648157"/>
      <w:bookmarkStart w:id="152" w:name="_Toc25653652"/>
      <w:bookmarkStart w:id="153" w:name="_Toc26347919"/>
      <w:bookmarkStart w:id="154" w:name="_Toc28252138"/>
      <w:r>
        <w:t>北京市实施行政处罚程序若干规定</w:t>
      </w:r>
      <w:bookmarkEnd w:id="145"/>
      <w:bookmarkEnd w:id="146"/>
      <w:bookmarkEnd w:id="147"/>
      <w:bookmarkEnd w:id="149"/>
      <w:bookmarkEnd w:id="150"/>
      <w:bookmarkEnd w:id="151"/>
      <w:bookmarkEnd w:id="152"/>
      <w:bookmarkEnd w:id="153"/>
      <w:bookmarkEnd w:id="154"/>
    </w:p>
    <w:bookmarkEnd w:id="148"/>
    <w:p>
      <w:pPr>
        <w:pStyle w:val="62"/>
        <w:rPr>
          <w:b/>
        </w:rPr>
      </w:pPr>
      <w:r>
        <w:t>（</w:t>
      </w:r>
      <w:r>
        <w:rPr>
          <w:rFonts w:hint="eastAsia"/>
        </w:rPr>
        <w:t>1996年9月23日北京市人民政府令第15号公布，根据2018年2月12日北京市人民政府令第277号公布、自公布之日起施行的《北京市人民政府关于修改〈北京市利用文物保护单位拍摄电影、电视管理暂行办法〉等26项规章部分条款的决定》修订</w:t>
      </w:r>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为贯彻实施《中华人民共和国行政处罚法》（以下简称行政处罚法），制定本规定。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本市各级行政机关以及经合法授权或者受委托的组织（以下统称行政机关）实施行政处罚，应当遵守行政处罚法和本规定。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除法律、行政法规另有规定的外，行政处罚由违法行为发生地的市、区、县人民政府及其所属行政机关依照职权管辖。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对当事人的同一违法行为，根据不同法律、法规、规章规定，两个以上的行政机关都有管辖权的，应当由先立案的行政机关处罚，但是行政机关在决定行政处罚时，不得给予当事人两次以上罚款的处罚。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行政机关之间对管辖权发生争议时，应当协商解决或者提请共同的上级行政机关指定管辖。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一个行政机关对违法行为实施行政处罚后，依法应当移送有关行政机关处理的，应当及时将案件及有关材料移送相应机关，被移送的机关应当接收。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市人民政府根据行政处罚法第十六条的规定，可以决定一个行政机关行使有关行政机关的行政处罚权。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行政机关之间委托行使行政处罚权，必须经市人民政府批准，并以书面形式规定委托内容、权限及相应责任。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行政机关实施行政处罚时，应当责令当事人改正或者限期改正违法行为。法律、法规或者规章规定应当先责令当事人改正违法行为的，依照规定执行。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当事人违法行为轻微并及时纠正，没有造成危害后果的，不予行政处罚。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执法人员依法当场作出处罚决定，必须遵守下列程序：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（一）向当事人出示身份证件；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（二）告知当事人违法事实、处罚理由和依据；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（三）填写预定格式、编有号码的行政处罚决定书；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（四）将处罚决定书当场交付当事人；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（五）在2 日内将行政处罚决定报所属行政机关备案。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依法可以当场收缴罚款的，还必须向当事人出具市财政局统一制发的罚款收据。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除依法可以当场决定行政处罚的外，执法人员发现公民、法人或者其他组织有违法行为依法应当给予行政处罚的，应当报行政机关负责人批准立案。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执法人员调查案件应当收集证据。证据有以下几种：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（一）书证；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（二）物证；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（三）视听资料；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（四）证人证言；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（五）当事人的陈述；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（六）鉴定意见；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（七）勘验笔录。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执法人员依法向当事人和有关人员调查案件情况，应当向被调查人出示证件，并制作调查或者询问笔录，笔录由当事人和有关人员签名或者盖章。当事人和有关人员拒绝签名或者盖章的，应当有两名以上执法人员在笔录上注明情况并签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行政机关为调查案件需要，有权依法进行现场勘验和技术鉴定。对重要的书证，有权进行复制。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执法人员收集证据时，可以采取抽样取证的方法。在证据可能灭失或者以后难以取得的情况下，经行政机关负责人批准，可以先行登记保存。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行政机关对先行登记保存的证据，应当在7 日内作出下列处理决定：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（一）需要进行技术检验或者鉴定的，送交检验或者鉴定；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（二）对依法不需要没收的物品，退还当事人；对依法应予没收的财物，决定没收；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（三）对于依法应当移送有关部门处理的，移交有关部门；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（四）法律、法规、规章规定的其他处理方式。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行政机关对证据进行抽样取证或者登记保存，应当有当事人在场。当事人不在场或者拒绝到场的，执法人员可以邀请有关人员参加。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抽样取证或者登记保存的物品应当开列清单，一式两份，写明物品名称、数量、规格等事项，由执法人员、当事人签名或者盖章，一份清单交付当事人。当事人拒绝签名、盖章或者接收的，应当有两名以上执法人员在清单上注明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登记保存物品时，在原地保存可能妨害公共秩序或者公共安全的，可以异地保存。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违法行为调查终结，执法人员应当就案件的事实、证据、处罚依据和建议，向本行政机关负责人提出书面报告。行政机关负责人应当对调查结果进行审查，并根据情况分别作出给予行政处罚、不予行政处罚或者移送司法机关处理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给予本规定第十六条所列的行政处罚，以及对情节复杂或者重大违法行为给予其他较重的行政处罚，行政机关负责人应当集体讨论决定。法律、法规、规章规定应当经市或者区、县人民政府批准的行政处罚，应当报经批准后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前款所称其他较重的行政处罚，由市级行政机关确定，并报市人民政府法制办公室备案。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行政机关在对当事人作出责令停产停业、吊销许可证或者执照、较大数额罚款等行政处罚决定前，应当告知当事人有要求举行听证的权利。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听证的告知和具体组织实施，按照行政处罚法和《北京市行政处罚听证程序实施办法》执行。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行政机关在作出行政处罚决定之前，应当向当事人送达行政处罚事先告知书，告知当事人涉嫌违法的事实、理由和依据，听取当事人的陈述和申辩。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行政机关作出行政处罚决定，应当制作行政处罚决定书。行政处罚决定书应当载明下列事项：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（一）当事人的姓名或者名称、地址；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（二）违法事实和证据；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（三）行政处罚的种类、数额和依据；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（四）行政处罚的履行方式和期限；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（五）不服行政处罚决定，申请行政复议或者提起行政诉讼的途径和期限；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（六）作出行政处罚决定的行政机关名称和日期，并加盖行政机关印章。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经市或者区、县人民政府批准的行政处罚，应当在处罚决定书中写明。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行政处罚决定书应当向当事人宣告，并当场交付当事人；当事人不在场的，应当在7 日内按照民事诉讼法的规定送达当事人或者当事人指定的代收人。送达处罚决定书，必须由受送达人或者代收人在送达回证上记明收到日期，并签名或者盖章。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受送达人拒收处罚决定书的，送达人应当记明拒收的事由和日期，将处罚决定书留置受送达人住所或者收发部门，即视为送达。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委托送达的，应当委托行政机关送达。邮寄送达的，必须有邮寄凭证。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行政处罚决定书依法</w:t>
      </w:r>
      <w:r>
        <w:rPr>
          <w:rFonts w:asciiTheme="minorEastAsia" w:hAnsiTheme="minorEastAsia" w:eastAsiaTheme="minorEastAsia"/>
          <w:bCs/>
          <w:sz w:val="24"/>
          <w:szCs w:val="24"/>
        </w:rPr>
        <w:t>送达</w:t>
      </w:r>
      <w:r>
        <w:rPr>
          <w:rFonts w:asciiTheme="minorEastAsia" w:hAnsiTheme="minorEastAsia" w:eastAsiaTheme="minorEastAsia"/>
          <w:sz w:val="24"/>
          <w:szCs w:val="24"/>
        </w:rPr>
        <w:t>后，当事人应当按照行政处罚决定书规定的内容、方式和期限，履行行政处罚决定。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到期未缴纳罚款的，作出处罚决定的行政机关可以依法加处罚款。实施加处罚款后，经催告当事人仍未履行缴纳罚款义务的，具有行政强制执行权的行政机关可以强制执行，没有行政强制执行权的行政机关依法申请人民法院强制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当事人确有经济困难，需要延期或者分期缴纳罚款的，应当写出书面申请，提出具体、可行的延期或者分期缴纳罚款的计划，经作出处罚决定的行政机关批准，可以延期或者分期缴纳。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除行政处罚法规定可以当场收缴罚款的情形外，决定罚款的行政机关或者执法人员应当书面告知当事人向指定的银行缴纳罚款。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银行代收罚款的具体办法，按照国务院和市人民政府的规定执行。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行政机关及其执法人员违反本规定实施行政处罚，或者收缴罚没财物的，按照行政处罚法的规定追究法律责任。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本规定自1996年10月1日起实施。1993年10月12日市人民政府发布的《北京市执行行政处罚若干规定》同时废止。</w:t>
      </w:r>
    </w:p>
    <w:p>
      <w:pPr>
        <w:pStyle w:val="3"/>
        <w:topLinePunct/>
        <w:spacing w:line="416" w:lineRule="exact"/>
        <w:ind w:firstLine="480"/>
        <w:rPr>
          <w:rFonts w:ascii="Times New Roman"/>
          <w:sz w:val="24"/>
          <w:szCs w:val="24"/>
        </w:rPr>
      </w:pPr>
      <w:r>
        <w:rPr>
          <w:rFonts w:asciiTheme="minorEastAsia" w:hAnsiTheme="minorEastAsia" w:eastAsiaTheme="minorEastAsia"/>
          <w:sz w:val="24"/>
          <w:szCs w:val="24"/>
        </w:rPr>
        <w:t>本规定公布前市属各行政机关以及各区、县人民政府制定的行政处罚程序，与行政处罚法和本规定不符合的，自本规定实施之日起，应当停止执行。</w:t>
      </w:r>
    </w:p>
    <w:p>
      <w:pPr>
        <w:pStyle w:val="3"/>
        <w:topLinePunct/>
        <w:spacing w:line="416" w:lineRule="exact"/>
        <w:ind w:firstLine="480"/>
        <w:rPr>
          <w:rFonts w:ascii="Times New Roman"/>
          <w:sz w:val="24"/>
          <w:szCs w:val="24"/>
        </w:rPr>
      </w:pPr>
    </w:p>
    <w:p>
      <w:pPr>
        <w:pStyle w:val="3"/>
        <w:topLinePunct/>
        <w:spacing w:line="416" w:lineRule="exact"/>
        <w:ind w:firstLine="480"/>
        <w:rPr>
          <w:rFonts w:ascii="Times New Roman"/>
          <w:sz w:val="24"/>
          <w:szCs w:val="24"/>
        </w:rPr>
      </w:pP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155" w:name="_Toc25394584"/>
      <w:bookmarkStart w:id="156" w:name="_Toc31728"/>
      <w:bookmarkStart w:id="157" w:name="_Toc466579804"/>
      <w:bookmarkStart w:id="158" w:name="OLE_LINK1"/>
    </w:p>
    <w:p>
      <w:pPr>
        <w:pStyle w:val="61"/>
      </w:pPr>
      <w:bookmarkStart w:id="159" w:name="_Toc25648158"/>
      <w:bookmarkStart w:id="160" w:name="_Toc25653653"/>
      <w:bookmarkStart w:id="161" w:name="_Toc28252139"/>
      <w:bookmarkStart w:id="162" w:name="_Toc26347920"/>
      <w:bookmarkStart w:id="163" w:name="_Toc28156942"/>
      <w:bookmarkStart w:id="164" w:name="_Toc28250869"/>
      <w:r>
        <w:t>北京市行政处罚听证程序实施办法</w:t>
      </w:r>
      <w:bookmarkEnd w:id="155"/>
      <w:bookmarkEnd w:id="156"/>
      <w:bookmarkEnd w:id="157"/>
      <w:bookmarkEnd w:id="159"/>
      <w:bookmarkEnd w:id="160"/>
      <w:bookmarkEnd w:id="161"/>
      <w:bookmarkEnd w:id="162"/>
      <w:bookmarkEnd w:id="163"/>
      <w:bookmarkEnd w:id="164"/>
    </w:p>
    <w:bookmarkEnd w:id="158"/>
    <w:p>
      <w:pPr>
        <w:pStyle w:val="62"/>
        <w:rPr>
          <w:b/>
        </w:rPr>
      </w:pPr>
      <w:r>
        <w:t>（1996年9月23日北京市人民政府令第14号公布，根据2018年2月12日北京市人民政府令第277号公布、自公布之日起施行的《北京市人民政府关于修改〈北京市利用文物保护单位拍摄电影、电视管理暂行办法〉等26项规章部分条款的决定》修订）</w:t>
      </w:r>
    </w:p>
    <w:p>
      <w:pPr>
        <w:pStyle w:val="3"/>
        <w:topLinePunct/>
        <w:spacing w:line="412" w:lineRule="exact"/>
        <w:ind w:firstLine="482"/>
        <w:rPr>
          <w:rFonts w:asciiTheme="minorEastAsia" w:hAnsiTheme="minorEastAsia" w:eastAsiaTheme="minorEastAsia"/>
          <w:b/>
          <w:sz w:val="24"/>
          <w:szCs w:val="24"/>
        </w:rPr>
      </w:pPr>
    </w:p>
    <w:p>
      <w:pPr>
        <w:pStyle w:val="3"/>
        <w:spacing w:line="412" w:lineRule="exact"/>
        <w:ind w:firstLine="482"/>
        <w:rPr>
          <w:sz w:val="24"/>
          <w:szCs w:val="24"/>
        </w:rPr>
      </w:pPr>
      <w:r>
        <w:rPr>
          <w:rFonts w:hint="eastAsia"/>
          <w:b/>
          <w:sz w:val="24"/>
          <w:szCs w:val="24"/>
        </w:rPr>
        <w:t>第一条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为保障听证程序合法、规范、顺利进行，根据《中华人民共和国行政处罚法》（以下简称行政处罚法）有关听证的规定，制定本办法。</w:t>
      </w:r>
    </w:p>
    <w:p>
      <w:pPr>
        <w:pStyle w:val="3"/>
        <w:spacing w:line="412" w:lineRule="exact"/>
        <w:ind w:firstLine="482"/>
        <w:rPr>
          <w:sz w:val="24"/>
          <w:szCs w:val="24"/>
        </w:rPr>
      </w:pPr>
      <w:r>
        <w:rPr>
          <w:rFonts w:hint="eastAsia"/>
          <w:b/>
          <w:sz w:val="24"/>
          <w:szCs w:val="24"/>
        </w:rPr>
        <w:t>第二条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经立案调查，当事人涉嫌违法的行为可能面临责令停产停业、吊销许可证或者执照、较大数额罚款等行政处罚的，行政机关</w:t>
      </w:r>
      <w:r>
        <w:rPr>
          <w:sz w:val="24"/>
          <w:szCs w:val="24"/>
        </w:rPr>
        <w:t>(</w:t>
      </w:r>
      <w:r>
        <w:rPr>
          <w:rFonts w:hint="eastAsia"/>
          <w:sz w:val="24"/>
          <w:szCs w:val="24"/>
        </w:rPr>
        <w:t>含经依法授权或者受委托的行政执法组织，下同</w:t>
      </w:r>
      <w:r>
        <w:rPr>
          <w:sz w:val="24"/>
          <w:szCs w:val="24"/>
        </w:rPr>
        <w:t>)</w:t>
      </w:r>
      <w:r>
        <w:rPr>
          <w:rFonts w:hint="eastAsia"/>
          <w:sz w:val="24"/>
          <w:szCs w:val="24"/>
        </w:rPr>
        <w:t>应当在案件</w:t>
      </w:r>
      <w:r>
        <w:rPr>
          <w:rFonts w:hint="eastAsia"/>
          <w:bCs/>
          <w:sz w:val="24"/>
          <w:szCs w:val="24"/>
        </w:rPr>
        <w:t>调查终结前告知</w:t>
      </w:r>
      <w:r>
        <w:rPr>
          <w:rFonts w:hint="eastAsia"/>
          <w:sz w:val="24"/>
          <w:szCs w:val="24"/>
        </w:rPr>
        <w:t>当事人有要求举行听证的权利。当事人要求举行听证的，依照行政处罚法和本办法执行。</w:t>
      </w:r>
    </w:p>
    <w:p>
      <w:pPr>
        <w:pStyle w:val="3"/>
        <w:spacing w:line="412" w:lineRule="exact"/>
        <w:ind w:firstLine="480"/>
        <w:rPr>
          <w:sz w:val="24"/>
          <w:szCs w:val="24"/>
        </w:rPr>
      </w:pPr>
      <w:r>
        <w:rPr>
          <w:rFonts w:hint="eastAsia"/>
          <w:sz w:val="24"/>
          <w:szCs w:val="24"/>
        </w:rPr>
        <w:t>前款所称较大数额罚款由市级行政机关确定，并报市政府法制机构备案。</w:t>
      </w:r>
    </w:p>
    <w:p>
      <w:pPr>
        <w:pStyle w:val="3"/>
        <w:spacing w:line="412" w:lineRule="exact"/>
        <w:ind w:firstLine="482"/>
        <w:rPr>
          <w:sz w:val="24"/>
          <w:szCs w:val="24"/>
        </w:rPr>
      </w:pPr>
      <w:r>
        <w:rPr>
          <w:rFonts w:hint="eastAsia"/>
          <w:b/>
          <w:sz w:val="24"/>
          <w:szCs w:val="24"/>
        </w:rPr>
        <w:t>第三条</w:t>
      </w:r>
      <w:r>
        <w:rPr>
          <w:rFonts w:hint="eastAsia" w:asciiTheme="minorEastAsia" w:hAnsiTheme="minorEastAsia" w:eastAsiaTheme="minorEastAsia"/>
          <w:b/>
          <w:sz w:val="24"/>
          <w:szCs w:val="24"/>
        </w:rPr>
        <w:t xml:space="preserve"> </w:t>
      </w:r>
      <w:r>
        <w:rPr>
          <w:b/>
          <w:sz w:val="24"/>
          <w:szCs w:val="24"/>
        </w:rPr>
        <w:t xml:space="preserve"> </w:t>
      </w:r>
      <w:r>
        <w:rPr>
          <w:rFonts w:hint="eastAsia"/>
          <w:sz w:val="24"/>
          <w:szCs w:val="24"/>
        </w:rPr>
        <w:t>听证应当遵循公开、公正和效率的原则，保障当事人的合法权益。</w:t>
      </w:r>
    </w:p>
    <w:p>
      <w:pPr>
        <w:pStyle w:val="3"/>
        <w:spacing w:line="412" w:lineRule="exact"/>
        <w:ind w:firstLine="482"/>
        <w:rPr>
          <w:sz w:val="24"/>
          <w:szCs w:val="24"/>
        </w:rPr>
      </w:pPr>
      <w:r>
        <w:rPr>
          <w:rFonts w:hint="eastAsia"/>
          <w:b/>
          <w:sz w:val="24"/>
          <w:szCs w:val="24"/>
        </w:rPr>
        <w:t>第四条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听证由作出行政处罚的行政机关组织。</w:t>
      </w:r>
      <w:r>
        <w:rPr>
          <w:sz w:val="24"/>
          <w:szCs w:val="24"/>
        </w:rPr>
        <w:t xml:space="preserve"> </w:t>
      </w:r>
      <w:r>
        <w:rPr>
          <w:rFonts w:hint="eastAsia"/>
          <w:sz w:val="24"/>
          <w:szCs w:val="24"/>
        </w:rPr>
        <w:t>具体实施工作由其法制机构或者相应机构负责。</w:t>
      </w:r>
    </w:p>
    <w:p>
      <w:pPr>
        <w:pStyle w:val="3"/>
        <w:spacing w:line="412" w:lineRule="exact"/>
        <w:ind w:firstLine="482"/>
        <w:rPr>
          <w:sz w:val="24"/>
          <w:szCs w:val="24"/>
        </w:rPr>
      </w:pPr>
      <w:r>
        <w:rPr>
          <w:rFonts w:hint="eastAsia"/>
          <w:b/>
          <w:sz w:val="24"/>
          <w:szCs w:val="24"/>
        </w:rPr>
        <w:t>第五条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行政机关依据本办法第二条第一款规定向当事人告知听证权利时，应当</w:t>
      </w:r>
      <w:r>
        <w:rPr>
          <w:rFonts w:hint="eastAsia"/>
          <w:bCs/>
          <w:sz w:val="24"/>
          <w:szCs w:val="24"/>
        </w:rPr>
        <w:t>送达听证告知书</w:t>
      </w:r>
      <w:r>
        <w:rPr>
          <w:rFonts w:hint="eastAsia"/>
          <w:sz w:val="24"/>
          <w:szCs w:val="24"/>
        </w:rPr>
        <w:t>。听证告知书应当载明当事人有要求听证的权利，行政机关已掌握的基本事实和相关证据，以及当事人可能面临行政处罚的依据、种类和幅度。</w:t>
      </w:r>
    </w:p>
    <w:p>
      <w:pPr>
        <w:pStyle w:val="3"/>
        <w:spacing w:line="412" w:lineRule="exact"/>
        <w:ind w:firstLine="480"/>
        <w:rPr>
          <w:sz w:val="24"/>
          <w:szCs w:val="24"/>
        </w:rPr>
      </w:pPr>
      <w:r>
        <w:rPr>
          <w:rFonts w:hint="eastAsia"/>
          <w:sz w:val="24"/>
          <w:szCs w:val="24"/>
        </w:rPr>
        <w:t>当事人要求听证的，可以在听证告知书的送达回证上签署意见，也可以在</w:t>
      </w:r>
      <w:r>
        <w:rPr>
          <w:sz w:val="24"/>
          <w:szCs w:val="24"/>
        </w:rPr>
        <w:t>3</w:t>
      </w:r>
      <w:r>
        <w:rPr>
          <w:rFonts w:hint="eastAsia"/>
          <w:sz w:val="24"/>
          <w:szCs w:val="24"/>
        </w:rPr>
        <w:t>日内以其他书面方式向行政机关提出听证要求。当事人逾期未提出要求的，视为放弃听证权利。</w:t>
      </w:r>
    </w:p>
    <w:p>
      <w:pPr>
        <w:pStyle w:val="3"/>
        <w:spacing w:line="412" w:lineRule="exact"/>
        <w:ind w:firstLine="482"/>
        <w:rPr>
          <w:sz w:val="24"/>
          <w:szCs w:val="24"/>
        </w:rPr>
      </w:pPr>
      <w:r>
        <w:rPr>
          <w:rFonts w:hint="eastAsia"/>
          <w:b/>
          <w:sz w:val="24"/>
          <w:szCs w:val="24"/>
        </w:rPr>
        <w:t>第六条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当事人提出听证要求后，行政机关应当及时组织听证，并在听证举行前</w:t>
      </w:r>
      <w:r>
        <w:rPr>
          <w:sz w:val="24"/>
          <w:szCs w:val="24"/>
        </w:rPr>
        <w:t>7</w:t>
      </w:r>
      <w:r>
        <w:rPr>
          <w:rFonts w:hint="eastAsia"/>
          <w:sz w:val="24"/>
          <w:szCs w:val="24"/>
        </w:rPr>
        <w:t>日内书面通知当事人举行听证的时间、地点、主持人等有关事项，由当事人在通知书送达回证上签字。</w:t>
      </w:r>
    </w:p>
    <w:p>
      <w:pPr>
        <w:pStyle w:val="3"/>
        <w:spacing w:line="412" w:lineRule="exact"/>
        <w:ind w:firstLine="480"/>
        <w:rPr>
          <w:sz w:val="24"/>
          <w:szCs w:val="24"/>
        </w:rPr>
      </w:pPr>
      <w:r>
        <w:rPr>
          <w:rFonts w:hint="eastAsia"/>
          <w:sz w:val="24"/>
          <w:szCs w:val="24"/>
        </w:rPr>
        <w:t>当事人应当按期参加听证。当事人有正当理由要求延期的，准许延期一次；当事人未按期参加听证并且事先未说明理由的，视为放弃听证权利。</w:t>
      </w:r>
    </w:p>
    <w:p>
      <w:pPr>
        <w:pStyle w:val="3"/>
        <w:spacing w:line="412" w:lineRule="exact"/>
        <w:ind w:firstLine="482"/>
        <w:rPr>
          <w:sz w:val="24"/>
          <w:szCs w:val="24"/>
        </w:rPr>
      </w:pPr>
      <w:r>
        <w:rPr>
          <w:rFonts w:hint="eastAsia"/>
          <w:b/>
          <w:sz w:val="24"/>
          <w:szCs w:val="24"/>
        </w:rPr>
        <w:t>第七条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听证由行政机关的法制机构工作人员等非本案调查人员主持，并应当有专人记录。</w:t>
      </w:r>
    </w:p>
    <w:p>
      <w:pPr>
        <w:pStyle w:val="3"/>
        <w:spacing w:line="412" w:lineRule="exact"/>
        <w:ind w:firstLine="480"/>
        <w:rPr>
          <w:sz w:val="24"/>
          <w:szCs w:val="24"/>
        </w:rPr>
      </w:pPr>
      <w:r>
        <w:rPr>
          <w:rFonts w:hint="eastAsia"/>
          <w:sz w:val="24"/>
          <w:szCs w:val="24"/>
        </w:rPr>
        <w:t>听证主持人应当由在行政机关从事法制工作二年以上或者从事行政执法工作五年以上、公道正派的人员担任。</w:t>
      </w:r>
    </w:p>
    <w:p>
      <w:pPr>
        <w:pStyle w:val="3"/>
        <w:spacing w:line="412" w:lineRule="exact"/>
        <w:ind w:firstLine="480"/>
        <w:rPr>
          <w:sz w:val="24"/>
          <w:szCs w:val="24"/>
        </w:rPr>
      </w:pPr>
      <w:r>
        <w:rPr>
          <w:rFonts w:hint="eastAsia"/>
          <w:sz w:val="24"/>
          <w:szCs w:val="24"/>
        </w:rPr>
        <w:t>当事人认为听证主持人与本案有直接利害关系，有权向行政机关提出回避申请；是否回避，由行政机关负责人决定。</w:t>
      </w:r>
    </w:p>
    <w:p>
      <w:pPr>
        <w:pStyle w:val="3"/>
        <w:spacing w:line="412" w:lineRule="exact"/>
        <w:ind w:firstLine="482"/>
        <w:rPr>
          <w:sz w:val="24"/>
          <w:szCs w:val="24"/>
        </w:rPr>
      </w:pPr>
      <w:r>
        <w:rPr>
          <w:rFonts w:hint="eastAsia"/>
          <w:b/>
          <w:sz w:val="24"/>
          <w:szCs w:val="24"/>
        </w:rPr>
        <w:t>第八条</w:t>
      </w:r>
      <w:r>
        <w:rPr>
          <w:rFonts w:hint="eastAsia" w:asciiTheme="minorEastAsia" w:hAnsiTheme="minorEastAsia" w:eastAsiaTheme="minorEastAsia"/>
          <w:b/>
          <w:sz w:val="24"/>
          <w:szCs w:val="24"/>
        </w:rPr>
        <w:t xml:space="preserve"> </w:t>
      </w:r>
      <w:r>
        <w:rPr>
          <w:b/>
          <w:sz w:val="24"/>
          <w:szCs w:val="24"/>
        </w:rPr>
        <w:t xml:space="preserve"> </w:t>
      </w:r>
      <w:r>
        <w:rPr>
          <w:rFonts w:hint="eastAsia"/>
          <w:sz w:val="24"/>
          <w:szCs w:val="24"/>
        </w:rPr>
        <w:t>听证参加人包括行政处罚案件的当事人及其委托代理人，</w:t>
      </w:r>
      <w:r>
        <w:rPr>
          <w:sz w:val="24"/>
          <w:szCs w:val="24"/>
        </w:rPr>
        <w:t xml:space="preserve"> </w:t>
      </w:r>
      <w:r>
        <w:rPr>
          <w:rFonts w:hint="eastAsia"/>
          <w:sz w:val="24"/>
          <w:szCs w:val="24"/>
        </w:rPr>
        <w:t>以及该案调查人员。</w:t>
      </w:r>
    </w:p>
    <w:p>
      <w:pPr>
        <w:pStyle w:val="3"/>
        <w:spacing w:line="412" w:lineRule="exact"/>
        <w:ind w:firstLine="480"/>
        <w:rPr>
          <w:sz w:val="24"/>
          <w:szCs w:val="24"/>
        </w:rPr>
      </w:pPr>
      <w:r>
        <w:rPr>
          <w:rFonts w:hint="eastAsia"/>
          <w:sz w:val="24"/>
          <w:szCs w:val="24"/>
        </w:rPr>
        <w:t>当事人委托代理人参加听证的，应当在举行听证前向行政机关提交授权委托书。</w:t>
      </w:r>
    </w:p>
    <w:p>
      <w:pPr>
        <w:pStyle w:val="3"/>
        <w:spacing w:line="412" w:lineRule="exact"/>
        <w:ind w:firstLine="482"/>
        <w:rPr>
          <w:sz w:val="24"/>
          <w:szCs w:val="24"/>
        </w:rPr>
      </w:pPr>
      <w:r>
        <w:rPr>
          <w:rFonts w:hint="eastAsia"/>
          <w:b/>
          <w:sz w:val="24"/>
          <w:szCs w:val="24"/>
        </w:rPr>
        <w:t>第九条</w:t>
      </w:r>
      <w:r>
        <w:rPr>
          <w:rFonts w:hint="eastAsia" w:asciiTheme="minorEastAsia" w:hAnsiTheme="minorEastAsia" w:eastAsiaTheme="minorEastAsia"/>
          <w:b/>
          <w:sz w:val="24"/>
          <w:szCs w:val="24"/>
        </w:rPr>
        <w:t xml:space="preserve"> </w:t>
      </w:r>
      <w:r>
        <w:rPr>
          <w:b/>
          <w:sz w:val="24"/>
          <w:szCs w:val="24"/>
        </w:rPr>
        <w:t xml:space="preserve"> </w:t>
      </w:r>
      <w:r>
        <w:rPr>
          <w:rFonts w:hint="eastAsia"/>
          <w:sz w:val="24"/>
          <w:szCs w:val="24"/>
        </w:rPr>
        <w:t>除涉及国家机密、</w:t>
      </w:r>
      <w:r>
        <w:rPr>
          <w:sz w:val="24"/>
          <w:szCs w:val="24"/>
        </w:rPr>
        <w:t xml:space="preserve"> </w:t>
      </w:r>
      <w:r>
        <w:rPr>
          <w:rFonts w:hint="eastAsia"/>
          <w:sz w:val="24"/>
          <w:szCs w:val="24"/>
        </w:rPr>
        <w:t>商业秘密或者个人隐私外，听证应当公开举行。听证举行前，行政机关应将听证的内容、时间、地点以及有关事项，予以公告。</w:t>
      </w:r>
    </w:p>
    <w:p>
      <w:pPr>
        <w:pStyle w:val="3"/>
        <w:spacing w:line="412" w:lineRule="exact"/>
        <w:ind w:firstLine="482"/>
        <w:rPr>
          <w:sz w:val="24"/>
          <w:szCs w:val="24"/>
        </w:rPr>
      </w:pPr>
      <w:r>
        <w:rPr>
          <w:rFonts w:hint="eastAsia"/>
          <w:b/>
          <w:sz w:val="24"/>
          <w:szCs w:val="24"/>
        </w:rPr>
        <w:t>第十条</w:t>
      </w:r>
      <w:r>
        <w:rPr>
          <w:rFonts w:hint="eastAsia" w:asciiTheme="minorEastAsia" w:hAnsiTheme="minorEastAsia" w:eastAsiaTheme="minorEastAsia"/>
          <w:b/>
          <w:sz w:val="24"/>
          <w:szCs w:val="24"/>
        </w:rPr>
        <w:t xml:space="preserve"> </w:t>
      </w:r>
      <w:r>
        <w:rPr>
          <w:b/>
          <w:sz w:val="24"/>
          <w:szCs w:val="24"/>
        </w:rPr>
        <w:t xml:space="preserve"> </w:t>
      </w:r>
      <w:r>
        <w:rPr>
          <w:rFonts w:hint="eastAsia"/>
          <w:sz w:val="24"/>
          <w:szCs w:val="24"/>
        </w:rPr>
        <w:t>当事人在听证中的权利和义务：</w:t>
      </w:r>
    </w:p>
    <w:p>
      <w:pPr>
        <w:pStyle w:val="3"/>
        <w:spacing w:line="412" w:lineRule="exact"/>
        <w:ind w:firstLine="480"/>
        <w:rPr>
          <w:sz w:val="24"/>
          <w:szCs w:val="24"/>
        </w:rPr>
      </w:pPr>
      <w:r>
        <w:rPr>
          <w:rFonts w:hint="eastAsia"/>
          <w:sz w:val="24"/>
          <w:szCs w:val="24"/>
        </w:rPr>
        <w:t>（一）有权对案件涉及的事实、适用法律及有关情况进行陈述和申辩。</w:t>
      </w:r>
    </w:p>
    <w:p>
      <w:pPr>
        <w:pStyle w:val="3"/>
        <w:spacing w:line="412" w:lineRule="exact"/>
        <w:ind w:firstLine="480"/>
        <w:rPr>
          <w:sz w:val="24"/>
          <w:szCs w:val="24"/>
        </w:rPr>
      </w:pPr>
      <w:r>
        <w:rPr>
          <w:rFonts w:hint="eastAsia"/>
          <w:sz w:val="24"/>
          <w:szCs w:val="24"/>
        </w:rPr>
        <w:t>（二）有权对案件调查人员提出的证据进行质证并提出新的证据。</w:t>
      </w:r>
    </w:p>
    <w:p>
      <w:pPr>
        <w:pStyle w:val="3"/>
        <w:spacing w:line="412" w:lineRule="exact"/>
        <w:ind w:firstLine="480"/>
        <w:rPr>
          <w:sz w:val="24"/>
          <w:szCs w:val="24"/>
        </w:rPr>
      </w:pPr>
      <w:r>
        <w:rPr>
          <w:rFonts w:hint="eastAsia"/>
          <w:sz w:val="24"/>
          <w:szCs w:val="24"/>
        </w:rPr>
        <w:t>（三）如实陈述案件事实和回答主持人的提问。</w:t>
      </w:r>
    </w:p>
    <w:p>
      <w:pPr>
        <w:pStyle w:val="3"/>
        <w:spacing w:line="412" w:lineRule="exact"/>
        <w:ind w:firstLine="480"/>
        <w:rPr>
          <w:sz w:val="24"/>
          <w:szCs w:val="24"/>
        </w:rPr>
      </w:pPr>
      <w:r>
        <w:rPr>
          <w:rFonts w:hint="eastAsia"/>
          <w:sz w:val="24"/>
          <w:szCs w:val="24"/>
        </w:rPr>
        <w:t>（四）遵守听证会场纪律、服从听证主持人指挥。</w:t>
      </w:r>
    </w:p>
    <w:p>
      <w:pPr>
        <w:pStyle w:val="3"/>
        <w:spacing w:line="412" w:lineRule="exact"/>
        <w:ind w:firstLine="482"/>
        <w:rPr>
          <w:sz w:val="24"/>
          <w:szCs w:val="24"/>
        </w:rPr>
      </w:pPr>
      <w:r>
        <w:rPr>
          <w:rFonts w:hint="eastAsia"/>
          <w:b/>
          <w:sz w:val="24"/>
          <w:szCs w:val="24"/>
        </w:rPr>
        <w:t>第十一条</w:t>
      </w:r>
      <w:r>
        <w:rPr>
          <w:rFonts w:hint="eastAsia" w:asciiTheme="minorEastAsia" w:hAnsiTheme="minorEastAsia" w:eastAsiaTheme="minorEastAsia"/>
          <w:b/>
          <w:sz w:val="24"/>
          <w:szCs w:val="24"/>
        </w:rPr>
        <w:t xml:space="preserve"> </w:t>
      </w:r>
      <w:r>
        <w:rPr>
          <w:b/>
          <w:sz w:val="24"/>
          <w:szCs w:val="24"/>
        </w:rPr>
        <w:t xml:space="preserve"> </w:t>
      </w:r>
      <w:r>
        <w:rPr>
          <w:rFonts w:hint="eastAsia"/>
          <w:sz w:val="24"/>
          <w:szCs w:val="24"/>
        </w:rPr>
        <w:t>听证应当按下列程序进行：</w:t>
      </w:r>
    </w:p>
    <w:p>
      <w:pPr>
        <w:pStyle w:val="3"/>
        <w:spacing w:line="412" w:lineRule="exact"/>
        <w:ind w:firstLine="480"/>
        <w:rPr>
          <w:sz w:val="24"/>
          <w:szCs w:val="24"/>
        </w:rPr>
      </w:pPr>
      <w:r>
        <w:rPr>
          <w:rFonts w:hint="eastAsia"/>
          <w:sz w:val="24"/>
          <w:szCs w:val="24"/>
        </w:rPr>
        <w:t>（一）听证记录人宣布听证会场纪律、事当人的权利和义务。听证主持人介绍主持人和记录人，询问核实听证参加人的身份，宣布听证开始。</w:t>
      </w:r>
    </w:p>
    <w:p>
      <w:pPr>
        <w:pStyle w:val="3"/>
        <w:spacing w:line="412" w:lineRule="exact"/>
        <w:ind w:firstLine="480"/>
        <w:rPr>
          <w:sz w:val="24"/>
          <w:szCs w:val="24"/>
        </w:rPr>
      </w:pPr>
      <w:r>
        <w:rPr>
          <w:rFonts w:hint="eastAsia"/>
          <w:sz w:val="24"/>
          <w:szCs w:val="24"/>
        </w:rPr>
        <w:t>（二）案件调查人员提出当事人违法的事实、证据、处罚依据以及行政处罚建议。</w:t>
      </w:r>
    </w:p>
    <w:p>
      <w:pPr>
        <w:pStyle w:val="3"/>
        <w:spacing w:line="412" w:lineRule="exact"/>
        <w:ind w:firstLine="480"/>
        <w:rPr>
          <w:sz w:val="24"/>
          <w:szCs w:val="24"/>
        </w:rPr>
      </w:pPr>
      <w:r>
        <w:rPr>
          <w:rFonts w:hint="eastAsia"/>
          <w:sz w:val="24"/>
          <w:szCs w:val="24"/>
        </w:rPr>
        <w:t>（三）当事人就案件的事实进行陈述和辩解，提出有关证据，对调查人员提出的证据进行质证。</w:t>
      </w:r>
    </w:p>
    <w:p>
      <w:pPr>
        <w:pStyle w:val="3"/>
        <w:spacing w:line="412" w:lineRule="exact"/>
        <w:ind w:firstLine="480"/>
        <w:rPr>
          <w:sz w:val="24"/>
          <w:szCs w:val="24"/>
        </w:rPr>
      </w:pPr>
      <w:r>
        <w:rPr>
          <w:rFonts w:hint="eastAsia"/>
          <w:sz w:val="24"/>
          <w:szCs w:val="24"/>
        </w:rPr>
        <w:t>（四）听取当事人的最后陈述。</w:t>
      </w:r>
    </w:p>
    <w:p>
      <w:pPr>
        <w:pStyle w:val="3"/>
        <w:spacing w:line="412" w:lineRule="exact"/>
        <w:ind w:firstLine="480"/>
        <w:rPr>
          <w:sz w:val="24"/>
          <w:szCs w:val="24"/>
        </w:rPr>
      </w:pPr>
      <w:r>
        <w:rPr>
          <w:rFonts w:hint="eastAsia"/>
          <w:sz w:val="24"/>
          <w:szCs w:val="24"/>
        </w:rPr>
        <w:t>（五）主持人宣布听证结束。听证笔录交当事人审核无误后签字或者盖章。</w:t>
      </w:r>
    </w:p>
    <w:p>
      <w:pPr>
        <w:pStyle w:val="3"/>
        <w:spacing w:line="412" w:lineRule="exact"/>
        <w:ind w:firstLine="480"/>
        <w:rPr>
          <w:sz w:val="24"/>
          <w:szCs w:val="24"/>
        </w:rPr>
      </w:pPr>
      <w:r>
        <w:rPr>
          <w:rFonts w:hint="eastAsia"/>
          <w:sz w:val="24"/>
          <w:szCs w:val="24"/>
        </w:rPr>
        <w:t>听证主持人在听证中有权对参加人不当的辩论内容予以制止，维护正常的听证秩序。</w:t>
      </w:r>
    </w:p>
    <w:p>
      <w:pPr>
        <w:pStyle w:val="3"/>
        <w:spacing w:line="412" w:lineRule="exact"/>
        <w:ind w:firstLine="482"/>
        <w:rPr>
          <w:sz w:val="24"/>
          <w:szCs w:val="24"/>
        </w:rPr>
      </w:pPr>
      <w:r>
        <w:rPr>
          <w:rFonts w:hint="eastAsia"/>
          <w:b/>
          <w:sz w:val="24"/>
          <w:szCs w:val="24"/>
        </w:rPr>
        <w:t>第十二条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听证结束后，听证主持人应当依据听证情况，向行政机关负责人提出书面意见。行政机关负责人应当根据听证主持人的意见和听证笔录，依法作出行政处罚决定。</w:t>
      </w:r>
    </w:p>
    <w:p>
      <w:pPr>
        <w:pStyle w:val="3"/>
        <w:spacing w:line="412" w:lineRule="exact"/>
        <w:ind w:firstLine="480"/>
        <w:rPr>
          <w:sz w:val="24"/>
          <w:szCs w:val="24"/>
        </w:rPr>
      </w:pPr>
      <w:r>
        <w:rPr>
          <w:rFonts w:hint="eastAsia"/>
          <w:sz w:val="24"/>
          <w:szCs w:val="24"/>
        </w:rPr>
        <w:t>听证的举行，不影响当事人申请行政复议、提出行政诉讼以及请求国家赔偿等权利的行使。</w:t>
      </w:r>
    </w:p>
    <w:p>
      <w:pPr>
        <w:pStyle w:val="3"/>
        <w:spacing w:line="412" w:lineRule="exact"/>
        <w:ind w:firstLine="482"/>
        <w:rPr>
          <w:sz w:val="24"/>
          <w:szCs w:val="24"/>
        </w:rPr>
      </w:pPr>
      <w:r>
        <w:rPr>
          <w:rFonts w:hint="eastAsia"/>
          <w:b/>
          <w:sz w:val="24"/>
          <w:szCs w:val="24"/>
        </w:rPr>
        <w:t>第十三条</w:t>
      </w:r>
      <w:r>
        <w:rPr>
          <w:rFonts w:hint="eastAsia" w:asciiTheme="minorEastAsia" w:hAnsiTheme="minorEastAsia" w:eastAsiaTheme="minorEastAsia"/>
          <w:b/>
          <w:sz w:val="24"/>
          <w:szCs w:val="24"/>
        </w:rPr>
        <w:t xml:space="preserve"> </w:t>
      </w:r>
      <w:r>
        <w:rPr>
          <w:b/>
          <w:sz w:val="24"/>
          <w:szCs w:val="24"/>
        </w:rPr>
        <w:t xml:space="preserve"> </w:t>
      </w:r>
      <w:r>
        <w:rPr>
          <w:rFonts w:hint="eastAsia"/>
          <w:sz w:val="24"/>
          <w:szCs w:val="24"/>
        </w:rPr>
        <w:t>行政机关举行听证，不得向当事人收取费用。</w:t>
      </w:r>
    </w:p>
    <w:p>
      <w:pPr>
        <w:pStyle w:val="3"/>
        <w:spacing w:line="412" w:lineRule="exact"/>
        <w:ind w:firstLine="482"/>
        <w:rPr>
          <w:sz w:val="24"/>
          <w:szCs w:val="24"/>
        </w:rPr>
      </w:pPr>
      <w:r>
        <w:rPr>
          <w:rFonts w:hint="eastAsia"/>
          <w:b/>
          <w:sz w:val="24"/>
          <w:szCs w:val="24"/>
        </w:rPr>
        <w:t>第十四条</w:t>
      </w:r>
      <w:r>
        <w:rPr>
          <w:b/>
          <w:sz w:val="24"/>
          <w:szCs w:val="24"/>
        </w:rPr>
        <w:t xml:space="preserve"> </w:t>
      </w:r>
      <w:r>
        <w:rPr>
          <w:rFonts w:hint="eastAsia" w:asciiTheme="minorEastAsia" w:hAnsiTheme="minorEastAsia" w:eastAsiaTheme="minorEastAsia"/>
          <w:b/>
          <w:sz w:val="24"/>
          <w:szCs w:val="24"/>
        </w:rPr>
        <w:t xml:space="preserve"> </w:t>
      </w:r>
      <w:r>
        <w:rPr>
          <w:rFonts w:hint="eastAsia"/>
          <w:sz w:val="24"/>
          <w:szCs w:val="24"/>
        </w:rPr>
        <w:t>本办法执行中的具体问题，由市人民政府法制办公室解释。</w:t>
      </w:r>
    </w:p>
    <w:p>
      <w:pPr>
        <w:pStyle w:val="3"/>
        <w:topLinePunct/>
        <w:spacing w:line="412" w:lineRule="exact"/>
        <w:ind w:firstLine="482"/>
        <w:rPr>
          <w:rFonts w:ascii="Times New Roman" w:hAnsiTheme="minorEastAsia" w:eastAsiaTheme="minorEastAsia"/>
          <w:sz w:val="24"/>
          <w:szCs w:val="24"/>
        </w:rPr>
      </w:pPr>
      <w:r>
        <w:rPr>
          <w:rFonts w:hint="eastAsia"/>
          <w:b/>
          <w:sz w:val="24"/>
          <w:szCs w:val="24"/>
        </w:rPr>
        <w:t>第十五条</w:t>
      </w:r>
      <w:r>
        <w:rPr>
          <w:rFonts w:hint="eastAsia" w:asciiTheme="minorEastAsia" w:hAnsiTheme="minorEastAsia" w:eastAsiaTheme="minorEastAsia"/>
          <w:b/>
          <w:sz w:val="24"/>
          <w:szCs w:val="24"/>
        </w:rPr>
        <w:t xml:space="preserve"> </w:t>
      </w:r>
      <w:r>
        <w:rPr>
          <w:b/>
          <w:sz w:val="24"/>
          <w:szCs w:val="24"/>
        </w:rPr>
        <w:t xml:space="preserve"> </w:t>
      </w:r>
      <w:r>
        <w:rPr>
          <w:rFonts w:hint="eastAsia"/>
          <w:sz w:val="24"/>
          <w:szCs w:val="24"/>
        </w:rPr>
        <w:t>本办法自</w:t>
      </w:r>
      <w:r>
        <w:rPr>
          <w:sz w:val="24"/>
          <w:szCs w:val="24"/>
        </w:rPr>
        <w:t>1996</w:t>
      </w:r>
      <w:r>
        <w:rPr>
          <w:rFonts w:hint="eastAsia"/>
          <w:sz w:val="24"/>
          <w:szCs w:val="24"/>
        </w:rPr>
        <w:t>年</w:t>
      </w:r>
      <w:r>
        <w:rPr>
          <w:sz w:val="24"/>
          <w:szCs w:val="24"/>
        </w:rPr>
        <w:t>10</w:t>
      </w:r>
      <w:r>
        <w:rPr>
          <w:rFonts w:hint="eastAsia"/>
          <w:sz w:val="24"/>
          <w:szCs w:val="24"/>
        </w:rPr>
        <w:t>月</w:t>
      </w:r>
      <w:r>
        <w:rPr>
          <w:sz w:val="24"/>
          <w:szCs w:val="24"/>
        </w:rPr>
        <w:t>1</w:t>
      </w:r>
      <w:r>
        <w:rPr>
          <w:rFonts w:hint="eastAsia"/>
          <w:sz w:val="24"/>
          <w:szCs w:val="24"/>
        </w:rPr>
        <w:t>日起施行。</w:t>
      </w:r>
    </w:p>
    <w:p>
      <w:pPr>
        <w:pStyle w:val="3"/>
        <w:topLinePunct/>
        <w:spacing w:line="416" w:lineRule="exact"/>
        <w:ind w:firstLine="480"/>
        <w:rPr>
          <w:rFonts w:ascii="Times New Roman"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65" w:name="_Toc25394585"/>
      <w:bookmarkStart w:id="166" w:name="_Toc16855"/>
    </w:p>
    <w:p>
      <w:pPr>
        <w:pStyle w:val="2"/>
        <w:keepNext w:val="0"/>
        <w:keepLines w:val="0"/>
        <w:topLinePunct/>
        <w:spacing w:line="416" w:lineRule="exact"/>
        <w:ind w:firstLine="480" w:firstLineChars="200"/>
        <w:jc w:val="both"/>
        <w:rPr>
          <w:rStyle w:val="30"/>
          <w:rFonts w:cs="Arial" w:asciiTheme="minorEastAsia" w:hAnsiTheme="minorEastAsia" w:eastAsiaTheme="minorEastAsia"/>
          <w:b w:val="0"/>
          <w:bCs w:val="0"/>
          <w:sz w:val="24"/>
          <w:szCs w:val="24"/>
        </w:rPr>
      </w:pPr>
    </w:p>
    <w:p>
      <w:pPr>
        <w:pStyle w:val="61"/>
      </w:pPr>
      <w:bookmarkStart w:id="167" w:name="_Toc26347921"/>
      <w:bookmarkStart w:id="168" w:name="_Toc25653654"/>
      <w:bookmarkStart w:id="169" w:name="_Toc28156943"/>
      <w:bookmarkStart w:id="170" w:name="_Toc28250870"/>
      <w:bookmarkStart w:id="171" w:name="_Toc28252140"/>
      <w:bookmarkStart w:id="172" w:name="_Toc25648159"/>
      <w:r>
        <w:t>规范农业行政处罚自由裁量权办法</w:t>
      </w:r>
      <w:bookmarkEnd w:id="167"/>
      <w:bookmarkEnd w:id="168"/>
      <w:bookmarkEnd w:id="169"/>
      <w:bookmarkEnd w:id="170"/>
      <w:bookmarkEnd w:id="171"/>
      <w:bookmarkEnd w:id="172"/>
    </w:p>
    <w:p>
      <w:pPr>
        <w:pStyle w:val="62"/>
        <w:ind w:left="0" w:leftChars="0" w:right="0" w:rightChars="0" w:firstLine="0" w:firstLineChars="0"/>
        <w:jc w:val="center"/>
      </w:pPr>
      <w:r>
        <w:rPr>
          <w:rFonts w:hint="eastAsia"/>
        </w:rPr>
        <w:t>（2019年5月31日中华人民共和国农业农村部公告第180号公布）</w:t>
      </w:r>
    </w:p>
    <w:p>
      <w:pPr>
        <w:topLinePunct/>
        <w:spacing w:beforeLines="0" w:afterLines="0" w:line="412" w:lineRule="exact"/>
        <w:ind w:firstLine="480" w:firstLineChars="200"/>
        <w:rPr>
          <w:rFonts w:cs="Times New Roman" w:asciiTheme="minorEastAsia" w:hAnsiTheme="minorEastAsia"/>
          <w:sz w:val="24"/>
          <w:szCs w:val="24"/>
        </w:rPr>
      </w:pP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 xml:space="preserve"> 为规范农业行政执法行为，保障农业农村主管部门合法、合理、适当地行使行政处罚自由裁量权，保护公民、法人和其他组织的合法权益，根据《中华人民共和国行政处罚法》以及国务院有关规定，制定本办法。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 xml:space="preserve"> 本办法所称农业行政处罚自由裁量权，是指农业农村主管部门在实施农业行政处罚时，根据法律、法规、规章的规定，综合考虑违法行为的事实、性质、情节、社会危害程度等因素，决定行政处罚种类及处罚幅度的权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 xml:space="preserve"> 农业农村主管部门制定行政处罚自由裁量基准和行使行政处罚自由裁量权，适用本办法。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行使行政处罚自由裁量权，应当符合法律、法规、规章的规定，遵循法定程序，保障行政相对人的合法权益。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行使行政处罚自由裁量权应当符合法律目的，排除不相关因素的干扰，所采取的措施和手段应当必要、适当。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行使行政处罚自由裁量权，应当以事实为依据，行政处罚的种类和幅度应当与违法行为的事实、性质、情节、社会危害程度相当，与违法行为发生地的经济社会发展水平相适应。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违法事实、性质、情节及社会危害后果等相同或相近的违法行为，同一行政区域行政处罚的种类和幅度应当基本一致。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农业农村部可以根据统一和规范全国农业行政执法裁量尺度的需要，针对特定的农业行政处罚事项制定自由裁量基准。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 xml:space="preserve"> 法律、法规、规章对行政处罚事项规定有自由裁量空间的，省级农业农村主管部门应当根据本办法结合本地区实际制定自由裁量基准，明确处罚裁量标准和适用条件，供本地区农业农村主管部门实施行政处罚时参照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市、县级农业农村主管部门可以在省级农业农村主管部门制定的行政处罚自由裁量基准范围内，结合本地实际对处罚裁量标准和适用条件进行细化和量化。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农业农村主管部门应当依据法律、法规、规章制修订情况、上级主管部门制定的行政处罚自由裁量权适用规则的变化以及执法工作实际，及时修订完善本部门的行政处罚自由裁量基准。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制定行政处罚自由裁量基准，应当遵守以下规定：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（一）法律、法规、规章规定可以选择是否给予行政处罚的，应当明确是否给予行政处罚的具体裁量标准和适用条件；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（二）法律、法规、规章规定可以选择行政处罚种类的，应当明确适用不同种类行政处罚的具体裁量标准和适用条件；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（三）法律、法规、规章规定可以选择行政处罚幅度的，应当根据违法事实、性质、情节、社会危害程度等因素确定具体裁量标准和适用条件；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（四）法律、法规、规章规定可以单处也可以并处行政处罚的，应当明确单处或者并处行政处罚的具体裁量标准和适用条件。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法律、法规、规章设定的罚款数额有一定幅度的，在相应的幅度范围内分为从重处罚、一般处罚、从轻处罚。除法律、法规、规章另有规定外，罚款处罚的数额按照以下标准确定：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（一）罚款为一定幅度的数额，并同时规定了最低罚款数额和最高罚款数额的，从轻处罚应低于最高罚款数额与最低罚款数额的中间值，从重处罚应高于中间值；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只规定了最高罚款数额未规定最低罚款数额的，从轻处罚一般按最高罚款数额的百分之三十以下确定，一般处罚按最高罚款数额的百分三十以上百分之六十以下确定，从重处罚应高于最高罚款数额的百分之六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（三）罚款为一定金额的倍数，并同时规定了最低罚款倍数和最高罚款倍数的，从轻处罚应低于最低罚款倍数和最高罚款倍数的中间倍数，从重处罚应高于中间倍数；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只规定最高罚款倍数未规定最低罚款倍数的，从轻处罚一般按最高罚款倍数的百分之三十以下确定，一般处罚按最高罚款倍数的百分之三十以上百分之六十以下确定，从重处罚应高于最高罚款倍数的百分之六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同时具有两个以上从重情节、且不具有从轻情节的，应当在违法行为对应的处罚幅度内按最高档次实施处罚。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同时具有两个以上从轻情节、且不具有从重情节的，应当在违法行为对应的处罚幅度内按最低档次实施处罚。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同时具有从重和从轻情节的，应当根据违法行为的性质和主要情节确定对应的处罚幅度，综合考虑后实施处罚。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有下列情形之一的，农业农村主管部门依法不予处罚：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（一）未满14周岁的公民实施违法行为的；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（二）精神病人在不能辨认或者控制自己行为时实施违法行为的；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（三）违法事实不清，证据不足的；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（四）违法行为轻微并及时纠正，未造成危害后果的；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（五）违法行为在两年内没有发现的，法律另有规定的除外；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（六）其他依法不予处罚的。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有下列情形之一的，农业农村主管部门依法从轻或减轻处罚：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（一）已满14周岁不满18周岁的公民实施违法行为的；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（二）主动消除或减轻违法行为危害后果的；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（三）受他人胁迫实施违法行为的；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（四）在共同违法行为中起次要或者辅助作用的；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（五）主动中止违法行为的；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（六）配合行政机关查处违法行为有立功表现的；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（七）主动投案向行政机关如实交代违法行为的；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（八）其他依法应当从轻或减轻处罚的。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有下列情形之一的，农业农村主管部门依法从重处罚：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（一）违法情节恶劣，造成严重危害后果的；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（二）责令改正拒不改正，或者一年内实施两次以上同种违法行为的；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（三）妨碍、阻挠或者抗拒执法人员依法调查、处理其违法行为的；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（四）故意转移、隐匿、毁坏或伪造证据，或者对举报投诉人、证人打击报复的；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（五）在共同违法行为中起主要作用的；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（六）胁迫、诱骗或教唆未成年人实施违法行为的；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（七）其他依法应当从重处罚的。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给予减轻处罚的，依法在法定行政处罚的最低限度以下作出。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农业农村主管部门行使行政处罚自由裁量权，应当充分听取当事人的陈述、申辩，并记录在案。按照一般程序作出的农业行政处罚决定，应当经农业农村主管部门法制工作机构审核；对情节复杂或者重大违法行为给予较重的行政处罚的，还应当经农业农村主管部门负责人集体讨论决定，并在案卷讨论记录和行政处罚决定书中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行使行政处罚自由裁量权，应当坚持处罚与教育相结合、执法与普法相结合，将普法宣传融入行政执法全过程，教育和引导公民、法人或者其他组织知法学法、自觉守法。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农业农村主管部门应当加强农业执法典型案例的收集、整理、研究和发布工作，建立农业行政执法案例库，充分发挥典型案例在指导和规范行政处罚自由裁量权工作中的引导、规范功能。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农业农村主管部门行使行政处罚自由裁量权，不得有下列情形：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（一）违法行为的事实、性质、情节以及社会危害程度与受到的行政处罚相比，畸轻或者畸重的；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（二）在同一时期同类案件中，不同当事人的违法行为相同或者相近，所受行政处罚差别较大的；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（三）依法应当不予行政处罚或者应当从轻、减轻行政处罚的，给予处罚或未从轻、减轻行政处罚的；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（四）其他滥用行政处罚自由裁量权情形的。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各级农业农村主管部门应当建立健全规范农业行政处罚自由裁量权的监督制度，通过以下方式加强对本行政区域内农业农村主管部门行使自由裁量权情况的监督：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（一）行政处罚决定法制审核；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（二）开展行政执法评议考核；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（三）开展行政处罚案卷评查；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（四）受理行政执法投诉举报；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（五）法律、法规和规章规定的其他方式。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 xml:space="preserve"> 农业行政执法人员滥用行政处罚自由裁量权的，依法追究其行政责任。涉嫌违纪、犯罪的，移交纪检监察机关、司法机关依法依规处理。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 xml:space="preserve"> 县级以上地方人民政府农业农村主管部门制定的行政处罚自由裁量权基准，应当及时向社会公开。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本办法自2019年6月1日起施行。</w:t>
      </w:r>
    </w:p>
    <w:p>
      <w:pPr>
        <w:widowControl/>
        <w:spacing w:before="156" w:after="156"/>
        <w:ind w:firstLine="241"/>
        <w:rPr>
          <w:rFonts w:cs="Times New Roman" w:asciiTheme="minorEastAsia" w:hAnsiTheme="minorEastAsia"/>
          <w:b/>
          <w:bCs/>
          <w:kern w:val="0"/>
          <w:sz w:val="24"/>
          <w:szCs w:val="24"/>
        </w:rPr>
      </w:pP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widowControl/>
        <w:spacing w:before="156" w:after="156"/>
        <w:ind w:firstLine="240"/>
        <w:rPr>
          <w:rFonts w:asciiTheme="minorEastAsia" w:hAnsiTheme="minorEastAsia"/>
          <w:sz w:val="24"/>
          <w:szCs w:val="24"/>
        </w:rPr>
      </w:pPr>
    </w:p>
    <w:p>
      <w:pPr>
        <w:widowControl/>
        <w:spacing w:before="156" w:after="156"/>
        <w:ind w:firstLine="240"/>
        <w:rPr>
          <w:rFonts w:asciiTheme="minorEastAsia" w:hAnsiTheme="minorEastAsia"/>
          <w:sz w:val="24"/>
          <w:szCs w:val="24"/>
        </w:rPr>
      </w:pPr>
    </w:p>
    <w:p>
      <w:pPr>
        <w:widowControl/>
        <w:spacing w:before="156" w:after="156"/>
        <w:ind w:firstLine="240"/>
        <w:rPr>
          <w:rFonts w:cs="Times New Roman" w:asciiTheme="minorEastAsia" w:hAnsiTheme="minorEastAsia"/>
          <w:b/>
          <w:bCs/>
          <w:kern w:val="0"/>
          <w:sz w:val="24"/>
          <w:szCs w:val="24"/>
        </w:rPr>
      </w:pPr>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73" w:name="_Toc26347922"/>
      <w:bookmarkStart w:id="174" w:name="_Toc25648160"/>
      <w:bookmarkStart w:id="175" w:name="_Toc28252141"/>
      <w:bookmarkStart w:id="176" w:name="_Toc28156944"/>
      <w:bookmarkStart w:id="177" w:name="_Toc28250871"/>
      <w:bookmarkStart w:id="178" w:name="_Toc25653655"/>
      <w:r>
        <w:t>农业行政执法证件管理办法</w:t>
      </w:r>
      <w:bookmarkEnd w:id="165"/>
      <w:bookmarkEnd w:id="166"/>
      <w:bookmarkEnd w:id="173"/>
      <w:bookmarkEnd w:id="174"/>
      <w:bookmarkEnd w:id="175"/>
      <w:bookmarkEnd w:id="176"/>
      <w:bookmarkEnd w:id="177"/>
      <w:bookmarkEnd w:id="178"/>
    </w:p>
    <w:p>
      <w:pPr>
        <w:pStyle w:val="62"/>
        <w:topLinePunct w:val="0"/>
        <w:ind w:firstLine="0" w:firstLineChars="0"/>
        <w:jc w:val="center"/>
        <w:rPr>
          <w:b/>
        </w:rPr>
      </w:pPr>
      <w:r>
        <w:t>（</w:t>
      </w:r>
      <w:bookmarkStart w:id="179" w:name="OLE_LINK40"/>
      <w:bookmarkStart w:id="180" w:name="OLE_LINK41"/>
      <w:r>
        <w:t>1998年10月15日中华人民共和国</w:t>
      </w:r>
      <w:bookmarkStart w:id="181" w:name="OLE_LINK57"/>
      <w:r>
        <w:t>农业部令第１号</w:t>
      </w:r>
      <w:bookmarkEnd w:id="179"/>
      <w:bookmarkEnd w:id="181"/>
      <w:r>
        <w:t>公布</w:t>
      </w:r>
      <w:bookmarkEnd w:id="180"/>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为了加强农业行政执法证件管理，规范农业行政执法行为，保障和监督农业行政主管部门和执法人员依法行使职权，根据《农业行政处罚程序规定》及有关法律、法规的规定，制定本办法。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农业行政执法证件的申领、发放、使用和管理适用本办法。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农业行政执法证件为“中华人民共和国农业行政执法证”。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农业行政执法证是农业行政执法人员从事农业行政执法活动的统一有效证件。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本办法所称农业行政主管部门，是指履行种植业、畜牧业、渔业、农垦、乡镇企业、饲料工业和农业机械化等行政职能的机关。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本办法所称农业管理部门，是指县级以上人民政府农业行政主管部门，法律、法规授权的农业管理机构，以及县级以上人民政府农业行政主管部门依法委托的农业管理机构（含农业行政综合执法机构）。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县级以上农业管理部门的农业行政执法人员在执行公务时，应当出示或佩戴农业行政执法证。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农业行政执法人员应当在法律、法规和规章规定的职责范围内行使职权。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农业行政执法证由农业部统一制定（见附件1），并负责监制。农业行政执法证加盖农业部执法证件专用章。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农业部法制工作机构负责农业行政执法证件的发放和管理工作。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部属的农业行政执法人员的执法证件，由农业部发放，具体工作由部法制工作机构组织实施。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省级以下（含省级，下同）农业管理部门农业行政执法人员的执法证件，由省级农业行政主管部门发放和管理，具体工作由其法制工作机构组织实施，并报农业部法制工作机构备案。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证件应当加盖发证机关印鉴。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在岗专职从事农业行政执法工作的人员申领农业行政执法证，应当具备下列条件：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（一）掌握必要的法律知识和专业知识，具有一定的工作经验；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（二）经过农业行政主管部门组织的行政执法培训并考试合格；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（三）公正廉洁，责任心强。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凡符合规定条件的农业行政执法人员，应当填写《农业行政执法人员审批表》（见附件2），经本级农业行政主管部门签署意见后，报发证机关申请办理农业行政执法证件。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行政执法人员的培训和考试考核实行统一管理、分级组织的原则。部属的农业行政执法人员的培训和考试考核，由农业部法制工作机构负责组织；省级以下农业管理部门的农业行政执法人员的培训和考试考核，由省级农业行政主管部门法制工作机构负责组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农业部统一编制培训教学大纲和教材。省级农业行政主管部门应当根据农业部编制的教学大纲和教材，结合地方性法规和政府规章的规定组织编写培训辅导教材。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持证人应当妥善保管农业行政执法证件，不得损毁或者转借他人。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持证人丢失、毁损执法证件的，应当立即向所在单位报告，由所在单位报请发证机关注销，并公开声明作废，经发证机关审核后可补发新证。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任何单位和个人不得伪造或倒买倒卖农业行政执法证件。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农业行政执法证件实行审验制度，每两年审验一次。持证人所在单位应当于发证后的第二年的第四季度将持证人的农业行政执法证件及有关材料报发证机关，经审验合格的，由发证机关加盖验审印章。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发证机关对持证人的下列情况予以审验：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（一）持证人执法工作考核情况；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（二）持证人参加培训的情况；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（三）持证人执法违纪或重大执法过失的情况；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（四）持证人受奖励和处分的情况；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（五）发证机关规定的其他情况。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持证人有下列情形之一的，由发证机关收回并注销农业行政执法证：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（一）调离农业行政执法岗位的；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（二）死亡的；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（三）退休的；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（四）辞去公职或者被开除公职的；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（五）审验不合格或者到期未经审验的；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（六）发证机关认为应当收回的。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有下列行为之一，情节轻微的，由发证机关或者持证人所在单位给予批评教育；情节严重的，由有关行政机关给予行政处分，并由发证机关吊销农业行政执法证；构成犯罪的，由司法机关依法追究刑事责任：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（一）超越职权或者在非公务场所使用农业行政执法证的；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（二）利用农业行政执法证谋取私利，违法乱纪的；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（三）伪造或倒买倒卖农业行政执法证的；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（四）使用伪造的农业行政执法证的；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（五）冒用农业行政执法证的；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（六）其他违反证件管理规定的行为。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本办法自发布之日起施行。</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sectPr>
          <w:headerReference r:id="rId15" w:type="default"/>
          <w:headerReference r:id="rId16" w:type="even"/>
          <w:pgSz w:w="12247" w:h="17180"/>
          <w:pgMar w:top="1814" w:right="1701" w:bottom="1701" w:left="1701" w:header="851" w:footer="1134" w:gutter="0"/>
          <w:pgNumType w:start="1"/>
          <w:cols w:space="425" w:num="1"/>
          <w:docGrid w:type="lines" w:linePitch="312" w:charSpace="0"/>
        </w:sectPr>
      </w:pPr>
    </w:p>
    <w:p>
      <w:pPr>
        <w:pStyle w:val="3"/>
        <w:topLinePunct/>
        <w:spacing w:line="416" w:lineRule="exact"/>
        <w:ind w:firstLine="480"/>
        <w:rPr>
          <w:rFonts w:asciiTheme="minorEastAsia" w:hAnsiTheme="minorEastAsia" w:eastAsia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bookmarkStart w:id="182" w:name="_Toc18942575"/>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183" w:name="_Toc25653656"/>
      <w:bookmarkStart w:id="184" w:name="_Toc25648161"/>
      <w:bookmarkStart w:id="185" w:name="_Toc28252142"/>
      <w:r>
        <w:t>二、农村土地</w:t>
      </w:r>
      <w:bookmarkEnd w:id="183"/>
      <w:bookmarkEnd w:id="184"/>
      <w:bookmarkEnd w:id="185"/>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sz w:val="24"/>
          <w:szCs w:val="24"/>
        </w:rPr>
      </w:pPr>
      <w:r>
        <w:rPr>
          <w:rFonts w:cs="Times New Roman" w:asciiTheme="minorEastAsia" w:hAnsiTheme="minorEastAsia"/>
          <w:sz w:val="24"/>
          <w:szCs w:val="24"/>
        </w:rPr>
        <w:br w:type="page"/>
      </w:r>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186" w:name="_Toc28250872"/>
      <w:bookmarkStart w:id="187" w:name="_Toc28156945"/>
      <w:bookmarkStart w:id="188" w:name="_Toc26347923"/>
      <w:bookmarkStart w:id="189" w:name="_Toc25648162"/>
      <w:bookmarkStart w:id="190" w:name="_Toc25653657"/>
      <w:bookmarkStart w:id="191" w:name="_Toc28252143"/>
      <w:r>
        <w:t>中华人民共和国土地管理法</w:t>
      </w:r>
      <w:bookmarkEnd w:id="182"/>
      <w:bookmarkEnd w:id="186"/>
      <w:bookmarkEnd w:id="187"/>
      <w:bookmarkEnd w:id="188"/>
      <w:bookmarkEnd w:id="189"/>
      <w:bookmarkEnd w:id="190"/>
      <w:bookmarkEnd w:id="191"/>
    </w:p>
    <w:p>
      <w:pPr>
        <w:pStyle w:val="62"/>
      </w:pPr>
      <w:r>
        <w:t>（</w:t>
      </w:r>
      <w:r>
        <w:rPr>
          <w:bCs/>
        </w:rPr>
        <w:t>1986年6月25日第六届全国人民代表大会常务委员会第十六次会议通过，根据1988年12月29日第七届全国人民代表大会常务委员会第五次会议《关于修改〈中华人民共和国土地管理法〉的决定》第一次修正</w:t>
      </w:r>
      <w:r>
        <w:t>，</w:t>
      </w:r>
      <w:r>
        <w:rPr>
          <w:bCs/>
        </w:rPr>
        <w:t>1998年8月29日第九届全国人民代表大会常务委员会第四次会议修订，根据2004年8月28日第十届全国人民代表大会常务委员会第十一次会议《关于修改〈中华人民共和国土地管理法〉的决定》第二次修正，根据2019年8月26日第十三届全国人民代表大会常务委员会第十二次会议《关于修改&lt;中华人民共和国土地管理法&gt;、&lt;中华人民共和国城市房地产管理法&gt;的决定》第三次修正</w:t>
      </w:r>
      <w:r>
        <w:t>）</w:t>
      </w:r>
    </w:p>
    <w:p>
      <w:pPr>
        <w:pStyle w:val="63"/>
        <w:spacing w:before="218" w:after="218" w:line="412" w:lineRule="exact"/>
        <w:rPr>
          <w:rStyle w:val="30"/>
          <w:bCs w:val="0"/>
          <w:szCs w:val="23"/>
        </w:rPr>
      </w:pPr>
      <w:r>
        <w:rPr>
          <w:rStyle w:val="30"/>
          <w:rFonts w:hint="eastAsia"/>
          <w:b w:val="0"/>
          <w:bCs/>
          <w:szCs w:val="23"/>
        </w:rPr>
        <w:t>第一章  总  则</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第一条  </w:t>
      </w:r>
      <w:r>
        <w:rPr>
          <w:rFonts w:hint="eastAsia" w:cs="Arial"/>
        </w:rPr>
        <w:t>为了加强土地管理，维护土地的社会主义公有制，保护、开发土地资源，合理利用土地，切实保护耕地，促进社会经济的可持续发展，根据宪法，制定本法。</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第二条</w:t>
      </w:r>
      <w:r>
        <w:rPr>
          <w:rFonts w:hint="eastAsia" w:cs="Arial"/>
        </w:rPr>
        <w:t xml:space="preserve">  中华人民共和国实行土地的社会主义公有制，即全民所有制和劳动群众集体所有制。</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全民所有，即国家所有土地的所有权由国务院代表国家行使。</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任何单位和个人不得侵占、买卖或者以其他形式非法转让土地。土地使用权可以依法转让。</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国家为了公共利益的需要，可以依法对土地实行征收或者征用并给予补偿。</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国家依法实行国有土地有偿使用制度。但是，国家在法律规定的范围内划拨国有土地使用权的除外。</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第三条</w:t>
      </w:r>
      <w:r>
        <w:rPr>
          <w:rFonts w:hint="eastAsia" w:cs="Arial"/>
        </w:rPr>
        <w:t xml:space="preserve">  十分珍惜、合理利用土地和切实保护耕地是我国的基本国策。各级人民政府应当采取措施，全面规划，严格管理，保护、开发土地资源，制止非法占用土地的行为。</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第四条</w:t>
      </w:r>
      <w:r>
        <w:rPr>
          <w:rFonts w:hint="eastAsia" w:cs="Arial"/>
        </w:rPr>
        <w:t xml:space="preserve">  国家实行土地用途管制制度。</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国家编制土地利用总体规划，规定土地用途，将土地分为农用地、建设用地和未利用地。严格限制农用地转为建设用地，控制建设用地总量，对耕地实行特殊保护。</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前款所称农用地是指直接用于农业生产的土地，包括耕地、林地、草地、农田水利用地、养殖水面等；建设用地是指建造建筑物、构筑物的土地，包括城乡住宅和公共设施用地、工矿用地、交通水利设施用地、旅游用地、军事设施用地等；未利用地是指农用地和建设用地以外的土地。</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使用土地的单位和个人必须严格按照土地利用总体规划确定的用途使用土地。</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第五条</w:t>
      </w:r>
      <w:r>
        <w:rPr>
          <w:rFonts w:hint="eastAsia" w:cs="Arial"/>
        </w:rPr>
        <w:t xml:space="preserve">  国务院自然资源主管部门统一负责全国土地的管理和监督工作。</w:t>
      </w:r>
    </w:p>
    <w:p>
      <w:pPr>
        <w:pStyle w:val="25"/>
        <w:shd w:val="clear" w:color="auto" w:fill="FFFFFF"/>
        <w:spacing w:beforeAutospacing="0" w:afterAutospacing="0" w:line="412" w:lineRule="exact"/>
        <w:ind w:firstLine="480" w:firstLineChars="200"/>
        <w:jc w:val="both"/>
        <w:rPr>
          <w:rFonts w:ascii="Arial" w:hAnsi="Arial" w:cs="Arial"/>
        </w:rPr>
      </w:pPr>
      <w:r>
        <w:rPr>
          <w:rFonts w:hint="eastAsia" w:cs="Arial"/>
        </w:rPr>
        <w:t>县级以上地方人民政府自然资源主管部门的设置及其职责，由省、自治区、直辖市人民政府根据国务院有关规定确定。</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第六条  </w:t>
      </w:r>
      <w:r>
        <w:rPr>
          <w:rFonts w:hint="eastAsia" w:cs="Arial"/>
        </w:rPr>
        <w:t>国务院授权的机构对省、自治区、直辖市人民政府以及国务院确定的城市人民政府土地利用和土地管理情况进行督察。</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第七条  </w:t>
      </w:r>
      <w:r>
        <w:rPr>
          <w:rFonts w:hint="eastAsia" w:cs="Arial"/>
        </w:rPr>
        <w:t>任何单位和个人都有遵守土地管理法律、法规的义务，并有权对违反土地管理法律、法规的行为提出检举和控告。</w:t>
      </w:r>
    </w:p>
    <w:p>
      <w:pPr>
        <w:pStyle w:val="25"/>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第八条</w:t>
      </w:r>
      <w:r>
        <w:rPr>
          <w:rFonts w:hint="eastAsia" w:cs="Arial"/>
        </w:rPr>
        <w:t xml:space="preserve">  在保护和开发土地资源、合理利用土地以及进行有关的科学研究等方面成绩显著的单位和个人，由人民政府给予奖励。</w:t>
      </w:r>
    </w:p>
    <w:p>
      <w:pPr>
        <w:pStyle w:val="63"/>
        <w:spacing w:before="218" w:after="218" w:line="412" w:lineRule="exact"/>
        <w:rPr>
          <w:rStyle w:val="30"/>
          <w:bCs w:val="0"/>
          <w:szCs w:val="23"/>
        </w:rPr>
      </w:pPr>
      <w:r>
        <w:rPr>
          <w:rStyle w:val="30"/>
          <w:rFonts w:hint="eastAsia"/>
          <w:b w:val="0"/>
          <w:bCs/>
          <w:szCs w:val="23"/>
        </w:rPr>
        <w:t>第二章  土地的所有权和使用权</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第九条</w:t>
      </w:r>
      <w:r>
        <w:rPr>
          <w:rFonts w:hint="eastAsia" w:cs="Arial"/>
        </w:rPr>
        <w:t xml:space="preserve">  城市市区的土地属于国家所有。</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农村和城市郊区的土地，除由法律规定属于国家所有的以外，属于农民集体所有；宅基地和自留地、自留山，属于农民集体所有。</w:t>
      </w:r>
    </w:p>
    <w:p>
      <w:pPr>
        <w:pStyle w:val="25"/>
        <w:widowControl w:val="0"/>
        <w:shd w:val="clear" w:color="auto" w:fill="FFFFFF"/>
        <w:spacing w:beforeAutospacing="0" w:afterAutospacing="0" w:line="408" w:lineRule="exact"/>
        <w:ind w:firstLine="482" w:firstLineChars="200"/>
        <w:jc w:val="both"/>
        <w:rPr>
          <w:rFonts w:ascii="Arial" w:hAnsi="Arial" w:cs="Arial"/>
        </w:rPr>
      </w:pPr>
      <w:r>
        <w:rPr>
          <w:rStyle w:val="30"/>
          <w:rFonts w:hint="eastAsia" w:cs="Arial"/>
        </w:rPr>
        <w:t>第十条</w:t>
      </w:r>
      <w:r>
        <w:rPr>
          <w:rFonts w:hint="eastAsia" w:cs="Arial"/>
        </w:rPr>
        <w:t xml:space="preserve">  国有土地和农民集体所有的土地，可以依法确定给单位或者个人使用。使用土地的单位和个人，有保护、管理和合理利用土地的义务。</w:t>
      </w:r>
    </w:p>
    <w:p>
      <w:pPr>
        <w:pStyle w:val="25"/>
        <w:widowControl w:val="0"/>
        <w:shd w:val="clear" w:color="auto" w:fill="FFFFFF"/>
        <w:spacing w:beforeAutospacing="0" w:afterAutospacing="0" w:line="408" w:lineRule="exact"/>
        <w:ind w:firstLine="482" w:firstLineChars="200"/>
        <w:jc w:val="both"/>
        <w:rPr>
          <w:rFonts w:ascii="Arial" w:hAnsi="Arial" w:cs="Arial"/>
        </w:rPr>
      </w:pPr>
      <w:r>
        <w:rPr>
          <w:rStyle w:val="30"/>
          <w:rFonts w:hint="eastAsia" w:cs="Arial"/>
        </w:rPr>
        <w:t>第十一条</w:t>
      </w:r>
      <w:r>
        <w:rPr>
          <w:rFonts w:hint="eastAsia" w:cs="Arial"/>
        </w:rPr>
        <w:t xml:space="preserve">  农民集体所有的土地依法属于村农民集体所有的，由村集体经济组织或者村民委员会经营、管理；已经分别属于村内两个以上农村集体经济组织的农民集体所有的，由村内各该农村集体经济组织或者村民小组经营、管理；已经属于乡（镇）农民集体所有的，由乡（镇）农村集体经济组织经营、管理。</w:t>
      </w:r>
    </w:p>
    <w:p>
      <w:pPr>
        <w:pStyle w:val="25"/>
        <w:widowControl w:val="0"/>
        <w:shd w:val="clear" w:color="auto" w:fill="FFFFFF"/>
        <w:spacing w:beforeAutospacing="0" w:afterAutospacing="0" w:line="408" w:lineRule="exact"/>
        <w:ind w:firstLine="482" w:firstLineChars="200"/>
        <w:jc w:val="both"/>
        <w:rPr>
          <w:rFonts w:ascii="Arial" w:hAnsi="Arial" w:cs="Arial"/>
        </w:rPr>
      </w:pPr>
      <w:r>
        <w:rPr>
          <w:rStyle w:val="30"/>
          <w:rFonts w:hint="eastAsia" w:cs="Arial"/>
        </w:rPr>
        <w:t xml:space="preserve">第十二条  </w:t>
      </w:r>
      <w:r>
        <w:rPr>
          <w:rFonts w:hint="eastAsia" w:cs="Arial"/>
        </w:rPr>
        <w:t>土地的所有权和使用权的登记，依照有关不动产登记的法律、行政法规执行。</w:t>
      </w:r>
    </w:p>
    <w:p>
      <w:pPr>
        <w:pStyle w:val="25"/>
        <w:widowControl w:val="0"/>
        <w:shd w:val="clear" w:color="auto" w:fill="FFFFFF"/>
        <w:spacing w:beforeAutospacing="0" w:afterAutospacing="0" w:line="408" w:lineRule="exact"/>
        <w:ind w:firstLine="480" w:firstLineChars="200"/>
        <w:jc w:val="both"/>
        <w:rPr>
          <w:rFonts w:ascii="Arial" w:hAnsi="Arial" w:cs="Arial"/>
        </w:rPr>
      </w:pPr>
      <w:r>
        <w:rPr>
          <w:rFonts w:hint="eastAsia" w:cs="Arial"/>
        </w:rPr>
        <w:t>依法登记的土地的所有权和使用权受法律保护，任何单位和个人不得侵犯。</w:t>
      </w:r>
    </w:p>
    <w:p>
      <w:pPr>
        <w:pStyle w:val="25"/>
        <w:widowControl w:val="0"/>
        <w:shd w:val="clear" w:color="auto" w:fill="FFFFFF"/>
        <w:spacing w:beforeAutospacing="0" w:afterAutospacing="0" w:line="408" w:lineRule="exact"/>
        <w:ind w:firstLine="482" w:firstLineChars="200"/>
        <w:jc w:val="both"/>
        <w:rPr>
          <w:rFonts w:ascii="Arial" w:hAnsi="Arial" w:cs="Arial"/>
        </w:rPr>
      </w:pPr>
      <w:r>
        <w:rPr>
          <w:rStyle w:val="30"/>
          <w:rFonts w:hint="eastAsia" w:cs="Arial"/>
        </w:rPr>
        <w:t>第十三条</w:t>
      </w:r>
      <w:r>
        <w:rPr>
          <w:rFonts w:hint="eastAsia" w:cs="Arial"/>
        </w:rPr>
        <w:t xml:space="preserve">  农民集体所有和国家所有依法由农民集体使用的耕地、林地、草地，以及其他依法用于农业的土地，采取农村集体经济组织内部的家庭承包方式承包，不宜采取家庭承包方式的荒山、荒沟、荒丘、荒滩等，可以采取招标、拍卖、公开协商等方式承包，从事种植业、林业、畜牧业、渔业生产。家庭承包的耕地的承包期为三十年，草地的承包期为三十年至五十年，林地的承包期为三十年至七十年；耕地承包期届满后再延长三十年，草地、林地承包期届满后依法相应延长。</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国家所有依法用于农业的土地可以由单位或者个人承包经营，从事种植业、林业、畜牧业、渔业生产。</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发包方和承包方应当依法订立承包合同，约定双方的权利和义务。承包经营土地的单位和个人，有保护和按照承包合同约定的用途合理利用土地的义务。</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第十四条</w:t>
      </w:r>
      <w:r>
        <w:rPr>
          <w:rFonts w:hint="eastAsia" w:cs="Arial"/>
        </w:rPr>
        <w:t xml:space="preserve">  土地所有权和使用权争议，由当事人协商解决；协商不成的，由人民政府处理。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单位之间的争议，由县级以上人民政府处理；个人之间、个人与单位之间的争议，由乡级人民政府或者县级以上人民政府处理。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当事人对有关人民政府的处理决定不服的，可以自接到处理决定通知之日起三十日内，向人民法院起诉。</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在土地所有权和使用权争议解决前，任何一方不得改变土地利用现状。</w:t>
      </w:r>
    </w:p>
    <w:p>
      <w:pPr>
        <w:pStyle w:val="63"/>
        <w:spacing w:before="218" w:after="218" w:line="412" w:lineRule="exact"/>
        <w:rPr>
          <w:rStyle w:val="30"/>
          <w:bCs w:val="0"/>
          <w:szCs w:val="23"/>
        </w:rPr>
      </w:pPr>
      <w:r>
        <w:rPr>
          <w:rStyle w:val="30"/>
          <w:rFonts w:hint="eastAsia"/>
          <w:b w:val="0"/>
          <w:bCs/>
          <w:szCs w:val="23"/>
        </w:rPr>
        <w:t>第三章  土地利用总体规划</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第十五条  </w:t>
      </w:r>
      <w:r>
        <w:rPr>
          <w:rFonts w:hint="eastAsia" w:cs="Arial"/>
        </w:rPr>
        <w:t>各级人民政府应当依据国民经济和社会发展规划、国土整治和资源环境保护的要求、土地供给能力以及各项建设对土地的需求，组织编制土地利用总体规划。</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土地利用总体规划的规划期限由国务院规定。</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第十六条</w:t>
      </w:r>
      <w:r>
        <w:rPr>
          <w:rFonts w:hint="eastAsia" w:cs="Arial"/>
        </w:rPr>
        <w:t xml:space="preserve">  下级土地利用总体规划应当依据上一级土地利用总体规划编制。</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地方各级人民政府编制的土地利用总体规划中的建设用地总量不得超过上一级土地利用总体规划确定的控制指标，耕地保有量不得低于上一级土地利用总体规划确定的控制指标。</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省、自治区、直辖市人民政府编制的土地利用总体规划，应当确保本行政区域内耕地总量不减少。</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 xml:space="preserve">第十七条  </w:t>
      </w:r>
      <w:r>
        <w:rPr>
          <w:rFonts w:hint="eastAsia" w:cs="Arial"/>
        </w:rPr>
        <w:t>土地利用总体规划按照下列原则编制：</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（一）落实国土空间开发保护要求，严格土地用途管制；</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（二）严格保护永久基本农田，严格控制非农业建设占用农用地；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（三）提高土地节约集约利用水平；</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（四）统筹安排城乡生产、生活、生态用地，满足乡村产业和基础设施用地合理需求，促进城乡融合发展；</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（五）保护和改善生态环境，保障土地的可持续利用；</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（六）占用耕地与开发复垦耕地数量平衡、质量相当。</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 xml:space="preserve">第十八条  </w:t>
      </w:r>
      <w:r>
        <w:rPr>
          <w:rFonts w:hint="eastAsia" w:cs="Arial"/>
        </w:rPr>
        <w:t>国家建立国土空间规划体系。编制国土空间规划应当坚持生态优先，绿色、可持续发展，科学有序统筹安排生态、农业、城镇等功能空间，优化国土空间结构和布局，提升国土空间开发、保护的质量和效率。</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经依法批准的国土空间规划是各类开发、保护、建设活动的基本依据。已经编制国土空间规划的，不再编制土地利用总体规划和城乡规划。</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第十九条</w:t>
      </w:r>
      <w:r>
        <w:rPr>
          <w:rFonts w:hint="eastAsia" w:cs="Arial"/>
        </w:rPr>
        <w:t xml:space="preserve">  县级土地利用总体规划应当划分土地利用区，明确土地用途。</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乡（镇）土地利用总体规划应当划分土地利用区，根据土地使用条件，确定每一块土地的用途，并予以公告。</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第二十条</w:t>
      </w:r>
      <w:r>
        <w:rPr>
          <w:rFonts w:hint="eastAsia" w:cs="Arial"/>
        </w:rPr>
        <w:t xml:space="preserve">  土地利用总体规划实行分级审批。</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省、自治区、直辖市的土地利用总体规划，报国务院批准。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省、自治区人民政府所在地的市、人口在一百万以上的城市以及国务院指定的城市的土地利用总体规划，经省、自治区人民政府审查同意后，报国务院批准。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本条第二款、第三款规定以外的土地利用总体规划，逐级上报省、自治区、直辖市人民政府批准；其中，乡（镇）土地利用总体规划可以由省级人民政府授权的设区的市、自治州人民政府批准。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土地利用总体规划一经批准，必须严格执行。</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第二十一条</w:t>
      </w:r>
      <w:r>
        <w:rPr>
          <w:rFonts w:hint="eastAsia" w:cs="Arial"/>
        </w:rPr>
        <w:t xml:space="preserve">  城市建设用地规模应当符合国家规定的标准，充分利用现有建设用地，不占或者尽量少占农用地。</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城市总体规划、村庄和集镇规划，应当与土地利用总体规划相衔接，城市总体规划、村庄和集镇规划中建设用地规模不得超过土地利用总体规划确定的城市和村庄、集镇建设用地规模。</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在城市规划区内、村庄和集镇规划区内，城市和村庄、集镇建设用地应当符合城市规划、村庄和集镇规划。</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第二十二条</w:t>
      </w:r>
      <w:r>
        <w:rPr>
          <w:rFonts w:hint="eastAsia" w:cs="Arial"/>
        </w:rPr>
        <w:t xml:space="preserve">  江河、湖泊综合治理和开发利用规划，应当与土地利用总体规划相衔接。在江河、湖泊、水库的管理和保护范围以及蓄洪滞洪区内，土地利用应当符合江河、湖泊综合治理和开发利用规划，符合河道、湖泊行洪、蓄洪和输水的要求。</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第二十三条</w:t>
      </w:r>
      <w:r>
        <w:rPr>
          <w:rFonts w:hint="eastAsia" w:cs="Arial"/>
        </w:rPr>
        <w:t xml:space="preserve">  各级人民政府应当加强土地利用计划管理，实行建设用地总量控制。</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土地利用年度计划，根据国民经济和社会发展计划、国家产业政策、土地利用总体规划以及建设用地和土地利用的实际状况编制。土地利用年度计划应当对本法第六十三条规定的集体经营性建设用地作出合理安排。土地利用年度计划的编制审批程序与土地利用总体规划的编制审批程序相同，一经审批下达，必须严格执行。</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第二十四条</w:t>
      </w:r>
      <w:r>
        <w:rPr>
          <w:rFonts w:hint="eastAsia" w:cs="Arial"/>
        </w:rPr>
        <w:t xml:space="preserve">  省、自治区、直辖市人民政府应当将土地利用年度计划的执行情况列为国民经济和社会发展计划执行情况的内容，向同级人民代表大会报告。</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第二十五条</w:t>
      </w:r>
      <w:r>
        <w:rPr>
          <w:rFonts w:hint="eastAsia" w:cs="Arial"/>
        </w:rPr>
        <w:t xml:space="preserve">  经批准的土地利用总体规划的修改，须经原批准机关批准；未经批准，不得改变土地利用总体规划确定的土地用途。</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经国务院批准的大型能源、交通、水利等基础设施建设用地，需要改变土地利用总体规划的，根据国务院的批准文件修改土地利用总体规划。</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经省、自治区、直辖市人民政府批准的能源、交通、水利等基础设施建设用地，需要改变土地利用总体规划的，属于省级人民政府土地利用总体规划批准权限内的，根据省级人民政府的批准文件修改土地利用总体规划。</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第二十六条</w:t>
      </w:r>
      <w:r>
        <w:rPr>
          <w:rFonts w:hint="eastAsia" w:cs="Arial"/>
        </w:rPr>
        <w:t xml:space="preserve">  国家建立土地调查制度。</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县级以上人民政府自然资源主管部门会同同级有关部门进行土地调查。土地所有者或者使用者应当配合调查，并提供有关资料。</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第二十七条</w:t>
      </w:r>
      <w:r>
        <w:rPr>
          <w:rFonts w:hint="eastAsia" w:cs="Arial"/>
        </w:rPr>
        <w:t xml:space="preserve">  县级以上人民政府自然资源主管部门会同同级有关部门根据土地调查成果、规划土地用途和国家制定的统一标准，评定土地等级。</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第二十八条  </w:t>
      </w:r>
      <w:r>
        <w:rPr>
          <w:rFonts w:hint="eastAsia" w:cs="Arial"/>
        </w:rPr>
        <w:t>国家建立土地统计制度。</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县级以上人民政府统计机构和自然资源主管部门依法进行土地统计调查，定期发布土地统计资料。土地所有者或者使用者应当提供有关资料，不得拒报、迟报，不得提供不真实、不完整的资料。</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统计机构和自然资源主管部门共同发布的土地面积统计资料是各级人民政府编制土地利用总体规划的依据。</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第二十九条</w:t>
      </w:r>
      <w:r>
        <w:rPr>
          <w:rFonts w:hint="eastAsia" w:cs="Arial"/>
        </w:rPr>
        <w:t xml:space="preserve">  国家建立全国土地管理信息系统，对土地利用状况进行动态监测。</w:t>
      </w:r>
    </w:p>
    <w:p>
      <w:pPr>
        <w:pStyle w:val="63"/>
        <w:spacing w:before="218" w:after="218" w:line="412" w:lineRule="exact"/>
        <w:rPr>
          <w:rStyle w:val="30"/>
          <w:bCs w:val="0"/>
          <w:szCs w:val="23"/>
        </w:rPr>
      </w:pPr>
      <w:r>
        <w:rPr>
          <w:rStyle w:val="30"/>
          <w:rFonts w:hint="eastAsia"/>
          <w:b w:val="0"/>
          <w:bCs/>
          <w:szCs w:val="23"/>
        </w:rPr>
        <w:t>第四章  耕地保护</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第三十条</w:t>
      </w:r>
      <w:r>
        <w:rPr>
          <w:rFonts w:hint="eastAsia" w:cs="Arial"/>
        </w:rPr>
        <w:t xml:space="preserve">  国家保护耕地，严格控制耕地转为非耕地。</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国家实行占用耕地补偿制度。非农业建设经批准占用耕地的，按照"占多少，垦多少</w:t>
      </w:r>
      <w:r>
        <w:rPr>
          <w:rFonts w:ascii="Calibri" w:hAnsi="Calibri" w:cs="Arial"/>
        </w:rPr>
        <w:t>"</w:t>
      </w:r>
      <w:r>
        <w:rPr>
          <w:rFonts w:hint="eastAsia" w:cs="Arial"/>
        </w:rPr>
        <w:t>的原则，由占用耕地的单位负责开垦与所占用耕地的数量和质量相当的耕地；没有条件开垦或者开垦的耕地不符合要求的，应当按照省、自治区、直辖市的规定缴纳耕地开垦费，专款用于开垦新的耕地。</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省、自治区、直辖市人民政府应当制定开垦耕地计划，监督占用耕地的单位按照计划开垦耕地或者按照计划组织开垦耕地，并进行验收。</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第三十一条</w:t>
      </w:r>
      <w:r>
        <w:rPr>
          <w:rFonts w:hint="eastAsia" w:cs="Arial"/>
        </w:rPr>
        <w:t xml:space="preserve">  县级以上地方人民政府可以要求占用耕地的单位将所占用耕地耕作层的土壤用于新开垦耕地、劣质地或者其他耕地的土壤改良。</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第三十二条</w:t>
      </w:r>
      <w:r>
        <w:rPr>
          <w:rFonts w:hint="eastAsia" w:cs="Arial"/>
        </w:rPr>
        <w:t xml:space="preserve">  省、自治区、直辖市人民政府应当严格执行土地利用总体规划和土地利用年度计划，采取措施，确保本行政区域内耕地总量不减少、质量不降低。耕地总量减少的，由国务院责令在规定期限内组织开垦与所减少耕地的数量与质量相当的耕地；耕地质量降低的，由国务院责令在规定期限内组织整治。新开垦和整治的耕地由国务院自然资源主管部门会同农业农村主管部门验收。</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个别省、直辖市确因土地后备资源匮乏，新增建设用地后，新开垦耕地的数量不足以补偿所占用耕地的数量的，必须报经国务院批准减免本行政区域内开垦耕地的数量，易地开垦数量和质量相当的耕地。</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第三十三条</w:t>
      </w:r>
      <w:r>
        <w:rPr>
          <w:rFonts w:hint="eastAsia" w:cs="Arial"/>
        </w:rPr>
        <w:t xml:space="preserve">  国家实行永久基本农田保护制度。下列耕地应当根据土地利用总体规划划为永久基本农田，实行严格保护：</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（一）经国务院农业农村主管部门或者县级以上地方人民政府批准确定的粮、棉、油、糖等重要农产品生产基地内的耕地；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（二）有良好的水利与水土保持设施的耕地，正在实施改造计划以及可以改造的中、低产田和已建成的高标准农田；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（三）蔬菜生产基地；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（四）农业科研、教学试验田；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（五）国务院规定应当划为永久基本农田的其他耕地。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各省、自治区、直辖市划定的永久基本农田一般应当占本行政区域内耕地的百分之八十以上，具体比例由国务院根据各省、自治区、直辖市耕地实际情况规定。</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第三十四条</w:t>
      </w:r>
      <w:r>
        <w:rPr>
          <w:rFonts w:hint="eastAsia" w:cs="Arial"/>
        </w:rPr>
        <w:t xml:space="preserve">  永久基本农田划定以乡（镇）为单位进行，由县级人民政府自然资源主管部门会同同级农业农村主管部门组织实施。永久基本农田应当落实到地块，纳入国家永久基本农田数据库严格管理。</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乡（镇）人民政府应当将永久基本农田的位置、范围向社会公告，并设立保护标志。</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 xml:space="preserve">第三十五条  </w:t>
      </w:r>
      <w:r>
        <w:rPr>
          <w:rFonts w:hint="eastAsia" w:cs="Arial"/>
        </w:rPr>
        <w:t>永久基本农田经依法划定后，任何单位和个人不得擅自占用或者改变其用途。国家能源、交通、水利、军事设施等重点建设项目选址确实难以避让永久基本农田，涉及农用地转用或者土地征收的，必须经国务院批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禁止通过擅自调整县级土地利用总体规划、乡（镇）土地利用总体规划等方式规避永久基本农田农用地转用或者土地征收的审批。</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第三十六条</w:t>
      </w:r>
      <w:r>
        <w:rPr>
          <w:rFonts w:hint="eastAsia" w:cs="Arial"/>
        </w:rPr>
        <w:t xml:space="preserve">  各级人民政府应当采取措施，引导因地制宜轮作休耕，改良土壤，提高地力，维护排灌工程设施，防止土地荒漠化、盐渍化、水土流失和土壤污染。</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第三十七条  </w:t>
      </w:r>
      <w:r>
        <w:rPr>
          <w:rFonts w:hint="eastAsia" w:cs="Arial"/>
        </w:rPr>
        <w:t>非农业建设必须节约使用土地，可以利用荒地的，不得占用耕地；可以利用劣地的，不得占用好地。</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禁止占用耕地建窑、建坟或者擅自在耕地上建房、挖砂、采石、采矿、取土等。</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禁止占用永久基本农田发展林果业和挖塘养鱼。</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第三十八条  </w:t>
      </w:r>
      <w:r>
        <w:rPr>
          <w:rFonts w:hint="eastAsia" w:cs="Arial"/>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省、自治区、直辖市的规定缴纳闲置费；连续二年未使用的，经原批准机关批准，由县级以上人民政府无偿收回用地单位的土地使用权；该幅土地原为农民集体所有的，应当交由原农村集体经济组织恢复耕种。</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在城市规划区范围内，以出让方式取得土地使用权进行房地产开发的闲置土地，依照《中华人民共和国城市房地产管理法》的有关规定办理。</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第三十九条</w:t>
      </w:r>
      <w:r>
        <w:rPr>
          <w:rFonts w:hint="eastAsia" w:cs="Arial"/>
        </w:rPr>
        <w:t xml:space="preserve">  国家鼓励单位和个人按照土地利用总体规划，在保护和改善生态环境、防止水土流失和土地荒漠化的前提下，开发未利用的土地；适宜开发为农用地的，应当优先开发成农用地。</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国家依法保护开发者的合法权益。</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第四十条</w:t>
      </w:r>
      <w:r>
        <w:rPr>
          <w:rFonts w:hint="eastAsia" w:cs="Arial"/>
        </w:rPr>
        <w:t xml:space="preserve">  开垦未利用的土地，必须经过科学论证和评估，在土地利用总体规划划定的可开垦的区域内，经依法批准后进行。禁止毁坏森林、草原开垦耕地，禁止围湖造田和侵占江河滩地。</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根据土地利用总体规划，对破坏生态环境开垦、围垦的土地，有计划有步骤地退耕还林、还牧、还湖。</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第四十一条</w:t>
      </w:r>
      <w:r>
        <w:rPr>
          <w:rFonts w:hint="eastAsia" w:cs="Arial"/>
        </w:rPr>
        <w:t xml:space="preserve">  开发未确定使用权的国有荒山、荒地、荒滩从事种植业、林业、畜牧业、渔业生产的，经县级以上人民政府依法批准，可以确定给开发单位或者个人长期使用。</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第四十二条</w:t>
      </w:r>
      <w:r>
        <w:rPr>
          <w:rFonts w:hint="eastAsia" w:cs="Arial"/>
        </w:rPr>
        <w:t xml:space="preserve">  国家鼓励土地整理。县、乡（镇）人民政府应当组织农村集体经济组织，按照土地利用总体规划，对田、水、路、林、村综合整治，提高耕地质量，增加有效耕地面积，改善农业生产条件和生态环境。</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地方各级人民政府应当采取措施，改造中、低产田，整治闲散地和废弃地。</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第四十三条</w:t>
      </w:r>
      <w:r>
        <w:rPr>
          <w:rFonts w:hint="eastAsia" w:cs="Arial"/>
        </w:rPr>
        <w:t xml:space="preserve">  因挖损、塌陷、压占等造成土地破坏，用地单位和个人应当按照国家有关规定负责复垦；没有条件复垦或者复垦不符合要求的，应当缴纳土地复垦费，专项用于土地复垦。复垦的土地应当优先用于农业。</w:t>
      </w:r>
    </w:p>
    <w:p>
      <w:pPr>
        <w:pStyle w:val="63"/>
        <w:spacing w:before="218" w:after="218" w:line="412" w:lineRule="exact"/>
        <w:rPr>
          <w:rStyle w:val="30"/>
          <w:bCs w:val="0"/>
          <w:szCs w:val="23"/>
        </w:rPr>
      </w:pPr>
      <w:r>
        <w:rPr>
          <w:rStyle w:val="30"/>
          <w:rFonts w:hint="eastAsia"/>
          <w:b w:val="0"/>
          <w:bCs/>
          <w:szCs w:val="23"/>
        </w:rPr>
        <w:t>第五章  建设用地</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第四十四条</w:t>
      </w:r>
      <w:r>
        <w:rPr>
          <w:rFonts w:hint="eastAsia" w:cs="Arial"/>
        </w:rPr>
        <w:t xml:space="preserve">  建设占用土地，涉及农用地转为建设用地的，应当办理农用地转用审批手续。</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永久基本农田转为建设用地的，由国务院批准。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在土地利用总体规划确定的城市和村庄、集镇建设用地规模范围内，为实施该规划而将永久基本农田以外的农用地转为建设用地的，按土地利用年度计划分批次按照国务院规定由原批准土地利用总体规划的机关或者其授权的机关批准。在已批准的农用地转用范围内，具体建设项目用地可以由市、县人民政府批准。</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在土地利用总体规划确定的城市和村庄、集镇建设用地规模范围外，将永久基本农田以外的农用地转为建设用地的，由国务院或者国务院授权的省、自治区、直辖市人民政府批准。</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第四十五条</w:t>
      </w:r>
      <w:r>
        <w:rPr>
          <w:rFonts w:hint="eastAsia" w:cs="Arial"/>
        </w:rPr>
        <w:t xml:space="preserve">  为了公共利益的需要，有下列情形之一，确需征收农民集体所有的土地的，可以依法实施征收：</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（一）军事和外交需要用地的；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（二）由政府组织实施的能源、交通、水利、通信、邮政等基础设施建设需要用地的；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（三）由政府组织实施的科技、教育、文化、卫生、体育、生态环境和资源保护、防灾减灾、文物保护、社区综合服务、社会福利、市政公用、优抚安置、英烈保护等公共事业需要用地的；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（四）由政府组织实施的扶贫搬迁、保障性安居工程建设需要用地的；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（五）在土地利用总体规划确定的城镇建设用地范围内，经省级以上人民政府批准由县级以上地方人民政府组织实施的成片开发建设需要用地的；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（六）法律规定为公共利益需要可以征收农民集体所有的土地的其他情形。</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前款规定的建设活动，应当符合国民经济和社会发展规划、土地利用总体规划、城乡规划和专项规划；第（四）项、第（五）项规定的建设活动，还应当纳入国民经济和社会发展年度计划；第（五）项规定的成片开发并应当符合国务院自然资源主管部门规定的标准。</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第四十六条</w:t>
      </w:r>
      <w:r>
        <w:rPr>
          <w:rFonts w:hint="eastAsia" w:cs="Arial"/>
        </w:rPr>
        <w:t xml:space="preserve">  征收下列土地的，由国务院批准：</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（一）永久基本农田；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（二）永久基本农田以外的耕地超过三十五公顷的；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（三）其他土地超过七十公顷的。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征收前款规定以外的土地的，由省、自治区、直辖市人民政府批准。</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征收农用地的，应当依照本法第四十四条的规定先行办理农用地转用审批。其中，经国务院批准农用地转用的，同时办理征地审批手续，不再另行办理征地审批；经省、自治区、直辖市人民政府在征地批准权限内批准农用地转用的，同时办理征地审批手续，不再另行办理征地审批，超过征地批准权限的，应当依照本条第一款的规定另行办理征地审批。</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第四十七条</w:t>
      </w:r>
      <w:r>
        <w:rPr>
          <w:rFonts w:hint="eastAsia" w:cs="Arial"/>
        </w:rPr>
        <w:t xml:space="preserve">  国家征收土地的，依照法定程序批准后，由县级以上地方人民政府予以公告并组织实施。</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被征地的农村集体经济组织及其成员、村民委员会和其他利害关系人的意见。</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多数被征地的农村集体经济组织成员认为征地补偿安置方案不符合法律、法规规定的，县级以上地方人民政府应当组织召开听证会，并根据法律、法规的规定和听证会情况修改方案。</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相关前期工作完成后，县级以上地方人民政府方可申请征收土地。</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第四十八条</w:t>
      </w:r>
      <w:r>
        <w:rPr>
          <w:rFonts w:hint="eastAsia" w:cs="Arial"/>
        </w:rPr>
        <w:t xml:space="preserve">  征收土地应当给予公平、合理的补偿，保障被征地农民原有生活水平不降低、长远生计有保障。</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征收土地应当依法及时足额支付土地补偿费、安置补助费以及农村村民住宅、其他地上附着物和青苗等的补偿费用，并安排被征地农民的社会保障费用。</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征收农用地的土地补偿费、安置补助费标准由省、自治区、直辖市通过制定公布区片综合地价确定。制定区片综合地价应当综合考虑土地原用途、土地资源条件、土地产值、土地区位、土地供求关系、人口以及经济社会发展水平等因素，并至少每三年调整或者重新公布一次。</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征收农用地以外的其他土地、地上附着物和青苗等的补偿标准，由省、自治区、直辖市制定。对其中的农村村民住宅，应当按照先补偿后搬迁、居住条件有改善的原则，尊重农村村民意愿，采取重新安排宅基地建房、提供安置房或者货币补偿等方式给予公平、合理的补偿，并对因征收造成的搬迁、临时安置等费用予以补偿，保障农村村民居住的权利和合法的住房财产权益。</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县级以上地方人民政府应当将被征地农民纳入相应的养老等社会保障体系。被征地农民的社会保障费用主要用于符合条件的被征地农民的养老保险等社会保险缴费补贴。被征地农民社会保障费用的筹集、管理和使用办法，由省、自治区、直辖市制定。</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 xml:space="preserve">第四十九条  </w:t>
      </w:r>
      <w:r>
        <w:rPr>
          <w:rFonts w:hint="eastAsia" w:cs="Arial"/>
        </w:rPr>
        <w:t>被征地的农村集体经济组织应当将征收土地的补偿费用的收支状况向本集体经济组织的成员公布，接受监督。</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禁止侵占、挪用被征收土地单位的征地补偿费用和其他有关费用。</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第五十条</w:t>
      </w:r>
      <w:r>
        <w:rPr>
          <w:rFonts w:hint="eastAsia" w:cs="Arial"/>
        </w:rPr>
        <w:t xml:space="preserve">  地方各级人民政府应当支持被征地的农村集体经济组织和农民从事开发经营，兴办企业。</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第五十一条</w:t>
      </w:r>
      <w:r>
        <w:rPr>
          <w:rFonts w:hint="eastAsia" w:cs="Arial"/>
        </w:rPr>
        <w:t xml:space="preserve">  大中型水利、水电工程建设征收土地的补偿费标准和移民安置办法，由国务院另行规定。</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第五十二条</w:t>
      </w:r>
      <w:r>
        <w:rPr>
          <w:rFonts w:hint="eastAsia" w:cs="Arial"/>
        </w:rPr>
        <w:t xml:space="preserve">  建设项目可行性研究论证时，自然资源主管部门可以根据土地利用总体规划、土地利用年度计划和建设用地标准，对建设用地有关事项进行审查，并提出意见。</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第五十三条</w:t>
      </w:r>
      <w:r>
        <w:rPr>
          <w:rFonts w:hint="eastAsia" w:cs="Arial"/>
        </w:rPr>
        <w:t xml:space="preserve">  经批准的建设项目需要使用国有建设用地的，建设单位应当持法律、行政法规规定的有关文件，向有批准权的县级以上人民政府自然资源主管部门提出建设用地申请，经自然资源主管部门审查，报本级人民政府批准。</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第五十四条</w:t>
      </w:r>
      <w:r>
        <w:rPr>
          <w:rFonts w:hint="eastAsia" w:cs="Arial"/>
        </w:rPr>
        <w:t xml:space="preserve">  建设单位使用国有土地，应当以出让等有偿使用方式取得；但是，下列建设用地，经县级以上人民政府依法批准，可以以划拨方式取得：</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（一）国家机关用地和军事用地；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（二）城市基础设施用地和公益事业用地；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（三）国家重点扶持的能源、交通、水利等基础设施用地；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（四）法律、行政法规规定的其他用地。</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第五十五条</w:t>
      </w:r>
      <w:r>
        <w:rPr>
          <w:rFonts w:hint="eastAsia" w:cs="Arial"/>
        </w:rPr>
        <w:t xml:space="preserve">  以出让等有偿使用方式取得国有土地使用权的建设单位，按照国务院规定的标准和办法，缴纳土地使用权出让金等土地有偿使用费和其他费用后，方可使用土地。</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自本法施行之日起，新增建设用地的土地有偿使用费，百分之三十上缴中央财政，百分之七十留给有关地方人民政府。具体使用管理办法由国务院财政部门会同有关部门制定，并报国务院批准。</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第五十六条</w:t>
      </w:r>
      <w:r>
        <w:rPr>
          <w:rFonts w:hint="eastAsia" w:cs="Arial"/>
        </w:rPr>
        <w:t xml:space="preserve">  建设单位使用国有土地的，应当按照土地使用权出让等有偿使用合同的约定或者土地使用权划拨批准文件的规定使用土地；确需改变该幅土地建设用途的，应当经有关人民政府自然资源主管部门同意，报原批准用地的人民政府批准。其中，在城市规划区内改变土地用途的，在报批前，应当先经有关城市规划行政主管部门同意。</w:t>
      </w:r>
    </w:p>
    <w:p>
      <w:pPr>
        <w:pStyle w:val="25"/>
        <w:widowControl w:val="0"/>
        <w:shd w:val="clear" w:color="auto" w:fill="FFFFFF"/>
        <w:spacing w:beforeAutospacing="0" w:afterAutospacing="0" w:line="412" w:lineRule="exact"/>
        <w:ind w:firstLine="482" w:firstLineChars="200"/>
        <w:jc w:val="both"/>
        <w:rPr>
          <w:rFonts w:ascii="Arial" w:hAnsi="Arial" w:cs="Arial"/>
        </w:rPr>
      </w:pPr>
      <w:r>
        <w:rPr>
          <w:rStyle w:val="30"/>
          <w:rFonts w:hint="eastAsia" w:cs="Arial"/>
        </w:rPr>
        <w:t>第五十七条</w:t>
      </w:r>
      <w:r>
        <w:rPr>
          <w:rFonts w:hint="eastAsia" w:cs="Arial"/>
        </w:rPr>
        <w:t xml:space="preserve">  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临时使用土地的使用者应当按照临时使用土地合同约定的用途使用土地，并不得修建永久性建筑物。</w:t>
      </w:r>
    </w:p>
    <w:p>
      <w:pPr>
        <w:pStyle w:val="25"/>
        <w:widowControl w:val="0"/>
        <w:shd w:val="clear" w:color="auto" w:fill="FFFFFF"/>
        <w:spacing w:beforeAutospacing="0" w:afterAutospacing="0" w:line="412" w:lineRule="exact"/>
        <w:ind w:firstLine="480" w:firstLineChars="200"/>
        <w:jc w:val="both"/>
        <w:rPr>
          <w:rFonts w:ascii="Arial" w:hAnsi="Arial" w:cs="Arial"/>
        </w:rPr>
      </w:pPr>
      <w:r>
        <w:rPr>
          <w:rFonts w:hint="eastAsia" w:cs="Arial"/>
        </w:rPr>
        <w:t>临时使用土地期限一般不超过二年。</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第五十八条</w:t>
      </w:r>
      <w:r>
        <w:rPr>
          <w:rFonts w:hint="eastAsia" w:cs="Arial"/>
        </w:rPr>
        <w:t xml:space="preserve">  有下列情形之一的，由有关人民政府自然资源主管部门报经原批准用地的人民政府或者有批准权的人民政府批准，可以收回国有土地使用权：</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（一）为实施城市规划进行旧城区改建以及其他公共利益需要，确需使用土地的；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（二）土地出让等有偿使用合同约定的使用期限届满，土地使用者未申请续期或者申请续期未获批准的；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（三）因单位撤销、迁移等原因，停止使用原划拨的国有土地的；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（四）公路、铁路、机场、矿场等经核准报废的。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依照前款第（一）项的规定收回国有土地使用权的，对土地使用权人应当给予适当补偿。</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第五十九条</w:t>
      </w:r>
      <w:r>
        <w:rPr>
          <w:rFonts w:hint="eastAsia" w:cs="Arial"/>
        </w:rPr>
        <w:t xml:space="preserve">  乡镇企业、乡（镇）村公共设施、公益事业、农村村民住宅等乡（镇）村建设，应当按照村庄和集镇规划，合理布局，综合开发，配套建设；建设用地，应当符合乡（镇）土地利用总体规划和土地利用年度计划，并依照本法第四十四条、第六十条、第六十一条、第六十二条的规定办理审批手续。</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 xml:space="preserve">第六十条  </w:t>
      </w:r>
      <w:r>
        <w:rPr>
          <w:rFonts w:hint="eastAsia" w:cs="Arial"/>
        </w:rPr>
        <w:t>农村集体经济组织使用乡（镇）土地利用总体规划确定的建设用地兴办企业或者与其他单位、个人以土地使用权入股、联营等形式共同举办企业的，应当持有关批准文件，向县级以上地方人民政府自然资源主管部门提出申请，按照省、自治区、直辖市规定的批准权限，由县级以上地方人民政府批准；其中，涉及占用农用地的，依照本法第四十四条的规定办理审批手续。</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按照前款规定兴办企业的建设用地，必须严格控制。省、自治区、直辖市可以按照乡镇企业的不同行业和经营规模，分别规定用地标准。</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第六十一条</w:t>
      </w:r>
      <w:r>
        <w:rPr>
          <w:rFonts w:hint="eastAsia" w:cs="Arial"/>
        </w:rPr>
        <w:t xml:space="preserve">  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第六十二条</w:t>
      </w:r>
      <w:r>
        <w:rPr>
          <w:rFonts w:hint="eastAsia" w:cs="Arial"/>
        </w:rPr>
        <w:t xml:space="preserve">  农村村民一户只能拥有一处宅基地，其宅基地的面积不得超过省、自治区、直辖市规定的标准。</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人均土地少、不能保障一户拥有一处宅基地的地区，县级人民政府在充分尊重农村村民意愿的基础上，可以采取措施，按照省、自治区、直辖市规定的标准保障农村村民实现户有所居。</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农村村民建住宅，应当符合乡（镇）土地利用总体规划、村庄规划，不得占用永久基本农田，并尽量使用原有的宅基地和村内空闲地。编制乡（镇）土地利用总体规划、村庄规划应当统筹并合理安排宅基地用地，改善农村村民居住环境和条件。</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农村村民住宅用地，由乡（镇）人民政府审核批准；其中，涉及占用农用地的，依照本法第四十四条的规定办理审批手续。</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农村村民出卖、出租、赠与住宅后，再申请宅基地的，不予批准。</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国家允许进城落户的农村村民依法自愿有偿退出宅基地，鼓励农村集体经济组织及其成员盘活利用闲置宅基地和闲置住宅。</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国务院农业农村主管部门负责全国农村宅基地改革和管理有关工作。</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第六十三条</w:t>
      </w:r>
      <w:r>
        <w:rPr>
          <w:rFonts w:hint="eastAsia" w:cs="Arial"/>
        </w:rPr>
        <w:t xml:space="preserve">  土地利用总体规划、城乡规划确定为工业、商业等经营性用途，并经依法登记的集体经营性建设用地，土地所有权人可以通过出让、出租等方式交由单位或者个人使用，并应当签订书面合同，载明土地界址、面积、动工期限、使用期限、土地用途、规划条件和双方其他权利义务。</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前款规定的集体经营性建设用地出让、出租等，应当经本集体经济组织成员的村民会议三分之二以上成员或者三分之二以上村民代表的同意。</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通过出让等方式取得的集体经营性建设用地使用权可以转让、互换、出资、赠与或者抵押，但法律、行政法规另有规定或者土地所有权人、土地使用权人签订的书面合同另有约定的除外。</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集体经营性建设用地的出租，集体建设用地使用权的出让及其最高年限、转让、互换、出资、赠与、抵押等，参照同类用途的国有建设用地执行。具体办法由国务院制定。</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第六十四条</w:t>
      </w:r>
      <w:r>
        <w:rPr>
          <w:rFonts w:hint="eastAsia" w:cs="Arial"/>
        </w:rPr>
        <w:t xml:space="preserve">  集体建设用地的使用者应当严格按照土地利用总体规划、城乡规划确定的用途使用土地。</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第六十五条</w:t>
      </w:r>
      <w:r>
        <w:rPr>
          <w:rFonts w:hint="eastAsia" w:cs="Arial"/>
        </w:rPr>
        <w:t xml:space="preserve">  在土地利用总体规划制定前已建的不符合土地利用总体规划确定的用途的建筑物、构筑物，不得重建、扩建。</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第六十六条</w:t>
      </w:r>
      <w:r>
        <w:rPr>
          <w:rFonts w:hint="eastAsia" w:cs="Arial"/>
        </w:rPr>
        <w:t xml:space="preserve">  有下列情形之一的，农村集体经济组织报经原批准用地的人民政府批准，可以收回土地使用权：</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（一）为乡（镇）村公共设施和公益事业建设，需要使用土地的；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（二）不按照批准的用途使用土地的；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（三）因撤销、迁移等原因而停止使用土地的。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依照前款第（一）项规定收回农民集体所有的土地的，对土地使用权人应当给予适当补偿。</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收回集体经营性建设用地使用权，依照双方签订的书面合同办理，法律、行政法规另有规定的除外。</w:t>
      </w:r>
    </w:p>
    <w:p>
      <w:pPr>
        <w:pStyle w:val="63"/>
        <w:spacing w:before="218" w:after="218" w:line="412" w:lineRule="exact"/>
        <w:rPr>
          <w:rStyle w:val="30"/>
          <w:bCs w:val="0"/>
          <w:szCs w:val="23"/>
        </w:rPr>
      </w:pPr>
      <w:r>
        <w:rPr>
          <w:rStyle w:val="30"/>
          <w:rFonts w:hint="eastAsia"/>
          <w:b w:val="0"/>
          <w:bCs/>
          <w:szCs w:val="23"/>
        </w:rPr>
        <w:t>第六章  监督检查</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第六十七条</w:t>
      </w:r>
      <w:r>
        <w:rPr>
          <w:rFonts w:hint="eastAsia" w:cs="Arial"/>
        </w:rPr>
        <w:t xml:space="preserve">  县级以上人民政府自然资源主管部门对违反土地管理法律、法规的行为进行监督检查。</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县级以上人民政府农业农村主管部门对违反农村宅基地管理法律、法规的行为进行监督检查的，适用本法关于自然资源主管部门监督检查的规定。</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土地管理监督检查人员应当熟悉土地管理法律、法规，忠于职守、秉公执法。</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第六十八条</w:t>
      </w:r>
      <w:r>
        <w:rPr>
          <w:rFonts w:hint="eastAsia" w:cs="Arial"/>
        </w:rPr>
        <w:t xml:space="preserve">  县级以上人民政府自然资源主管部门履行监督检查职责时，有权采取下列措施：</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（一）要求被检查的单位或者个人提供有关土地权利的文件和资料，进行查阅或者予以复制；</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（二）要求被检查的单位或者个人就有关土地权利的问题作出说明；</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（三）进入被检查单位或者个人非法占用的土地现场进行勘测；</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（四）责令非法占用土地的单位或者个人停止违反土地管理法律、法规的行为。</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第六十九条</w:t>
      </w:r>
      <w:r>
        <w:rPr>
          <w:rFonts w:hint="eastAsia" w:cs="Arial"/>
        </w:rPr>
        <w:t xml:space="preserve">  土地管理监督检查人员履行职责，需要进入现场进行勘测、要求有关单位或者个人提供文件、资料和作出说明的，应当出示土地管理监督检查证件。</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第七十条</w:t>
      </w:r>
      <w:r>
        <w:rPr>
          <w:rFonts w:hint="eastAsia" w:cs="Arial"/>
        </w:rPr>
        <w:t xml:space="preserve">  有关单位和个人对县级以上人民政府自然资源主管部门就土地违法行为进行的监督检查应当支持与配合，并提供工作方便，不得拒绝与阻碍土地管理监督检查人员依法执行职务。</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第七十一条</w:t>
      </w:r>
      <w:r>
        <w:rPr>
          <w:rFonts w:hint="eastAsia" w:cs="Arial"/>
        </w:rPr>
        <w:t xml:space="preserve">  县级以上人民政府自然资源主管部门在监督检查工作中发现国家工作人员的违法行为，依法应当给予处分的，应当依法予以处理；自己无权处理的，应当依法移送监察机关或者有关机关处理。</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第七十二条</w:t>
      </w:r>
      <w:r>
        <w:rPr>
          <w:rFonts w:hint="eastAsia" w:cs="Arial"/>
        </w:rPr>
        <w:t xml:space="preserve">  县级以上人民政府自然资源主管部门在监督检查工作中发现土地违法行为构成犯罪的，应当将案件移送有关机关，依法追究刑事责任；尚不构成犯罪的，应当依法给予行政处罚。</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第七十三条</w:t>
      </w:r>
      <w:r>
        <w:rPr>
          <w:rFonts w:hint="eastAsia" w:cs="Arial"/>
        </w:rPr>
        <w:t xml:space="preserve">  依照本法规定应当给予行政处罚，而有关自然资源主管部门不给予行政处罚的，上级人民政府自然资源主管部门有权责令有关自然资源主管部门作出行政处罚决定或者直接给予行政处罚，并给予有关自然资源主管部门的负责人处分。</w:t>
      </w:r>
    </w:p>
    <w:p>
      <w:pPr>
        <w:pStyle w:val="63"/>
        <w:spacing w:before="218" w:after="218" w:line="412" w:lineRule="exact"/>
        <w:rPr>
          <w:rStyle w:val="30"/>
          <w:bCs w:val="0"/>
          <w:szCs w:val="23"/>
        </w:rPr>
      </w:pPr>
      <w:r>
        <w:rPr>
          <w:rStyle w:val="30"/>
          <w:rFonts w:hint="eastAsia"/>
          <w:b w:val="0"/>
          <w:bCs/>
          <w:szCs w:val="23"/>
        </w:rPr>
        <w:t>第七章  法律责任</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第七十四条</w:t>
      </w:r>
      <w:r>
        <w:rPr>
          <w:rFonts w:hint="eastAsia" w:cs="Arial"/>
        </w:rPr>
        <w:t xml:space="preserve">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第七十五条</w:t>
      </w:r>
      <w:r>
        <w:rPr>
          <w:rFonts w:hint="eastAsia" w:cs="Arial"/>
        </w:rPr>
        <w:t xml:space="preserve">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第七十六条</w:t>
      </w:r>
      <w:r>
        <w:rPr>
          <w:rFonts w:hint="eastAsia" w:cs="Arial"/>
        </w:rPr>
        <w:t xml:space="preserve">  违反本法规定，拒不履行土地复垦义务的，由县级以上人民政府自然资源主管部门责令限期改正；逾期不改正的，责令缴纳复垦费，专项用于土地复垦，可以处以罚款。</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第七十七条</w:t>
      </w:r>
      <w:r>
        <w:rPr>
          <w:rFonts w:hint="eastAsia" w:cs="Arial"/>
        </w:rPr>
        <w:t xml:space="preserve">  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超过批准的数量占用土地，多占的土地以非法占用土地论处。</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第七十八条</w:t>
      </w:r>
      <w:r>
        <w:rPr>
          <w:rFonts w:hint="eastAsia" w:cs="Arial"/>
        </w:rPr>
        <w:t xml:space="preserve">  农村村民未经批准或者采取欺骗手段骗取批准，非法占用土地建住宅的，由县级以上人民政府农业农村主管部门责令退还非法占用的土地，限期拆除在非法占用的土地上新建的房屋。</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超过省、自治区、直辖市规定的标准，多占的土地以非法占用土地论处。</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第七十九条</w:t>
      </w:r>
      <w:r>
        <w:rPr>
          <w:rFonts w:hint="eastAsia" w:cs="Arial"/>
        </w:rPr>
        <w:t xml:space="preserve">  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非法批准征收、使用土地，对当事人造成损失的，依法应当承担赔偿责任。</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第八十条</w:t>
      </w:r>
      <w:r>
        <w:rPr>
          <w:rFonts w:hint="eastAsia" w:cs="Arial"/>
        </w:rPr>
        <w:t xml:space="preserve">  侵占、挪用被征收土地单位的征地补偿费用和其他有关费用，构成犯罪的，依法追究刑事责任；尚不构成犯罪的，依法给予处分。</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第八十一条</w:t>
      </w:r>
      <w:r>
        <w:rPr>
          <w:rFonts w:hint="eastAsia" w:cs="Arial"/>
        </w:rPr>
        <w:t xml:space="preserve">  依法收回国有土地使用权当事人拒不交出土地的，临时使用土地期满拒不归还的，或者不按照批准的用途使用国有土地的，由县级以上人民政府自然资源主管部门责令交还土地，处以罚款。</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第八十二条</w:t>
      </w:r>
      <w:r>
        <w:rPr>
          <w:rFonts w:hint="eastAsia" w:cs="Arial"/>
        </w:rPr>
        <w:t xml:space="preserve">  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第八十三条</w:t>
      </w:r>
      <w:r>
        <w:rPr>
          <w:rFonts w:hint="eastAsia" w:cs="Arial"/>
        </w:rPr>
        <w:t xml:space="preserve">  依照本法规定，责令限期拆除在非法占用的土地上新建的建筑物和其他设施的，建设单位或者个人必须立即停止施工，自行拆除；对继续施工的，作出处罚决定的机关有权制止。建设单位或者个人对责令限期拆除的行政处罚决定不服的，可以在接到责令限期拆除决定之日起十五日内，向人民法院起诉；期满不起诉又不自行拆除的，由作出处罚决定的机关依法申请人民法院强制执行，费用由违法者承担。</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第八十四条</w:t>
      </w:r>
      <w:r>
        <w:rPr>
          <w:rFonts w:hint="eastAsia" w:cs="Arial"/>
        </w:rPr>
        <w:t xml:space="preserve">  自然资源主管部门、农业农村主管部门的工作人员玩忽职守、滥用职权、徇私舞弊，构成犯罪的，依法追究刑事责任；尚不构成犯罪的，依法给予处分。</w:t>
      </w:r>
    </w:p>
    <w:p>
      <w:pPr>
        <w:pStyle w:val="63"/>
        <w:spacing w:before="218" w:after="218" w:line="412" w:lineRule="exact"/>
        <w:rPr>
          <w:rStyle w:val="30"/>
          <w:bCs w:val="0"/>
          <w:szCs w:val="23"/>
        </w:rPr>
      </w:pPr>
      <w:r>
        <w:rPr>
          <w:rStyle w:val="30"/>
          <w:rFonts w:hint="eastAsia"/>
          <w:b w:val="0"/>
          <w:bCs/>
          <w:szCs w:val="23"/>
        </w:rPr>
        <w:t>第八章  附 则</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第八十五条</w:t>
      </w:r>
      <w:r>
        <w:rPr>
          <w:rFonts w:hint="eastAsia" w:cs="Arial"/>
        </w:rPr>
        <w:t xml:space="preserve">  外商投资企业使用土地的，适用本法；法律另有规定的，从其规定。</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第八十六条</w:t>
      </w:r>
      <w:r>
        <w:rPr>
          <w:rFonts w:hint="eastAsia" w:cs="Arial"/>
        </w:rPr>
        <w:t xml:space="preserve">  在根据本法第十八条的规定编制国土空间规划前，经依法批准的土地利用总体规划和城乡规划继续执行。</w:t>
      </w:r>
    </w:p>
    <w:p>
      <w:pPr>
        <w:pStyle w:val="25"/>
        <w:widowControl w:val="0"/>
        <w:shd w:val="clear" w:color="auto" w:fill="FFFFFF"/>
        <w:topLinePunct/>
        <w:spacing w:beforeAutospacing="0" w:afterAutospacing="0" w:line="412" w:lineRule="exact"/>
        <w:ind w:firstLine="482" w:firstLineChars="200"/>
        <w:jc w:val="both"/>
        <w:rPr>
          <w:rFonts w:ascii="Arial" w:hAnsi="Arial" w:cs="Arial"/>
        </w:rPr>
      </w:pPr>
      <w:r>
        <w:rPr>
          <w:rStyle w:val="30"/>
          <w:rFonts w:hint="eastAsia" w:cs="Arial"/>
        </w:rPr>
        <w:t xml:space="preserve">第八十七条  </w:t>
      </w:r>
      <w:r>
        <w:rPr>
          <w:rFonts w:hint="eastAsia" w:cs="Arial"/>
        </w:rPr>
        <w:t>本法自1999年</w:t>
      </w:r>
      <w:r>
        <w:rPr>
          <w:rFonts w:ascii="Calibri" w:hAnsi="Calibri" w:cs="Arial"/>
        </w:rPr>
        <w:t>1</w:t>
      </w:r>
      <w:r>
        <w:rPr>
          <w:rFonts w:hint="eastAsia" w:cs="Arial"/>
        </w:rPr>
        <w:t>月</w:t>
      </w:r>
      <w:r>
        <w:rPr>
          <w:rFonts w:ascii="Calibri" w:hAnsi="Calibri" w:cs="Arial"/>
        </w:rPr>
        <w:t>1</w:t>
      </w:r>
      <w:r>
        <w:rPr>
          <w:rFonts w:hint="eastAsia" w:cs="Arial"/>
        </w:rPr>
        <w:t>日起施行。</w:t>
      </w:r>
    </w:p>
    <w:p>
      <w:pPr>
        <w:pStyle w:val="25"/>
        <w:widowControl w:val="0"/>
        <w:shd w:val="clear" w:color="auto" w:fill="FFFFFF"/>
        <w:topLinePunct/>
        <w:spacing w:beforeAutospacing="0" w:afterAutospacing="0" w:line="412" w:lineRule="exact"/>
        <w:ind w:firstLine="480" w:firstLineChars="200"/>
        <w:jc w:val="both"/>
        <w:rPr>
          <w:rFonts w:ascii="Arial" w:hAnsi="Arial" w:cs="Arial"/>
        </w:rPr>
      </w:pPr>
      <w:r>
        <w:rPr>
          <w:rFonts w:hint="eastAsia" w:cs="Arial"/>
        </w:rPr>
        <w:t>1982年</w:t>
      </w:r>
      <w:r>
        <w:rPr>
          <w:rFonts w:ascii="Calibri" w:hAnsi="Calibri" w:cs="Arial"/>
        </w:rPr>
        <w:t>2</w:t>
      </w:r>
      <w:r>
        <w:rPr>
          <w:rFonts w:hint="eastAsia" w:cs="Arial"/>
        </w:rPr>
        <w:t>月</w:t>
      </w:r>
      <w:r>
        <w:rPr>
          <w:rFonts w:ascii="Calibri" w:hAnsi="Calibri" w:cs="Arial"/>
        </w:rPr>
        <w:t>13</w:t>
      </w:r>
      <w:r>
        <w:rPr>
          <w:rFonts w:hint="eastAsia" w:cs="Arial"/>
        </w:rPr>
        <w:t>日国务院发布的</w:t>
      </w:r>
      <w:r>
        <w:fldChar w:fldCharType="begin"/>
      </w:r>
      <w:r>
        <w:instrText xml:space="preserve"> HYPERLINK "https://mp.weixin.qq.com/s?__biz=MzIwNTc3NTg3NA==&amp;mid=2247487258&amp;idx=3&amp;sn=a6c61d95ca258c44da26bb0ef7db077a&amp;chksm=972afa77a05d736160e9b552ab6305186b67e8df77faee81759633048040423d879a40005161&amp;scene=21" \l "wechat_redirect" \t "_blank" </w:instrText>
      </w:r>
      <w:r>
        <w:fldChar w:fldCharType="separate"/>
      </w:r>
      <w:r>
        <w:rPr>
          <w:rStyle w:val="30"/>
          <w:rFonts w:hint="eastAsia" w:cs="Arial"/>
          <w:b w:val="0"/>
        </w:rPr>
        <w:t>《村镇建房用地管理条例》</w:t>
      </w:r>
      <w:r>
        <w:rPr>
          <w:rStyle w:val="30"/>
          <w:rFonts w:hint="eastAsia" w:cs="Arial"/>
          <w:b w:val="0"/>
        </w:rPr>
        <w:fldChar w:fldCharType="end"/>
      </w:r>
      <w:r>
        <w:rPr>
          <w:rFonts w:hint="eastAsia" w:cs="Arial"/>
        </w:rPr>
        <w:t>和1982年</w:t>
      </w:r>
      <w:r>
        <w:rPr>
          <w:rFonts w:ascii="Calibri" w:hAnsi="Calibri" w:cs="Arial"/>
        </w:rPr>
        <w:t>5</w:t>
      </w:r>
      <w:r>
        <w:rPr>
          <w:rFonts w:hint="eastAsia" w:cs="Arial"/>
        </w:rPr>
        <w:t>月</w:t>
      </w:r>
      <w:r>
        <w:rPr>
          <w:rFonts w:ascii="Calibri" w:hAnsi="Calibri" w:cs="Arial"/>
        </w:rPr>
        <w:t>14</w:t>
      </w:r>
      <w:r>
        <w:rPr>
          <w:rFonts w:hint="eastAsia" w:cs="Arial"/>
        </w:rPr>
        <w:t>日国务院公布的</w:t>
      </w:r>
      <w:r>
        <w:fldChar w:fldCharType="begin"/>
      </w:r>
      <w:r>
        <w:instrText xml:space="preserve"> HYPERLINK "https://mp.weixin.qq.com/s?__biz=MzIwNTc3NTg3NA==&amp;mid=2247487258&amp;idx=4&amp;sn=bf1dde593f8c409b7b27257e41137351&amp;chksm=972afa77a05d7361cb30ee3d7cca90531b0c3d84afa28717a979f675d52a27923b1e4bb46ddd&amp;scene=21" \l "wechat_redirect" \t "_blank" </w:instrText>
      </w:r>
      <w:r>
        <w:fldChar w:fldCharType="separate"/>
      </w:r>
      <w:r>
        <w:rPr>
          <w:rStyle w:val="30"/>
          <w:rFonts w:hint="eastAsia" w:cs="Arial"/>
          <w:b w:val="0"/>
        </w:rPr>
        <w:t>《国家建设征用土地条例》</w:t>
      </w:r>
      <w:r>
        <w:rPr>
          <w:rStyle w:val="30"/>
          <w:rFonts w:hint="eastAsia" w:cs="Arial"/>
          <w:b w:val="0"/>
        </w:rPr>
        <w:fldChar w:fldCharType="end"/>
      </w:r>
      <w:r>
        <w:rPr>
          <w:rFonts w:hint="eastAsia" w:cs="Arial"/>
        </w:rPr>
        <w:t>同时废止。</w:t>
      </w:r>
    </w:p>
    <w:p>
      <w:pPr>
        <w:topLinePunct/>
        <w:spacing w:beforeLines="0" w:afterLines="0" w:line="412" w:lineRule="exact"/>
        <w:ind w:firstLine="480" w:firstLineChars="200"/>
        <w:rPr>
          <w:sz w:val="24"/>
          <w:szCs w:val="24"/>
        </w:rPr>
      </w:pPr>
    </w:p>
    <w:p>
      <w:pPr>
        <w:pStyle w:val="25"/>
        <w:widowControl w:val="0"/>
        <w:shd w:val="clear" w:color="auto" w:fill="FFFFFF"/>
        <w:topLinePunct/>
        <w:spacing w:beforeAutospacing="0" w:afterAutospacing="0" w:line="412" w:lineRule="exact"/>
        <w:ind w:firstLine="480" w:firstLineChars="200"/>
        <w:jc w:val="both"/>
        <w:rPr>
          <w:rFonts w:asciiTheme="minorEastAsia" w:hAnsiTheme="minorEastAsia" w:eastAsiaTheme="minorEastAsia"/>
        </w:rPr>
      </w:pPr>
    </w:p>
    <w:p>
      <w:pPr>
        <w:pStyle w:val="25"/>
        <w:widowControl w:val="0"/>
        <w:shd w:val="clear" w:color="auto" w:fill="FFFFFF"/>
        <w:topLinePunct/>
        <w:spacing w:beforeAutospacing="0" w:afterAutospacing="0" w:line="412" w:lineRule="exact"/>
        <w:ind w:firstLine="480" w:firstLineChars="200"/>
        <w:jc w:val="both"/>
        <w:rPr>
          <w:rFonts w:asciiTheme="minorEastAsia" w:hAnsiTheme="minorEastAsia" w:eastAsiaTheme="minorEastAsia"/>
        </w:rPr>
      </w:pPr>
    </w:p>
    <w:p>
      <w:pPr>
        <w:pStyle w:val="25"/>
        <w:widowControl w:val="0"/>
        <w:shd w:val="clear" w:color="auto" w:fill="FFFFFF"/>
        <w:topLinePunct/>
        <w:spacing w:beforeAutospacing="0" w:afterAutospacing="0" w:line="412" w:lineRule="exact"/>
        <w:ind w:firstLine="480" w:firstLineChars="200"/>
        <w:jc w:val="both"/>
        <w:rPr>
          <w:rFonts w:asciiTheme="minorEastAsia" w:hAnsiTheme="minorEastAsia" w:eastAsiaTheme="minorEastAsia"/>
        </w:rPr>
      </w:pPr>
    </w:p>
    <w:p>
      <w:pPr>
        <w:pStyle w:val="25"/>
        <w:widowControl w:val="0"/>
        <w:shd w:val="clear" w:color="auto" w:fill="FFFFFF"/>
        <w:topLinePunct/>
        <w:spacing w:beforeAutospacing="0" w:afterAutospacing="0" w:line="412" w:lineRule="exact"/>
        <w:ind w:firstLine="480" w:firstLineChars="200"/>
        <w:jc w:val="both"/>
        <w:rPr>
          <w:rFonts w:asciiTheme="minorEastAsia" w:hAnsiTheme="minorEastAsia" w:eastAsiaTheme="minorEastAsia"/>
        </w:rPr>
      </w:pPr>
      <w:r>
        <w:rPr>
          <w:rFonts w:asciiTheme="minorEastAsia" w:hAnsiTheme="minorEastAsia" w:eastAsiaTheme="minorEastAsia"/>
        </w:rPr>
        <w:br w:type="page"/>
      </w:r>
      <w:bookmarkStart w:id="192" w:name="_Toc18942576"/>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193" w:name="_Toc28252144"/>
      <w:bookmarkStart w:id="194" w:name="_Toc28250873"/>
      <w:bookmarkStart w:id="195" w:name="_Toc25653658"/>
      <w:bookmarkStart w:id="196" w:name="_Toc25648163"/>
      <w:bookmarkStart w:id="197" w:name="_Toc26347924"/>
      <w:bookmarkStart w:id="198" w:name="_Toc28156946"/>
      <w:r>
        <w:t>中华人民共和国土地管理法实施条例</w:t>
      </w:r>
      <w:bookmarkEnd w:id="192"/>
      <w:bookmarkEnd w:id="193"/>
      <w:bookmarkEnd w:id="194"/>
      <w:bookmarkEnd w:id="195"/>
      <w:bookmarkEnd w:id="196"/>
      <w:bookmarkEnd w:id="197"/>
      <w:bookmarkEnd w:id="198"/>
    </w:p>
    <w:p>
      <w:pPr>
        <w:pStyle w:val="62"/>
      </w:pPr>
      <w:r>
        <w:t>（1998年12月27日中华人民共和国国务院令第256号公布，根据2011年1月8日《国务院关于废止和修改部分行政法规的决定》第一次修订，根据2014年7月29日《国务院关于修改部分行政法规的决定》第二次修订）</w:t>
      </w:r>
    </w:p>
    <w:p>
      <w:pPr>
        <w:pStyle w:val="63"/>
        <w:spacing w:before="218" w:after="218" w:line="412" w:lineRule="exact"/>
        <w:rPr>
          <w:bCs w:val="0"/>
        </w:rPr>
      </w:pPr>
      <w:r>
        <w:rPr>
          <w:rFonts w:hint="eastAsia"/>
        </w:rPr>
        <w:t>第一章  总  则</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第一条</w:t>
      </w:r>
      <w:r>
        <w:rPr>
          <w:rFonts w:ascii="Times New Roman" w:hAnsi="Times New Roman" w:cs="Times New Roman" w:eastAsiaTheme="minorEastAsia"/>
        </w:rPr>
        <w:t xml:space="preserve">  </w:t>
      </w:r>
      <w:r>
        <w:rPr>
          <w:rFonts w:ascii="Times New Roman" w:cs="Times New Roman" w:hAnsiTheme="minorEastAsia" w:eastAsiaTheme="minorEastAsia"/>
        </w:rPr>
        <w:t>根据《中华人民共和国土地管理法》（以下简称《土地管理法》），制定本条例。</w:t>
      </w:r>
    </w:p>
    <w:p>
      <w:pPr>
        <w:pStyle w:val="63"/>
        <w:spacing w:before="218" w:after="218" w:line="412" w:lineRule="exact"/>
        <w:rPr>
          <w:bCs w:val="0"/>
        </w:rPr>
      </w:pPr>
      <w:r>
        <w:rPr>
          <w:rFonts w:hint="eastAsia"/>
        </w:rPr>
        <w:t>第二章  土地的所有权和使用权</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第二条</w:t>
      </w:r>
      <w:r>
        <w:rPr>
          <w:rFonts w:cs="Times New Roman" w:asciiTheme="minorEastAsia" w:hAnsiTheme="minorEastAsia" w:eastAsiaTheme="minorEastAsia"/>
        </w:rPr>
        <w:t xml:space="preserve">  下列土地属于全民所有即国家所有：</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（一）城市市区的土地；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（二）农村和城市郊区中已经依法没收、征收、征购为国有的土地；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（三）国家依法征收的土地；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（四）依法不属于集体所有的林地、草地、荒地、滩涂及其他土地；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（五）农村集体经济组织全部成员转为城镇居民的，原属于其成员集体所有的土地；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（六）因国家组织移民、自然灾害等原因，农民成建制地集体迁移后不再使用的原属于迁移农民集体所有的土地。</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第三条  </w:t>
      </w:r>
      <w:r>
        <w:rPr>
          <w:rFonts w:cs="Times New Roman" w:asciiTheme="minorEastAsia" w:hAnsiTheme="minorEastAsia" w:eastAsiaTheme="minorEastAsia"/>
        </w:rPr>
        <w:t>国家依法实行土地登记发证制度。依法登记的土地所有权和土地使用权受法律保护，任何单位和个人不得侵犯。</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土地登记内容和土地权属证书式样由国务院土地行政主管部门统一规定。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土地登记资料可以公开查询。</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确认林地、草原的所有权或者使用权，确认水面、滩涂的养殖使用权，分别依照《森林法》、《草原法》和《渔业法》的有关规定办理。</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第四条  </w:t>
      </w:r>
      <w:r>
        <w:rPr>
          <w:rFonts w:cs="Times New Roman" w:asciiTheme="minorEastAsia" w:hAnsiTheme="minorEastAsia" w:eastAsiaTheme="minorEastAsia"/>
        </w:rPr>
        <w:t>农民集体所有的土地，由土地所有者向土地所在地的县级人民政府土地行政主管部门提出土地登记申请，由县级人民政府登记造册，核发集体土地所有权证书，确认所有权。</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农民集体所有的土地依法用于非农业建设的，由土地使用者向土地所在地的县级人民政府土地行政主管部门提出土地登记申请，由县级人民政府登记造册，核发集体土地使用权证书，确认建设用地使用权。</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设区的市人民政府可以对市辖区内农民集体所有的土地实行统一登记。</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第五条</w:t>
      </w:r>
      <w:r>
        <w:rPr>
          <w:rFonts w:cs="Times New Roman" w:asciiTheme="minorEastAsia" w:hAnsiTheme="minorEastAsia" w:eastAsiaTheme="minorEastAsia"/>
        </w:rPr>
        <w:t xml:space="preserve">  单位和个人依法使用的国有土地，由土地使用者向土地所在地的县级以上人民政府土地行政主管部门提出土地登记申请，由县级以上人民政府登记造册，核发国有土地使用权证书，确认使用权。其中，中央国家机关使用的国有土地的登记发证，由国务院土地行政主管部门负责，具体登记发证办法由国务院土地行政主管部门会同国务院机关事务管理局等有关部门制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未确定使用权的国有土地，由县级以上人民政府登记造册，负责保护管理。</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第六条</w:t>
      </w:r>
      <w:r>
        <w:rPr>
          <w:rFonts w:cs="Times New Roman" w:asciiTheme="minorEastAsia" w:hAnsiTheme="minorEastAsia" w:eastAsiaTheme="minorEastAsia"/>
        </w:rPr>
        <w:t xml:space="preserve">  依法改变土地所有权、使用权的，因依法转让地上建筑物、构筑物等附着物导致土地使用权转移的，必须向土地所在地的县级以上人民政府土地行政主管部门提出土地变更登记申请，由原土地登记机关依法进行土地所有权、使用权变更登记。土地所有权、使用权的变更，自变更登记之日起生效。</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依法改变土地用途的，必须持批准文件，向土地所在地的县级以上人民政府土地行政主管部门提出土地变更登记申请，由原土地登记机关依法进行变更登记。</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第七条</w:t>
      </w:r>
      <w:r>
        <w:rPr>
          <w:rFonts w:cs="Times New Roman" w:asciiTheme="minorEastAsia" w:hAnsiTheme="minorEastAsia" w:eastAsiaTheme="minorEastAsia"/>
        </w:rPr>
        <w:t xml:space="preserve">  依照《土地管理法》的有关规定，收回用地单位的土地使用权的，由原土地登记机关注销土地登记。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土地使用权有偿使用合同约定的使用期限届满，土地使用者未申请续期或者虽申请续期未获批准的，由原土地登记机关注销土地登记。</w:t>
      </w:r>
    </w:p>
    <w:p>
      <w:pPr>
        <w:pStyle w:val="63"/>
        <w:spacing w:before="218" w:after="218" w:line="412" w:lineRule="exact"/>
        <w:rPr>
          <w:bCs w:val="0"/>
        </w:rPr>
      </w:pPr>
      <w:r>
        <w:rPr>
          <w:rFonts w:hint="eastAsia"/>
        </w:rPr>
        <w:t>第三章  土地利用总体规划</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第八条  </w:t>
      </w:r>
      <w:r>
        <w:rPr>
          <w:rFonts w:cs="Times New Roman" w:asciiTheme="minorEastAsia" w:hAnsiTheme="minorEastAsia" w:eastAsiaTheme="minorEastAsia"/>
        </w:rPr>
        <w:t>全国土地利用总体规划，由国务院土地行政主管部门会同国务院有关部门编制，报国务院批准。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省、自治区、直辖市的土地利用总体规划，由省、自治区、直辖市人民政府组织本级土地行政主管部门和其他有关部门编制，报国务院批准。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省、自治区人民政府所在地的市、人口在100万以上的城市以及国务院指定的城市的土地利用总体规划，由各该市人民政府组织本级土地行政主管部门和其他有关部门编制，经省、自治区人民政府审查同意后，报国务院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本条第一款、第二款、第三款规定以外的土地利用总体规划，由有关人民政府组织本级土地行政主管部门和其他有关部门编制，逐级上报省、自治区、直辖市人民政府批准；其中，乡（镇）土地利用总体规划，由乡（镇）人民政府编制，逐级上报省、自治区、直辖市人民政府或者省、自治区、直辖市人民政府授权的设区的市、自治州人民政府批准。</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第九条  </w:t>
      </w:r>
      <w:r>
        <w:rPr>
          <w:rFonts w:cs="Times New Roman" w:asciiTheme="minorEastAsia" w:hAnsiTheme="minorEastAsia" w:eastAsiaTheme="minorEastAsia"/>
        </w:rPr>
        <w:t>土地利用总体规划的规划期限一般为15年。</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第十条</w:t>
      </w:r>
      <w:r>
        <w:rPr>
          <w:rFonts w:cs="Times New Roman" w:asciiTheme="minorEastAsia" w:hAnsiTheme="minorEastAsia" w:eastAsiaTheme="minorEastAsia"/>
        </w:rPr>
        <w:t xml:space="preserve">  依照《土地管理法》规定，土地利用总体规划应当将土地划分为农用地、建设用地和未利用地。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县级和乡（镇）土地利用总体规划应当根据需要，划定基本农田保护区、土地开垦区、建设用地区和禁止开垦区等；其中，乡（镇）土地利用总体规划还应当根据土地使用条件，确定每一块土地的用途。</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土地分类和划定土地利用区的具体办法，由国务院土地行政主管部门会同国务院有关部门制定。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第十一条</w:t>
      </w:r>
      <w:r>
        <w:rPr>
          <w:rFonts w:cs="Times New Roman" w:asciiTheme="minorEastAsia" w:hAnsiTheme="minorEastAsia" w:eastAsiaTheme="minorEastAsia"/>
        </w:rPr>
        <w:t xml:space="preserve">  乡（镇）土地利用总体规划经依法批准后，乡（镇）人民政府应当在本行政区域内予以公告。</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公告应当包括下列内容：</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（一）规划目标；</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（二）规划期限；</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（三）规划范围；</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（四）地块用途；</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（五）批准机关和批准日期。</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第十二条</w:t>
      </w:r>
      <w:r>
        <w:rPr>
          <w:rFonts w:cs="Times New Roman" w:asciiTheme="minorEastAsia" w:hAnsiTheme="minorEastAsia" w:eastAsiaTheme="minorEastAsia"/>
        </w:rPr>
        <w:t xml:space="preserve">  依照《土地管理法》第二十六条第二款、第三款规定修改土地利用总体规划的，由原编制机关根据国务院或者省、自治区、直辖市人民政府的批准文件修改。修改后的土地利用总体规划应当报原批准机关批准。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上一级土地利用总体规划修改后，涉及修改下一级土地利用总体规划的，由上一级人民政府通知下一级人民政府作出相应修改，并报原批准机关备案。</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第十三条</w:t>
      </w:r>
      <w:r>
        <w:rPr>
          <w:rFonts w:cs="Times New Roman" w:asciiTheme="minorEastAsia" w:hAnsiTheme="minorEastAsia" w:eastAsiaTheme="minorEastAsia"/>
        </w:rPr>
        <w:t xml:space="preserve">  各级人民政府应当加强土地利用年度计划管理，实行建设用地总量控制。土地利用年度计划一经批准下达，必须严格执行。</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土地利用年度计划应当包括下列内容：</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（一）农用地转用计划指标；</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（二）耕地保有量计划指标；</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（三）土地开发整理计划指标。</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第十四条</w:t>
      </w:r>
      <w:r>
        <w:rPr>
          <w:rFonts w:cs="Times New Roman" w:asciiTheme="minorEastAsia" w:hAnsiTheme="minorEastAsia" w:eastAsiaTheme="minorEastAsia"/>
        </w:rPr>
        <w:t xml:space="preserve">  县级以上人民政府土地行政主管部门应当会同同级有关部门进行土地调查。</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土地调查应当包括下列内容：</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（一）土地权属；</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（二）土地利用现状；</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（三）土地条件。</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地方土地利用现状调查结果，经本级人民政府审核，报上一级人民政府批准后，应当向社会公布；全国土地利用现状调查结果，报国务院批准后，应当向社会公布。土地调查规程，由国务院土地行政主管部门会同国务院有关部门制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第十五条</w:t>
      </w:r>
      <w:r>
        <w:rPr>
          <w:rFonts w:cs="Times New Roman" w:asciiTheme="minorEastAsia" w:hAnsiTheme="minorEastAsia" w:eastAsiaTheme="minorEastAsia"/>
        </w:rPr>
        <w:t xml:space="preserve">  国务院土地行政主管部门会同国务院有关部门制定土地等级评定标准。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县级以上人民政府土地行政主管部门应当会同同级有关部门根据土地等级评定标准，对土地等级进行评定。地方土地等级评定结果，经本级人民政府审核，报上一级人民政府土地行政主管部门批准后，应当向社会公布。</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根据国民经济和社会发展状况，土地等级每6年调整1次。</w:t>
      </w:r>
    </w:p>
    <w:p>
      <w:pPr>
        <w:pStyle w:val="63"/>
        <w:spacing w:before="218" w:after="218" w:line="412" w:lineRule="exact"/>
        <w:rPr>
          <w:bCs w:val="0"/>
        </w:rPr>
      </w:pPr>
      <w:r>
        <w:rPr>
          <w:rFonts w:hint="eastAsia"/>
        </w:rPr>
        <w:t>第四章  耕地保护</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第十六条</w:t>
      </w:r>
      <w:r>
        <w:rPr>
          <w:rFonts w:cs="Times New Roman" w:asciiTheme="minorEastAsia" w:hAnsiTheme="minorEastAsia" w:eastAsiaTheme="minorEastAsia"/>
        </w:rPr>
        <w:t xml:space="preserve">  在土地利用总体规划确定的城市和村庄、集镇建设用地范围内，为实施城市规划和村庄、集镇规划占用耕地，以及在土地利用总体规划确定的城市建设用地范围外的能源、交通、水利、矿山、军事设施等建设项目占用耕地的，分别由市、县人民政府、农村集体经济组织和建设单位依照《土地管理法》第三十一条的规定负责开垦耕地；没有条件开垦或者开垦的耕地不符合要求的，应当按照省、自治区、直辖市的规定缴纳耕地开垦费。</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第十七条</w:t>
      </w:r>
      <w:r>
        <w:rPr>
          <w:rFonts w:cs="Times New Roman" w:asciiTheme="minorEastAsia" w:hAnsiTheme="minorEastAsia" w:eastAsiaTheme="minorEastAsia"/>
        </w:rPr>
        <w:t xml:space="preserve">  禁止单位和个人在土地利用总体规划确定的禁止开垦区内从事土地开发活动。</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在土地利用总体规划确定的土地开垦区内，开发未确定土地使用权的国有荒山、荒地、荒滩从事种植业、林业、畜牧业、渔业生产的，应当向土地所在地的县级以上地方人民政府土地行政主管部门提出申请，按照省、自治区、直辖市规定的权限，由县级以上地方人民政府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开发未确定土地使用权的国有荒山、荒地、荒滩从事种植业、林业、畜牧业或者渔业生产的，经县级以上地方人民政府依法批准，可以确定给开发单位或者个人长期使用，使用期限最长不得超过50年。</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第十八条</w:t>
      </w:r>
      <w:r>
        <w:rPr>
          <w:rFonts w:cs="Times New Roman" w:asciiTheme="minorEastAsia" w:hAnsiTheme="minorEastAsia" w:eastAsiaTheme="minorEastAsia"/>
        </w:rPr>
        <w:t xml:space="preserve">  县、乡（镇）人民政府应当按照土地利用总体规划，组织农村集体经济组织制定土地整理方案，并组织实施。</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地方各级人民政府应当采取措施，按照土地利用总体规划推进土地整理。土地整理新增耕地面积的60%可以用作折抵建设占用耕地的补偿指标。</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土地整理所需费用，按照谁受益谁负担的原则，由农村集体经济组织和土地使用者共同承担。</w:t>
      </w:r>
    </w:p>
    <w:p>
      <w:pPr>
        <w:pStyle w:val="63"/>
        <w:spacing w:before="218" w:after="218" w:line="412" w:lineRule="exact"/>
        <w:rPr>
          <w:bCs w:val="0"/>
        </w:rPr>
      </w:pPr>
      <w:r>
        <w:rPr>
          <w:rFonts w:hint="eastAsia"/>
        </w:rPr>
        <w:t>第五章  建设用地</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第十九条</w:t>
      </w:r>
      <w:r>
        <w:rPr>
          <w:rFonts w:cs="Times New Roman" w:asciiTheme="minorEastAsia" w:hAnsiTheme="minorEastAsia" w:eastAsiaTheme="minorEastAsia"/>
        </w:rPr>
        <w:t xml:space="preserve">  建设占用土地，涉及农用地转为建设用地的，应当符合土地利用总体规划和土地利用年度计划中确定的农用地转用指标；城市和村庄、集镇建设占用土地，涉及农用地转用的，还应当符合城市规划和村庄、集镇规划。不符合规定的，不得批准农用地转为建设用地。</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第二十条</w:t>
      </w:r>
      <w:r>
        <w:rPr>
          <w:rFonts w:cs="Times New Roman" w:asciiTheme="minorEastAsia" w:hAnsiTheme="minorEastAsia" w:eastAsiaTheme="minorEastAsia"/>
        </w:rPr>
        <w:t xml:space="preserve">  在土地利用总体规划确定的城市建设用地范围内，为实施城市规划占用土地的，按照下列规定办理：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（一）市、县人民政府按照土地利用年度计划拟订农用地转用方案、补充耕地方案、征收土地方案，分批次逐级上报有批准权的人民政府。</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有批准权的人民政府土地行政主管部门对农用地转用方案、补充耕地方案、征收土地方案进行审查，提出审查意见，报有批准权的人民政府批准；其中，补充耕地方案由批准农用地转用方案的人民政府在批准农用地转用方案时一并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（三）农用地转用方案、补充耕地方案、征收土地方案经批准后，由市、县人民政府组织实施，按具体建设项目分别供地。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在土地利用总体规划确定的村庄、集镇建设用地范围内，为实施村庄、集镇规划占用土地的，由市、县人民政府拟订农用地转用方案、补充耕地方案，依照前款规定的程序办理。</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第二十一条</w:t>
      </w:r>
      <w:r>
        <w:rPr>
          <w:rFonts w:cs="Times New Roman" w:asciiTheme="minorEastAsia" w:hAnsiTheme="minorEastAsia" w:eastAsiaTheme="minorEastAsia"/>
        </w:rPr>
        <w:t xml:space="preserve">  具体建设项目需要使用土地的，建设单位应当根据建设项目的总体设计一次申请，办理建设用地审批手续；分期建设的项目，可以根据可行性研究报告确定的方案分期申请建设用地，分期办理建设用地有关审批手续。</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第二十二条</w:t>
      </w:r>
      <w:r>
        <w:rPr>
          <w:rFonts w:cs="Times New Roman" w:asciiTheme="minorEastAsia" w:hAnsiTheme="minorEastAsia" w:eastAsiaTheme="minorEastAsia"/>
        </w:rPr>
        <w:t xml:space="preserve">  具体建设项目需要占用土地利用总体规划确定的城市建设用地范围内的国有建设用地的，按照下列规定办理：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（一）建设项目可行性研究论证时，由土地行政主管部门对建设项目用地有关事项进行审查，提出建设项目用地预审报告；可行性研究报告报批时，必须附具土地行政主管部门出具的建设项目用地预审报告。</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建设单位持建设项目的有关批准文件，向市、县人民政府土地行政主管部门提出建设用地申请，由市、县人民政府土地行政主管部门审查，拟订供地方案，报市、县人民政府批准；需要上级人民政府批准的，应当报上级人民政府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供地方案经批准后，由市、县人民政府向建设单位颁发建设用地批准书。有偿使用国有土地的，由市、县人民政府土地行政主管部门与土地使用者签订国有土地有偿使用合同；划拨使用国有土地的，由市、县人民政府土地行政主管部门向土地使用者核发国有土地划拨决定书。</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（四）土地使用者应当依法申请土地登记。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通过招标、拍卖方式提供国有建设用地使用权的，由市、县人民政府土地行政主管部门会同有关部门拟订方案，报市、县人民政府批准后，由市、县人民政府土地行政主管部门组织实施，并与土地使用者签订土地有偿使用合同。土地使用者应当依法申请土地登记。</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第二十三条</w:t>
      </w:r>
      <w:r>
        <w:rPr>
          <w:rFonts w:cs="Times New Roman" w:asciiTheme="minorEastAsia" w:hAnsiTheme="minorEastAsia" w:eastAsiaTheme="minorEastAsia"/>
        </w:rPr>
        <w:t xml:space="preserve">  具体建设项目需要使用土地的，必须依法申请使用土地利用总体规划确定的城市建设用地范围内的国有建设用地。能源、交通、水利、矿山、军事设施等建设项目确需使用土地利用总体规划确定的城市建设用地范围外的土地，涉及农用地的，按照下列规定办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（一）建设项目可行性研究论证时，由土地行政主管部门对建设项目用地有关事项进行审查，提出建设项目用地预审报告；可行性研究报告报批时，必须附具土地行政主管部门出具的建设项目用地预审报告。</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建设单位持建设项目的有关批准文件，向市、县人民政府土地行政主管部门提出建设用地申请，由市、县人民政府土地行政主管部门审查，拟订农用地转用方案、补充耕地方案、征收土地方案和供地方案（涉及国有农用地的，不拟订征收土地方案），经市、县人民政府审核同意后，逐级上报有批准权的人民政府批准；其中，补充耕地方案由批准农用地转用方案的人民政府在批准农用地转用方案时一并批准；供地方案由批准征收土地的人民政府在批准征收土地方案时一并批准（涉及国有农用地的，供地方案由批准农用地转用的人民政府在批准农用地转用方案时一并批准）。</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农用地转用方案、补充耕地方案、征收土地方案和供地方案经批准后，由市、县人民政府组织实施，向建设单位颁发建设用地批准书。有偿使用国有土地的，由市、县人民政府土地行政主管部门与土地使用者签订国有土地有偿使用合同；划拨使用国有土地的，由市、县人民政府土地行政主管部门向土地使用者核发国有土地划拨决定书。</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（四）土地使用者应当依法申请土地登记。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建设项目确需使用土地利用总体规划确定的城市建设用地范围外的土地，涉及农民集体所有的未利用地的，只报批征收土地方案和供地方案。</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第二十四条  </w:t>
      </w:r>
      <w:r>
        <w:rPr>
          <w:rFonts w:cs="Times New Roman" w:asciiTheme="minorEastAsia" w:hAnsiTheme="minorEastAsia" w:eastAsiaTheme="minorEastAsia"/>
        </w:rPr>
        <w:t>具体建设项目需要占用土地利用总体规划确定的国有未利用地的，按照省、自治区、直辖市的规定办理；但是，国家重点建设项目、军事设施和跨省、自治区、直辖市行政区域的建设项目以及国务院规定的其他建设项目用地，应当报国务院批准。</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第二十五条  </w:t>
      </w:r>
      <w:r>
        <w:rPr>
          <w:rFonts w:cs="Times New Roman" w:asciiTheme="minorEastAsia" w:hAnsiTheme="minorEastAsia" w:eastAsiaTheme="minorEastAsia"/>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被征收土地的所有权人、使用权人应当在公告规定的期限内，持土地权属证书到公告指定的人民政府土地行政主管部门办理征地补偿登记。</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市、县人民政府土地行政主管部门根据经批准的征收土地方案，会同有关部门拟订征地补偿、安置方案，在被征收土地所在地的乡（镇）、村予以公告，听取被征收土地的农村集体经济组织和农民的意见。征地补偿、安置方案报市、县人民政府批准后，由市、县人民政府土地行政主管部门组织实施。对补偿标准有争议的，由县级以上地方人民政府协调；协调不成的，由批准征收土地的人民政府裁决。征地补偿、安置争议不影响征收土地方案的实施。</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征收土地的各项费用应当自征地补偿、安置方案批准之日起3个月内全额支付。</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第二十六条</w:t>
      </w:r>
      <w:r>
        <w:rPr>
          <w:rFonts w:cs="Times New Roman" w:asciiTheme="minorEastAsia" w:hAnsiTheme="minorEastAsia" w:eastAsiaTheme="minorEastAsia"/>
        </w:rPr>
        <w:t xml:space="preserve">  土地补偿费归农村集体经济组织所有；地上附着物及青苗补偿费归地上附着物及青苗的所有者所有。</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征收土地的安置补助费必须专款专用，不得挪作他用。需要安置的人员由农村集体经济组织安置的，安置补助费支付给农村集体经济组织，由农村集体经济组织管理和使用；由其他单位安置的，安置补助费支付给安置单位；不需要统一安置的，安置补助费发放给被安置人员个人或者征得被安置人员同意后用于支付被安置人员的保险费用。</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市、县和乡（镇）人民政府应当加强对安置补助费使用情况的监督。</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第二十七条</w:t>
      </w:r>
      <w:r>
        <w:rPr>
          <w:rFonts w:cs="Times New Roman" w:asciiTheme="minorEastAsia" w:hAnsiTheme="minorEastAsia" w:eastAsiaTheme="minorEastAsia"/>
        </w:rPr>
        <w:t xml:space="preserve">  抢险救灾等急需使用土地的，可以先行使用土地。其中，属于临时用地的，灾后应当恢复原状并交还原土地使用者使用，不再办理用地审批手续；属于永久性建设用地的，建设单位应当在灾情结束后6个月内申请补办建设用地审批手续。</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第二十八条</w:t>
      </w:r>
      <w:r>
        <w:rPr>
          <w:rFonts w:cs="Times New Roman" w:asciiTheme="minorEastAsia" w:hAnsiTheme="minorEastAsia" w:eastAsiaTheme="minorEastAsia"/>
        </w:rPr>
        <w:t xml:space="preserve">  建设项目施工和地质勘查需要临时占用耕地的，土地使用者应当自临时用地期满之日起1年内恢复种植条件。</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第二十九条</w:t>
      </w:r>
      <w:r>
        <w:rPr>
          <w:rFonts w:cs="Times New Roman" w:asciiTheme="minorEastAsia" w:hAnsiTheme="minorEastAsia" w:eastAsiaTheme="minorEastAsia"/>
        </w:rPr>
        <w:t xml:space="preserve">  国有土地有偿使用的方式包括：</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（一）国有土地使用权出让；</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（二）国有土地租赁；</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（三）国有土地使用权作价出资或者入股。</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第三十条</w:t>
      </w:r>
      <w:r>
        <w:rPr>
          <w:rFonts w:cs="Times New Roman" w:asciiTheme="minorEastAsia" w:hAnsiTheme="minorEastAsia" w:eastAsiaTheme="minorEastAsia"/>
        </w:rPr>
        <w:t xml:space="preserve">  《土地管理法》第五十五条规定的新增建设用地的土地有偿使用费，是指国家在新增建设用地中应取得的平均土地纯收益。</w:t>
      </w:r>
    </w:p>
    <w:p>
      <w:pPr>
        <w:pStyle w:val="63"/>
        <w:spacing w:before="218" w:after="218" w:line="412" w:lineRule="exact"/>
        <w:rPr>
          <w:bCs w:val="0"/>
        </w:rPr>
      </w:pPr>
      <w:r>
        <w:rPr>
          <w:rFonts w:hint="eastAsia"/>
        </w:rPr>
        <w:t>第六章  监督检查</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第三十一条</w:t>
      </w:r>
      <w:r>
        <w:rPr>
          <w:rFonts w:cs="Times New Roman" w:asciiTheme="minorEastAsia" w:hAnsiTheme="minorEastAsia" w:eastAsiaTheme="minorEastAsia"/>
        </w:rPr>
        <w:t xml:space="preserve">  土地管理监督检查人员应当经过培训，经考核合格后，方可从事土地管理监督检查工作。</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第三十二条</w:t>
      </w:r>
      <w:r>
        <w:rPr>
          <w:rFonts w:cs="Times New Roman" w:asciiTheme="minorEastAsia" w:hAnsiTheme="minorEastAsia" w:eastAsiaTheme="minorEastAsia"/>
        </w:rPr>
        <w:t xml:space="preserve">  土地行政主管部门履行监督检查职责，除采取《土地管理法》第六十七条规定的措施外，还可以采取下列措施：</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（一）询问违法案件的当事人、嫌疑人和证人；</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（二）进入被检查单位或者个人非法占用的土地现场进行拍照、摄像；</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（三）责令当事人停止正在进行的土地违法行为；</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（四）对涉嫌土地违法的单位或者个人，停止办理有关土地审批、登记手续；</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（五）责令违法嫌疑人在调查期间不得变卖、转移与案件有关的财物。</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第三十三条  </w:t>
      </w:r>
      <w:r>
        <w:rPr>
          <w:rFonts w:cs="Times New Roman" w:asciiTheme="minorEastAsia" w:hAnsiTheme="minorEastAsia" w:eastAsiaTheme="minorEastAsia"/>
        </w:rPr>
        <w:t>依照《土地管理法》第七十二条规定给予行政处分的，由责令作出行政处罚决定或者直接给予行政处罚决定的上级人民政府土地行政主管部门作出。对于警告、记过、记大过的行政处分决定，上级土地行政主管部门可以直接作出；对于降级、撤职、开除的行政处分决定，上级土地行政主管部门应当按照国家有关人事管理权限和处理程序的规定，向有关机关提出行政处分建议，由有关机关依法处理。</w:t>
      </w:r>
    </w:p>
    <w:p>
      <w:pPr>
        <w:pStyle w:val="63"/>
        <w:spacing w:before="218" w:after="218" w:line="412" w:lineRule="exact"/>
        <w:rPr>
          <w:bCs w:val="0"/>
        </w:rPr>
      </w:pPr>
      <w:r>
        <w:rPr>
          <w:rFonts w:hint="eastAsia"/>
        </w:rPr>
        <w:t>第七章  法律责任</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第三十四条</w:t>
      </w:r>
      <w:r>
        <w:rPr>
          <w:rFonts w:cs="Times New Roman" w:asciiTheme="minorEastAsia" w:hAnsiTheme="minorEastAsia" w:eastAsiaTheme="minorEastAsia"/>
        </w:rPr>
        <w:t xml:space="preserve">  违反本条例第十七条的规定，在土地利用总体规划确定的禁止开垦区内进行开垦的，由县级以上人民政府土地行政主管部门责令限期改正；逾期不改正的，依照《土地管理法》第七十六条的规定处罚。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第三十五条</w:t>
      </w:r>
      <w:r>
        <w:rPr>
          <w:rFonts w:cs="Times New Roman" w:asciiTheme="minorEastAsia" w:hAnsiTheme="minorEastAsia" w:eastAsiaTheme="minorEastAsia"/>
        </w:rPr>
        <w:t xml:space="preserve">  在临时使用的土地上修建永久性建筑物、构筑物的，由县级以上人民政府土地行政主管部门责令限期拆除；逾期不拆除的，由作出处罚决定的机关依法申请人民法院强制执行。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第三十六条</w:t>
      </w:r>
      <w:r>
        <w:rPr>
          <w:rFonts w:cs="Times New Roman" w:asciiTheme="minorEastAsia" w:hAnsiTheme="minorEastAsia" w:eastAsiaTheme="minorEastAsia"/>
        </w:rPr>
        <w:t xml:space="preserve">  对在土地利用总体规划制定前已建的不符合土地利用总体规划确定的用途的建筑物、构筑物重建、扩建的，由县级以上人民政府土地行政主管部门责令限期拆除；逾期不拆除的，由作出处罚决定的机关依法申请人民法院强制执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第三十七条  </w:t>
      </w:r>
      <w:r>
        <w:rPr>
          <w:rFonts w:cs="Times New Roman" w:asciiTheme="minorEastAsia" w:hAnsiTheme="minorEastAsia" w:eastAsiaTheme="minorEastAsia"/>
        </w:rPr>
        <w:t>阻碍土地行政主管部门的工作人员依法执行职务的，依法给予治安管理处罚或者追究刑事责任。</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第三十八条</w:t>
      </w:r>
      <w:r>
        <w:rPr>
          <w:rFonts w:cs="Times New Roman" w:asciiTheme="minorEastAsia" w:hAnsiTheme="minorEastAsia" w:eastAsiaTheme="minorEastAsia"/>
        </w:rPr>
        <w:t xml:space="preserve">  依照《土地管理法》第七十三条的规定处以罚款的，罚款额为非法所得的50%以下。</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第三十九条</w:t>
      </w:r>
      <w:r>
        <w:rPr>
          <w:rFonts w:cs="Times New Roman" w:asciiTheme="minorEastAsia" w:hAnsiTheme="minorEastAsia" w:eastAsiaTheme="minorEastAsia"/>
        </w:rPr>
        <w:t xml:space="preserve">  依照《土地管理法》第八十一条的规定处以罚款的，罚款额为非法所得的5%以上20%以下。</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第四十条</w:t>
      </w:r>
      <w:r>
        <w:rPr>
          <w:rFonts w:cs="Times New Roman" w:asciiTheme="minorEastAsia" w:hAnsiTheme="minorEastAsia" w:eastAsiaTheme="minorEastAsia"/>
        </w:rPr>
        <w:t xml:space="preserve">  依照《土地管理法》第七十四条的规定处以罚款的，罚款额为耕地开垦费的2倍以下。</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第四十一条</w:t>
      </w:r>
      <w:r>
        <w:rPr>
          <w:rFonts w:cs="Times New Roman" w:asciiTheme="minorEastAsia" w:hAnsiTheme="minorEastAsia" w:eastAsiaTheme="minorEastAsia"/>
        </w:rPr>
        <w:t xml:space="preserve">  依照《土地管理法》第七十五条的规定处以罚款的，罚款额为土地复垦费的2倍以下。</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第四十二条</w:t>
      </w:r>
      <w:r>
        <w:rPr>
          <w:rFonts w:cs="Times New Roman" w:asciiTheme="minorEastAsia" w:hAnsiTheme="minorEastAsia" w:eastAsiaTheme="minorEastAsia"/>
        </w:rPr>
        <w:t xml:space="preserve">  依照《土地管理法》第七十六条的规定处以罚款的，罚款额为非法占用土地每平方米30元以下。</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第四十三条</w:t>
      </w:r>
      <w:r>
        <w:rPr>
          <w:rFonts w:cs="Times New Roman" w:asciiTheme="minorEastAsia" w:hAnsiTheme="minorEastAsia" w:eastAsiaTheme="minorEastAsia"/>
        </w:rPr>
        <w:t xml:space="preserve">  依照《土地管理法》第八十条的规定处以罚款的，罚款额为非法占用土地每平方米10元以上30元以下。</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第四十四条</w:t>
      </w:r>
      <w:r>
        <w:rPr>
          <w:rFonts w:cs="Times New Roman" w:asciiTheme="minorEastAsia" w:hAnsiTheme="minorEastAsia" w:eastAsiaTheme="minorEastAsia"/>
        </w:rPr>
        <w:t xml:space="preserve">  违反本条例第二十八条的规定，逾期不恢复种植条件的，由县级以上人民政府土地行政主管部门责令限期改正，可以处耕地复垦费2倍以下的罚款。</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第四十五条</w:t>
      </w:r>
      <w:r>
        <w:rPr>
          <w:rFonts w:cs="Times New Roman" w:asciiTheme="minorEastAsia" w:hAnsiTheme="minorEastAsia" w:eastAsiaTheme="minorEastAsia"/>
        </w:rPr>
        <w:t xml:space="preserve">  违反土地管理法律、法规规定，阻挠国家建设征收土地的，由县级以上人民政府土地行政主管部门责令交出土地；拒不交出土地的，申请人民法院强制执行。</w:t>
      </w:r>
    </w:p>
    <w:p>
      <w:pPr>
        <w:pStyle w:val="63"/>
        <w:spacing w:before="218" w:after="218" w:line="412" w:lineRule="exact"/>
      </w:pPr>
      <w:r>
        <w:rPr>
          <w:rFonts w:hint="eastAsia"/>
          <w:bCs w:val="0"/>
        </w:rPr>
        <w:t>第八章  附  则</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第四十六条</w:t>
      </w:r>
      <w:r>
        <w:rPr>
          <w:rFonts w:cs="Times New Roman" w:asciiTheme="minorEastAsia" w:hAnsiTheme="minorEastAsia" w:eastAsiaTheme="minorEastAsia"/>
        </w:rPr>
        <w:t xml:space="preserve">  本条例自1999年1月1日起施行。1991年1月4日国务院发布的《中华人民共和国土地管理法实施条例》同时废止。</w:t>
      </w:r>
    </w:p>
    <w:p>
      <w:pPr>
        <w:topLinePunct/>
        <w:spacing w:beforeLines="0" w:afterLines="0" w:line="412" w:lineRule="exact"/>
        <w:ind w:firstLine="480" w:firstLineChars="200"/>
        <w:rPr>
          <w:rFonts w:ascii="Times New Roman" w:hAnsi="Times New Roman" w:cs="Times New Roman"/>
          <w:sz w:val="24"/>
          <w:szCs w:val="24"/>
        </w:rPr>
      </w:pP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rPr>
      </w:pPr>
    </w:p>
    <w:p>
      <w:pPr>
        <w:topLinePunct/>
        <w:spacing w:beforeLines="0" w:afterLines="0" w:line="416" w:lineRule="exact"/>
        <w:ind w:firstLine="480" w:firstLineChars="200"/>
        <w:rPr>
          <w:rFonts w:ascii="Times New Roman" w:hAnsi="Times New Roman" w:eastAsia="宋体" w:cs="Times New Roman"/>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4"/>
        <w:keepNext w:val="0"/>
        <w:keepLines w:val="0"/>
        <w:topLinePunct/>
        <w:spacing w:line="416" w:lineRule="exact"/>
        <w:ind w:firstLine="482" w:firstLineChars="200"/>
        <w:rPr>
          <w:rFonts w:asciiTheme="minorEastAsia" w:hAnsiTheme="minorEastAsia" w:eastAsiaTheme="minorEastAsia"/>
          <w:sz w:val="24"/>
          <w:szCs w:val="24"/>
        </w:rPr>
      </w:pPr>
      <w:bookmarkStart w:id="199" w:name="_Toc18942585"/>
    </w:p>
    <w:p>
      <w:pPr>
        <w:pStyle w:val="61"/>
      </w:pPr>
      <w:bookmarkStart w:id="200" w:name="_Toc28252145"/>
      <w:bookmarkStart w:id="201" w:name="_Toc28156947"/>
      <w:bookmarkStart w:id="202" w:name="_Toc28250874"/>
      <w:bookmarkStart w:id="203" w:name="_Toc25648164"/>
      <w:bookmarkStart w:id="204" w:name="_Toc25653659"/>
      <w:bookmarkStart w:id="205" w:name="_Toc26347925"/>
      <w:r>
        <w:t>基本农田保护条例</w:t>
      </w:r>
      <w:bookmarkEnd w:id="199"/>
      <w:bookmarkEnd w:id="200"/>
      <w:bookmarkEnd w:id="201"/>
      <w:bookmarkEnd w:id="202"/>
      <w:bookmarkEnd w:id="203"/>
      <w:bookmarkEnd w:id="204"/>
      <w:bookmarkEnd w:id="205"/>
    </w:p>
    <w:p>
      <w:pPr>
        <w:pStyle w:val="62"/>
      </w:pPr>
      <w:r>
        <w:t>（</w:t>
      </w:r>
      <w:bookmarkStart w:id="206" w:name="OLE_LINK145"/>
      <w:r>
        <w:t>1998年12月27日国务院令第257号发布,根据2011年1月8日中华人民共和国国务院令第588号公布</w:t>
      </w:r>
      <w:r>
        <w:rPr>
          <w:rFonts w:hint="eastAsia"/>
        </w:rPr>
        <w:t>、</w:t>
      </w:r>
      <w:r>
        <w:t>自公布之日起施行的《国务院关于废止和修改部分行政法规的决定》修订</w:t>
      </w:r>
      <w:bookmarkEnd w:id="206"/>
      <w:r>
        <w:t>）</w:t>
      </w:r>
    </w:p>
    <w:p>
      <w:pPr>
        <w:pStyle w:val="5"/>
        <w:keepNext w:val="0"/>
        <w:keepLines w:val="0"/>
        <w:topLinePunct/>
        <w:spacing w:line="416" w:lineRule="exact"/>
        <w:ind w:firstLine="482" w:firstLineChars="200"/>
        <w:rPr>
          <w:rFonts w:asciiTheme="minorEastAsia" w:hAnsiTheme="minorEastAsia" w:eastAsiaTheme="minorEastAsia"/>
          <w:sz w:val="24"/>
          <w:szCs w:val="24"/>
        </w:rPr>
      </w:pPr>
    </w:p>
    <w:p>
      <w:pPr>
        <w:pStyle w:val="63"/>
        <w:spacing w:before="218" w:after="218" w:line="412" w:lineRule="exact"/>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为了对基本农田实行特殊保护，促进农业生产和社会经济的可持续发展，根据《中华人民共和国农业法》和《中华人民共和国土地管理法》，制定本条例。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国家实行基本农田保护制度。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本条例所称基本农田，是指按照一定时期人口和社会经济发展对农产品的需求，依据土地利用总体规划确定的不得占用的耕地。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本条例所称基本农田保护区，是指为对基本农田实行特殊保护而依据土地利用总体规划和依照法定程序确定的特定保护区域。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基本农田保护实行全面规划、合理利用、用养结合、严格保护的方针。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县级以上地方各级人民政府应当将基本农田保护工作纳入国民经济和社会发展计划，作为政府领导任期目标责任制的一项内容，并由上一级人民政府监督实施。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任何单位和个人都有保护基本农田的义务，并有权检举、控告侵占、破坏基本农田和其他违反本条例的行为。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国务院土地行政主管部门和农业行政主管部门按照国务院规定的职责分工，依照本条例负责全国的基本农田保护管理工作。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县级以上地方各级人民政府土地行政主管部门和农业行政主管部门按照本级人民政府规定的职责分工，依照本条例负责本行政区域内的基本农田保护管理工作。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乡（镇）人民政府负责本行政区域内的基本农田保护管理工作。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国家对在基本农田保护工作中取得显著成绩的单位和个人，给予奖励。</w:t>
      </w:r>
    </w:p>
    <w:p>
      <w:pPr>
        <w:pStyle w:val="63"/>
        <w:spacing w:before="218" w:after="218" w:line="412" w:lineRule="exact"/>
      </w:pPr>
      <w:r>
        <w:t xml:space="preserve">第二章 </w:t>
      </w:r>
      <w:r>
        <w:rPr>
          <w:rFonts w:hint="eastAsia"/>
        </w:rPr>
        <w:t xml:space="preserve"> </w:t>
      </w:r>
      <w:r>
        <w:t xml:space="preserve">划 </w:t>
      </w:r>
      <w:r>
        <w:rPr>
          <w:rFonts w:hint="eastAsia"/>
        </w:rPr>
        <w:t xml:space="preserve"> </w:t>
      </w:r>
      <w:r>
        <w:t>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各级人民政府在编制土地利用总体规划时，应当将基本农田保护作为规划的一项内容，明确基本农田保护的布局安排、数量指标和质量要求。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县级和乡（镇）土地利用总体规划应当确定基本农田保护区。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省、自治区、直辖市划定的基本农田应当占本行政区域内耕地总面积的百分之八十以上，具体数量指标根据全国土地利用总体规划逐级分解下达。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下列耕地应当划入基本农田保护区，严格管理：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（一）经国务院有关主管部门或者县级以上地方人民政府批准确定的粮、棉、油生产基地内的耕地；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（二）有良好的水利与水土保持设施的耕地，正在实施改造计划以及可以改造的中、低产田；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（三）蔬菜生产基地；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（四）农业科研、教学试验田。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根据土地利用总体规划，铁路、公路等交通沿线，城市和村庄、集镇建设用地区周边的耕地，应当优先划入基本农田保护区；需要退耕还林、还牧、还湖的耕地，不应当划入基本农田保护区。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基本农田保护区以乡（镇）为单位划区定界，由县级人民政府土地行政主管部门会同同级农业行政主管部门组织实施。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划定的基本农田保护区，由县级人民政府设立保护标志，予以公告，由县级人民政府土地行政主管部门建立档案，并抄送同级农业行政主管部门。任何单位和个人不得破坏或者擅自改变基本农田保护区的保护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基本农田划区定界后，由省、自治区、直辖市人民政府组织土地行政主管部门和农业行政主管部门验收确认，或者由省、自治区人民政府授权设区的市、自治州人民政府组织土地行政主管部门和农业行政主管部门验收确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划定基本农田保护区时，不得改变土地承包者的承包经营权。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划定基本农田保护区的技术规程，由国务院土地行政主管部门会同国务院农业行政主管部门制定。</w:t>
      </w:r>
    </w:p>
    <w:p>
      <w:pPr>
        <w:pStyle w:val="63"/>
        <w:spacing w:before="218" w:after="218" w:line="412" w:lineRule="exact"/>
      </w:pPr>
      <w:r>
        <w:t xml:space="preserve">第三章 </w:t>
      </w:r>
      <w:r>
        <w:rPr>
          <w:rFonts w:hint="eastAsia"/>
        </w:rPr>
        <w:t xml:space="preserve"> </w:t>
      </w:r>
      <w:r>
        <w:t xml:space="preserve">保 </w:t>
      </w:r>
      <w:r>
        <w:rPr>
          <w:rFonts w:hint="eastAsia"/>
        </w:rPr>
        <w:t xml:space="preserve"> </w:t>
      </w:r>
      <w:r>
        <w:t>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地方各级人民政府应当采取措施，确保土地利用总体规划确定的本行政区域内基本农田的数量不减少。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基本农田保护区经依法划定后，任何单位和个人不得改变或者占用。国家能源、交通、水利、军事设施等重点建设项目选址确实无法避开基本农田保护区，需要占用基本农田，涉及农用地转用或者征收、征用土地的，必须经国务院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占用基本农田的单位应当按照县级以上地方人民政府的要求，将所占用基本农田耕作层的土壤用于新开垦耕地、劣质地或者其他耕地的土壤改良。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禁止任何单位和个人在基本农田保护区内建窑、建房、建坟、挖砂、采石、采矿、取土、堆放固体废弃物或者进行其他破坏基本农田的活动。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禁止任何单位和个人占用基本农田发展林果业和挖塘养鱼。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禁止任何单位和个人闲置、荒芜基本农田。经国务院批准的重点建设项目占用基本农田的，满１年不使用而又可以耕种并收获的，应当由原耕种该幅基本农田的集体或者个人恢复耕种，也可以由用地单位组织耕种；１年以上未动工建设的，应当按照省、自治区、直辖市的规定缴纳闲置费；连续２年未使用的，经国务院批准，由县级以上人民政府无偿收回用地单位的土地使用权；该幅土地原为农民集体所有的，应当交由原农村集体经济组织恢复耕种，重新划入基本农田保护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承包经营基本农田的单位或者个人连续２年弃耕抛荒的，原发包单位应当终止承包合同，收回发包的基本农田。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国家提倡和鼓励农业生产者对其经营的基本农田施用有机肥料，合理施用化肥和农药。利用基本农田从事农业生产的单位和个人应当保持和培肥地力。</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县级人民政府应当根据当地实际情况制定基本农田地力分等定级办法，由农业行政主管部门会同土地行政主管部门组织实施，对基本农田地力分等定级，并建立档案。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农村集体经济组织或者村民委员会应当定期评定基本农田地力等级。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县级以上地方各级人民政府农业行政主管部门应当逐步建立基本农田地力与施肥效益长期定位监测网点，定期向本级人民政府提出基本农田地力变化状况报告以及相应的地力保护措施，并为农业生产者提供施肥指导服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县级以上人民政府农业行政主管部门应当会同同级环境保护行政主管部门对基本农田环境污染进行监测和评价，并定期向本级人民政府提出环境质量与发展趋势的报告。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经国务院批准占用基本农田兴建国家重点建设项目的，必须遵守国家有关建设项目环境保护管理的规定。在建设项目环境影响报告书中，应当有基本农田环境保护方案。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向基本农田保护区提供肥料和作为肥料的城市垃圾、污泥的，应当符合国家有关标准。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因发生事故或者其他突然性事件，造成或者可能造成基本农田环境污染事故的，当事人必须立即采取措施处理，并向当地环境保护行政主管部门和农业行政主管部门报告，接受调查处理。</w:t>
      </w:r>
    </w:p>
    <w:p>
      <w:pPr>
        <w:pStyle w:val="63"/>
        <w:spacing w:before="218" w:after="218" w:line="412" w:lineRule="exact"/>
      </w:pPr>
      <w:r>
        <w:t xml:space="preserve">第四章 </w:t>
      </w:r>
      <w:r>
        <w:rPr>
          <w:rFonts w:hint="eastAsia"/>
        </w:rPr>
        <w:t xml:space="preserve"> </w:t>
      </w:r>
      <w:r>
        <w:t>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在建立基本农田保护区的地方，县级以上地方人民政府应当与下一级人民政府签订基本农田保护责任书；乡（镇）人民政府应当根据与县级人民政府签订的基本农田保护责任书的要求，与农村集体经济组织或者村民委员会签订基本农田保护责任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基本农田保护责任书应当包括下列内容：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（一）基本农田的范围、面积、地块；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（二）基本农田的地力等级；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（三）保护措施；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（四）当事人的权利与义务；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（五）奖励与处罚。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县级以上地方人民政府应当建立基本农田保护监督检查制度，定期组织土地行政主管部门、农业行政主管部门以及其他有关部门对基本农田保护情况进行检查，将检查情况书面报告上一级人民政府。被检查的单位和个人应当如实提供有关情况和资料，不得拒绝。</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县级以上地方人民政府土地行政主管部门、农业行政主管部门对本行政区域内发生的破坏基本农田的行为，有权责令纠正。</w:t>
      </w:r>
    </w:p>
    <w:p>
      <w:pPr>
        <w:pStyle w:val="63"/>
        <w:spacing w:before="218" w:after="218" w:line="412" w:lineRule="exact"/>
      </w:pPr>
      <w:r>
        <w:t xml:space="preserve">第五章 </w:t>
      </w:r>
      <w:r>
        <w:rPr>
          <w:rFonts w:hint="eastAsia"/>
        </w:rPr>
        <w:t xml:space="preserve"> </w:t>
      </w:r>
      <w:r>
        <w:t>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违反本条例规定，有下列行为之一的，依照《中华人民共和国土地管理法》和《中华人民共和国土地管理法实施条例》的有关规定，从重给予处罚：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（一）未经批准或者采取欺骗手段骗取批准，非法占用基本农田的；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（二）超过批准数量，非法占用基本农田的；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（三）非法批准占用基本农田的；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（四）买卖或者以其他形式非法转让基本农田的。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违反本条例规定，应当将耕地划入基本农田保护区而不划入的，由上一级人民政府责令限期改正；拒不改正的，对直接负责的主管人员和其他直接责任人员依法给予行政处分或者纪律处分。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违反本条例规定，破坏或者擅自改变基本农田保护区标志的，由县级以上地方人民政府土地行政主管部门或者农业行政主管部门责令恢复原状，可以处１０００元以下罚款。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１倍以上２倍以下的罚款；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侵占、挪用基本农田的耕地开垦费，构成犯罪的，依法追究刑事责任；尚不构成犯罪的，依法给予行政处分或者纪律处分。</w:t>
      </w:r>
    </w:p>
    <w:p>
      <w:pPr>
        <w:pStyle w:val="63"/>
        <w:spacing w:before="218" w:after="218" w:line="412" w:lineRule="exact"/>
      </w:pPr>
      <w:r>
        <w:t xml:space="preserve">第六章 </w:t>
      </w:r>
      <w:r>
        <w:rPr>
          <w:rFonts w:hint="eastAsia"/>
        </w:rPr>
        <w:t xml:space="preserve"> </w:t>
      </w:r>
      <w:r>
        <w:t>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省、自治区、直辖市人民政府可以根据当地实际情况，将其他农业生产用地划为保护区。保护区内的其他农业生产用地的保护和管理，可以参照本条例执行。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本条例自</w:t>
      </w:r>
      <w:r>
        <w:rPr>
          <w:rFonts w:hint="eastAsia" w:asciiTheme="minorEastAsia" w:hAnsiTheme="minorEastAsia" w:eastAsiaTheme="minorEastAsia"/>
          <w:sz w:val="24"/>
          <w:szCs w:val="24"/>
        </w:rPr>
        <w:t>1999</w:t>
      </w:r>
      <w:r>
        <w:rPr>
          <w:rFonts w:asciiTheme="minorEastAsia" w:hAnsiTheme="minorEastAsia" w:eastAsiaTheme="minorEastAsia"/>
          <w:sz w:val="24"/>
          <w:szCs w:val="24"/>
        </w:rPr>
        <w:t>年</w:t>
      </w:r>
      <w:r>
        <w:rPr>
          <w:rFonts w:hint="eastAsia" w:asciiTheme="minorEastAsia" w:hAnsiTheme="minorEastAsia" w:eastAsiaTheme="minorEastAsia"/>
          <w:sz w:val="24"/>
          <w:szCs w:val="24"/>
        </w:rPr>
        <w:t>1</w:t>
      </w:r>
      <w:r>
        <w:rPr>
          <w:rFonts w:asciiTheme="minorEastAsia" w:hAnsiTheme="minorEastAsia" w:eastAsiaTheme="minorEastAsia"/>
          <w:sz w:val="24"/>
          <w:szCs w:val="24"/>
        </w:rPr>
        <w:t>月</w:t>
      </w:r>
      <w:r>
        <w:rPr>
          <w:rFonts w:hint="eastAsia" w:asciiTheme="minorEastAsia" w:hAnsiTheme="minorEastAsia" w:eastAsiaTheme="minorEastAsia"/>
          <w:sz w:val="24"/>
          <w:szCs w:val="24"/>
        </w:rPr>
        <w:t>1</w:t>
      </w:r>
      <w:r>
        <w:rPr>
          <w:rFonts w:asciiTheme="minorEastAsia" w:hAnsiTheme="minorEastAsia" w:eastAsiaTheme="minorEastAsia"/>
          <w:sz w:val="24"/>
          <w:szCs w:val="24"/>
        </w:rPr>
        <w:t>日起施行。</w:t>
      </w:r>
      <w:r>
        <w:rPr>
          <w:rFonts w:hint="eastAsia" w:asciiTheme="minorEastAsia" w:hAnsiTheme="minorEastAsia" w:eastAsiaTheme="minorEastAsia"/>
          <w:sz w:val="24"/>
          <w:szCs w:val="24"/>
        </w:rPr>
        <w:t>1994</w:t>
      </w:r>
      <w:r>
        <w:rPr>
          <w:rFonts w:asciiTheme="minorEastAsia" w:hAnsiTheme="minorEastAsia" w:eastAsiaTheme="minorEastAsia"/>
          <w:sz w:val="24"/>
          <w:szCs w:val="24"/>
        </w:rPr>
        <w:t>年</w:t>
      </w:r>
      <w:r>
        <w:rPr>
          <w:rFonts w:hint="eastAsia" w:asciiTheme="minorEastAsia" w:hAnsiTheme="minorEastAsia" w:eastAsiaTheme="minorEastAsia"/>
          <w:sz w:val="24"/>
          <w:szCs w:val="24"/>
        </w:rPr>
        <w:t>8</w:t>
      </w:r>
      <w:r>
        <w:rPr>
          <w:rFonts w:asciiTheme="minorEastAsia" w:hAnsiTheme="minorEastAsia" w:eastAsiaTheme="minorEastAsia"/>
          <w:sz w:val="24"/>
          <w:szCs w:val="24"/>
        </w:rPr>
        <w:t>月</w:t>
      </w:r>
      <w:r>
        <w:rPr>
          <w:rFonts w:hint="eastAsia" w:asciiTheme="minorEastAsia" w:hAnsiTheme="minorEastAsia" w:eastAsiaTheme="minorEastAsia"/>
          <w:sz w:val="24"/>
          <w:szCs w:val="24"/>
        </w:rPr>
        <w:t>18</w:t>
      </w:r>
      <w:r>
        <w:rPr>
          <w:rFonts w:asciiTheme="minorEastAsia" w:hAnsiTheme="minorEastAsia" w:eastAsiaTheme="minorEastAsia"/>
          <w:sz w:val="24"/>
          <w:szCs w:val="24"/>
        </w:rPr>
        <w:t>日国务院发布的《基本农田保护条例》同时废止。</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207" w:name="_Toc18942586"/>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208" w:name="_Toc26347926"/>
      <w:bookmarkStart w:id="209" w:name="_Toc28156948"/>
      <w:bookmarkStart w:id="210" w:name="_Toc25653660"/>
      <w:bookmarkStart w:id="211" w:name="_Toc28252146"/>
      <w:bookmarkStart w:id="212" w:name="_Toc25648165"/>
      <w:bookmarkStart w:id="213" w:name="_Toc28250875"/>
      <w:r>
        <w:t>北京市基本农田保护条例</w:t>
      </w:r>
      <w:bookmarkEnd w:id="207"/>
      <w:bookmarkEnd w:id="208"/>
      <w:bookmarkEnd w:id="209"/>
      <w:bookmarkEnd w:id="210"/>
      <w:bookmarkEnd w:id="211"/>
      <w:bookmarkEnd w:id="212"/>
      <w:bookmarkEnd w:id="213"/>
    </w:p>
    <w:p>
      <w:pPr>
        <w:pStyle w:val="62"/>
      </w:pPr>
      <w:r>
        <w:t>（1994年5月21日北京市第十届人民代表大会常务委员会第十次会议通过，根据2016年11月25日北京市第十四届人民代表大会常务委员会第三十一次会议通过的《关于修改部分地方性法规的决定》修订）</w:t>
      </w:r>
    </w:p>
    <w:p>
      <w:pPr>
        <w:pStyle w:val="5"/>
        <w:keepNext w:val="0"/>
        <w:keepLines w:val="0"/>
        <w:topLinePunct/>
        <w:spacing w:line="416" w:lineRule="exact"/>
        <w:ind w:firstLine="482" w:firstLineChars="200"/>
        <w:rPr>
          <w:rFonts w:asciiTheme="minorEastAsia" w:hAnsiTheme="minorEastAsia" w:eastAsiaTheme="minorEastAsia"/>
          <w:sz w:val="24"/>
          <w:szCs w:val="24"/>
        </w:rPr>
      </w:pPr>
    </w:p>
    <w:p>
      <w:pPr>
        <w:pStyle w:val="63"/>
        <w:spacing w:before="218" w:after="218" w:line="412" w:lineRule="exact"/>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kern w:val="0"/>
          <w:sz w:val="24"/>
          <w:szCs w:val="24"/>
        </w:rPr>
        <w:t>为切实保护耕地资源，对基本农田实行特殊保护，保障农业持续稳定发展，根据《中华人民共和国土地管理法》和《中华人民共和国农业法》结合本市实际情况，制定本条例。</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第二条  </w:t>
      </w:r>
      <w:r>
        <w:rPr>
          <w:rFonts w:asciiTheme="minorEastAsia" w:hAnsiTheme="minorEastAsia" w:eastAsiaTheme="minorEastAsia"/>
          <w:kern w:val="0"/>
          <w:sz w:val="24"/>
          <w:szCs w:val="24"/>
        </w:rPr>
        <w:t>本条例所称基本农田是指依据国民经济和社会发展以及规划人口增长的需求，依法划定、特殊保护、长期稳定的耕地。</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本条例所称耕地是指种植粮食、油料、蔬菜、饲料以及其他农作物的土地。</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第三条  </w:t>
      </w:r>
      <w:r>
        <w:rPr>
          <w:rFonts w:asciiTheme="minorEastAsia" w:hAnsiTheme="minorEastAsia" w:eastAsiaTheme="minorEastAsia"/>
          <w:kern w:val="0"/>
          <w:sz w:val="24"/>
          <w:szCs w:val="24"/>
        </w:rPr>
        <w:t>本条例适用于本市行政区域内基本农田的划定、保护、建设和监督管理。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第四条  </w:t>
      </w:r>
      <w:r>
        <w:rPr>
          <w:rFonts w:asciiTheme="minorEastAsia" w:hAnsiTheme="minorEastAsia" w:eastAsiaTheme="minorEastAsia"/>
          <w:kern w:val="0"/>
          <w:sz w:val="24"/>
          <w:szCs w:val="24"/>
        </w:rPr>
        <w:t>一切单位和个人都有保护基本农田的义务；对侵占、破坏基本农田的行为有检举、控告的权利。</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第五条  </w:t>
      </w:r>
      <w:r>
        <w:rPr>
          <w:rFonts w:asciiTheme="minorEastAsia" w:hAnsiTheme="minorEastAsia" w:eastAsiaTheme="minorEastAsia"/>
          <w:kern w:val="0"/>
          <w:sz w:val="24"/>
          <w:szCs w:val="24"/>
        </w:rPr>
        <w:t>市和区、县人民政府应当加强对基本农田保护工作的领导。</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市和区、县土地行政主管部门和农业行政主管部门，按照本条例规定的职责,负责本行政区域内基本农田保护的监督管理。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乡、镇人民政府负责本行政区域内基本农田的保护管理。</w:t>
      </w:r>
    </w:p>
    <w:p>
      <w:pPr>
        <w:pStyle w:val="63"/>
        <w:spacing w:before="218" w:after="218" w:line="412" w:lineRule="exact"/>
      </w:pPr>
      <w:r>
        <w:t xml:space="preserve">第二章 </w:t>
      </w:r>
      <w:r>
        <w:rPr>
          <w:rFonts w:hint="eastAsia"/>
        </w:rPr>
        <w:t xml:space="preserve"> </w:t>
      </w:r>
      <w:r>
        <w:t>基本农田的划定</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kern w:val="0"/>
          <w:sz w:val="24"/>
          <w:szCs w:val="24"/>
        </w:rPr>
        <w:t>确定基本农田面积，必须从实际出发，对本市国民经济和社会发展以及人口增长对耕地的需求进行科学预测。</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第七条  </w:t>
      </w:r>
      <w:r>
        <w:rPr>
          <w:rFonts w:asciiTheme="minorEastAsia" w:hAnsiTheme="minorEastAsia" w:eastAsiaTheme="minorEastAsia"/>
          <w:kern w:val="0"/>
          <w:sz w:val="24"/>
          <w:szCs w:val="24"/>
        </w:rPr>
        <w:t>基本农田划定方案应当根据国务院批准的北京城市总体规划制定，并与区、县域规划、村镇规划相协调。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第八条  </w:t>
      </w:r>
      <w:r>
        <w:rPr>
          <w:rFonts w:asciiTheme="minorEastAsia" w:hAnsiTheme="minorEastAsia" w:eastAsiaTheme="minorEastAsia"/>
          <w:kern w:val="0"/>
          <w:sz w:val="24"/>
          <w:szCs w:val="24"/>
        </w:rPr>
        <w:t>市人民政府对基本农田面积实行指标控制。全市基本农田划定方案由市土地、农业行政主管部门制定，报市人民政府批准。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区、县人民政府根据全市基本农田划定方案，结合当地实际情况，制定具体方案，报市人民政府批准后组织实施。</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任何单位和个人不得擅自改变基本农田划定方案。确需改变的，必须报经原批准机关批准。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第九条  </w:t>
      </w:r>
      <w:r>
        <w:rPr>
          <w:rFonts w:asciiTheme="minorEastAsia" w:hAnsiTheme="minorEastAsia" w:eastAsiaTheme="minorEastAsia"/>
          <w:kern w:val="0"/>
          <w:sz w:val="24"/>
          <w:szCs w:val="24"/>
        </w:rPr>
        <w:t>下列耕地应当划入基本农田：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（一）国务院主管部门和市人民政府批准确定的粮、油生产基地；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（二）市人民政府批准确定的蔬菜生产基地；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（三）市人民政府批准建立的种子生产基地；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（四）本行政区域内高产、稳产、优质农田；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（五）名、特、优、新农产品生产基地；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（六）农业教学、科研试验基地；</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（七）市和区、县人民政府认为需要划定的其他耕地。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第十条  </w:t>
      </w:r>
      <w:r>
        <w:rPr>
          <w:rFonts w:asciiTheme="minorEastAsia" w:hAnsiTheme="minorEastAsia" w:eastAsiaTheme="minorEastAsia"/>
          <w:kern w:val="0"/>
          <w:sz w:val="24"/>
          <w:szCs w:val="24"/>
        </w:rPr>
        <w:t>基本农田的划定，由乡、镇人民政府负责。划定的基本农田面积不得低于上级人民政府下达的指标，并应当绘图、登记、造册，建立档案。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划定的基本农田，由区、县人民政府批准，并予以公布。</w:t>
      </w:r>
    </w:p>
    <w:p>
      <w:pPr>
        <w:pStyle w:val="63"/>
        <w:spacing w:before="218" w:after="218" w:line="412" w:lineRule="exact"/>
      </w:pPr>
      <w:r>
        <w:t xml:space="preserve">第三章 </w:t>
      </w:r>
      <w:r>
        <w:rPr>
          <w:rFonts w:hint="eastAsia"/>
        </w:rPr>
        <w:t xml:space="preserve"> </w:t>
      </w:r>
      <w:r>
        <w:t>基本农田的保护和管理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kern w:val="0"/>
          <w:sz w:val="24"/>
          <w:szCs w:val="24"/>
        </w:rPr>
        <w:t>区、县和乡、镇人民政府要把基本农田的保护工作列入政府目标管理责任制，由上级人民政府监督检查。</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土地、农业行政主管部门应当按照各自的职责，对基本农田每年进行一次普查。被检查单位和个人应当如实提供有关情况和资料。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第十二条  </w:t>
      </w:r>
      <w:r>
        <w:rPr>
          <w:rFonts w:asciiTheme="minorEastAsia" w:hAnsiTheme="minorEastAsia" w:eastAsiaTheme="minorEastAsia"/>
          <w:kern w:val="0"/>
          <w:sz w:val="24"/>
          <w:szCs w:val="24"/>
        </w:rPr>
        <w:t>农村集体经济组织可以根据市场的需求，调整种植结构。但禁止在基本农田内挖鱼塘、种果树；禁止挖沙、取土、烧砖、建坟、采石、采矿、建房等非种植业建设和生产经营活动；禁止倾倒垃圾、渣土等废弃物和排放未经处理的废水。</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第十三条  </w:t>
      </w:r>
      <w:r>
        <w:rPr>
          <w:rFonts w:asciiTheme="minorEastAsia" w:hAnsiTheme="minorEastAsia" w:eastAsiaTheme="minorEastAsia"/>
          <w:sz w:val="24"/>
          <w:szCs w:val="24"/>
        </w:rPr>
        <w:t>严格控制征收、占用基本农田。除国务院批准的国家重点工程外，其他建设项目禁止征收、占用基本农田。</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第十四条  </w:t>
      </w:r>
      <w:r>
        <w:rPr>
          <w:rFonts w:asciiTheme="minorEastAsia" w:hAnsiTheme="minorEastAsia" w:eastAsiaTheme="minorEastAsia"/>
          <w:kern w:val="0"/>
          <w:sz w:val="24"/>
          <w:szCs w:val="24"/>
        </w:rPr>
        <w:t>严禁无权批准征用、占用土地的单位和个人批准征用、占用基本农田；严禁超越批准权限批准征用、占用基本农田。非法批准的文件无效，所占用的土地按非法占地处理。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第十五条  </w:t>
      </w:r>
      <w:r>
        <w:rPr>
          <w:rFonts w:asciiTheme="minorEastAsia" w:hAnsiTheme="minorEastAsia" w:eastAsiaTheme="minorEastAsia"/>
          <w:sz w:val="24"/>
          <w:szCs w:val="24"/>
        </w:rPr>
        <w:t>征收、占用基本农田的单位，必须依法支付征地费。土地补偿费、安置补助费、地上附着物和青苗补偿标准，按照国家和本市的有关规定执行。</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第十六条  </w:t>
      </w:r>
      <w:r>
        <w:rPr>
          <w:rFonts w:asciiTheme="minorEastAsia" w:hAnsiTheme="minorEastAsia" w:eastAsiaTheme="minorEastAsia"/>
          <w:kern w:val="0"/>
          <w:sz w:val="24"/>
          <w:szCs w:val="24"/>
        </w:rPr>
        <w:t>征用、占用基本农田的单位，除依法缴纳耕地占用税外，还应当缴纳基本农田开发建设基金，用于本农田的建设和开发。</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基本农田开发建设基金的征收标准和办法，由市人民政府制定。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第十七条  </w:t>
      </w:r>
      <w:r>
        <w:rPr>
          <w:rFonts w:asciiTheme="minorEastAsia" w:hAnsiTheme="minorEastAsia" w:eastAsiaTheme="minorEastAsia"/>
          <w:kern w:val="0"/>
          <w:sz w:val="24"/>
          <w:szCs w:val="24"/>
        </w:rPr>
        <w:t>征用、占用基本农田，实行“占一亩、补一亩”的原则。补建的基本农田，由农业集体经济组织负责建设，费用从基本农田开发建设基金中给予补助。</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补建的基本农田，由土地、农业行政主管部门验收合格后，纳入基本农田管理。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第十八条  </w:t>
      </w:r>
      <w:r>
        <w:rPr>
          <w:rFonts w:asciiTheme="minorEastAsia" w:hAnsiTheme="minorEastAsia" w:eastAsiaTheme="minorEastAsia"/>
          <w:kern w:val="0"/>
          <w:sz w:val="24"/>
          <w:szCs w:val="24"/>
        </w:rPr>
        <w:t>严禁荒芜基本农田。对荒芜基本农田的，由农村集体经济组织责令限期改正。凡弃耕一年以上的，征收土地荒芜费。征收标准和办法由市人民政府制定。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第十九条  </w:t>
      </w:r>
      <w:r>
        <w:rPr>
          <w:rFonts w:asciiTheme="minorEastAsia" w:hAnsiTheme="minorEastAsia" w:eastAsiaTheme="minorEastAsia"/>
          <w:kern w:val="0"/>
          <w:sz w:val="24"/>
          <w:szCs w:val="24"/>
        </w:rPr>
        <w:t>乡、镇人民政府和区、县土地行政主管部门应当加强对基本农田的监督管理，及时查处违法占用和破坏基本农田的案件，并向上一级人民政府和上一级土地行政主管部门报告。</w:t>
      </w:r>
    </w:p>
    <w:p>
      <w:pPr>
        <w:pStyle w:val="63"/>
        <w:spacing w:before="218" w:after="218" w:line="412" w:lineRule="exact"/>
      </w:pPr>
      <w:r>
        <w:t xml:space="preserve">第四章 </w:t>
      </w:r>
      <w:r>
        <w:rPr>
          <w:rFonts w:hint="eastAsia"/>
        </w:rPr>
        <w:t xml:space="preserve"> </w:t>
      </w:r>
      <w:r>
        <w:t>基本农田的建设</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kern w:val="0"/>
          <w:sz w:val="24"/>
          <w:szCs w:val="24"/>
        </w:rPr>
        <w:t>本市各级人民政府应当制定基本农田建设规划，组织农村集体经济组织进行农田水利、田间道路和农田防护林建设，减少风沙危害，防止水土流失，改良土壤，提高地力，把基本农田建设成为旱涝保收的高产、稳产农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第二十一条  </w:t>
      </w:r>
      <w:r>
        <w:rPr>
          <w:rFonts w:asciiTheme="minorEastAsia" w:hAnsiTheme="minorEastAsia" w:eastAsiaTheme="minorEastAsia"/>
          <w:kern w:val="0"/>
          <w:sz w:val="24"/>
          <w:szCs w:val="24"/>
        </w:rPr>
        <w:t>基本农田应当按照土地分级标准分等定级，并实行地力补偿制度。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鼓励基本农田经营者增施有机肥，培肥地力。在承包期间，地力升级的，由集体经济组织给予奖励；地力降级的，由经营者予以赔偿。</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基本农田分等定级标准，由市农业行政主管部门制定。</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第二十二条  </w:t>
      </w:r>
      <w:r>
        <w:rPr>
          <w:rFonts w:asciiTheme="minorEastAsia" w:hAnsiTheme="minorEastAsia" w:eastAsiaTheme="minorEastAsia"/>
          <w:kern w:val="0"/>
          <w:sz w:val="24"/>
          <w:szCs w:val="24"/>
        </w:rPr>
        <w:t>市和区、县农业行政主管部门，应当建立基本农田肥力监测网点，定期向同级人民政府提交基本农田地力状况和地力保护措施的报告，并为基本农田经营者提供指导服务。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第二十三条  </w:t>
      </w:r>
      <w:r>
        <w:rPr>
          <w:rFonts w:asciiTheme="minorEastAsia" w:hAnsiTheme="minorEastAsia" w:eastAsiaTheme="minorEastAsia"/>
          <w:kern w:val="0"/>
          <w:sz w:val="24"/>
          <w:szCs w:val="24"/>
        </w:rPr>
        <w:t>市和区、县农业行政主管部门，应当会同同级环境保护部门对基本农田环境质量进行监测与评价，并定期向同级人民政府提交基本农田环境质量与发展趋势的报告。</w:t>
      </w:r>
    </w:p>
    <w:p>
      <w:pPr>
        <w:pStyle w:val="63"/>
        <w:spacing w:before="218" w:after="218" w:line="412" w:lineRule="exact"/>
      </w:pPr>
      <w:r>
        <w:t xml:space="preserve">第五章 </w:t>
      </w:r>
      <w:r>
        <w:rPr>
          <w:rFonts w:hint="eastAsia"/>
        </w:rPr>
        <w:t xml:space="preserve"> </w:t>
      </w:r>
      <w:r>
        <w:t>法律责任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kern w:val="0"/>
          <w:sz w:val="24"/>
          <w:szCs w:val="24"/>
        </w:rPr>
        <w:t>违反本条例规定非法占用、破坏基本农田的，按《中华人民共和国土地管理法》的规定，由土地行政主管部门责令退还非法占用的土地，限期拆在非法占用的土地上新建的建筑物和其他设施，恢复地貌并处以罚款。</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第二十五条  </w:t>
      </w:r>
      <w:r>
        <w:rPr>
          <w:rFonts w:asciiTheme="minorEastAsia" w:hAnsiTheme="minorEastAsia" w:eastAsiaTheme="minorEastAsia"/>
          <w:kern w:val="0"/>
          <w:sz w:val="24"/>
          <w:szCs w:val="24"/>
        </w:rPr>
        <w:t>对违反本条例规定非法批准占用基本农田的直接责任人，由其所在机关或者上级机关给予行政处分；构成犯罪的，依法追究刑事责任。</w:t>
      </w:r>
    </w:p>
    <w:p>
      <w:pPr>
        <w:pStyle w:val="3"/>
        <w:topLinePunct/>
        <w:spacing w:line="412" w:lineRule="exact"/>
        <w:ind w:firstLine="482"/>
        <w:rPr>
          <w:rFonts w:asciiTheme="minorEastAsia" w:hAnsiTheme="minorEastAsia" w:eastAsiaTheme="minorEastAsia"/>
          <w:b/>
          <w:spacing w:val="4"/>
          <w:kern w:val="0"/>
          <w:sz w:val="24"/>
          <w:szCs w:val="24"/>
        </w:rPr>
      </w:pPr>
      <w:r>
        <w:rPr>
          <w:rFonts w:asciiTheme="minorEastAsia" w:hAnsiTheme="minorEastAsia" w:eastAsiaTheme="minorEastAsia"/>
          <w:b/>
          <w:kern w:val="0"/>
          <w:sz w:val="24"/>
          <w:szCs w:val="24"/>
        </w:rPr>
        <w:t xml:space="preserve">第二十六条  </w:t>
      </w:r>
      <w:r>
        <w:rPr>
          <w:rFonts w:asciiTheme="minorEastAsia" w:hAnsiTheme="minorEastAsia" w:eastAsiaTheme="minorEastAsia"/>
          <w:kern w:val="0"/>
          <w:sz w:val="24"/>
          <w:szCs w:val="24"/>
        </w:rPr>
        <w:t>土地</w:t>
      </w:r>
      <w:r>
        <w:rPr>
          <w:rFonts w:asciiTheme="minorEastAsia" w:hAnsiTheme="minorEastAsia" w:eastAsiaTheme="minorEastAsia"/>
          <w:spacing w:val="4"/>
          <w:kern w:val="0"/>
          <w:sz w:val="24"/>
          <w:szCs w:val="24"/>
        </w:rPr>
        <w:t>、农业行政主管部门工作人员不认真履行职责，玩忽职守,徇私舞弊的，由所在机关或者上级机关给予行政处分；构成犯罪的，依法追究刑事责任。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第二十七条  </w:t>
      </w:r>
      <w:r>
        <w:rPr>
          <w:rFonts w:asciiTheme="minorEastAsia" w:hAnsiTheme="minorEastAsia" w:eastAsiaTheme="minorEastAsia"/>
          <w:kern w:val="0"/>
          <w:sz w:val="24"/>
          <w:szCs w:val="24"/>
        </w:rPr>
        <w:t>违反本条例规定，排放污染物质，致使基本农田遭受污染并造成实际经济损失的，依照《中华人民共和国环境保护法》的规定处理。</w:t>
      </w:r>
    </w:p>
    <w:p>
      <w:pPr>
        <w:pStyle w:val="63"/>
        <w:spacing w:before="218" w:after="218" w:line="412" w:lineRule="exact"/>
      </w:pPr>
      <w:r>
        <w:t xml:space="preserve">第六章 </w:t>
      </w:r>
      <w:r>
        <w:rPr>
          <w:rFonts w:hint="eastAsia"/>
        </w:rPr>
        <w:t xml:space="preserve"> </w:t>
      </w:r>
      <w:r>
        <w:t>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kern w:val="0"/>
          <w:sz w:val="24"/>
          <w:szCs w:val="24"/>
        </w:rPr>
        <w:t>本条例未作规定的事项及基本农田以外耕地的保护管理，按照《中华人民共和国土地管理法》执行。</w:t>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sz w:val="24"/>
          <w:szCs w:val="24"/>
        </w:rPr>
      </w:pPr>
    </w:p>
    <w:p>
      <w:pPr>
        <w:pStyle w:val="61"/>
      </w:pPr>
      <w:bookmarkStart w:id="214" w:name="_Toc28250876"/>
      <w:bookmarkStart w:id="215" w:name="_Toc25648166"/>
      <w:bookmarkStart w:id="216" w:name="_Toc25653661"/>
      <w:bookmarkStart w:id="217" w:name="_Toc28156949"/>
      <w:bookmarkStart w:id="218" w:name="_Toc28252147"/>
      <w:bookmarkStart w:id="219" w:name="_Toc26347927"/>
      <w:r>
        <w:rPr>
          <w:rFonts w:hint="eastAsia"/>
        </w:rPr>
        <w:t>农田建设项目管理办法</w:t>
      </w:r>
      <w:bookmarkEnd w:id="214"/>
      <w:bookmarkEnd w:id="215"/>
      <w:bookmarkEnd w:id="216"/>
      <w:bookmarkEnd w:id="217"/>
      <w:bookmarkEnd w:id="218"/>
      <w:bookmarkEnd w:id="219"/>
    </w:p>
    <w:p>
      <w:pPr>
        <w:pStyle w:val="62"/>
        <w:ind w:left="0" w:leftChars="0" w:right="0" w:rightChars="0" w:firstLine="0" w:firstLineChars="0"/>
        <w:jc w:val="center"/>
      </w:pPr>
      <w:r>
        <w:rPr>
          <w:rFonts w:hint="eastAsia"/>
        </w:rPr>
        <w:t>（2019年8月27日农业农村部令2019年第4号发布）</w:t>
      </w:r>
    </w:p>
    <w:p>
      <w:pPr>
        <w:pStyle w:val="63"/>
        <w:spacing w:before="218" w:after="218" w:line="412" w:lineRule="exact"/>
      </w:pPr>
      <w:r>
        <w:rPr>
          <w:rFonts w:hint="eastAsia"/>
        </w:rPr>
        <w:t>第一章  总则</w:t>
      </w:r>
    </w:p>
    <w:p>
      <w:pPr>
        <w:pStyle w:val="3"/>
        <w:topLinePunct/>
        <w:spacing w:line="412" w:lineRule="exact"/>
        <w:ind w:firstLine="482"/>
        <w:rPr>
          <w:sz w:val="24"/>
          <w:szCs w:val="24"/>
        </w:rPr>
      </w:pPr>
      <w:r>
        <w:rPr>
          <w:rFonts w:hint="eastAsia"/>
          <w:b/>
          <w:sz w:val="24"/>
          <w:szCs w:val="24"/>
        </w:rPr>
        <w:t xml:space="preserve">第一条  </w:t>
      </w:r>
      <w:r>
        <w:rPr>
          <w:rFonts w:hint="eastAsia"/>
          <w:sz w:val="24"/>
          <w:szCs w:val="24"/>
        </w:rPr>
        <w:t>为规范农田建设项目管理，确保项目建设质量，实现项目预期目标，依据《中华人民共和国农业法》《基本农田保护条例》《政府投资条例》等法律、行政法规，制定本办法。</w:t>
      </w:r>
    </w:p>
    <w:p>
      <w:pPr>
        <w:pStyle w:val="3"/>
        <w:topLinePunct/>
        <w:spacing w:line="412" w:lineRule="exact"/>
        <w:ind w:firstLine="482"/>
        <w:rPr>
          <w:sz w:val="24"/>
          <w:szCs w:val="24"/>
        </w:rPr>
      </w:pPr>
      <w:r>
        <w:rPr>
          <w:rFonts w:hint="eastAsia"/>
          <w:b/>
          <w:sz w:val="24"/>
          <w:szCs w:val="24"/>
        </w:rPr>
        <w:t xml:space="preserve">第二条  </w:t>
      </w:r>
      <w:r>
        <w:rPr>
          <w:rFonts w:hint="eastAsia"/>
          <w:sz w:val="24"/>
          <w:szCs w:val="24"/>
        </w:rPr>
        <w:t>本办法所称农田建设，是指各级人民政府为支持农业可持续发展，改善农田基础设施条件，提高农田综合生产能力，贯彻落实“藏粮于地、藏粮于技”战略，安排资金对农田进行综合治理和保护的活动。本办法所称农田建设项目，是指为开展农田建设而实施的高标准农田建设等项目类型。</w:t>
      </w:r>
    </w:p>
    <w:p>
      <w:pPr>
        <w:pStyle w:val="3"/>
        <w:topLinePunct/>
        <w:spacing w:line="412" w:lineRule="exact"/>
        <w:ind w:firstLine="482"/>
        <w:rPr>
          <w:sz w:val="24"/>
          <w:szCs w:val="24"/>
        </w:rPr>
      </w:pPr>
      <w:r>
        <w:rPr>
          <w:rFonts w:hint="eastAsia"/>
          <w:b/>
          <w:sz w:val="24"/>
          <w:szCs w:val="24"/>
        </w:rPr>
        <w:t xml:space="preserve">第三条  </w:t>
      </w:r>
      <w:r>
        <w:rPr>
          <w:rFonts w:hint="eastAsia"/>
          <w:sz w:val="24"/>
          <w:szCs w:val="24"/>
        </w:rPr>
        <w:t>农田建设实行集中统一管理体制，统一规划布局、建设标准、组织实施、验收评价、上图入库。</w:t>
      </w:r>
    </w:p>
    <w:p>
      <w:pPr>
        <w:pStyle w:val="3"/>
        <w:topLinePunct/>
        <w:spacing w:line="412" w:lineRule="exact"/>
        <w:ind w:firstLine="482"/>
        <w:rPr>
          <w:sz w:val="24"/>
          <w:szCs w:val="24"/>
        </w:rPr>
      </w:pPr>
      <w:r>
        <w:rPr>
          <w:rFonts w:hint="eastAsia"/>
          <w:b/>
          <w:sz w:val="24"/>
          <w:szCs w:val="24"/>
        </w:rPr>
        <w:t xml:space="preserve">第四条  </w:t>
      </w:r>
      <w:r>
        <w:rPr>
          <w:rFonts w:hint="eastAsia"/>
          <w:sz w:val="24"/>
          <w:szCs w:val="24"/>
        </w:rPr>
        <w:t>农</w:t>
      </w:r>
      <w:r>
        <w:rPr>
          <w:rFonts w:hint="eastAsia"/>
          <w:spacing w:val="6"/>
          <w:sz w:val="24"/>
          <w:szCs w:val="24"/>
        </w:rPr>
        <w:t>业农村部负责管理和指导全国农田建设工作，制定农田建设政策、规章制度，牵头组织编制农田建设规划，建立全国农田建设项目评审专家库，统筹安排农田建设任务，管理农田建设项目，对各地农田建设项目管理进行监督评价。</w:t>
      </w:r>
    </w:p>
    <w:p>
      <w:pPr>
        <w:pStyle w:val="3"/>
        <w:topLinePunct/>
        <w:spacing w:line="412" w:lineRule="exact"/>
        <w:ind w:firstLine="480"/>
        <w:rPr>
          <w:sz w:val="24"/>
          <w:szCs w:val="24"/>
        </w:rPr>
      </w:pPr>
      <w:r>
        <w:rPr>
          <w:rFonts w:hint="eastAsia"/>
          <w:sz w:val="24"/>
          <w:szCs w:val="24"/>
        </w:rPr>
        <w:t>省级人民政府农业农村主管部门负责指导本地区农田建设工作，牵头拟订本地区农田建设政策和规划，组织完成中央下达的建设任务，提出本地区农田建设年度任务方案，建立省级农田建设项目评审专家库，审批项目初步设计文件，组织开展项目竣工验收和监督检查，确定本地区各级人民政府农业农村主管部门农田建设项目管理职责，对本地区农田建设项目进行管理。</w:t>
      </w:r>
    </w:p>
    <w:p>
      <w:pPr>
        <w:pStyle w:val="3"/>
        <w:topLinePunct/>
        <w:spacing w:line="412" w:lineRule="exact"/>
        <w:ind w:firstLine="480"/>
        <w:rPr>
          <w:sz w:val="24"/>
          <w:szCs w:val="24"/>
        </w:rPr>
      </w:pPr>
      <w:r>
        <w:rPr>
          <w:rFonts w:hint="eastAsia"/>
          <w:sz w:val="24"/>
          <w:szCs w:val="24"/>
        </w:rPr>
        <w:t>地（市、州、盟）级人民政府农业农村主管部门负责指导本地区农田建设工作，承担省级下放或委托的项目初步设计审批、竣工验收等职责，对本地区农田建设项目进行监督检查和统计汇总等。</w:t>
      </w:r>
    </w:p>
    <w:p>
      <w:pPr>
        <w:pStyle w:val="3"/>
        <w:topLinePunct/>
        <w:spacing w:line="412" w:lineRule="exact"/>
        <w:ind w:firstLine="480"/>
        <w:rPr>
          <w:sz w:val="24"/>
          <w:szCs w:val="24"/>
        </w:rPr>
      </w:pPr>
      <w:r>
        <w:rPr>
          <w:rFonts w:hint="eastAsia"/>
          <w:sz w:val="24"/>
          <w:szCs w:val="24"/>
        </w:rPr>
        <w:t>县级人民政府农业农村主管部门负责本地区农田建设工作，制定县域农田建设规划，建立项目库，组织编制项目初步设计文件，申报项目，组织开展项目实施和初步验收，落实监管责任，开展日常监管。</w:t>
      </w:r>
    </w:p>
    <w:p>
      <w:pPr>
        <w:pStyle w:val="3"/>
        <w:topLinePunct/>
        <w:spacing w:line="412" w:lineRule="exact"/>
        <w:ind w:firstLine="482"/>
        <w:rPr>
          <w:sz w:val="24"/>
          <w:szCs w:val="24"/>
        </w:rPr>
      </w:pPr>
      <w:r>
        <w:rPr>
          <w:rFonts w:hint="eastAsia"/>
          <w:b/>
          <w:sz w:val="24"/>
          <w:szCs w:val="24"/>
        </w:rPr>
        <w:t xml:space="preserve">第五条  </w:t>
      </w:r>
      <w:r>
        <w:rPr>
          <w:rFonts w:hint="eastAsia"/>
          <w:sz w:val="24"/>
          <w:szCs w:val="24"/>
        </w:rPr>
        <w:t>农田建设项目遵循规划编制、前期准备、申报审批、计划管理、组织实施、竣工验收、监督评价等管理程序。</w:t>
      </w:r>
    </w:p>
    <w:p>
      <w:pPr>
        <w:widowControl/>
        <w:spacing w:before="156" w:after="156"/>
        <w:ind w:firstLine="240"/>
        <w:rPr>
          <w:rFonts w:ascii="宋体" w:hAnsi="宋体" w:eastAsia="宋体" w:cs="Times New Roman"/>
          <w:sz w:val="24"/>
          <w:szCs w:val="24"/>
        </w:rPr>
      </w:pPr>
      <w:r>
        <w:rPr>
          <w:sz w:val="24"/>
          <w:szCs w:val="24"/>
        </w:rPr>
        <w:br w:type="page"/>
      </w:r>
    </w:p>
    <w:p>
      <w:pPr>
        <w:pStyle w:val="63"/>
        <w:spacing w:before="218" w:after="218" w:line="412" w:lineRule="exact"/>
      </w:pPr>
      <w:r>
        <w:rPr>
          <w:rFonts w:hint="eastAsia"/>
        </w:rPr>
        <w:t>第二章  规划编制</w:t>
      </w:r>
    </w:p>
    <w:p>
      <w:pPr>
        <w:pStyle w:val="3"/>
        <w:topLinePunct/>
        <w:spacing w:line="412" w:lineRule="exact"/>
        <w:ind w:firstLine="482"/>
        <w:rPr>
          <w:sz w:val="24"/>
          <w:szCs w:val="24"/>
        </w:rPr>
      </w:pPr>
      <w:r>
        <w:rPr>
          <w:rFonts w:hint="eastAsia"/>
          <w:b/>
          <w:sz w:val="24"/>
          <w:szCs w:val="24"/>
        </w:rPr>
        <w:t xml:space="preserve">第六条  </w:t>
      </w:r>
      <w:r>
        <w:rPr>
          <w:rFonts w:hint="eastAsia"/>
          <w:sz w:val="24"/>
          <w:szCs w:val="24"/>
        </w:rPr>
        <w:t>农田建设项目坚持规划先行。规划应遵循突出重点、集中连片、整体推进、分期建设的原则，明确农田建设区域布局，优先扶持粮食生产功能区和重要农产品生产保护区（以下简称“两区”），把“两区”耕地全部建成高标准农田。</w:t>
      </w:r>
    </w:p>
    <w:p>
      <w:pPr>
        <w:pStyle w:val="3"/>
        <w:topLinePunct/>
        <w:spacing w:line="412" w:lineRule="exact"/>
        <w:ind w:firstLine="482"/>
        <w:rPr>
          <w:sz w:val="24"/>
          <w:szCs w:val="24"/>
        </w:rPr>
      </w:pPr>
      <w:r>
        <w:rPr>
          <w:rFonts w:hint="eastAsia"/>
          <w:b/>
          <w:sz w:val="24"/>
          <w:szCs w:val="24"/>
        </w:rPr>
        <w:t xml:space="preserve">第七条  </w:t>
      </w:r>
      <w:r>
        <w:rPr>
          <w:rFonts w:hint="eastAsia"/>
          <w:sz w:val="24"/>
          <w:szCs w:val="24"/>
        </w:rPr>
        <w:t>农业农村部负责牵头组织制定全国农田建设规划，报经国务院批准后实施。省级人民政府农业农村主管部门根据全国农田建设规划，研究编制本省农田建设规划，经省级人民政府批准后发布实施，并报农业农村部备案。</w:t>
      </w:r>
    </w:p>
    <w:p>
      <w:pPr>
        <w:pStyle w:val="3"/>
        <w:topLinePunct/>
        <w:spacing w:line="412" w:lineRule="exact"/>
        <w:ind w:firstLine="482"/>
        <w:rPr>
          <w:sz w:val="24"/>
          <w:szCs w:val="24"/>
        </w:rPr>
      </w:pPr>
      <w:r>
        <w:rPr>
          <w:rFonts w:hint="eastAsia"/>
          <w:b/>
          <w:sz w:val="24"/>
          <w:szCs w:val="24"/>
        </w:rPr>
        <w:t xml:space="preserve">第八条  </w:t>
      </w:r>
      <w:r>
        <w:rPr>
          <w:rFonts w:hint="eastAsia"/>
          <w:sz w:val="24"/>
          <w:szCs w:val="24"/>
        </w:rPr>
        <w:t>县级人民政府农业农村主管部门对接省级农田建设规划任务，牵头组织编制本级农田建设规划，并与当地水利、自然资源等部门规划衔接。</w:t>
      </w:r>
    </w:p>
    <w:p>
      <w:pPr>
        <w:pStyle w:val="3"/>
        <w:topLinePunct/>
        <w:spacing w:line="412" w:lineRule="exact"/>
        <w:ind w:firstLine="480"/>
        <w:rPr>
          <w:sz w:val="24"/>
          <w:szCs w:val="24"/>
        </w:rPr>
      </w:pPr>
      <w:r>
        <w:rPr>
          <w:rFonts w:hint="eastAsia"/>
          <w:sz w:val="24"/>
          <w:szCs w:val="24"/>
        </w:rPr>
        <w:t>县级农田建设规划要根据区域水土资源条件，按流域或连片区域规划项目，落实到地块，形成规划项目布局图和项目库（单个项目达到项目可行性研究深度）。县级规划经本级人民政府批准后发布实施，并报省、市两级人民政府农业农村主管部门备案。</w:t>
      </w:r>
    </w:p>
    <w:p>
      <w:pPr>
        <w:pStyle w:val="3"/>
        <w:topLinePunct/>
        <w:spacing w:line="412" w:lineRule="exact"/>
        <w:ind w:firstLine="482"/>
        <w:rPr>
          <w:sz w:val="24"/>
          <w:szCs w:val="24"/>
        </w:rPr>
      </w:pPr>
      <w:r>
        <w:rPr>
          <w:rFonts w:hint="eastAsia"/>
          <w:b/>
          <w:sz w:val="24"/>
          <w:szCs w:val="24"/>
        </w:rPr>
        <w:t xml:space="preserve">第九条  </w:t>
      </w:r>
      <w:r>
        <w:rPr>
          <w:rFonts w:hint="eastAsia"/>
          <w:sz w:val="24"/>
          <w:szCs w:val="24"/>
        </w:rPr>
        <w:t>省级人民政府农业农村主管部门汇总县级项目库，形成省级农田建设项目库。</w:t>
      </w:r>
    </w:p>
    <w:p>
      <w:pPr>
        <w:pStyle w:val="63"/>
        <w:spacing w:before="218" w:after="218" w:line="412" w:lineRule="exact"/>
      </w:pPr>
      <w:r>
        <w:rPr>
          <w:rFonts w:hint="eastAsia"/>
        </w:rPr>
        <w:t>第三章  项目申报与审批</w:t>
      </w:r>
    </w:p>
    <w:p>
      <w:pPr>
        <w:pStyle w:val="3"/>
        <w:topLinePunct/>
        <w:spacing w:line="412" w:lineRule="exact"/>
        <w:ind w:firstLine="482"/>
        <w:rPr>
          <w:sz w:val="24"/>
          <w:szCs w:val="24"/>
        </w:rPr>
      </w:pPr>
      <w:r>
        <w:rPr>
          <w:rFonts w:hint="eastAsia"/>
          <w:b/>
          <w:sz w:val="24"/>
          <w:szCs w:val="24"/>
        </w:rPr>
        <w:t xml:space="preserve">第十条  </w:t>
      </w:r>
      <w:r>
        <w:rPr>
          <w:rFonts w:hint="eastAsia"/>
          <w:sz w:val="24"/>
          <w:szCs w:val="24"/>
        </w:rPr>
        <w:t>农田建设项目实行常态化申报，纳入项目库的项目，在征求项目区农村集体经济组织和农户意见后，在完成项目区实地测绘和勘察的基础上，编制项目初步设计文件。</w:t>
      </w:r>
    </w:p>
    <w:p>
      <w:pPr>
        <w:pStyle w:val="3"/>
        <w:topLinePunct/>
        <w:spacing w:line="412" w:lineRule="exact"/>
        <w:ind w:firstLine="482"/>
        <w:rPr>
          <w:sz w:val="24"/>
          <w:szCs w:val="24"/>
        </w:rPr>
      </w:pPr>
      <w:r>
        <w:rPr>
          <w:rFonts w:hint="eastAsia"/>
          <w:b/>
          <w:sz w:val="24"/>
          <w:szCs w:val="24"/>
        </w:rPr>
        <w:t xml:space="preserve">第十一条  </w:t>
      </w:r>
      <w:r>
        <w:rPr>
          <w:rFonts w:hint="eastAsia"/>
          <w:sz w:val="24"/>
          <w:szCs w:val="24"/>
        </w:rPr>
        <w:t>农田建设项目初步设计文件由县级人民政府农业农村主管部门牵头组织编制。初步设计文件包括初步设计报告、设计图、概算书等材料。</w:t>
      </w:r>
    </w:p>
    <w:p>
      <w:pPr>
        <w:pStyle w:val="3"/>
        <w:topLinePunct/>
        <w:spacing w:line="412" w:lineRule="exact"/>
        <w:ind w:firstLine="482"/>
        <w:rPr>
          <w:sz w:val="24"/>
          <w:szCs w:val="24"/>
        </w:rPr>
      </w:pPr>
      <w:r>
        <w:rPr>
          <w:rFonts w:hint="eastAsia"/>
          <w:b/>
          <w:sz w:val="24"/>
          <w:szCs w:val="24"/>
        </w:rPr>
        <w:t xml:space="preserve">第十二条  </w:t>
      </w:r>
      <w:r>
        <w:rPr>
          <w:rFonts w:hint="eastAsia"/>
          <w:sz w:val="24"/>
          <w:szCs w:val="24"/>
        </w:rPr>
        <w:t>初步设计文件应由具有相应勘察、设计资质的机构进行编制，并达到规定的深度。</w:t>
      </w:r>
    </w:p>
    <w:p>
      <w:pPr>
        <w:pStyle w:val="3"/>
        <w:topLinePunct/>
        <w:spacing w:line="412" w:lineRule="exact"/>
        <w:ind w:firstLine="482"/>
        <w:rPr>
          <w:sz w:val="24"/>
          <w:szCs w:val="24"/>
        </w:rPr>
      </w:pPr>
      <w:r>
        <w:rPr>
          <w:rFonts w:hint="eastAsia"/>
          <w:b/>
          <w:sz w:val="24"/>
          <w:szCs w:val="24"/>
        </w:rPr>
        <w:t xml:space="preserve">第十三条  </w:t>
      </w:r>
      <w:r>
        <w:rPr>
          <w:rFonts w:hint="eastAsia"/>
          <w:sz w:val="24"/>
          <w:szCs w:val="24"/>
        </w:rPr>
        <w:t>县级人民政府农业农村主管部门依据规划任务、工作实际等情况，将项目初步设计文件报送上级人民政府农业农村主管部门。省级人民政府农业农村主管部门会同有关部门，结合本地实际，按照地方法规要求，确定项目审批主体。</w:t>
      </w:r>
    </w:p>
    <w:p>
      <w:pPr>
        <w:pStyle w:val="3"/>
        <w:topLinePunct/>
        <w:spacing w:line="412" w:lineRule="exact"/>
        <w:ind w:firstLine="482"/>
        <w:rPr>
          <w:sz w:val="24"/>
          <w:szCs w:val="24"/>
        </w:rPr>
      </w:pPr>
      <w:r>
        <w:rPr>
          <w:rFonts w:hint="eastAsia"/>
          <w:b/>
          <w:sz w:val="24"/>
          <w:szCs w:val="24"/>
        </w:rPr>
        <w:t xml:space="preserve">第十四条  </w:t>
      </w:r>
      <w:r>
        <w:rPr>
          <w:rFonts w:hint="eastAsia"/>
          <w:sz w:val="24"/>
          <w:szCs w:val="24"/>
        </w:rPr>
        <w:t>省、受托的地（市、州、盟）组织或委托第三方机构开展初步设计文件评审工作。评审专家从评审专家库中抽取。评审可行的项目要向社会公示（涉及国家秘密的内容除外），公示期一般不少于5个工作日。公示无异议的项目要适时批复。</w:t>
      </w:r>
    </w:p>
    <w:p>
      <w:pPr>
        <w:pStyle w:val="3"/>
        <w:topLinePunct/>
        <w:spacing w:line="412" w:lineRule="exact"/>
        <w:ind w:firstLine="482"/>
        <w:rPr>
          <w:sz w:val="24"/>
          <w:szCs w:val="24"/>
        </w:rPr>
      </w:pPr>
      <w:r>
        <w:rPr>
          <w:rFonts w:hint="eastAsia"/>
          <w:b/>
          <w:sz w:val="24"/>
          <w:szCs w:val="24"/>
        </w:rPr>
        <w:t xml:space="preserve">第十五条  </w:t>
      </w:r>
      <w:r>
        <w:rPr>
          <w:rFonts w:hint="eastAsia"/>
          <w:sz w:val="24"/>
          <w:szCs w:val="24"/>
        </w:rPr>
        <w:t>省级人民政府农业农村主管部门依据本省农田建设规划以及前期工作情况，以县为单元向农业农村部申报年度建设任务。农业农村部根据全国农田建设规划并结合省级监督评价等情况，下达年度农田建设任务。</w:t>
      </w:r>
    </w:p>
    <w:p>
      <w:pPr>
        <w:pStyle w:val="3"/>
        <w:topLinePunct/>
        <w:spacing w:line="412" w:lineRule="exact"/>
        <w:ind w:firstLine="482"/>
        <w:rPr>
          <w:sz w:val="24"/>
          <w:szCs w:val="24"/>
        </w:rPr>
      </w:pPr>
      <w:r>
        <w:rPr>
          <w:rFonts w:hint="eastAsia"/>
          <w:b/>
          <w:sz w:val="24"/>
          <w:szCs w:val="24"/>
        </w:rPr>
        <w:t xml:space="preserve">第十六条  </w:t>
      </w:r>
      <w:r>
        <w:rPr>
          <w:rFonts w:hint="eastAsia"/>
          <w:sz w:val="24"/>
          <w:szCs w:val="24"/>
        </w:rPr>
        <w:t>地方各级人民政府农业农村主管部门应当依据经批复的项目初步设计文件，编制、汇总农田建设项目年度实施计划。省级人民政府农业农村主管部门负责批复本地区农田建设项目年度实施计划，并报农业农村部备案。</w:t>
      </w:r>
    </w:p>
    <w:p>
      <w:pPr>
        <w:pStyle w:val="63"/>
        <w:spacing w:before="218" w:after="218" w:line="412" w:lineRule="exact"/>
      </w:pPr>
      <w:r>
        <w:rPr>
          <w:rFonts w:hint="eastAsia"/>
        </w:rPr>
        <w:t>第四章  组织实施</w:t>
      </w:r>
    </w:p>
    <w:p>
      <w:pPr>
        <w:pStyle w:val="3"/>
        <w:topLinePunct/>
        <w:spacing w:line="412" w:lineRule="exact"/>
        <w:ind w:firstLine="482"/>
        <w:rPr>
          <w:sz w:val="24"/>
          <w:szCs w:val="24"/>
        </w:rPr>
      </w:pPr>
      <w:r>
        <w:rPr>
          <w:rFonts w:hint="eastAsia"/>
          <w:b/>
          <w:sz w:val="24"/>
          <w:szCs w:val="24"/>
        </w:rPr>
        <w:t xml:space="preserve">第十七条  </w:t>
      </w:r>
      <w:r>
        <w:rPr>
          <w:rFonts w:hint="eastAsia"/>
          <w:sz w:val="24"/>
          <w:szCs w:val="24"/>
        </w:rPr>
        <w:t>农田建设项目应按照批复的初步设计文件和年度实施计划组织实施，按期完工，并达到项目设计目标。建设期一般为1—2年。</w:t>
      </w:r>
    </w:p>
    <w:p>
      <w:pPr>
        <w:pStyle w:val="3"/>
        <w:topLinePunct/>
        <w:spacing w:line="412" w:lineRule="exact"/>
        <w:ind w:firstLine="482"/>
        <w:rPr>
          <w:sz w:val="24"/>
          <w:szCs w:val="24"/>
        </w:rPr>
      </w:pPr>
      <w:r>
        <w:rPr>
          <w:rFonts w:hint="eastAsia"/>
          <w:b/>
          <w:sz w:val="24"/>
          <w:szCs w:val="24"/>
        </w:rPr>
        <w:t xml:space="preserve">第十八条  </w:t>
      </w:r>
      <w:r>
        <w:rPr>
          <w:rFonts w:hint="eastAsia"/>
          <w:sz w:val="24"/>
          <w:szCs w:val="24"/>
        </w:rPr>
        <w:t>农田建设项目应当推行项目法人制，按照国家有关招标投标、政府采购、合同管理、工程监理、资金和项目公示等规定执行。省级人民政府农业农村主管部门根据本地区实际情况，对具备条件的新型经营主体或农村集体经济组织自主组织实施的农田建设项目，可简化操作程序，以先建后补等方式实施，县级人民政府农业农村主管部门应选定工程监理单位监督实施。</w:t>
      </w:r>
    </w:p>
    <w:p>
      <w:pPr>
        <w:pStyle w:val="3"/>
        <w:topLinePunct/>
        <w:spacing w:line="412" w:lineRule="exact"/>
        <w:ind w:firstLine="482"/>
        <w:rPr>
          <w:sz w:val="24"/>
          <w:szCs w:val="24"/>
        </w:rPr>
      </w:pPr>
      <w:r>
        <w:rPr>
          <w:rFonts w:hint="eastAsia"/>
          <w:b/>
          <w:sz w:val="24"/>
          <w:szCs w:val="24"/>
        </w:rPr>
        <w:t xml:space="preserve">第十九条  </w:t>
      </w:r>
      <w:r>
        <w:rPr>
          <w:rFonts w:hint="eastAsia"/>
          <w:sz w:val="24"/>
          <w:szCs w:val="24"/>
        </w:rPr>
        <w:t>组织开展农田建设应坚持农民自愿、民主方式，调动农民主动参与项目规划、建设和管护等积极性。鼓励在项目建设中开展耕地小块并大块的宜机化整理。</w:t>
      </w:r>
    </w:p>
    <w:p>
      <w:pPr>
        <w:pStyle w:val="3"/>
        <w:topLinePunct/>
        <w:spacing w:line="412" w:lineRule="exact"/>
        <w:ind w:firstLine="482"/>
        <w:rPr>
          <w:sz w:val="24"/>
          <w:szCs w:val="24"/>
        </w:rPr>
      </w:pPr>
      <w:r>
        <w:rPr>
          <w:rFonts w:hint="eastAsia"/>
          <w:b/>
          <w:sz w:val="24"/>
          <w:szCs w:val="24"/>
        </w:rPr>
        <w:t xml:space="preserve">第二十条  </w:t>
      </w:r>
      <w:r>
        <w:rPr>
          <w:rFonts w:hint="eastAsia"/>
          <w:sz w:val="24"/>
          <w:szCs w:val="24"/>
        </w:rPr>
        <w:t>参与项目建设的工程施工、监理、审计及专业化管理等单位或机构应具有相应资质。</w:t>
      </w:r>
    </w:p>
    <w:p>
      <w:pPr>
        <w:pStyle w:val="3"/>
        <w:topLinePunct/>
        <w:spacing w:line="412" w:lineRule="exact"/>
        <w:ind w:firstLine="482"/>
        <w:rPr>
          <w:sz w:val="24"/>
          <w:szCs w:val="24"/>
        </w:rPr>
      </w:pPr>
      <w:r>
        <w:rPr>
          <w:rFonts w:hint="eastAsia"/>
          <w:b/>
          <w:sz w:val="24"/>
          <w:szCs w:val="24"/>
        </w:rPr>
        <w:t xml:space="preserve">第二十一条  </w:t>
      </w:r>
      <w:r>
        <w:rPr>
          <w:rFonts w:hint="eastAsia"/>
          <w:sz w:val="24"/>
          <w:szCs w:val="24"/>
        </w:rPr>
        <w:t>项目实施应当严格按照年度实施计划和初步设计批复执行，不得擅自调整或终止。确需进行调整或终止的，按照“谁审批、谁调整”的原则，依据有关规定办理审核批复。项目调整应确保批复的建设任务不减少，建设标准不降低。</w:t>
      </w:r>
    </w:p>
    <w:p>
      <w:pPr>
        <w:pStyle w:val="3"/>
        <w:topLinePunct/>
        <w:spacing w:line="412" w:lineRule="exact"/>
        <w:ind w:firstLine="480"/>
        <w:rPr>
          <w:sz w:val="24"/>
          <w:szCs w:val="24"/>
        </w:rPr>
      </w:pPr>
      <w:r>
        <w:rPr>
          <w:rFonts w:hint="eastAsia"/>
          <w:sz w:val="24"/>
          <w:szCs w:val="24"/>
        </w:rPr>
        <w:t>终止项目和省级部门批复调整的项目应当报农业农村部备案。</w:t>
      </w:r>
    </w:p>
    <w:p>
      <w:pPr>
        <w:pStyle w:val="3"/>
        <w:topLinePunct/>
        <w:spacing w:line="412" w:lineRule="exact"/>
        <w:ind w:firstLine="482"/>
        <w:rPr>
          <w:sz w:val="24"/>
          <w:szCs w:val="24"/>
        </w:rPr>
      </w:pPr>
      <w:r>
        <w:rPr>
          <w:rFonts w:hint="eastAsia"/>
          <w:b/>
          <w:sz w:val="24"/>
          <w:szCs w:val="24"/>
        </w:rPr>
        <w:t xml:space="preserve">第二十二条  </w:t>
      </w:r>
      <w:r>
        <w:rPr>
          <w:rFonts w:hint="eastAsia"/>
          <w:sz w:val="24"/>
          <w:szCs w:val="24"/>
        </w:rPr>
        <w:t>农田建设项目执行定期调度和统计调查制度，各级人民政府农业农村主管部门应按照有关要求，及时汇总上报建设进度，定期报送项目年度实施计划完成情况。</w:t>
      </w:r>
    </w:p>
    <w:p>
      <w:pPr>
        <w:pStyle w:val="63"/>
        <w:spacing w:before="218" w:after="218" w:line="412" w:lineRule="exact"/>
      </w:pPr>
      <w:r>
        <w:rPr>
          <w:rFonts w:hint="eastAsia"/>
        </w:rPr>
        <w:t>第五章  竣工验收</w:t>
      </w:r>
    </w:p>
    <w:p>
      <w:pPr>
        <w:pStyle w:val="3"/>
        <w:topLinePunct/>
        <w:spacing w:line="412" w:lineRule="exact"/>
        <w:ind w:firstLine="482"/>
        <w:rPr>
          <w:sz w:val="24"/>
          <w:szCs w:val="24"/>
        </w:rPr>
      </w:pPr>
      <w:r>
        <w:rPr>
          <w:rFonts w:hint="eastAsia"/>
          <w:b/>
          <w:sz w:val="24"/>
          <w:szCs w:val="24"/>
        </w:rPr>
        <w:t xml:space="preserve">第二十三条  </w:t>
      </w:r>
      <w:r>
        <w:rPr>
          <w:rFonts w:hint="eastAsia"/>
          <w:sz w:val="24"/>
          <w:szCs w:val="24"/>
        </w:rPr>
        <w:t>农田建设项目按照“谁审批、谁验收”的原则，由审批项目初步设计单位组织竣工验收。</w:t>
      </w:r>
    </w:p>
    <w:p>
      <w:pPr>
        <w:pStyle w:val="3"/>
        <w:topLinePunct/>
        <w:spacing w:line="412" w:lineRule="exact"/>
        <w:ind w:firstLine="482"/>
        <w:rPr>
          <w:sz w:val="24"/>
          <w:szCs w:val="24"/>
        </w:rPr>
      </w:pPr>
      <w:r>
        <w:rPr>
          <w:rFonts w:hint="eastAsia"/>
          <w:b/>
          <w:sz w:val="24"/>
          <w:szCs w:val="24"/>
        </w:rPr>
        <w:t xml:space="preserve">第二十四条  </w:t>
      </w:r>
      <w:r>
        <w:rPr>
          <w:rFonts w:hint="eastAsia"/>
          <w:sz w:val="24"/>
          <w:szCs w:val="24"/>
        </w:rPr>
        <w:t>申请竣工验收的项目应当具备下列条件：</w:t>
      </w:r>
    </w:p>
    <w:p>
      <w:pPr>
        <w:pStyle w:val="3"/>
        <w:topLinePunct/>
        <w:spacing w:line="412" w:lineRule="exact"/>
        <w:ind w:firstLine="480"/>
        <w:rPr>
          <w:sz w:val="24"/>
          <w:szCs w:val="24"/>
        </w:rPr>
      </w:pPr>
      <w:r>
        <w:rPr>
          <w:rFonts w:hint="eastAsia"/>
          <w:sz w:val="24"/>
          <w:szCs w:val="24"/>
        </w:rPr>
        <w:t>（一）完成批复的初步设计文件中各项建设内容；</w:t>
      </w:r>
    </w:p>
    <w:p>
      <w:pPr>
        <w:pStyle w:val="3"/>
        <w:topLinePunct/>
        <w:spacing w:line="412" w:lineRule="exact"/>
        <w:ind w:firstLine="480"/>
        <w:rPr>
          <w:sz w:val="24"/>
          <w:szCs w:val="24"/>
        </w:rPr>
      </w:pPr>
      <w:r>
        <w:rPr>
          <w:rFonts w:hint="eastAsia"/>
          <w:sz w:val="24"/>
          <w:szCs w:val="24"/>
        </w:rPr>
        <w:t>（二）技术文件材料分类立卷，技术档案和施工管理资料齐全、完整；</w:t>
      </w:r>
    </w:p>
    <w:p>
      <w:pPr>
        <w:pStyle w:val="3"/>
        <w:topLinePunct/>
        <w:spacing w:line="412" w:lineRule="exact"/>
        <w:ind w:firstLine="480"/>
        <w:rPr>
          <w:sz w:val="24"/>
          <w:szCs w:val="24"/>
        </w:rPr>
      </w:pPr>
      <w:r>
        <w:rPr>
          <w:rFonts w:hint="eastAsia"/>
          <w:sz w:val="24"/>
          <w:szCs w:val="24"/>
        </w:rPr>
        <w:t>（三）主要设备及配套设施运行正常，达到项目设计目标；</w:t>
      </w:r>
    </w:p>
    <w:p>
      <w:pPr>
        <w:pStyle w:val="3"/>
        <w:topLinePunct/>
        <w:spacing w:line="412" w:lineRule="exact"/>
        <w:ind w:firstLine="480"/>
        <w:rPr>
          <w:sz w:val="24"/>
          <w:szCs w:val="24"/>
        </w:rPr>
      </w:pPr>
      <w:r>
        <w:rPr>
          <w:rFonts w:hint="eastAsia"/>
          <w:sz w:val="24"/>
          <w:szCs w:val="24"/>
        </w:rPr>
        <w:t>（四）各单项工程已经设计单位、施工单位、监理单位和建设单位等四方验收；</w:t>
      </w:r>
    </w:p>
    <w:p>
      <w:pPr>
        <w:pStyle w:val="3"/>
        <w:topLinePunct/>
        <w:spacing w:line="412" w:lineRule="exact"/>
        <w:ind w:firstLine="480"/>
        <w:rPr>
          <w:sz w:val="24"/>
          <w:szCs w:val="24"/>
        </w:rPr>
      </w:pPr>
      <w:r>
        <w:rPr>
          <w:rFonts w:hint="eastAsia"/>
          <w:sz w:val="24"/>
          <w:szCs w:val="24"/>
        </w:rPr>
        <w:t>（五）编制竣工决算，并经有资质的机构审计。</w:t>
      </w:r>
    </w:p>
    <w:p>
      <w:pPr>
        <w:pStyle w:val="3"/>
        <w:topLinePunct/>
        <w:spacing w:line="412" w:lineRule="exact"/>
        <w:ind w:firstLine="482"/>
        <w:rPr>
          <w:sz w:val="24"/>
          <w:szCs w:val="24"/>
        </w:rPr>
      </w:pPr>
      <w:r>
        <w:rPr>
          <w:rFonts w:hint="eastAsia"/>
          <w:b/>
          <w:sz w:val="24"/>
          <w:szCs w:val="24"/>
        </w:rPr>
        <w:t xml:space="preserve">第二十五条  </w:t>
      </w:r>
      <w:r>
        <w:rPr>
          <w:rFonts w:hint="eastAsia"/>
          <w:sz w:val="24"/>
          <w:szCs w:val="24"/>
        </w:rPr>
        <w:t>县级人民政府农业农村主管部门组织初验，初验合格后，提出竣工验收申请报告。</w:t>
      </w:r>
    </w:p>
    <w:p>
      <w:pPr>
        <w:pStyle w:val="3"/>
        <w:topLinePunct/>
        <w:spacing w:line="412" w:lineRule="exact"/>
        <w:ind w:firstLine="480"/>
        <w:rPr>
          <w:sz w:val="24"/>
          <w:szCs w:val="24"/>
        </w:rPr>
      </w:pPr>
      <w:r>
        <w:rPr>
          <w:rFonts w:hint="eastAsia"/>
          <w:sz w:val="24"/>
          <w:szCs w:val="24"/>
        </w:rPr>
        <w:t>竣工验收申请报告应依照竣工验收条件对项目实施情况进行分类总结，并附初验意见、竣工决算审计报告等。</w:t>
      </w:r>
    </w:p>
    <w:p>
      <w:pPr>
        <w:pStyle w:val="3"/>
        <w:topLinePunct/>
        <w:spacing w:line="412" w:lineRule="exact"/>
        <w:ind w:firstLine="482"/>
        <w:rPr>
          <w:sz w:val="24"/>
          <w:szCs w:val="24"/>
        </w:rPr>
      </w:pPr>
      <w:r>
        <w:rPr>
          <w:rFonts w:hint="eastAsia"/>
          <w:b/>
          <w:sz w:val="24"/>
          <w:szCs w:val="24"/>
        </w:rPr>
        <w:t xml:space="preserve">第二十六条  </w:t>
      </w:r>
      <w:r>
        <w:rPr>
          <w:rFonts w:hint="eastAsia"/>
          <w:sz w:val="24"/>
          <w:szCs w:val="24"/>
        </w:rPr>
        <w:t>项目初步设计审批部门在收到项目竣工验收申请报告后，及时组织竣工验收。由地（市、州、盟）级人民政府农业农村主管部门组织验收的项目，验收结果应报省级人民政府农业农村主管部门备案。省级每年应对不低于10%的当年竣工验收项目进行抽查。</w:t>
      </w:r>
    </w:p>
    <w:p>
      <w:pPr>
        <w:pStyle w:val="3"/>
        <w:topLinePunct/>
        <w:spacing w:line="412" w:lineRule="exact"/>
        <w:ind w:firstLine="480"/>
        <w:rPr>
          <w:sz w:val="24"/>
          <w:szCs w:val="24"/>
        </w:rPr>
      </w:pPr>
      <w:r>
        <w:rPr>
          <w:rFonts w:hint="eastAsia"/>
          <w:sz w:val="24"/>
          <w:szCs w:val="24"/>
        </w:rPr>
        <w:t>对竣工验收合格的项目，核发由农业农村部统一格式的竣工验收合格证书。</w:t>
      </w:r>
    </w:p>
    <w:p>
      <w:pPr>
        <w:pStyle w:val="3"/>
        <w:topLinePunct/>
        <w:spacing w:line="412" w:lineRule="exact"/>
        <w:ind w:firstLine="482"/>
        <w:rPr>
          <w:sz w:val="24"/>
          <w:szCs w:val="24"/>
        </w:rPr>
      </w:pPr>
      <w:r>
        <w:rPr>
          <w:rFonts w:hint="eastAsia"/>
          <w:b/>
          <w:sz w:val="24"/>
          <w:szCs w:val="24"/>
        </w:rPr>
        <w:t xml:space="preserve">第二十七条  </w:t>
      </w:r>
      <w:r>
        <w:rPr>
          <w:rFonts w:hint="eastAsia"/>
          <w:sz w:val="24"/>
          <w:szCs w:val="24"/>
        </w:rPr>
        <w:t>农田建设项目全部竣工验收后，要在项目区设立统一规范的公示标牌和标志，将农田建设项目建设单位、设计单位、施工单位、监理单位、项目年度、建设区域、投资规模以及管护主体等信息进行公示，接受社会和群众监督。</w:t>
      </w:r>
    </w:p>
    <w:p>
      <w:pPr>
        <w:pStyle w:val="3"/>
        <w:topLinePunct/>
        <w:spacing w:line="412" w:lineRule="exact"/>
        <w:ind w:firstLine="482"/>
        <w:rPr>
          <w:sz w:val="24"/>
          <w:szCs w:val="24"/>
        </w:rPr>
      </w:pPr>
      <w:r>
        <w:rPr>
          <w:rFonts w:hint="eastAsia"/>
          <w:b/>
          <w:sz w:val="24"/>
          <w:szCs w:val="24"/>
        </w:rPr>
        <w:t xml:space="preserve">第二十八条  </w:t>
      </w:r>
      <w:r>
        <w:rPr>
          <w:rFonts w:hint="eastAsia"/>
          <w:sz w:val="24"/>
          <w:szCs w:val="24"/>
        </w:rPr>
        <w:t>项目竣工验收后，应及时按有关规定办理资产交付手续。按照“谁受益、谁管护，谁使用、谁管护”的原则明确工程管护主体，拟定管护制度，落实管护责任，保证工程在设计使用期限内正常运行。</w:t>
      </w:r>
    </w:p>
    <w:p>
      <w:pPr>
        <w:pStyle w:val="3"/>
        <w:topLinePunct/>
        <w:spacing w:line="412" w:lineRule="exact"/>
        <w:ind w:firstLine="482"/>
        <w:rPr>
          <w:sz w:val="24"/>
          <w:szCs w:val="24"/>
        </w:rPr>
      </w:pPr>
      <w:r>
        <w:rPr>
          <w:rFonts w:hint="eastAsia"/>
          <w:b/>
          <w:sz w:val="24"/>
          <w:szCs w:val="24"/>
        </w:rPr>
        <w:t xml:space="preserve">第二十九条  </w:t>
      </w:r>
      <w:r>
        <w:rPr>
          <w:rFonts w:hint="eastAsia"/>
          <w:sz w:val="24"/>
          <w:szCs w:val="24"/>
        </w:rPr>
        <w:t>项目竣工验收后，县级人民政府农业农村主管部门应按照有关规定对项目档案进行收集、整理、组卷、存档。</w:t>
      </w:r>
    </w:p>
    <w:p>
      <w:pPr>
        <w:pStyle w:val="3"/>
        <w:topLinePunct/>
        <w:spacing w:line="412" w:lineRule="exact"/>
        <w:ind w:firstLine="482"/>
        <w:rPr>
          <w:sz w:val="24"/>
          <w:szCs w:val="24"/>
        </w:rPr>
      </w:pPr>
      <w:r>
        <w:rPr>
          <w:rFonts w:hint="eastAsia"/>
          <w:b/>
          <w:sz w:val="24"/>
          <w:szCs w:val="24"/>
        </w:rPr>
        <w:t xml:space="preserve">第三十条  </w:t>
      </w:r>
      <w:r>
        <w:rPr>
          <w:rFonts w:hint="eastAsia"/>
          <w:sz w:val="24"/>
          <w:szCs w:val="24"/>
        </w:rPr>
        <w:t>加强农田建设新增耕地核定工作，并按相关要求将新增耕地指标调剂收益优先用于高标准农田建设。</w:t>
      </w:r>
    </w:p>
    <w:p>
      <w:pPr>
        <w:pStyle w:val="63"/>
        <w:spacing w:before="218" w:after="218" w:line="412" w:lineRule="exact"/>
      </w:pPr>
      <w:r>
        <w:rPr>
          <w:rFonts w:hint="eastAsia"/>
        </w:rPr>
        <w:t>第六章  监督管理</w:t>
      </w:r>
    </w:p>
    <w:p>
      <w:pPr>
        <w:pStyle w:val="3"/>
        <w:topLinePunct/>
        <w:spacing w:line="412" w:lineRule="exact"/>
        <w:ind w:firstLine="482"/>
        <w:rPr>
          <w:sz w:val="24"/>
          <w:szCs w:val="24"/>
        </w:rPr>
      </w:pPr>
      <w:r>
        <w:rPr>
          <w:rFonts w:hint="eastAsia"/>
          <w:b/>
          <w:sz w:val="24"/>
          <w:szCs w:val="24"/>
        </w:rPr>
        <w:t xml:space="preserve">第三十一条  </w:t>
      </w:r>
      <w:r>
        <w:rPr>
          <w:rFonts w:hint="eastAsia"/>
          <w:sz w:val="24"/>
          <w:szCs w:val="24"/>
        </w:rPr>
        <w:t>各级人民政府农业农村主管部门应当按照《中华人民共和国政府信息公开条例》等有关规定，公开农田建设项目建设相关信息，接受社会监督。</w:t>
      </w:r>
    </w:p>
    <w:p>
      <w:pPr>
        <w:pStyle w:val="3"/>
        <w:topLinePunct/>
        <w:spacing w:line="412" w:lineRule="exact"/>
        <w:ind w:firstLine="482"/>
        <w:rPr>
          <w:sz w:val="24"/>
          <w:szCs w:val="24"/>
        </w:rPr>
      </w:pPr>
      <w:r>
        <w:rPr>
          <w:rFonts w:hint="eastAsia"/>
          <w:b/>
          <w:sz w:val="24"/>
          <w:szCs w:val="24"/>
        </w:rPr>
        <w:t xml:space="preserve">第三十二条  </w:t>
      </w:r>
      <w:r>
        <w:rPr>
          <w:rFonts w:hint="eastAsia"/>
          <w:sz w:val="24"/>
          <w:szCs w:val="24"/>
        </w:rPr>
        <w:t>各级人民政府农业农村主管部门应当制定、实施内部控制制度，对农田建设项目管理风险进行预防和控制，加强事前、事中、事后的监督检查，发现问题及时纠正。</w:t>
      </w:r>
    </w:p>
    <w:p>
      <w:pPr>
        <w:pStyle w:val="3"/>
        <w:topLinePunct/>
        <w:spacing w:line="412" w:lineRule="exact"/>
        <w:ind w:firstLine="482"/>
        <w:rPr>
          <w:sz w:val="24"/>
          <w:szCs w:val="24"/>
        </w:rPr>
      </w:pPr>
      <w:r>
        <w:rPr>
          <w:rFonts w:hint="eastAsia"/>
          <w:b/>
          <w:sz w:val="24"/>
          <w:szCs w:val="24"/>
        </w:rPr>
        <w:t xml:space="preserve">第三十三条  </w:t>
      </w:r>
      <w:r>
        <w:rPr>
          <w:rFonts w:hint="eastAsia"/>
          <w:sz w:val="24"/>
          <w:szCs w:val="24"/>
        </w:rPr>
        <w:t>各级人民政府农业农村主管部门应当加强对农田建设项目的监督评价。农业农村部结合粮食安全省长责任制考核，采取直接组织或委托第三方的方式，对各省农田建设项目开展监督评价和检查。</w:t>
      </w:r>
    </w:p>
    <w:p>
      <w:pPr>
        <w:pStyle w:val="3"/>
        <w:topLinePunct/>
        <w:spacing w:line="412" w:lineRule="exact"/>
        <w:ind w:firstLine="482"/>
        <w:rPr>
          <w:sz w:val="24"/>
          <w:szCs w:val="24"/>
        </w:rPr>
      </w:pPr>
      <w:r>
        <w:rPr>
          <w:rFonts w:hint="eastAsia"/>
          <w:b/>
          <w:sz w:val="24"/>
          <w:szCs w:val="24"/>
        </w:rPr>
        <w:t xml:space="preserve">第三十四条  </w:t>
      </w:r>
      <w:r>
        <w:rPr>
          <w:rFonts w:hint="eastAsia"/>
          <w:sz w:val="24"/>
          <w:szCs w:val="24"/>
        </w:rPr>
        <w:t>农田建设项目实施过程中发现存在严重违法违规问题的，各级人民政府农业农村主管部门应当及时终止项目，协助有关部门追回项目财政资金，并依法依规追究相关人员责任。</w:t>
      </w:r>
    </w:p>
    <w:p>
      <w:pPr>
        <w:pStyle w:val="3"/>
        <w:topLinePunct/>
        <w:spacing w:line="412" w:lineRule="exact"/>
        <w:ind w:firstLine="482"/>
        <w:rPr>
          <w:sz w:val="24"/>
          <w:szCs w:val="24"/>
        </w:rPr>
      </w:pPr>
      <w:r>
        <w:rPr>
          <w:rFonts w:hint="eastAsia"/>
          <w:b/>
          <w:sz w:val="24"/>
          <w:szCs w:val="24"/>
        </w:rPr>
        <w:t xml:space="preserve">第三十五条  </w:t>
      </w:r>
      <w:r>
        <w:rPr>
          <w:rFonts w:hint="eastAsia"/>
          <w:sz w:val="24"/>
          <w:szCs w:val="24"/>
        </w:rPr>
        <w:t>各级人民政府农业农村主管部门应当积极配合相关部门的审计和监督检查，对发现的问题及时整改。</w:t>
      </w:r>
    </w:p>
    <w:p>
      <w:pPr>
        <w:pStyle w:val="3"/>
        <w:topLinePunct/>
        <w:spacing w:line="412" w:lineRule="exact"/>
        <w:ind w:firstLine="482"/>
        <w:rPr>
          <w:sz w:val="24"/>
          <w:szCs w:val="24"/>
        </w:rPr>
      </w:pPr>
      <w:r>
        <w:rPr>
          <w:rFonts w:hint="eastAsia"/>
          <w:b/>
          <w:sz w:val="24"/>
          <w:szCs w:val="24"/>
        </w:rPr>
        <w:t xml:space="preserve">第三十六条  </w:t>
      </w:r>
      <w:r>
        <w:rPr>
          <w:rFonts w:hint="eastAsia"/>
          <w:sz w:val="24"/>
          <w:szCs w:val="24"/>
        </w:rPr>
        <w:t>各级人民政府农业农村主管部门应当及时在信息平台上填报农田建设项目的任务下达、初步设计审批、实施管理、竣工验收等工作信息。</w:t>
      </w:r>
    </w:p>
    <w:p>
      <w:pPr>
        <w:pStyle w:val="3"/>
        <w:topLinePunct/>
        <w:spacing w:line="412" w:lineRule="exact"/>
        <w:ind w:firstLine="480"/>
        <w:rPr>
          <w:sz w:val="24"/>
          <w:szCs w:val="24"/>
        </w:rPr>
      </w:pPr>
      <w:r>
        <w:rPr>
          <w:rFonts w:hint="eastAsia"/>
          <w:sz w:val="24"/>
          <w:szCs w:val="24"/>
        </w:rPr>
        <w:t>县级人民政府农业农村主管部门应当在项目竣工验收后，对项目建档立册、上图入库并与规划图衔接。</w:t>
      </w:r>
    </w:p>
    <w:p>
      <w:pPr>
        <w:pStyle w:val="63"/>
        <w:spacing w:before="218" w:after="218" w:line="412" w:lineRule="exact"/>
      </w:pPr>
      <w:r>
        <w:rPr>
          <w:rFonts w:hint="eastAsia"/>
        </w:rPr>
        <w:t>第七章  附则</w:t>
      </w:r>
    </w:p>
    <w:p>
      <w:pPr>
        <w:pStyle w:val="3"/>
        <w:topLinePunct/>
        <w:spacing w:line="412" w:lineRule="exact"/>
        <w:ind w:firstLine="482"/>
        <w:rPr>
          <w:sz w:val="24"/>
          <w:szCs w:val="24"/>
        </w:rPr>
      </w:pPr>
      <w:r>
        <w:rPr>
          <w:rFonts w:hint="eastAsia"/>
          <w:b/>
          <w:sz w:val="24"/>
          <w:szCs w:val="24"/>
        </w:rPr>
        <w:t xml:space="preserve">第三十七条  </w:t>
      </w:r>
      <w:r>
        <w:rPr>
          <w:rFonts w:hint="eastAsia"/>
          <w:sz w:val="24"/>
          <w:szCs w:val="24"/>
        </w:rPr>
        <w:t>省级人民政府农业农村主管部门根据本办法，结合本地区的实际情况，制定具体实施办法，报农业农村部备案。</w:t>
      </w:r>
    </w:p>
    <w:p>
      <w:pPr>
        <w:pStyle w:val="3"/>
        <w:topLinePunct/>
        <w:spacing w:line="412" w:lineRule="exact"/>
        <w:ind w:firstLine="482"/>
        <w:rPr>
          <w:sz w:val="24"/>
          <w:szCs w:val="24"/>
        </w:rPr>
      </w:pPr>
      <w:r>
        <w:rPr>
          <w:rFonts w:hint="eastAsia"/>
          <w:b/>
          <w:sz w:val="24"/>
          <w:szCs w:val="24"/>
        </w:rPr>
        <w:t xml:space="preserve">第三十八条  </w:t>
      </w:r>
      <w:r>
        <w:rPr>
          <w:rFonts w:hint="eastAsia"/>
          <w:sz w:val="24"/>
          <w:szCs w:val="24"/>
        </w:rPr>
        <w:t>本办法为农田建设项目管理程序性规定，涉及资金管理和中央预算内投资计划管理相关事宜按照相关规定执行。</w:t>
      </w:r>
    </w:p>
    <w:p>
      <w:pPr>
        <w:pStyle w:val="3"/>
        <w:topLinePunct/>
        <w:spacing w:line="412" w:lineRule="exact"/>
        <w:ind w:firstLine="482"/>
        <w:rPr>
          <w:sz w:val="24"/>
          <w:szCs w:val="24"/>
        </w:rPr>
      </w:pPr>
      <w:r>
        <w:rPr>
          <w:rFonts w:hint="eastAsia"/>
          <w:b/>
          <w:sz w:val="24"/>
          <w:szCs w:val="24"/>
        </w:rPr>
        <w:t xml:space="preserve">第三十九条  </w:t>
      </w:r>
      <w:r>
        <w:rPr>
          <w:rFonts w:hint="eastAsia"/>
          <w:sz w:val="24"/>
          <w:szCs w:val="24"/>
        </w:rPr>
        <w:t>在本办法施行之前，原由相关部门已经批复的农田建设项目，仍按原规定执行。</w:t>
      </w:r>
    </w:p>
    <w:p>
      <w:pPr>
        <w:pStyle w:val="3"/>
        <w:topLinePunct/>
        <w:spacing w:line="412" w:lineRule="exact"/>
        <w:ind w:firstLine="482"/>
        <w:rPr>
          <w:sz w:val="24"/>
          <w:szCs w:val="24"/>
        </w:rPr>
      </w:pPr>
      <w:r>
        <w:rPr>
          <w:rFonts w:hint="eastAsia"/>
          <w:b/>
          <w:sz w:val="24"/>
          <w:szCs w:val="24"/>
        </w:rPr>
        <w:t xml:space="preserve">第四十条  </w:t>
      </w:r>
      <w:r>
        <w:rPr>
          <w:rFonts w:hint="eastAsia"/>
          <w:sz w:val="24"/>
          <w:szCs w:val="24"/>
        </w:rPr>
        <w:t>本办法自2019年10月1日起施行。</w:t>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4"/>
        <w:keepNext w:val="0"/>
        <w:keepLines w:val="0"/>
        <w:topLinePunct/>
        <w:spacing w:line="416" w:lineRule="exact"/>
        <w:ind w:firstLine="482" w:firstLineChars="200"/>
        <w:rPr>
          <w:rFonts w:asciiTheme="minorEastAsia" w:hAnsiTheme="minorEastAsia" w:eastAsiaTheme="minorEastAsia"/>
          <w:sz w:val="24"/>
          <w:szCs w:val="24"/>
          <w:shd w:val="clear" w:color="auto" w:fill="FFFFFF"/>
        </w:rPr>
      </w:pPr>
      <w:bookmarkStart w:id="220" w:name="_Toc18942587"/>
      <w:bookmarkStart w:id="221" w:name="_Toc18079838"/>
    </w:p>
    <w:p>
      <w:pPr>
        <w:pStyle w:val="61"/>
        <w:rPr>
          <w:shd w:val="clear" w:color="auto" w:fill="FFFFFF"/>
        </w:rPr>
      </w:pPr>
      <w:bookmarkStart w:id="222" w:name="_Toc26347928"/>
      <w:bookmarkStart w:id="223" w:name="_Toc25648167"/>
      <w:bookmarkStart w:id="224" w:name="_Toc28156950"/>
      <w:bookmarkStart w:id="225" w:name="_Toc25653662"/>
      <w:bookmarkStart w:id="226" w:name="_Toc28250877"/>
      <w:bookmarkStart w:id="227" w:name="_Toc28252148"/>
      <w:r>
        <w:rPr>
          <w:shd w:val="clear" w:color="auto" w:fill="FFFFFF"/>
        </w:rPr>
        <w:t>中华人民共和国土壤污染防治法</w:t>
      </w:r>
      <w:bookmarkEnd w:id="220"/>
      <w:bookmarkEnd w:id="221"/>
      <w:bookmarkEnd w:id="222"/>
      <w:bookmarkEnd w:id="223"/>
      <w:bookmarkEnd w:id="224"/>
      <w:bookmarkEnd w:id="225"/>
      <w:bookmarkEnd w:id="226"/>
      <w:bookmarkEnd w:id="227"/>
    </w:p>
    <w:p>
      <w:pPr>
        <w:pStyle w:val="62"/>
      </w:pPr>
      <w:r>
        <w:rPr>
          <w:shd w:val="clear" w:color="auto" w:fill="FFFFFF"/>
        </w:rPr>
        <w:t>（</w:t>
      </w:r>
      <w:r>
        <w:rPr>
          <w:rFonts w:hint="eastAsia"/>
          <w:shd w:val="clear" w:color="auto" w:fill="FFFFFF"/>
        </w:rPr>
        <w:t>2018年8月31日中华人民共和国第十三届全国人民代表大会常务委员会第五次会议通过，2018年8月31日主席令第八号公布</w:t>
      </w:r>
      <w:r>
        <w:rPr>
          <w:shd w:val="clear" w:color="auto" w:fill="FFFFFF"/>
        </w:rPr>
        <w:t>）</w:t>
      </w:r>
    </w:p>
    <w:p>
      <w:pPr>
        <w:pStyle w:val="5"/>
        <w:keepNext w:val="0"/>
        <w:keepLines w:val="0"/>
        <w:topLinePunct/>
        <w:spacing w:line="416" w:lineRule="exact"/>
        <w:ind w:firstLine="482" w:firstLineChars="200"/>
        <w:rPr>
          <w:rFonts w:asciiTheme="minorEastAsia" w:hAnsiTheme="minorEastAsia" w:eastAsiaTheme="minorEastAsia"/>
          <w:sz w:val="24"/>
          <w:szCs w:val="24"/>
        </w:rPr>
      </w:pPr>
    </w:p>
    <w:p>
      <w:pPr>
        <w:pStyle w:val="63"/>
        <w:spacing w:before="218" w:after="218" w:line="412" w:lineRule="exact"/>
      </w:pPr>
      <w:r>
        <w:t>第一章  总则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第一条</w:t>
      </w:r>
      <w:r>
        <w:rPr>
          <w:rFonts w:asciiTheme="minorEastAsia" w:hAnsiTheme="minorEastAsia" w:eastAsiaTheme="minorEastAsia"/>
          <w:kern w:val="0"/>
          <w:sz w:val="24"/>
          <w:szCs w:val="24"/>
        </w:rPr>
        <w:t xml:space="preserve">  为了保护和改善生态环境，防治土壤污染，保障公众健康，推动土壤资源永续利用，推进生态文明建设，促进经济社会可持续发展，制定本法。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第二条</w:t>
      </w:r>
      <w:r>
        <w:rPr>
          <w:rFonts w:asciiTheme="minorEastAsia" w:hAnsiTheme="minorEastAsia" w:eastAsiaTheme="minorEastAsia"/>
          <w:kern w:val="0"/>
          <w:sz w:val="24"/>
          <w:szCs w:val="24"/>
        </w:rPr>
        <w:t xml:space="preserve">  在中华人民共和国领域及管辖的其他海域从事土壤污染防治及相关活动，适用本法。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本法所称土壤污染，是指因人为因素导致某种物质进入陆地表层土壤，引起土壤化学、物理、生物等方面特性的改变，影响土壤功能和有效利用，危害公众健康或者破坏生态环境的现象。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第三条</w:t>
      </w:r>
      <w:r>
        <w:rPr>
          <w:rFonts w:asciiTheme="minorEastAsia" w:hAnsiTheme="minorEastAsia" w:eastAsiaTheme="minorEastAsia"/>
          <w:kern w:val="0"/>
          <w:sz w:val="24"/>
          <w:szCs w:val="24"/>
        </w:rPr>
        <w:t xml:space="preserve">  土壤污染防治应当坚持预防为主、保护优先、分类管理、风险管控、污染担责、公众参与的原则。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第四条</w:t>
      </w:r>
      <w:r>
        <w:rPr>
          <w:rFonts w:asciiTheme="minorEastAsia" w:hAnsiTheme="minorEastAsia" w:eastAsiaTheme="minorEastAsia"/>
          <w:kern w:val="0"/>
          <w:sz w:val="24"/>
          <w:szCs w:val="24"/>
        </w:rPr>
        <w:t xml:space="preserve">  任何组织和个人都有保护土壤、防止土壤污染的义务。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土地使用权人从事土地开发利用活动，企业事业单位和其他生产经营者从事生产经营活动，应当采取有效措施，防止、减少土壤污染，对所造成的土壤污染依法承担责任。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第五条</w:t>
      </w:r>
      <w:r>
        <w:rPr>
          <w:rFonts w:asciiTheme="minorEastAsia" w:hAnsiTheme="minorEastAsia" w:eastAsiaTheme="minorEastAsia"/>
          <w:kern w:val="0"/>
          <w:sz w:val="24"/>
          <w:szCs w:val="24"/>
        </w:rPr>
        <w:t xml:space="preserve">  地方各级人民政府应当对本行政区域土壤污染防治和安全利用负责。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国家实行土壤污染防治目标责任制和考核评价制度，将土壤污染防治目标完成情况作为考核评价地方各级人民政府及其负责人、县级以上人民政府负有土壤污染防治监督管理职责的部门及其负责人的内容。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第六条</w:t>
      </w:r>
      <w:r>
        <w:rPr>
          <w:rFonts w:asciiTheme="minorEastAsia" w:hAnsiTheme="minorEastAsia" w:eastAsiaTheme="minorEastAsia"/>
          <w:kern w:val="0"/>
          <w:sz w:val="24"/>
          <w:szCs w:val="24"/>
        </w:rPr>
        <w:t xml:space="preserve">  各级人民政府应当加强对土壤污染防治工作的领导，组织、协调、督促有关部门依法履行土壤污染防治监督管理职责。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第七条</w:t>
      </w:r>
      <w:r>
        <w:rPr>
          <w:rFonts w:asciiTheme="minorEastAsia" w:hAnsiTheme="minorEastAsia" w:eastAsiaTheme="minorEastAsia"/>
          <w:kern w:val="0"/>
          <w:sz w:val="24"/>
          <w:szCs w:val="24"/>
        </w:rPr>
        <w:t xml:space="preserve">  国务院生态环境主管部门对全国土壤污染防治工作实施统一监督管理；国务院农业农村、自然资源、住房城乡建设、林业草原等主管部门在各自职责范围内对土壤污染防治工作实施监督管理。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地方人民政府生态环境主管部门对本行政区域土壤污染防治工作实施统一监督管理；地方人民政府农业农村、自然资源、住房城乡建设、林业草原等主管部门在各自职责范围内对土壤污染防治工作实施监督管理。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第八条</w:t>
      </w:r>
      <w:r>
        <w:rPr>
          <w:rFonts w:asciiTheme="minorEastAsia" w:hAnsiTheme="minorEastAsia" w:eastAsiaTheme="minorEastAsia"/>
          <w:kern w:val="0"/>
          <w:sz w:val="24"/>
          <w:szCs w:val="24"/>
        </w:rPr>
        <w:t xml:space="preserve">  国家建立土壤环境信息共享机制。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国务院生态环境主管部门应当会同国务院农业农村、自然资源、住房城乡建设、水利、卫生健康、林业草原等主管部门建立土壤环境基础数据库，构建全国土壤环境信息平台，实行数据动态更新和信息共享。</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第九条</w:t>
      </w:r>
      <w:r>
        <w:rPr>
          <w:rFonts w:asciiTheme="minorEastAsia" w:hAnsiTheme="minorEastAsia" w:eastAsiaTheme="minorEastAsia"/>
          <w:kern w:val="0"/>
          <w:sz w:val="24"/>
          <w:szCs w:val="24"/>
        </w:rPr>
        <w:t xml:space="preserve">  国家支持土壤污染风险管控和修复、监测等污染防治科学技术研究开发、成果转化和推广应用，鼓励土壤污染防治产业发展，加强土壤污染防治专业技术人才培养，促进土壤污染防治科学技术进步。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国家支持土壤污染防治国际交流与合作。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第十条</w:t>
      </w:r>
      <w:r>
        <w:rPr>
          <w:rFonts w:asciiTheme="minorEastAsia" w:hAnsiTheme="minorEastAsia" w:eastAsiaTheme="minorEastAsia"/>
          <w:kern w:val="0"/>
          <w:sz w:val="24"/>
          <w:szCs w:val="24"/>
        </w:rPr>
        <w:t xml:space="preserve">  各级人民政府及其有关部门、基层群众性自治组织和新闻媒体应当加强土壤污染防治宣传教育和科学普及，增强公众土壤污染防治意识，引导公众依法参与土壤污染防治工作。</w:t>
      </w:r>
    </w:p>
    <w:p>
      <w:pPr>
        <w:pStyle w:val="63"/>
        <w:spacing w:before="218" w:after="218" w:line="412" w:lineRule="exact"/>
      </w:pPr>
      <w:r>
        <w:t>第二章  规划、标准、普查和监测</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第十一条</w:t>
      </w:r>
      <w:r>
        <w:rPr>
          <w:rFonts w:asciiTheme="minorEastAsia" w:hAnsiTheme="minorEastAsia" w:eastAsiaTheme="minorEastAsia"/>
          <w:kern w:val="0"/>
          <w:sz w:val="24"/>
          <w:szCs w:val="24"/>
        </w:rPr>
        <w:t xml:space="preserve">  县级以上人民政府应当将土壤污染防治工作纳入国民经济和社会发展规划、环境保护规划。</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设区的市级以上地方人民政府生态环境主管部门应当会同发展改革、农业农村、自然资源、住房城乡建设、林业草原等主管部门，根据环境保护规划要求、土地用途、土壤污染状况普查和监测结果等，编制土壤污染防治规划，报本级人民政府批准后公布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第十二条</w:t>
      </w:r>
      <w:r>
        <w:rPr>
          <w:rFonts w:asciiTheme="minorEastAsia" w:hAnsiTheme="minorEastAsia" w:eastAsiaTheme="minorEastAsia"/>
          <w:kern w:val="0"/>
          <w:sz w:val="24"/>
          <w:szCs w:val="24"/>
        </w:rPr>
        <w:t xml:space="preserve">  国务院生态环境主管部门根据土壤污染状况、公众健康风险、生态风险和科学技术水平，并按照土地用途，制定国家土壤污染风险管控标准，加强土壤污染防治标准体系建设。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级人民政府对国家土壤污染风险管控标准中未作规定的项目，可以制定地方土壤污染风险管控标准；对国家土壤污染风险管控标准中已作规定的项目，可以制定严于国家土壤污染风险管控标准的地方土壤污染风险管控标准。地方土壤污染风险管控标准应当报国务院生态环境主管部门备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土壤污染风险管控标准是强制性标准。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国家支持对土壤环境背景值和环境基准的研究。</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第十三条</w:t>
      </w:r>
      <w:r>
        <w:rPr>
          <w:rFonts w:asciiTheme="minorEastAsia" w:hAnsiTheme="minorEastAsia" w:eastAsiaTheme="minorEastAsia"/>
          <w:kern w:val="0"/>
          <w:sz w:val="24"/>
          <w:szCs w:val="24"/>
        </w:rPr>
        <w:t xml:space="preserve">  制定土壤污染风险管控标准，应当组织专家进行审查和论证，并征求有关部门、行业协会、企业事业单位和公众等方面的意见。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土壤污染风险管控标准的执行情况应当定期评估，并根据评估结果对标准适时修订。</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省级以上人民政府生态环境主管部门应当在其网站上公布土壤污染风险管控标准，供公众免费查阅、下载。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第十四条</w:t>
      </w:r>
      <w:r>
        <w:rPr>
          <w:rFonts w:asciiTheme="minorEastAsia" w:hAnsiTheme="minorEastAsia" w:eastAsiaTheme="minorEastAsia"/>
          <w:kern w:val="0"/>
          <w:sz w:val="24"/>
          <w:szCs w:val="24"/>
        </w:rPr>
        <w:t xml:space="preserve">  国务院统一领导全国土壤污染状况普查。国务院生态环境主管部门会同国务院农业农村、自然资源、住房城乡建设、林业草原等主管部门，每十年至少组织开展一次全国土壤污染状况普查。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国务院有关部门、设区的市级以上地方人民政府可以根据本行业、本行政区域实际情况组织开展土壤污染状况详查。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第十五条</w:t>
      </w:r>
      <w:r>
        <w:rPr>
          <w:rFonts w:asciiTheme="minorEastAsia" w:hAnsiTheme="minorEastAsia" w:eastAsiaTheme="minorEastAsia"/>
          <w:kern w:val="0"/>
          <w:sz w:val="24"/>
          <w:szCs w:val="24"/>
        </w:rPr>
        <w:t xml:space="preserve">  国家实行土壤环境监测制度。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国务院生态环境主管部门制定土壤环境监测规范，会同国务院农业农村、自然资源、住房城乡建设、水利、卫生健康、林业草原等主管部门组织监测网络，统一规划国家土壤环境监测站（点）的设置。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第十六条</w:t>
      </w:r>
      <w:r>
        <w:rPr>
          <w:rFonts w:asciiTheme="minorEastAsia" w:hAnsiTheme="minorEastAsia" w:eastAsiaTheme="minorEastAsia"/>
          <w:kern w:val="0"/>
          <w:sz w:val="24"/>
          <w:szCs w:val="24"/>
        </w:rPr>
        <w:t xml:space="preserve">  地方人民政府农业农村、林业草原主管部门应当会同生态环境、自然资源主管部门对下列农用地地块进行重点监测：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（一）产出的农产品污染物含量超标的；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（二）作为或者曾作为污水灌溉区的；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（三）用于或者曾用于规模化养殖，固体废物堆放、填埋的；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（四）曾作为工矿用地或者发生过重大、特大污染事故的；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（五）有毒有害物质生产、贮存、利用、处置设施周边的；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（六）国务院农业农村、林业草原、生态环境、自然资源主管部门规定的其他情形。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第十七条</w:t>
      </w:r>
      <w:r>
        <w:rPr>
          <w:rFonts w:asciiTheme="minorEastAsia" w:hAnsiTheme="minorEastAsia" w:eastAsiaTheme="minorEastAsia"/>
          <w:kern w:val="0"/>
          <w:sz w:val="24"/>
          <w:szCs w:val="24"/>
        </w:rPr>
        <w:t xml:space="preserve">  地方人民政府生态环境主管部门应当会同自然资源主管部门对下列建设用地地块进行重点监测：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（一）曾用于生产、使用、贮存、回收、处置有毒有害物质的；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（二）曾用于固体废物堆放、填埋的；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（三）曾发生过重大、特大污染事故的；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（四）国务院生态环境、自然资源主管部门规定的其他情形。</w:t>
      </w:r>
    </w:p>
    <w:p>
      <w:pPr>
        <w:pStyle w:val="63"/>
        <w:spacing w:before="218" w:after="218" w:line="412" w:lineRule="exact"/>
      </w:pPr>
      <w:r>
        <w:t>第三章  预防和保护</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第十八条</w:t>
      </w:r>
      <w:r>
        <w:rPr>
          <w:rFonts w:asciiTheme="minorEastAsia" w:hAnsiTheme="minorEastAsia" w:eastAsiaTheme="minorEastAsia"/>
          <w:kern w:val="0"/>
          <w:sz w:val="24"/>
          <w:szCs w:val="24"/>
        </w:rPr>
        <w:t xml:space="preserve">  各类涉及土地利用的规划和可能造成土壤污染的建设项目，应当依法进行环境影响评价。环境影响评价文件应当包括对土壤可能造成的不良影响及应当采取的相应预防措施等内容。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第十九条</w:t>
      </w:r>
      <w:r>
        <w:rPr>
          <w:rFonts w:asciiTheme="minorEastAsia" w:hAnsiTheme="minorEastAsia" w:eastAsiaTheme="minorEastAsia"/>
          <w:kern w:val="0"/>
          <w:sz w:val="24"/>
          <w:szCs w:val="24"/>
        </w:rPr>
        <w:t xml:space="preserve">  生产、使用、贮存、运输、回收、处置、排放有毒有害物质的单位和个人，应当采取有效措施，防止有毒有害物质渗漏、流失、扬散，避免土壤受到污染。</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第二十条</w:t>
      </w:r>
      <w:r>
        <w:rPr>
          <w:rFonts w:asciiTheme="minorEastAsia" w:hAnsiTheme="minorEastAsia" w:eastAsiaTheme="minorEastAsia"/>
          <w:kern w:val="0"/>
          <w:sz w:val="24"/>
          <w:szCs w:val="24"/>
        </w:rPr>
        <w:t xml:space="preserve">  国务院生态环境主管部门应当会同国务院卫生健康等主管部门，根据对公众健康、生态环境的危害和影响程度，对土壤中有毒有害物质进行筛查评估，公布重点控制的土壤有毒有害物质名录，并适时更新。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第二十一条</w:t>
      </w:r>
      <w:r>
        <w:rPr>
          <w:rFonts w:asciiTheme="minorEastAsia" w:hAnsiTheme="minorEastAsia" w:eastAsiaTheme="minorEastAsia"/>
          <w:kern w:val="0"/>
          <w:sz w:val="24"/>
          <w:szCs w:val="24"/>
        </w:rPr>
        <w:t xml:space="preserve">  设区的市级以上地方人民政府生态环境主管部门应当按照国务院生态环境主管部门的规定，根据有毒有害物质排放等情况，制定本行政区域土壤污染重点监管单位名录，向社会公开并适时更新。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土壤污染重点监管单位应当履行下列义务：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（一）严格控制有毒有害物质排放，并按年度向生态环境主管部门报告排放情况；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（二）建立土壤污染隐患排查制度，保证持续有效防止有毒有害物质渗漏、流失、扬散；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（三）制定、实施自行监测方案，并将监测数据报生态环境主管部门。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前款规定的义务应当在排污许可证中载明。</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土壤污染重点监管单位应当对监测数据的真实性和准确性负责。生态环境主管部门发现土壤污染重点监管单位监测数据异常，应当及时进行调查。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设区的市级以上地方人民政府生态环境主管部门应当定期对土壤污染重点监管单位周边土壤进行监测。</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第二十二条</w:t>
      </w:r>
      <w:r>
        <w:rPr>
          <w:rFonts w:asciiTheme="minorEastAsia" w:hAnsiTheme="minorEastAsia" w:eastAsiaTheme="minorEastAsia"/>
          <w:kern w:val="0"/>
          <w:sz w:val="24"/>
          <w:szCs w:val="24"/>
        </w:rPr>
        <w:t xml:space="preserve">  企业事业单位拆除设施、设备或者建筑物、构筑物的，应当采取相应的土壤污染防治措施。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土壤污染重点监管单位拆除设施、设备或者建筑物、构筑物的，应当制定包括应急措施在内的土壤污染防治工作方案，报地方人民政府生态环境、工业和信息化主管部门备案并实施。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第二十三条</w:t>
      </w:r>
      <w:r>
        <w:rPr>
          <w:rFonts w:asciiTheme="minorEastAsia" w:hAnsiTheme="minorEastAsia" w:eastAsiaTheme="minorEastAsia"/>
          <w:kern w:val="0"/>
          <w:sz w:val="24"/>
          <w:szCs w:val="24"/>
        </w:rPr>
        <w:t xml:space="preserve">  各级人民政府生态环境、自然资源主管部门应当依法加强对矿产资源开发区域土壤污染防治的监督管理，按照相关标准和总量控制的要求，严格控制可能造成土壤污染的重点污染物排放。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尾矿库运营、管理单位应当按照规定，加强尾矿库的安全管理，采取措施防止土壤污染。危库、险库、病库以及其他需要重点监管的尾矿库的运营、管理单位应当按照规定，进行土壤污染状况监测和定期评估。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第二十四条</w:t>
      </w:r>
      <w:r>
        <w:rPr>
          <w:rFonts w:asciiTheme="minorEastAsia" w:hAnsiTheme="minorEastAsia" w:eastAsiaTheme="minorEastAsia"/>
          <w:kern w:val="0"/>
          <w:sz w:val="24"/>
          <w:szCs w:val="24"/>
        </w:rPr>
        <w:t xml:space="preserve">  国家鼓励在建筑、通信、电力、交通、水利等领域的信息、网络、防雷、接地等建设工程中采用新技术、新材料，防止土壤污染。</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禁止在土壤中使用重金属含量超标的降阻产品。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第二十五条</w:t>
      </w:r>
      <w:r>
        <w:rPr>
          <w:rFonts w:asciiTheme="minorEastAsia" w:hAnsiTheme="minorEastAsia" w:eastAsiaTheme="minorEastAsia"/>
          <w:kern w:val="0"/>
          <w:sz w:val="24"/>
          <w:szCs w:val="24"/>
        </w:rPr>
        <w:t xml:space="preserve">  建设和运行污水集中处理设施、固体废物处置设施，应当依照法律法规和相关标准的要求，采取措施防止土壤污染。</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人民政府生态环境主管部门应当定期对污水集中处理设施、固体废物处置设施周边土壤进行监测；对不符合法律法规和相关标准要求的，应当根据监测结果，要求污水集中处理设施、固体废物处置设施运营单位采取相应改进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地方各级人民政府应当统筹规划、建设城乡生活污水和生活垃圾处理、处置设施，并保障其正常运行，防止土壤污染。</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第二十六条</w:t>
      </w:r>
      <w:r>
        <w:rPr>
          <w:rFonts w:asciiTheme="minorEastAsia" w:hAnsiTheme="minorEastAsia" w:eastAsiaTheme="minorEastAsia"/>
          <w:kern w:val="0"/>
          <w:sz w:val="24"/>
          <w:szCs w:val="24"/>
        </w:rPr>
        <w:t xml:space="preserve">  国务院农业农村、林业草原主管部门应当制定规划，完善相关标准和措施，加强农用地农药、化肥使用指导和使用总量控制，加强农用薄膜使用控制。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国务院农业农村主管部门应当加强农药、肥料登记，组织开展农药、肥料对土壤环境影响的安全性评价。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制定农药、兽药、肥料、饲料、农用薄膜等农业投入品及其包装物标准和农田灌溉用水水质标准，应当适应土壤污染防治的要求。</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第二十七条</w:t>
      </w:r>
      <w:r>
        <w:rPr>
          <w:rFonts w:asciiTheme="minorEastAsia" w:hAnsiTheme="minorEastAsia" w:eastAsiaTheme="minorEastAsia"/>
          <w:kern w:val="0"/>
          <w:sz w:val="24"/>
          <w:szCs w:val="24"/>
        </w:rPr>
        <w:t xml:space="preserve">  地方人民政府农业农村、林业草原主管部门应当开展农用地土壤污染防治宣传和技术培训活动，扶持农业生产专业化服务，指导农业生产者合理使用农药、兽药、肥料、饲料、农用薄膜等农业投入品，控制农药、兽药、化肥等的使用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人民政府农业农村主管部门应当鼓励农业生产者采取有利于防止土壤污染的种养结合、轮作休耕等农业耕作措施；支持采取土壤改良、土壤肥力提升等有利于土壤养护和培育的措施；支持畜禽粪便处理、利用设施的建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第二十八条</w:t>
      </w:r>
      <w:r>
        <w:rPr>
          <w:rFonts w:asciiTheme="minorEastAsia" w:hAnsiTheme="minorEastAsia" w:eastAsiaTheme="minorEastAsia"/>
          <w:kern w:val="0"/>
          <w:sz w:val="24"/>
          <w:szCs w:val="24"/>
        </w:rPr>
        <w:t xml:space="preserve">  禁止向农用地排放重金属或者其他有毒有害物质含量超标的污水、污泥，以及可能造成土壤污染的清淤底泥、尾矿、矿渣等。</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县级以上人民政府有关部门应当加强对畜禽粪便、沼渣、沼液等收集、贮存、利用、处置的监督管理，防止土壤污染。</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田灌溉用水应当符合相应的水质标准，防止土壤、地下水和农产品污染。地方人民政府生态环境主管部门应当会同农业农村、水利主管部门加强对农田灌溉用水水质的管理，对农田灌溉用水水质进行监测和监督检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第二十九条</w:t>
      </w:r>
      <w:r>
        <w:rPr>
          <w:rFonts w:asciiTheme="minorEastAsia" w:hAnsiTheme="minorEastAsia" w:eastAsiaTheme="minorEastAsia"/>
          <w:kern w:val="0"/>
          <w:sz w:val="24"/>
          <w:szCs w:val="24"/>
        </w:rPr>
        <w:t xml:space="preserve">  国家鼓励和支持农业生产者采取下列措施：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（一）使用低毒、低残留农药以及先进喷施技术；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（二）使用符合标准的有机肥、高效肥；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（三）采用测土配方施肥技术、生物防治等病虫害绿色防控技术；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（四）使用生物可降解农用薄膜；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（五）综合利用秸秆、移出高富集污染物秸秆；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（六）按照规定对酸性土壤等进行改良。</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第三十条</w:t>
      </w:r>
      <w:r>
        <w:rPr>
          <w:rFonts w:asciiTheme="minorEastAsia" w:hAnsiTheme="minorEastAsia" w:eastAsiaTheme="minorEastAsia"/>
          <w:kern w:val="0"/>
          <w:sz w:val="24"/>
          <w:szCs w:val="24"/>
        </w:rPr>
        <w:t xml:space="preserve">  禁止生产、销售、使用国家明令禁止的农业投入品。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业投入品生产者、销售者和使用者应当及时回收农药、肥料等农业投入品的包装废弃物和农用薄膜，并将农药包装废弃物交由专门的机构或者组织进行无害化处理。具体办法由国务院农业农村主管部门会同国务院生态环境等主管部门制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国家采取措施，鼓励、支持单位和个人回收农业投入品包装废弃物和农用薄膜。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第三十一条</w:t>
      </w:r>
      <w:r>
        <w:rPr>
          <w:rFonts w:asciiTheme="minorEastAsia" w:hAnsiTheme="minorEastAsia" w:eastAsiaTheme="minorEastAsia"/>
          <w:kern w:val="0"/>
          <w:sz w:val="24"/>
          <w:szCs w:val="24"/>
        </w:rPr>
        <w:t xml:space="preserve">  国家加强对未污染土壤的保护。</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地方各级人民政府应当重点保护未污染的耕地、林地、草地和饮用水水源地。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各级人民政府应当加强对国家公园等自然保护地的保护，维护其生态功能。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对未利用地应当予以保护，不得污染和破坏。</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第三十二条</w:t>
      </w:r>
      <w:r>
        <w:rPr>
          <w:rFonts w:asciiTheme="minorEastAsia" w:hAnsiTheme="minorEastAsia" w:eastAsiaTheme="minorEastAsia"/>
          <w:kern w:val="0"/>
          <w:sz w:val="24"/>
          <w:szCs w:val="24"/>
        </w:rPr>
        <w:t xml:space="preserve">  县级以上地方人民政府及其有关部门应当按照土地利用总体规划和城乡规划，严格执行相关行业企业布局选址要求，禁止在居民区和学校、医院、疗养院、养老院等单位周边新建、改建、扩建可能造成土壤污染的建设项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第三十三条</w:t>
      </w:r>
      <w:r>
        <w:rPr>
          <w:rFonts w:asciiTheme="minorEastAsia" w:hAnsiTheme="minorEastAsia" w:eastAsiaTheme="minorEastAsia"/>
          <w:kern w:val="0"/>
          <w:sz w:val="24"/>
          <w:szCs w:val="24"/>
        </w:rPr>
        <w:t xml:space="preserve">  国家加强对土壤资源的保护和合理利用。对开发建设过程中剥离的表土，应当单独收集和存放，符合条件的应当优先用于土地复垦、土壤改良、造地和绿化等。</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禁止将重金属或者其他有毒有害物质含量超标的工业固体废物、生活垃圾或者污染土壤用于土地复垦。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第三十四条</w:t>
      </w:r>
      <w:r>
        <w:rPr>
          <w:rFonts w:asciiTheme="minorEastAsia" w:hAnsiTheme="minorEastAsia" w:eastAsiaTheme="minorEastAsia"/>
          <w:kern w:val="0"/>
          <w:sz w:val="24"/>
          <w:szCs w:val="24"/>
        </w:rPr>
        <w:t xml:space="preserve">  因科学研究等特殊原因，需要进口土壤的，应当遵守国家出入境检验检疫的有关规定。</w:t>
      </w:r>
    </w:p>
    <w:p>
      <w:pPr>
        <w:pStyle w:val="63"/>
        <w:spacing w:before="218" w:after="218" w:line="412" w:lineRule="exact"/>
      </w:pPr>
      <w:r>
        <w:t>第四章  风险管控和修复</w:t>
      </w:r>
    </w:p>
    <w:p>
      <w:pPr>
        <w:pStyle w:val="64"/>
        <w:spacing w:before="156" w:after="156"/>
        <w:rPr>
          <w:kern w:val="0"/>
        </w:rPr>
      </w:pPr>
      <w:r>
        <w:rPr>
          <w:kern w:val="0"/>
        </w:rPr>
        <w:t>第一节  一般规定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第三十五条</w:t>
      </w:r>
      <w:r>
        <w:rPr>
          <w:rFonts w:asciiTheme="minorEastAsia" w:hAnsiTheme="minorEastAsia" w:eastAsiaTheme="minorEastAsia"/>
          <w:kern w:val="0"/>
          <w:sz w:val="24"/>
          <w:szCs w:val="24"/>
        </w:rPr>
        <w:t xml:space="preserve">  土壤污染风险管控和修复，包括土壤污染状况调查和土壤污染风险评估、风险管控、修复、风险管控效果评估、修复效果评估、后期管理等活动。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第三十六条</w:t>
      </w:r>
      <w:r>
        <w:rPr>
          <w:rFonts w:asciiTheme="minorEastAsia" w:hAnsiTheme="minorEastAsia" w:eastAsiaTheme="minorEastAsia"/>
          <w:kern w:val="0"/>
          <w:sz w:val="24"/>
          <w:szCs w:val="24"/>
        </w:rPr>
        <w:t xml:space="preserve">  实施土壤污染状况调查活动，应当编制土壤污染状况调查报告。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状况调查报告应当主要包括地块基本信息、污染物含量是否超过土壤污染风险管控标准等内容。污染物含量超过土壤污染风险管控标准的，土壤污染状况调查报告还应当包括污染类型、污染来源以及地下水是否受到污染等内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第三十七条</w:t>
      </w:r>
      <w:r>
        <w:rPr>
          <w:rFonts w:asciiTheme="minorEastAsia" w:hAnsiTheme="minorEastAsia" w:eastAsiaTheme="minorEastAsia"/>
          <w:kern w:val="0"/>
          <w:sz w:val="24"/>
          <w:szCs w:val="24"/>
        </w:rPr>
        <w:t xml:space="preserve">  实施土壤污染风险评估活动，应当编制土壤污染风险评估报告。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土壤污染风险评估报告应当主要包括下列内容：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（一）主要污染物状况；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（二）土壤及地下水污染范围；</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（三）农产品质量安全风险、公众健康风险或者生态风险；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（四）风险管控、修复的目标和基本要求等。</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第三十八条</w:t>
      </w:r>
      <w:r>
        <w:rPr>
          <w:rFonts w:asciiTheme="minorEastAsia" w:hAnsiTheme="minorEastAsia" w:eastAsiaTheme="minorEastAsia"/>
          <w:kern w:val="0"/>
          <w:sz w:val="24"/>
          <w:szCs w:val="24"/>
        </w:rPr>
        <w:t xml:space="preserve">  实施风险管控、修复活动，应当因地制宜、科学合理，提高针对性和有效性。</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实施风险管控、修复活动，不得对土壤和周边环境造成新的污染。</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第三十九条</w:t>
      </w:r>
      <w:r>
        <w:rPr>
          <w:rFonts w:asciiTheme="minorEastAsia" w:hAnsiTheme="minorEastAsia" w:eastAsiaTheme="minorEastAsia"/>
          <w:kern w:val="0"/>
          <w:sz w:val="24"/>
          <w:szCs w:val="24"/>
        </w:rPr>
        <w:t xml:space="preserve">  实施风险管控、修复活动前，地方人民政府有关部门有权根据实际情况，要求土壤污染责任人、土地使用权人采取移除污染源、防止污染扩散等措施。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第四十条</w:t>
      </w:r>
      <w:r>
        <w:rPr>
          <w:rFonts w:asciiTheme="minorEastAsia" w:hAnsiTheme="minorEastAsia" w:eastAsiaTheme="minorEastAsia"/>
          <w:kern w:val="0"/>
          <w:sz w:val="24"/>
          <w:szCs w:val="24"/>
        </w:rPr>
        <w:t xml:space="preserve">  实施风险管控、修复活动中产生的废水、废气和固体废物，应当按照规定进行处理、处置，并达到相关环境保护标准。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实施风险管控、修复活动中产生的固体废物以及拆除的设施、设备或者建筑物、构筑物属于危险废物的，应当依照法律法规和相关标准的要求进行处置。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修复施工期间，应当设立公告牌，公开相关情况和环境保护措施。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第四十一条</w:t>
      </w:r>
      <w:r>
        <w:rPr>
          <w:rFonts w:asciiTheme="minorEastAsia" w:hAnsiTheme="minorEastAsia" w:eastAsiaTheme="minorEastAsia"/>
          <w:kern w:val="0"/>
          <w:sz w:val="24"/>
          <w:szCs w:val="24"/>
        </w:rPr>
        <w:t xml:space="preserve">  修复施工单位转运污染土壤的，应当制定转运计划，将运输时间、方式、线路和污染土壤数量、去向、最终处置措施等，提前报所在地和接收地生态环境主管部门。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转运的污染土壤属于危险废物的，修复施工单位应当依照法律法规和相关标准的要求进行处置。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第四十二条</w:t>
      </w:r>
      <w:r>
        <w:rPr>
          <w:rFonts w:asciiTheme="minorEastAsia" w:hAnsiTheme="minorEastAsia" w:eastAsiaTheme="minorEastAsia"/>
          <w:kern w:val="0"/>
          <w:sz w:val="24"/>
          <w:szCs w:val="24"/>
        </w:rPr>
        <w:t xml:space="preserve">  实施风险管控效果评估、修复效果评估活动，应当编制效果评估报告。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效果评估报告应当主要包括是否达到土壤污染风险评估报告确定的风险管控、修复目标等内容。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风险管控、修复活动完成后，需要实施后期管理的，土壤污染责任人应当按照要求实施后期管理。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第四十三条</w:t>
      </w:r>
      <w:r>
        <w:rPr>
          <w:rFonts w:asciiTheme="minorEastAsia" w:hAnsiTheme="minorEastAsia" w:eastAsiaTheme="minorEastAsia"/>
          <w:kern w:val="0"/>
          <w:sz w:val="24"/>
          <w:szCs w:val="24"/>
        </w:rPr>
        <w:t xml:space="preserve">  从事土壤污染状况调查和土壤污染风险评估、风险管控、修复、风险管控效果评估、修复效果评估、后期管理等活动的单位，应当具备相应的专业能力。</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受委托从事前款活动的单位对其出具的调查报告、风险评估报告、风险管控效果评估报告、修复效果评估报告的真实性、准确性、完整性负责，并按照约定对风险管控、修复、后期管理等活动结果负责。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第四十四条</w:t>
      </w:r>
      <w:r>
        <w:rPr>
          <w:rFonts w:asciiTheme="minorEastAsia" w:hAnsiTheme="minorEastAsia" w:eastAsiaTheme="minorEastAsia"/>
          <w:kern w:val="0"/>
          <w:sz w:val="24"/>
          <w:szCs w:val="24"/>
        </w:rPr>
        <w:t xml:space="preserve">  发生突发事件可能造成土壤污染的，地方人民政府及其有关部门和相关企业事业单位以及其他生产经营者应当立即采取应急措施，防止土壤污染，并依照本法规定做好土壤污染状况监测、调查和土壤污染风险评估、风险管控、修复等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第四十五条</w:t>
      </w:r>
      <w:r>
        <w:rPr>
          <w:rFonts w:asciiTheme="minorEastAsia" w:hAnsiTheme="minorEastAsia" w:eastAsiaTheme="minorEastAsia"/>
          <w:kern w:val="0"/>
          <w:sz w:val="24"/>
          <w:szCs w:val="24"/>
        </w:rPr>
        <w:t xml:space="preserve">  土壤污染责任人负有实施土壤污染风险管控和修复的义务。土壤污染责任人无法认定的，土地使用权人应当实施土壤污染风险管控和修复。</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地方人民政府及其有关部门可以根据实际情况组织实施土壤污染风险管控和修复。</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国家鼓励和支持有关当事人自愿实施土壤污染风险管控和修复。</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第四十六条</w:t>
      </w:r>
      <w:r>
        <w:rPr>
          <w:rFonts w:asciiTheme="minorEastAsia" w:hAnsiTheme="minorEastAsia" w:eastAsiaTheme="minorEastAsia"/>
          <w:kern w:val="0"/>
          <w:sz w:val="24"/>
          <w:szCs w:val="24"/>
        </w:rPr>
        <w:t xml:space="preserve">  因实施或者组织实施土壤污染状况调查和土壤污染风险评估、风险管控、修复、风险管控效果评估、修复效果评估、后期管理等活动所支出的费用，由土壤污染责任人承担。</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第四十七条</w:t>
      </w:r>
      <w:r>
        <w:rPr>
          <w:rFonts w:asciiTheme="minorEastAsia" w:hAnsiTheme="minorEastAsia" w:eastAsiaTheme="minorEastAsia"/>
          <w:kern w:val="0"/>
          <w:sz w:val="24"/>
          <w:szCs w:val="24"/>
        </w:rPr>
        <w:t xml:space="preserve">  土壤污染责任人变更的，由变更后承继其债权、债务的单位或者个人履行相关土壤污染风险管控和修复义务并承担相关费用。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第四十八条</w:t>
      </w:r>
      <w:r>
        <w:rPr>
          <w:rFonts w:asciiTheme="minorEastAsia" w:hAnsiTheme="minorEastAsia" w:eastAsiaTheme="minorEastAsia"/>
          <w:kern w:val="0"/>
          <w:sz w:val="24"/>
          <w:szCs w:val="24"/>
        </w:rPr>
        <w:t xml:space="preserve">  土壤污染责任人不明确或者存在争议的，农用地由地方人民政府农业农村、林业草原主管部门会同生态环境、自然资源主管部门认定，建设用地由地方人民政府生态环境主管部门会同自然资源主管部门认定。认定办法由国务院生态环境主管部门会同有关部门制定。</w:t>
      </w:r>
    </w:p>
    <w:p>
      <w:pPr>
        <w:pStyle w:val="64"/>
        <w:spacing w:before="156" w:after="156"/>
        <w:rPr>
          <w:kern w:val="0"/>
        </w:rPr>
      </w:pPr>
      <w:r>
        <w:rPr>
          <w:kern w:val="0"/>
        </w:rPr>
        <w:t>第二节  农用地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第四十九条</w:t>
      </w:r>
      <w:r>
        <w:rPr>
          <w:rFonts w:asciiTheme="minorEastAsia" w:hAnsiTheme="minorEastAsia" w:eastAsiaTheme="minorEastAsia"/>
          <w:kern w:val="0"/>
          <w:sz w:val="24"/>
          <w:szCs w:val="24"/>
        </w:rPr>
        <w:t xml:space="preserve">  国家建立农用地分类管理制度。按照土壤污染程度和相关标准，将农用地划分为优先保护类、安全利用类和严格管控类。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第五十条</w:t>
      </w:r>
      <w:r>
        <w:rPr>
          <w:rFonts w:asciiTheme="minorEastAsia" w:hAnsiTheme="minorEastAsia" w:eastAsiaTheme="minorEastAsia"/>
          <w:kern w:val="0"/>
          <w:sz w:val="24"/>
          <w:szCs w:val="24"/>
        </w:rPr>
        <w:t xml:space="preserve">  县级以上地方人民政府应当依法将符合条件的优先保护类耕地划为永久基本农田，实行严格保护。</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在永久基本农田集中区域，不得新建可能造成土壤污染的建设项目；已经建成的，应当限期关闭拆除。</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第五十一条</w:t>
      </w:r>
      <w:r>
        <w:rPr>
          <w:rFonts w:asciiTheme="minorEastAsia" w:hAnsiTheme="minorEastAsia" w:eastAsiaTheme="minorEastAsia"/>
          <w:kern w:val="0"/>
          <w:sz w:val="24"/>
          <w:szCs w:val="24"/>
        </w:rPr>
        <w:t xml:space="preserve">  未利用地、复垦土地等拟开垦为耕地的，地方人民政府农业农村主管部门应当会同生态环境、自然资源主管部门进行土壤污染状况调查，依法进行分类管理。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第五十二条</w:t>
      </w:r>
      <w:r>
        <w:rPr>
          <w:rFonts w:asciiTheme="minorEastAsia" w:hAnsiTheme="minorEastAsia" w:eastAsiaTheme="minorEastAsia"/>
          <w:kern w:val="0"/>
          <w:sz w:val="24"/>
          <w:szCs w:val="24"/>
        </w:rPr>
        <w:t xml:space="preserve">  对土壤污染状况普查、详查和监测、现场检查表明有土壤污染风险的农用地地块，地方人民政府农业农村、林业草原主管部门应当会同生态环境、自然资源主管部门进行土壤污染状况调查。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土壤污染状况调查表明污染物含量超过土壤污染风险管控标准的农用地地块，地方人民政府农业农村、林业草原主管部门应当会同生态环境、自然资源主管部门组织进行土壤污染风险评估，并按照农用地分类管理制度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第五十三条</w:t>
      </w:r>
      <w:r>
        <w:rPr>
          <w:rFonts w:asciiTheme="minorEastAsia" w:hAnsiTheme="minorEastAsia" w:eastAsiaTheme="minorEastAsia"/>
          <w:kern w:val="0"/>
          <w:sz w:val="24"/>
          <w:szCs w:val="24"/>
        </w:rPr>
        <w:t xml:space="preserve">  对安全利用类农用地地块，地方人民政府农业农村、林业草原主管部门，应当结合主要作物品种和种植习惯等情况，制定并实施安全利用方案。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安全利用方案应当包括下列内容：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（一）农艺调控、替代种植；</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（二）定期开展土壤和农产品协同监测与评价；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（三）对农民、农民专业合作社及其他农业生产经营主体进行技术指导和培训；</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（四）其他风险管控措施。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第五十四条</w:t>
      </w:r>
      <w:r>
        <w:rPr>
          <w:rFonts w:asciiTheme="minorEastAsia" w:hAnsiTheme="minorEastAsia" w:eastAsiaTheme="minorEastAsia"/>
          <w:kern w:val="0"/>
          <w:sz w:val="24"/>
          <w:szCs w:val="24"/>
        </w:rPr>
        <w:t xml:space="preserve">  对严格管控类农用地地块，地方人民政府农业农村、林业草原主管部门应当采取下列风险管控措施：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（一）提出划定特定农产品禁止生产区域的建议，报本级人民政府批准后实施；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（二）按照规定开展土壤和农产品协同监测与评价；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（三）对农民、农民专业合作社及其他农业生产经营主体进行技术指导和培训；</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（四）其他风险管控措施。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各级人民政府及其有关部门应当鼓励对严格管控类农用地采取调整种植结构、退耕还林还草、退耕还湿、轮作休耕、轮牧休牧等风险管控措施，并给予相应的政策支持。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第五十五条</w:t>
      </w:r>
      <w:r>
        <w:rPr>
          <w:rFonts w:asciiTheme="minorEastAsia" w:hAnsiTheme="minorEastAsia" w:eastAsiaTheme="minorEastAsia"/>
          <w:kern w:val="0"/>
          <w:sz w:val="24"/>
          <w:szCs w:val="24"/>
        </w:rPr>
        <w:t xml:space="preserve">  安全利用类和严格管控类农用地地块的土壤污染影响或者可能影响地下水、饮用水水源安全的，地方人民政府生态环境主管部门应当会同农业农村、林业草原等主管部门制定防治污染的方案，并采取相应的措施。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第五十六条</w:t>
      </w:r>
      <w:r>
        <w:rPr>
          <w:rFonts w:asciiTheme="minorEastAsia" w:hAnsiTheme="minorEastAsia" w:eastAsiaTheme="minorEastAsia"/>
          <w:kern w:val="0"/>
          <w:sz w:val="24"/>
          <w:szCs w:val="24"/>
        </w:rPr>
        <w:t xml:space="preserve">  对安全利用类和严格管控类农用地地块，土壤污染责任人应当按照国家有关规定以及土壤污染风险评估报告的要求，采取相应的风险管控措施，并定期向地方人民政府农业农村、林业草原主管部门报告。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第五十七条</w:t>
      </w:r>
      <w:r>
        <w:rPr>
          <w:rFonts w:asciiTheme="minorEastAsia" w:hAnsiTheme="minorEastAsia" w:eastAsiaTheme="minorEastAsia"/>
          <w:kern w:val="0"/>
          <w:sz w:val="24"/>
          <w:szCs w:val="24"/>
        </w:rPr>
        <w:t xml:space="preserve">  对产出的农产品污染物含量超标，需要实施修复的农用地地块，土壤污染责任人应当编制修复方案，报地方人民政府农业农村、林业草原主管部门备案并实施。修复方案应当包括地下水污染防治的内容。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修复活动应当优先采取不影响农业生产、不降低土壤生产功能的生物修复措施，阻断或者减少污染物进入农作物食用部分，确保农产品质量安全。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风险管控、修复活动完成后，土壤污染责任人应当另行委托有关单位对风险管控效果、修复效果进行评估，并将效果评估报告报地方人民政府农业农村、林业草原主管部门备案。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农村集体经济组织及其成员、农民专业合作社及其他农业生产经营主体等负有协助实施土壤污染风险管控和修复的义务。</w:t>
      </w:r>
    </w:p>
    <w:p>
      <w:pPr>
        <w:pStyle w:val="64"/>
        <w:spacing w:before="156" w:after="156"/>
        <w:rPr>
          <w:kern w:val="0"/>
        </w:rPr>
      </w:pPr>
      <w:r>
        <w:rPr>
          <w:kern w:val="0"/>
        </w:rPr>
        <w:t>第三节  建设用地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第五十八条</w:t>
      </w:r>
      <w:r>
        <w:rPr>
          <w:rFonts w:asciiTheme="minorEastAsia" w:hAnsiTheme="minorEastAsia" w:eastAsiaTheme="minorEastAsia"/>
          <w:kern w:val="0"/>
          <w:sz w:val="24"/>
          <w:szCs w:val="24"/>
        </w:rPr>
        <w:t xml:space="preserve">  国家实行建设用地土壤污染风险管控和修复名录制度。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建设用地土壤污染风险管控和修复名录由省级人民政府生态环境主管部门会同自然资源等主管部门制定，按照规定向社会公开，并根据风险管控、修复情况适时更新。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第五十九条</w:t>
      </w:r>
      <w:r>
        <w:rPr>
          <w:rFonts w:asciiTheme="minorEastAsia" w:hAnsiTheme="minorEastAsia" w:eastAsiaTheme="minorEastAsia"/>
          <w:kern w:val="0"/>
          <w:sz w:val="24"/>
          <w:szCs w:val="24"/>
        </w:rPr>
        <w:t xml:space="preserve">  对土壤污染状况普查、详查和监测、现场检查表明有土壤污染风险的建设用地地块，地方人民政府生态环境主管部门应当要求土地使用权人按照规定进行土壤污染状况调查。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用途变更为住宅、公共管理与公共服务用地的，变更前应当按照规定进行土壤污染状况调查。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前两款规定的土壤污染状况调查报告应当报地方人民政府生态环境主管部门，由地方人民政府生态环境主管部门会同自然资源主管部门组织评审。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第六十条</w:t>
      </w:r>
      <w:r>
        <w:rPr>
          <w:rFonts w:asciiTheme="minorEastAsia" w:hAnsiTheme="minorEastAsia" w:eastAsiaTheme="minorEastAsia"/>
          <w:kern w:val="0"/>
          <w:sz w:val="24"/>
          <w:szCs w:val="24"/>
        </w:rPr>
        <w:t xml:space="preserve">  对土壤污染状况调查报告评审表明污染物含量超过土壤污染风险管控标准的建设用地地块，土壤污染责任人、土地使用权人应当按照国务院生态环境主管部门的规定进行土壤污染风险评估，并将土壤污染风险评估报告报省级人民政府生态环境主管部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第六十一条</w:t>
      </w:r>
      <w:r>
        <w:rPr>
          <w:rFonts w:asciiTheme="minorEastAsia" w:hAnsiTheme="minorEastAsia" w:eastAsiaTheme="minorEastAsia"/>
          <w:kern w:val="0"/>
          <w:sz w:val="24"/>
          <w:szCs w:val="24"/>
        </w:rPr>
        <w:t xml:space="preserve">  省级人民政府生态环境主管部门应当会同自然资源等主管部门按照国务院生态环境主管部门的规定，对土壤污染风险评估报告组织评审，及时将需要实施风险管控、修复的地块纳入建设用地土壤污染风险管控和修复名录，并定期向国务院生态环境主管部门报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列入建设用地土壤污染风险管控和修复名录的地块，不得作为住宅、公共管理与公共服务用地。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第六十二条</w:t>
      </w:r>
      <w:r>
        <w:rPr>
          <w:rFonts w:asciiTheme="minorEastAsia" w:hAnsiTheme="minorEastAsia" w:eastAsiaTheme="minorEastAsia"/>
          <w:kern w:val="0"/>
          <w:sz w:val="24"/>
          <w:szCs w:val="24"/>
        </w:rPr>
        <w:t xml:space="preserve">  对建设用地土壤污染风险管控和修复名录中的地块，土壤污染责任人应当按照国家有关规定以及土壤污染风险评估报告的要求，采取相应的风险管控措施，并定期向地方人民政府生态环境主管部门报告。风险管控措施应当包括地下水污染防治的内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第六十三条</w:t>
      </w:r>
      <w:r>
        <w:rPr>
          <w:rFonts w:asciiTheme="minorEastAsia" w:hAnsiTheme="minorEastAsia" w:eastAsiaTheme="minorEastAsia"/>
          <w:kern w:val="0"/>
          <w:sz w:val="24"/>
          <w:szCs w:val="24"/>
        </w:rPr>
        <w:t xml:space="preserve">  对建设用地土壤污染风险管控和修复名录中的地块，地方人民政府生态环境主管部门可以根据实际情况采取下列风险管控措施：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（一）提出划定隔离区域的建议，报本级人民政府批准后实施；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（二）进行土壤及地下水污染状况监测；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（三）其他风险管控措施。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第六十四条</w:t>
      </w:r>
      <w:r>
        <w:rPr>
          <w:rFonts w:asciiTheme="minorEastAsia" w:hAnsiTheme="minorEastAsia" w:eastAsiaTheme="minorEastAsia"/>
          <w:kern w:val="0"/>
          <w:sz w:val="24"/>
          <w:szCs w:val="24"/>
        </w:rPr>
        <w:t xml:space="preserve">  对建设用地土壤污染风险管控和修复名录中需要实施修复的地块，土壤污染责任人应当结合土地利用总体规划和城乡规划编制修复方案，报地方人民政府生态环境主管部门备案并实施。修复方案应当包括地下水污染防治的内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第六十五条</w:t>
      </w:r>
      <w:r>
        <w:rPr>
          <w:rFonts w:asciiTheme="minorEastAsia" w:hAnsiTheme="minorEastAsia" w:eastAsiaTheme="minorEastAsia"/>
          <w:kern w:val="0"/>
          <w:sz w:val="24"/>
          <w:szCs w:val="24"/>
        </w:rPr>
        <w:t xml:space="preserve">  风险管控、修复活动完成后，土壤污染责任人应当另行委托有关单位对风险管控效果、修复效果进行评估，并将效果评估报告报地方人民政府生态环境主管部门备案。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第六十六条</w:t>
      </w:r>
      <w:r>
        <w:rPr>
          <w:rFonts w:asciiTheme="minorEastAsia" w:hAnsiTheme="minorEastAsia" w:eastAsiaTheme="minorEastAsia"/>
          <w:kern w:val="0"/>
          <w:sz w:val="24"/>
          <w:szCs w:val="24"/>
        </w:rPr>
        <w:t xml:space="preserve">  对达到土壤污染风险评估报告确定的风险管控、修复目标的建设用地地块，土壤污染责任人、土地使用权人可以申请省级人民政府生态环境主管部门移出建设用地土壤污染风险管控和修复名录。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级人民政府生态环境主管部门应当会同自然资源等主管部门对风险管控效果评估报告、修复效果评估报告组织评审，及时将达到土壤污染风险评估报告确定的风险管控、修复目标且可以安全利用的地块移出建设用地土壤污染风险管控和修复名录，按照规定向社会公开，并定期向国务院生态环境主管部门报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未达到土壤污染风险评估报告确定的风险管控、修复目标的建设用地地块，禁止开工建设任何与风险管控、修复无关的项目。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第六十七条</w:t>
      </w:r>
      <w:r>
        <w:rPr>
          <w:rFonts w:asciiTheme="minorEastAsia" w:hAnsiTheme="minorEastAsia" w:eastAsiaTheme="minorEastAsia"/>
          <w:kern w:val="0"/>
          <w:sz w:val="24"/>
          <w:szCs w:val="24"/>
        </w:rPr>
        <w:t xml:space="preserve">  土壤污染重点监管单位生产经营用地的用途变更或者在其土地使用权收回、转让前，应当由土地使用权人按照规定进行土壤污染状况调查。土壤污染状况调查报告应当作为不动产登记资料送交地方人民政府不动产登记机构，并报地方人民政府生态环境主管部门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第六十八条</w:t>
      </w:r>
      <w:r>
        <w:rPr>
          <w:rFonts w:asciiTheme="minorEastAsia" w:hAnsiTheme="minorEastAsia" w:eastAsiaTheme="minorEastAsia"/>
          <w:kern w:val="0"/>
          <w:sz w:val="24"/>
          <w:szCs w:val="24"/>
        </w:rPr>
        <w:t xml:space="preserve">  土地使用权已经被地方人民政府收回，土壤污染责任人为原土地使用权人的，由地方人民政府组织实施土壤污染风险管控和修复。</w:t>
      </w:r>
    </w:p>
    <w:p>
      <w:pPr>
        <w:pStyle w:val="63"/>
        <w:spacing w:before="218" w:after="218" w:line="412" w:lineRule="exact"/>
      </w:pPr>
      <w:r>
        <w:t>第五章  保障和监督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第六十九条</w:t>
      </w:r>
      <w:r>
        <w:rPr>
          <w:rFonts w:asciiTheme="minorEastAsia" w:hAnsiTheme="minorEastAsia" w:eastAsiaTheme="minorEastAsia"/>
          <w:kern w:val="0"/>
          <w:sz w:val="24"/>
          <w:szCs w:val="24"/>
        </w:rPr>
        <w:t xml:space="preserve">  国家采取有利于土壤污染防治的财政、税收、价格、金融等经济政策和措施。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第七十条</w:t>
      </w:r>
      <w:r>
        <w:rPr>
          <w:rFonts w:asciiTheme="minorEastAsia" w:hAnsiTheme="minorEastAsia" w:eastAsiaTheme="minorEastAsia"/>
          <w:kern w:val="0"/>
          <w:sz w:val="24"/>
          <w:szCs w:val="24"/>
        </w:rPr>
        <w:t xml:space="preserve">  各级人民政府应当加强对土壤污染的防治，安排必要的资金用于下列事项：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（一）土壤污染防治的科学技术研究开发、示范工程和项目；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（二）各级人民政府及其有关部门组织实施的土壤污染状况普查、监测、调查和土壤污染责任人认定、风险评估、风险管控、修复等活动；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（三）各级人民政府及其有关部门对涉及土壤污染的突发事件的应急处置；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（四）各级人民政府规定的涉及土壤污染防治的其他事项。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使用资金应当加强绩效管理和审计监督，确保资金使用效益。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第七十一条</w:t>
      </w:r>
      <w:r>
        <w:rPr>
          <w:rFonts w:asciiTheme="minorEastAsia" w:hAnsiTheme="minorEastAsia" w:eastAsiaTheme="minorEastAsia"/>
          <w:kern w:val="0"/>
          <w:sz w:val="24"/>
          <w:szCs w:val="24"/>
        </w:rPr>
        <w:t xml:space="preserve">  国家加大土壤污染防治资金投入力度，建立土壤污染防治基金制度。设立中央土壤污染防治专项资金和省级土壤污染防治基金，主要用于农用地土壤污染防治和土壤污染责任人或者土地使用权人无法认定的土壤污染风险管控和修复以及政府规定的其他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对本法实施之前产生的，并且土壤污染责任人无法认定的污染地块，土地使用权人实际承担土壤污染风险管控和修复的，可以申请土壤污染防治基金，集中用于土壤污染风险管控和修复。</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土壤污染防治基金的具体管理办法，由国务院财政主管部门会同国务院生态环境、农业农村、自然资源、住房城乡建设、林业草原等主管部门制定。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第七十二条</w:t>
      </w:r>
      <w:r>
        <w:rPr>
          <w:rFonts w:asciiTheme="minorEastAsia" w:hAnsiTheme="minorEastAsia" w:eastAsiaTheme="minorEastAsia"/>
          <w:kern w:val="0"/>
          <w:sz w:val="24"/>
          <w:szCs w:val="24"/>
        </w:rPr>
        <w:t xml:space="preserve">  国家鼓励金融机构加大对土壤污染风险管控和修复项目的信贷投放。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国家鼓励金融机构在办理土地权利抵押业务时开展土壤污染状况调查。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第七十三条</w:t>
      </w:r>
      <w:r>
        <w:rPr>
          <w:rFonts w:asciiTheme="minorEastAsia" w:hAnsiTheme="minorEastAsia" w:eastAsiaTheme="minorEastAsia"/>
          <w:kern w:val="0"/>
          <w:sz w:val="24"/>
          <w:szCs w:val="24"/>
        </w:rPr>
        <w:t xml:space="preserve">  从事土壤污染风险管控和修复的单位依照法律、行政法规的规定，享受税收优惠。</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第七十四条</w:t>
      </w:r>
      <w:r>
        <w:rPr>
          <w:rFonts w:asciiTheme="minorEastAsia" w:hAnsiTheme="minorEastAsia" w:eastAsiaTheme="minorEastAsia"/>
          <w:kern w:val="0"/>
          <w:sz w:val="24"/>
          <w:szCs w:val="24"/>
        </w:rPr>
        <w:t xml:space="preserve">  国家鼓励并提倡社会各界为防治土壤污染捐赠财产，并依照法律、行政法规的规定，给予税收优惠。</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第七十五条</w:t>
      </w:r>
      <w:r>
        <w:rPr>
          <w:rFonts w:asciiTheme="minorEastAsia" w:hAnsiTheme="minorEastAsia" w:eastAsiaTheme="minorEastAsia"/>
          <w:kern w:val="0"/>
          <w:sz w:val="24"/>
          <w:szCs w:val="24"/>
        </w:rPr>
        <w:t xml:space="preserve">  县级以上人民政府应当将土壤污染防治情况纳入环境状况和环境保护目标完成情况年度报告，向本级人民代表大会或者人民代表大会常务委员会报告。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第七十六条</w:t>
      </w:r>
      <w:r>
        <w:rPr>
          <w:rFonts w:asciiTheme="minorEastAsia" w:hAnsiTheme="minorEastAsia" w:eastAsiaTheme="minorEastAsia"/>
          <w:kern w:val="0"/>
          <w:sz w:val="24"/>
          <w:szCs w:val="24"/>
        </w:rPr>
        <w:t xml:space="preserve">  省级以上人民政府生态环境主管部门应当会同有关部门对土壤污染问题突出、防治工作不力、群众反映强烈的地区，约谈设区的市级以上地方人民政府及其有关部门主要负责人，要求其采取措施及时整改。约谈整改情况应当向社会公开。</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第七十七条</w:t>
      </w:r>
      <w:r>
        <w:rPr>
          <w:rFonts w:asciiTheme="minorEastAsia" w:hAnsiTheme="minorEastAsia" w:eastAsiaTheme="minorEastAsia"/>
          <w:kern w:val="0"/>
          <w:sz w:val="24"/>
          <w:szCs w:val="24"/>
        </w:rPr>
        <w:t xml:space="preserve">  生态环境主管部门及其环境执法机构和其他负有土壤污染防治监督管理职责的部门，有权对从事可能造成土壤污染活动的企业事业单位和其他生产经营者进行现场检查、取样，要求被检查者提供有关资料、就有关问题作出说明。</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被检查者应当配合检查工作，如实反映情况，提供必要的资料。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实施现场检查的部门、机构及其工作人员应当为被检查者保守商业秘密。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第七十八条</w:t>
      </w:r>
      <w:r>
        <w:rPr>
          <w:rFonts w:asciiTheme="minorEastAsia" w:hAnsiTheme="minorEastAsia" w:eastAsiaTheme="minorEastAsia"/>
          <w:kern w:val="0"/>
          <w:sz w:val="24"/>
          <w:szCs w:val="24"/>
        </w:rPr>
        <w:t xml:space="preserve">  企业事业单位和其他生产经营者违反法律法规规定排放有毒有害物质，造成或者可能造成严重土壤污染的，或者有关证据可能灭失或者被隐匿的，生态环境主管部门和其他负有土壤污染防治监督管理职责的部门，可以查封、扣押有关设施、设备、物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第七十九条</w:t>
      </w:r>
      <w:r>
        <w:rPr>
          <w:rFonts w:asciiTheme="minorEastAsia" w:hAnsiTheme="minorEastAsia" w:eastAsiaTheme="minorEastAsia"/>
          <w:kern w:val="0"/>
          <w:sz w:val="24"/>
          <w:szCs w:val="24"/>
        </w:rPr>
        <w:t xml:space="preserve">  地方人民政府安全生产监督管理部门应当监督尾矿库运营、管理单位履行防治土壤污染的法定义务，防止其发生可能污染土壤的事故；地方人民政府生态环境主管部门应当加强对尾矿库土壤污染防治情况的监督检查和定期评估，发现风险隐患的，及时督促尾矿库运营、管理单位采取相应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地方人民政府及其有关部门应当依法加强对向沙漠、滩涂、盐碱地、沼泽地等未利用地非法排放有毒有害物质等行为的监督检查。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第八十条</w:t>
      </w:r>
      <w:r>
        <w:rPr>
          <w:rFonts w:asciiTheme="minorEastAsia" w:hAnsiTheme="minorEastAsia" w:eastAsiaTheme="minorEastAsia"/>
          <w:kern w:val="0"/>
          <w:sz w:val="24"/>
          <w:szCs w:val="24"/>
        </w:rPr>
        <w:t xml:space="preserve">  省级以上人民政府生态环境主管部门和其他负有土壤污染防治监督管理职责的部门应当将从事土壤污染状况调查和土壤污染风险评估、风险管控、修复、风险管控效果评估、修复效果评估、后期管理等活动的单位和个人的执业情况，纳入信用系统建立信用记录，将违法信息记入社会诚信档案，并纳入全国信用信息共享平台和国家企业信用信息公示系统向社会公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第八十一条</w:t>
      </w:r>
      <w:r>
        <w:rPr>
          <w:rFonts w:asciiTheme="minorEastAsia" w:hAnsiTheme="minorEastAsia" w:eastAsiaTheme="minorEastAsia"/>
          <w:kern w:val="0"/>
          <w:sz w:val="24"/>
          <w:szCs w:val="24"/>
        </w:rPr>
        <w:t xml:space="preserve">  生态环境主管部门和其他负有土壤污染防治监督管理职责的部门应当依法公开土壤污染状况和防治信息。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务院生态环境主管部门负责统一发布全国土壤环境信息；省级人民政府生态环境主管部门负责统一发布本行政区域土壤环境信息。生态环境主管部门应当将涉及主要食用农产品生产区域的重大土壤环境信息，及时通报同级农业农村、卫生健康和食品安全主管部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公民、法人和其他组织享有依法获取土壤污染状况和防治信息、参与和监督土壤污染防治的权利。</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第八十二条</w:t>
      </w:r>
      <w:r>
        <w:rPr>
          <w:rFonts w:asciiTheme="minorEastAsia" w:hAnsiTheme="minorEastAsia" w:eastAsiaTheme="minorEastAsia"/>
          <w:kern w:val="0"/>
          <w:sz w:val="24"/>
          <w:szCs w:val="24"/>
        </w:rPr>
        <w:t xml:space="preserve">  土壤污染状况普查报告、监测数据、调查报告和土壤污染风险评估报告、风险管控效果评估报告、修复效果评估报告等，应当及时上传全国土壤环境信息平台。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第八十三条</w:t>
      </w:r>
      <w:r>
        <w:rPr>
          <w:rFonts w:asciiTheme="minorEastAsia" w:hAnsiTheme="minorEastAsia" w:eastAsiaTheme="minorEastAsia"/>
          <w:kern w:val="0"/>
          <w:sz w:val="24"/>
          <w:szCs w:val="24"/>
        </w:rPr>
        <w:t xml:space="preserve">  新闻媒体对违反土壤污染防治法律法规的行为享有舆论监督的权利，受监督的单位和个人不得打击报复。</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第八十四条</w:t>
      </w:r>
      <w:r>
        <w:rPr>
          <w:rFonts w:asciiTheme="minorEastAsia" w:hAnsiTheme="minorEastAsia" w:eastAsiaTheme="minorEastAsia"/>
          <w:kern w:val="0"/>
          <w:sz w:val="24"/>
          <w:szCs w:val="24"/>
        </w:rPr>
        <w:t xml:space="preserve">  任何组织和个人对污染土壤的行为，均有向生态环境主管部门和其他负有土壤污染防治监督管理职责的部门报告或者举报的权利。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生态环境主管部门和其他负有土壤污染防治监督管理职责的部门应当将土壤污染防治举报方式向社会公布，方便公众举报。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接到举报的部门应当及时处理并对举报人的相关信息予以保密；对实名举报并查证属实的，给予奖励。</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举报人举报所在单位的，该单位不得以解除、变更劳动合同或者其他方式对举报人进行打击报复。</w:t>
      </w:r>
    </w:p>
    <w:p>
      <w:pPr>
        <w:pStyle w:val="63"/>
        <w:spacing w:before="218" w:after="218" w:line="412" w:lineRule="exact"/>
      </w:pPr>
      <w:r>
        <w:t>第六章  法律责任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第八十五条</w:t>
      </w:r>
      <w:r>
        <w:rPr>
          <w:rFonts w:asciiTheme="minorEastAsia" w:hAnsiTheme="minorEastAsia" w:eastAsiaTheme="minorEastAsia"/>
          <w:kern w:val="0"/>
          <w:sz w:val="24"/>
          <w:szCs w:val="24"/>
        </w:rPr>
        <w:t xml:space="preserve">  地方各级人民政府、生态环境主管部门或者其他负有土壤污染防治监督管理职责的部门未依照本法规定履行职责的，对直接负责的主管人员和其他直接责任人员依法给予处分。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依照本法规定应当作出行政处罚决定而未作出的，上级主管部门可以直接作出行政处罚决定。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第八十六条</w:t>
      </w:r>
      <w:r>
        <w:rPr>
          <w:rFonts w:asciiTheme="minorEastAsia" w:hAnsiTheme="minorEastAsia" w:eastAsiaTheme="minorEastAsia"/>
          <w:kern w:val="0"/>
          <w:sz w:val="24"/>
          <w:szCs w:val="24"/>
        </w:rPr>
        <w:t xml:space="preserve">  违反本法规定，有下列行为之一的，由地方人民政府生态环境主管部门或者其他负有土壤污染防治监督管理职责的部门责令改正，处以罚款；拒不改正的，责令停产整治：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（一）土壤污染重点监管单位未制定、实施自行监测方案，或者未将监测数据报生态环境主管部门的；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（二）土壤污染重点监管单位篡改、伪造监测数据的；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（三）土壤污染重点监管单位未按年度报告有毒有害物质排放情况，或者未建立土壤污染隐患排查制度的；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（四）拆除设施、设备或者建筑物、构筑物，企业事业单位未采取相应的土壤污染防治措施或者土壤污染重点监管单位未制定、实施土壤污染防治工作方案的；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（五）尾矿库运营、管理单位未按照规定采取措施防止土壤污染的；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（六）尾矿库运营、管理单位未按照规定进行土壤污染状况监测的；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（七）建设和运行污水集中处理设施、固体废物处置设施，未依照法律法规和相关标准的要求采取措施防止土壤污染的。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有前款规定行为之一的，处二万元以上二十万元以下的罚款；有前款第二项、第四项、第五项、第七项规定行为之一，造成严重后果的，处二十万元以上二百万元以下的罚款。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第八十七条</w:t>
      </w:r>
      <w:r>
        <w:rPr>
          <w:rFonts w:asciiTheme="minorEastAsia" w:hAnsiTheme="minorEastAsia" w:eastAsiaTheme="minorEastAsia"/>
          <w:kern w:val="0"/>
          <w:sz w:val="24"/>
          <w:szCs w:val="24"/>
        </w:rPr>
        <w:t xml:space="preserve">  违反本法规定，向农用地排放重金属或者其他有毒有害物质含量超标的污水、污泥，以及可能造成土壤污染的清淤底泥、尾矿、矿渣等的，由地方人民政府生态环境主管部门责令改正，处十万元以上五十万元以下的罚款；情节严重的，处五十万元以上二百万元以下的罚款，并可以将案件移送公安机关，对直接负责的主管人员和其他直接责任人员处五日以上十五日以下的拘留；有违法所得的，没收违法所得。</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第八十八条</w:t>
      </w:r>
      <w:r>
        <w:rPr>
          <w:rFonts w:asciiTheme="minorEastAsia" w:hAnsiTheme="minorEastAsia" w:eastAsiaTheme="minorEastAsia"/>
          <w:kern w:val="0"/>
          <w:sz w:val="24"/>
          <w:szCs w:val="24"/>
        </w:rPr>
        <w:t xml:space="preserve">  违反本法规定，农业投入品生产者、销售者、使用者未按照规定及时回收肥料等农业投入品的包装废弃物或者农用薄膜，或者未按照规定及时回收农药包装废弃物交由专门的机构或者组织进行无害化处理的，由地方人民政府农业农村主管部门责令改正，处一万元以上十万元以下的罚款；农业投入品使用者为个人的，可以处二百元以上二千元以下的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第八十九条</w:t>
      </w:r>
      <w:r>
        <w:rPr>
          <w:rFonts w:asciiTheme="minorEastAsia" w:hAnsiTheme="minorEastAsia" w:eastAsiaTheme="minorEastAsia"/>
          <w:kern w:val="0"/>
          <w:sz w:val="24"/>
          <w:szCs w:val="24"/>
        </w:rPr>
        <w:t xml:space="preserve">  违反本法规定，将重金属或者其他有毒有害物质含量超标的工业固体废物、生活垃圾或者污染土壤用于土地复垦的，由地方人民政府生态环境主管部门责令改正，处十万元以上一百万元以下的罚款；有违法所得的，没收违法所得。</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第九十条</w:t>
      </w:r>
      <w:r>
        <w:rPr>
          <w:rFonts w:asciiTheme="minorEastAsia" w:hAnsiTheme="minorEastAsia" w:eastAsiaTheme="minorEastAsia"/>
          <w:kern w:val="0"/>
          <w:sz w:val="24"/>
          <w:szCs w:val="24"/>
        </w:rPr>
        <w:t xml:space="preserve">  违反本法规定，受委托从事土壤污染状况调查和土壤污染风险评估、风险管控效果评估、修复效果评估活动的单位，出具虚假调查报告、风险评估报告、风险管控效果评估报告、修复效果评估报告的，由地方人民政府生态环境主管部门处十万元以上五十万元以下的罚款；情节严重的，禁止从事上述业务，并处五十万元以上一百万元以下的罚款；有违法所得的，没收违法所得。</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前款规定的单位出具虚假报告的，由地方人民政府生态环境主管部门对直接负责的主管人员和其他直接责任人员处一万元以上五万元以下的罚款；情节严重的，十年内禁止从事前款规定的业务；构成犯罪的，终身禁止从事前款规定的业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本条第一款规定的单位和委托人恶意串通，出具虚假报告，造成他人人身或者财产损害的，还应当与委托人承担连带责任。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第九十一条</w:t>
      </w:r>
      <w:r>
        <w:rPr>
          <w:rFonts w:asciiTheme="minorEastAsia" w:hAnsiTheme="minorEastAsia" w:eastAsiaTheme="minorEastAsia"/>
          <w:kern w:val="0"/>
          <w:sz w:val="24"/>
          <w:szCs w:val="24"/>
        </w:rPr>
        <w:t xml:space="preserve">  违反本法规定，有下列行为之一的，由地方人民政府生态环境主管部门责令改正，处十万元以上五十万元以下的罚款；情节严重的，处五十万元以上一百万元以下的罚款；有违法所得的，没收违法所得；对直接负责的主管人员和其他直接责任人员处五千元以上二万元以下的罚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（一）未单独收集、存放开发建设过程中剥离的表土的；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（二）实施风险管控、修复活动对土壤、周边环境造成新的污染的；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（三）转运污染土壤，未将运输时间、方式、线路和污染土壤数量、去向、最终处置措施等提前报所在地和接收地生态环境主管部门的；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（四）未达到土壤污染风险评估报告确定的风险管控、修复目标的建设用地地块，开工建设与风险管控、修复无关的项目的。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第九十二条</w:t>
      </w:r>
      <w:r>
        <w:rPr>
          <w:rFonts w:asciiTheme="minorEastAsia" w:hAnsiTheme="minorEastAsia" w:eastAsiaTheme="minorEastAsia"/>
          <w:kern w:val="0"/>
          <w:sz w:val="24"/>
          <w:szCs w:val="24"/>
        </w:rPr>
        <w:t xml:space="preserve">  违反本法规定，土壤污染责任人或者土地使用权人未按照规定实施后期管理的，由地方人民政府生态环境主管部门或者其他负有土壤污染防治监督管理职责的部门责令改正，处一万元以上五万元以下的罚款；情节严重的，处五万元以上五十万元以下的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第九十三条</w:t>
      </w:r>
      <w:r>
        <w:rPr>
          <w:rFonts w:asciiTheme="minorEastAsia" w:hAnsiTheme="minorEastAsia" w:eastAsiaTheme="minorEastAsia"/>
          <w:kern w:val="0"/>
          <w:sz w:val="24"/>
          <w:szCs w:val="24"/>
        </w:rPr>
        <w:t xml:space="preserve">  违反本法规定，被检查者拒不配合检查，或者在接受检查时弄虚作假的，由地方人民政府生态环境主管部门或者其他负有土壤污染防治监督管理职责的部门责令改正，处二万元以上二十万元以下的罚款；对直接负责的主管人员和其他直接责任人员处五千元以上二万元以下的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第九十四条</w:t>
      </w:r>
      <w:r>
        <w:rPr>
          <w:rFonts w:asciiTheme="minorEastAsia" w:hAnsiTheme="minorEastAsia" w:eastAsiaTheme="minorEastAsia"/>
          <w:kern w:val="0"/>
          <w:sz w:val="24"/>
          <w:szCs w:val="24"/>
        </w:rPr>
        <w:t xml:space="preserve">  违反本法规定，土壤污染责任人或者土地使用权人有下列行为之一的，由地方人民政府生态环境主管部门或者其他负有土壤污染防治监督管理职责的部门责令改正，处二万元以上二十万元以下的罚款；拒不改正的，处二十万元以上一百万元以下的罚款，并委托他人代为履行，所需费用由土壤污染责任人或者土地使用权人承担；对直接负责的主管人员和其他直接责任人员处五千元以上二万元以下的罚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（一）未按照规定进行土壤污染状况调查的；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（二）未按照规定进行土壤污染风险评估的；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（三）未按照规定采取风险管控措施的；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（四）未按照规定实施修复的；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（五）风险管控、修复活动完成后，未另行委托有关单位对风险管控效果、修复效果进行评估的。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责任人或者土地使用权人有前款第三项、第四项规定行为之一，情节严重的，地方人民政府生态环境主管部门或者其他负有土壤污染防治监督管理职责的部门可以将案件移送公安机关，对直接负责的主管人员和其他直接责任人员处五日以上十五日以下的拘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第九十五条</w:t>
      </w:r>
      <w:r>
        <w:rPr>
          <w:rFonts w:asciiTheme="minorEastAsia" w:hAnsiTheme="minorEastAsia" w:eastAsiaTheme="minorEastAsia"/>
          <w:kern w:val="0"/>
          <w:sz w:val="24"/>
          <w:szCs w:val="24"/>
        </w:rPr>
        <w:t xml:space="preserve">  违反本法规定，有下列行为之一的，由地方人民政府有关部门责令改正；拒不改正的，处一万元以上五万元以下的罚款：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（一）土壤污染重点监管单位未按照规定将土壤污染防治工作方案报地方人民政府生态环境、工业和信息化主管部门备案的；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（二）土壤污染责任人或者土地使用权人未按照规定将修复方案、效果评估报告报地方人民政府生态环境、农业农村、林业草原主管部门备案的；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（三）土地使用权人未按照规定将土壤污染状况调查报告报地方人民政府生态环境主管部门备案的。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第九十六条</w:t>
      </w:r>
      <w:r>
        <w:rPr>
          <w:rFonts w:asciiTheme="minorEastAsia" w:hAnsiTheme="minorEastAsia" w:eastAsiaTheme="minorEastAsia"/>
          <w:kern w:val="0"/>
          <w:sz w:val="24"/>
          <w:szCs w:val="24"/>
        </w:rPr>
        <w:t xml:space="preserve">  污染土壤造成他人人身或者财产损害的，应当依法承担侵权责任。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土壤污染责任人无法认定，土地使用权人未依照本法规定履行土壤污染风险管控和修复义务，造成他人人身或者财产损害的，应当依法承担侵权责任。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土壤污染引起的民事纠纷，当事人可以向地方人民政府生态环境等主管部门申请调解处理，也可以向人民法院提起诉讼。</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第九十七条</w:t>
      </w:r>
      <w:r>
        <w:rPr>
          <w:rFonts w:asciiTheme="minorEastAsia" w:hAnsiTheme="minorEastAsia" w:eastAsiaTheme="minorEastAsia"/>
          <w:kern w:val="0"/>
          <w:sz w:val="24"/>
          <w:szCs w:val="24"/>
        </w:rPr>
        <w:t xml:space="preserve">  污染土壤损害国家利益、社会公共利益的，有关机关和组织可以依照《中华人民共和国环境保护法》《中华人民共和国民事诉讼法》《中华人民共和国行政诉讼法》等法律的规定向人民法院提起诉讼。</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第九十八条</w:t>
      </w:r>
      <w:r>
        <w:rPr>
          <w:rFonts w:asciiTheme="minorEastAsia" w:hAnsiTheme="minorEastAsia" w:eastAsiaTheme="minorEastAsia"/>
          <w:kern w:val="0"/>
          <w:sz w:val="24"/>
          <w:szCs w:val="24"/>
        </w:rPr>
        <w:t xml:space="preserve">  违反本法规定，构成违反治安管理行为的，由公安机关依法给予治安管理处罚；构成犯罪的，依法追究刑事责任。</w:t>
      </w:r>
    </w:p>
    <w:p>
      <w:pPr>
        <w:pStyle w:val="63"/>
        <w:spacing w:before="218" w:after="218" w:line="412" w:lineRule="exact"/>
      </w:pPr>
      <w:r>
        <w:t>第七章  附则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第九十九条</w:t>
      </w:r>
      <w:r>
        <w:rPr>
          <w:rFonts w:asciiTheme="minorEastAsia" w:hAnsiTheme="minorEastAsia" w:eastAsiaTheme="minorEastAsia"/>
          <w:kern w:val="0"/>
          <w:sz w:val="24"/>
          <w:szCs w:val="24"/>
        </w:rPr>
        <w:t xml:space="preserve">  本法自2019年1月1日起施行。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228" w:name="_Toc18942588"/>
      <w:bookmarkStart w:id="229" w:name="_Toc1807983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rPr>
          <w:shd w:val="clear" w:color="auto" w:fill="FFFFFF"/>
        </w:rPr>
      </w:pPr>
      <w:bookmarkStart w:id="230" w:name="_Toc28252149"/>
      <w:bookmarkStart w:id="231" w:name="_Toc25653663"/>
      <w:bookmarkStart w:id="232" w:name="_Toc28250878"/>
      <w:bookmarkStart w:id="233" w:name="_Toc26347929"/>
      <w:bookmarkStart w:id="234" w:name="_Toc25648168"/>
      <w:bookmarkStart w:id="235" w:name="_Toc28156951"/>
      <w:r>
        <w:rPr>
          <w:shd w:val="clear" w:color="auto" w:fill="FFFFFF"/>
        </w:rPr>
        <w:t>耕地质量调查监测与评价办法</w:t>
      </w:r>
      <w:bookmarkEnd w:id="228"/>
      <w:bookmarkEnd w:id="229"/>
      <w:bookmarkEnd w:id="230"/>
      <w:bookmarkEnd w:id="231"/>
      <w:bookmarkEnd w:id="232"/>
      <w:bookmarkEnd w:id="233"/>
      <w:bookmarkEnd w:id="234"/>
      <w:bookmarkEnd w:id="235"/>
    </w:p>
    <w:p>
      <w:pPr>
        <w:pStyle w:val="62"/>
        <w:topLinePunct w:val="0"/>
        <w:ind w:firstLine="0" w:firstLineChars="0"/>
        <w:jc w:val="center"/>
        <w:rPr>
          <w:b/>
          <w:bCs/>
        </w:rPr>
      </w:pPr>
      <w:r>
        <w:rPr>
          <w:shd w:val="clear" w:color="auto" w:fill="FFFFFF"/>
        </w:rPr>
        <w:t>（</w:t>
      </w:r>
      <w:r>
        <w:rPr>
          <w:rFonts w:hint="eastAsia"/>
          <w:shd w:val="clear" w:color="auto" w:fill="FFFFFF"/>
        </w:rPr>
        <w:t>2016年6月21日农业部令2016年第2号公布</w:t>
      </w:r>
      <w:r>
        <w:rPr>
          <w:shd w:val="clear" w:color="auto" w:fill="FFFFFF"/>
        </w:rPr>
        <w:t>）</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为加强耕地质量调查监测与评价工作，根据《农业法》《农产品质量安全法》《基本农田保护条例》等法律法规，制定本办法。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本办法所称耕地质量，是指由耕地地力、土壤健康状况和田间基础设施构成的满足农产品持续产出和质量安全的能力。</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农业部指导全国耕地质量调查监测体系建设。农业部所属相关耕地质量调查监测与保护机构（以下简称“农业部耕地质量监测机构”）组织开展全国耕地质量调查监测与评价工作，指导地方开展耕地质量调查监测与评价工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县级以上地方人民政府农业主管部门所属相关耕地质量调查监测与保护机构（以下简称“地方耕地质量监测机构”）负责本行政区域内耕地质量调查监测与评价具体工作。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耕地质量调查监测与保护机构（以下简称“耕地质量监测机构”）应当具备开展耕地质量调查监测与评价工作的条件和能力。</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各级人民政府农业主管部门应当加强耕地质量监测机构的能力建设，对从事耕地质量调查监测与评价工作的人员进行培训。</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农业部负责制定并发布耕地质量调查监测与评价工作的相关技术标准和规范。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省级人民政府农业主管部门可以根据本地区实际情况，制定本行政区域内耕地质量调查监测与评价技术标准和规范。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各级人民政府农业主管部门应当加强耕地质量调查监测与评价数据的管理，保障数据的完整性、真实性和准确性。</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农业部耕地质量监测机构对外提供调查监测与评价数据，须经农业部审核批准。地方耕地质量监测机构对外提供调查监测与评价数据，须经省级人民政府农业主管部门审核批准。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农业部和省级人民政府农业主管部门应当建立耕地质量信息发布制度。农业部负责发布全国耕地质量信息，省级人民政府农业主管部门负责发布本行政区域内耕地质量信息。</w:t>
      </w:r>
    </w:p>
    <w:p>
      <w:pPr>
        <w:widowControl/>
        <w:spacing w:before="156" w:after="156"/>
        <w:ind w:firstLine="210"/>
        <w:rPr>
          <w:rFonts w:ascii="黑体" w:hAnsi="黑体" w:eastAsia="黑体" w:cs="Times New Roman"/>
          <w:bCs/>
          <w:sz w:val="28"/>
          <w:szCs w:val="28"/>
        </w:rPr>
      </w:pPr>
      <w:r>
        <w:br w:type="page"/>
      </w:r>
    </w:p>
    <w:p>
      <w:pPr>
        <w:pStyle w:val="63"/>
        <w:spacing w:before="218" w:after="218" w:line="412" w:lineRule="exact"/>
      </w:pPr>
      <w:r>
        <w:t>第二章</w:t>
      </w:r>
      <w:r>
        <w:rPr>
          <w:rFonts w:hint="eastAsia"/>
        </w:rPr>
        <w:t xml:space="preserve">  </w:t>
      </w:r>
      <w:r>
        <w:t>调</w:t>
      </w:r>
      <w:r>
        <w:rPr>
          <w:rFonts w:hint="eastAsia"/>
        </w:rPr>
        <w:t xml:space="preserve">  </w:t>
      </w:r>
      <w:r>
        <w:t>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耕地质量调查包括耕地质量普查、专项调查和应急调查。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耕地质量普查是以摸清耕地质量状况为目的，按照统一的技术规范，对全国耕地自下而上逐级实施现状调查、采样测试、数据统计、资料汇总、图件编制和成果验收的全面调查。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耕地质量普查由农业部根据农业生产发展需要，会同有关部门制定工作方案，经国务院批准后组织实施。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耕地质量专项调查包括耕地质量等级调查、特定区域耕地质量调查、耕地质量特定指标调查和新增耕地质量调查。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耕地质量等级调查是为评价耕地质量等级情况而实施的调查。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各级耕地质量监测机构负责组织本行政区域内耕地质量等级调查。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特定区域耕地质量调查是在一定区域内实施的耕地质量及其相关情况的调查。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特定区域耕地质量调查由县级以上人民政府农业主管部门根据工作需要确定区域范围，报请同级人民政府同意后组织实施。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耕地质量特定指标调查是为了解耕地质量某些特定指标而实施的调查。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耕地质量特定指标调查由县级以上人民政府农业主管部门根据工作需要确定指标，报请同级人民政府同意后组织实施。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新增耕地质量调查是为了解新增耕地质量状况、农业生产基本条件和能力而实施的调查。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新增耕地质量调查与占补平衡补充耕地质量评价工作同步开展。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耕地质量应急调查是因重大事故或突发事件，发生可能污染或破坏耕地质量的情况时实施的调查。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各级人民政府农业主管部门应当根据事故或突发事件性质，配合相关部门确定应急调查的范围和内容。</w:t>
      </w:r>
    </w:p>
    <w:p>
      <w:pPr>
        <w:pStyle w:val="63"/>
        <w:spacing w:before="218" w:after="218" w:line="412" w:lineRule="exact"/>
      </w:pPr>
      <w:r>
        <w:t xml:space="preserve">第三章 </w:t>
      </w:r>
      <w:r>
        <w:rPr>
          <w:rFonts w:hint="eastAsia"/>
        </w:rPr>
        <w:t xml:space="preserve"> </w:t>
      </w:r>
      <w:r>
        <w:t>监</w:t>
      </w:r>
      <w:r>
        <w:rPr>
          <w:rFonts w:hint="eastAsia"/>
        </w:rPr>
        <w:t xml:space="preserve">  </w:t>
      </w:r>
      <w:r>
        <w:t>测</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耕地质量监测是通过定点调查、田间试验、样品采集、分析化验、数据分析等工作，对耕地土壤理化性状、养分状况等质量变化开展的动态监测。</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以农业部耕地质量监测机构和地方耕地质量监测机构为主体，以相关科研教学单位的耕地质量监测站（点）为补充，构建覆盖面广、代表性强、功能完备的国家耕地质量监测网络。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农业部根据全国主要耕地土壤亚类、行政区划和农业生产布局建设耕地质量区域监测站。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耕地质量区域监测站负责土壤样品的集中检测，并做好数据审核和信息传输工作。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农业部耕地质量监测机构根据耕地土壤类型、种植制度和质量水平在全国布设国家耕地质量监测点。地方耕地质量监测机构根据需要布设本行政区域耕地质量监测点。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耕地质量监测点主要在粮食生产功能区、重要农产品生产保护区、耕地土壤污染区等区域布设，统一标识，建档立案。根据实际需要，可增加土壤墒情、肥料效应和产地环境等监测内容。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农业部耕地质量监测机构负责耕地质量区域监测站、国家耕地质量监测点的监管，收集、汇总、分析耕地质量监测数据，跟踪国内外耕地质量监测技术发展动态。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地方耕地质量监测机构负责本行政区域内耕地质量区域监测站、耕地质量监测点的具体管理，收集、汇总、分析耕地质量监测数据，协助农业部耕地质量监测机构开展耕地质量监测。</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县级以上地方人民政府农业主管部门负责本行政区域内耕地质量监测点的设施保护工作。任何单位和个人不得损坏或擅自变动耕地质量监测点的设施及标志。</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耕地质量监测点未经许可被占用或损坏的，应当根据有关规定对相关单位或个人实施处罚。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耕地质量监测点确需变更的，应当经设立监测点的农业主管部门审核批准，相关费用由申请变更单位或个人承担。</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耕地质量监测机构应当及时补充耕地质量监测点，并补齐基本信息。</w:t>
      </w:r>
    </w:p>
    <w:p>
      <w:pPr>
        <w:pStyle w:val="63"/>
        <w:spacing w:before="218" w:after="218" w:line="412" w:lineRule="exact"/>
      </w:pPr>
      <w:r>
        <w:t>第四章</w:t>
      </w:r>
      <w:r>
        <w:rPr>
          <w:rFonts w:hint="eastAsia"/>
        </w:rPr>
        <w:t xml:space="preserve"> </w:t>
      </w:r>
      <w:r>
        <w:t xml:space="preserve"> 评</w:t>
      </w:r>
      <w:r>
        <w:rPr>
          <w:rFonts w:hint="eastAsia"/>
        </w:rPr>
        <w:t xml:space="preserve">  </w:t>
      </w:r>
      <w:r>
        <w:t>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耕地质量评价包括耕地质量等级评价、耕地质量监测评价、特定区域耕地质量评价、耕地质量特定指标评价、新增耕地质量评价和耕地质量应急调查评价。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各级耕地质量监测机构应当运用耕地质量调查和监测数据，对本行政区域内耕地质量等级情况进行评价。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农业部每5年发布一次全国耕地质量等级信息。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省级人民政府农业主管部门每5年发布一次本行政区域耕地质量等级信息，并报农业部备案。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各级耕地质量监测机构应当运用监测数据，对本行政区域内耕地质量主要性状变化情况进行评价。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年度耕地质量监测报告由农业部和省级人民政府农业主管部门发布。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各级耕地质量监测机构应当运用调查资料，根据需要对特定区域的耕地质量及其相关情况进行评价。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各级耕地质量监测机构应当运用调查资料，对耕地质量特定指标现状及变化趋势进行评价。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县级以上地方人民政府农业主管部门应当对新增耕地、占补平衡补充耕地开展耕地质量评价，并出具评价意见。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各级耕地质量监测机构应当根据应急调查结果，配合相关部门对耕地污染或破坏的程度进行评价，提出修复治理的措施建议。</w:t>
      </w:r>
    </w:p>
    <w:p>
      <w:pPr>
        <w:pStyle w:val="63"/>
        <w:spacing w:before="218" w:after="218" w:line="412" w:lineRule="exact"/>
      </w:pPr>
      <w:r>
        <w:t xml:space="preserve">第五章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本办法自2016年8月1日起施行。</w:t>
      </w:r>
    </w:p>
    <w:p>
      <w:pPr>
        <w:pStyle w:val="3"/>
        <w:topLinePunct/>
        <w:spacing w:line="416"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rPr>
          <w:rFonts w:hAnsi="Times New Roman"/>
        </w:rPr>
      </w:pPr>
      <w:bookmarkStart w:id="236" w:name="_Toc25653664"/>
      <w:bookmarkStart w:id="237" w:name="_Toc28250879"/>
      <w:bookmarkStart w:id="238" w:name="_Toc28252150"/>
      <w:bookmarkStart w:id="239" w:name="_Toc26347930"/>
      <w:bookmarkStart w:id="240" w:name="_Toc25648169"/>
      <w:bookmarkStart w:id="241" w:name="_Toc28156952"/>
      <w:r>
        <w:t>北京市城乡规划条例</w:t>
      </w:r>
      <w:bookmarkEnd w:id="236"/>
      <w:bookmarkEnd w:id="237"/>
      <w:bookmarkEnd w:id="238"/>
      <w:bookmarkEnd w:id="239"/>
      <w:bookmarkEnd w:id="240"/>
      <w:bookmarkEnd w:id="241"/>
    </w:p>
    <w:p>
      <w:pPr>
        <w:pStyle w:val="62"/>
      </w:pPr>
      <w:r>
        <w:t>（2009年5月22日北京市第十三届人民代表大会常务委员会第十一次会议通过，2019年3月29日北京市第十五届人民代表大会常务委员会第十二次会议修订）</w:t>
      </w:r>
    </w:p>
    <w:p>
      <w:pPr>
        <w:pStyle w:val="63"/>
        <w:spacing w:before="218" w:after="218" w:line="412" w:lineRule="exact"/>
        <w:rPr>
          <w:rFonts w:hAnsi="Times New Roman"/>
        </w:rPr>
      </w:pPr>
      <w:r>
        <w:t>第一章</w:t>
      </w:r>
      <w:r>
        <w:rPr>
          <w:rFonts w:hAnsi="Times New Roman"/>
        </w:rPr>
        <w:t xml:space="preserve">  </w:t>
      </w:r>
      <w:r>
        <w:t>总</w:t>
      </w:r>
      <w:r>
        <w:rPr>
          <w:rFonts w:hAnsi="Times New Roman"/>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asciiTheme="minorEastAsia" w:hAnsiTheme="minorEastAsia" w:eastAsiaTheme="minorEastAsia"/>
          <w:sz w:val="24"/>
          <w:szCs w:val="24"/>
        </w:rPr>
        <w:t xml:space="preserve">  为了做好本市城乡规划工作，协调城乡空间布局，改善人居和发展环境，促进经济、社会、人口、资源、环境全面协调可持续发展，根据《中华人民共和国城乡规划法》，结合本市实际情况，制定本条例。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本市行政区域全部为规划区。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本条例适用于本市城乡规划的制定、实施、修改、监督检查和相关城乡建设活动。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本市城乡规划包括城市总体规划，分区规划，详细规划，乡、镇域规划，村庄规划，特定地区规划和专项规划。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北京是中华人民共和国的首都，是全国政治中心、文化中心、国际交往中心和科技创新中心。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北京城乡规划和建设应当依据城市战略定位，体现为中央党政军领导机关的工作服务，为国家的国际交往服务，为科技、文化和教育发展服务，为改善人民群众生活服务的要求。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城市总体规划是城市发展、建设和管理的基本依据。本市建立以城市总体规划为统领、多规合一的国土空间规划管控体系，统筹各级各类规划。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城市总体规划实施遇有重大事项，应当依照相关规定经首都规划建设委员会审议，向党中央、国务院请示报告。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本市城乡规划和建设应当坚持以人民为中心，坚持首都城市战略定位，实施以疏解北京非首都功能为重点的京津冀协同发展战略；优化城市功能和空间布局，严格控制城市规模；加强城乡统筹，推进城乡一体化发展；完善城市治理体系，加强精治、共治、法治，治理“大城市病”，实现城市可持续发展，建设国际一流的和谐宜居之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本市城乡规划和建设应当根据经济社会发展实际，以资源环境承载能力为刚性约束条件，注重减量集约，严守人口总量上限、生态控制线、城市开发边界，划定集中建设、限制建设和生态控制区域，实现全域空间管制，提升首都功能，优化产业结构，改善生态环境，提高资源利用效率，推动城市有机更新，推进城乡基础设施、公共服务设施和公共安全设施以及防灾减灾体系建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本市城乡规划和建设应当尊重城市的历史与文化，强化首都风范、古都风韵、时代风貌，完善保护实施机制，保护历史文化遗产和传统风貌，完善涵盖老城、中心城区、市域和京津冀的历史文化名城保护体系。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asciiTheme="minorEastAsia" w:hAnsiTheme="minorEastAsia" w:eastAsiaTheme="minorEastAsia"/>
          <w:sz w:val="24"/>
          <w:szCs w:val="24"/>
        </w:rPr>
        <w:t xml:space="preserve">  城乡规划工作是各级人民政府的重要职责。市人民政府领导本市的城乡规划工作。区人民政府按照规定权限负责本行政区域内的城乡规划工作。乡镇人民政府按照规定权限负责本行政区域内的相关城乡规划工作。街道办事处在区人民政府的领导下配合规划自然资源主管部门做好城乡规划管理的有关工作，参与辖区设施规划编制、建设和验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市规划自然资源主管部门负责本市城乡规划管理工作。市规划自然资源主管部门的派出机构按照规定职责承担有关城乡规划管理工作。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市、区人民政府有关部门应当按照各自职责做好相关的城乡规划工作。市、区人民政府应当建立健全部门间工作协调机制，统筹城乡规划管理工作。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本市应当创新治理模式，通过调控引导、行政许可、公共服务、联动监管、实施评估等多种方式，提高城乡规划制定、实施和监督管理的效能。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本市鼓励开展城乡规划科学研究，采用先进技术，增强城乡规划的科学性。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本市应当加强自然资源、生态环境、经济社会、文化遗产资源、各类设施和地理空间数据库的建设；建立涵盖规划编制成果、建设工程审批、工程竣工验收等内容的规划国土空间数据库，建立各有关主管部门之间，以及与中央和国家机关之间的信息共享机制，保障城乡规划的科学制定、有效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经依法批准的城乡规划，是城乡建设和规划管理的依据。各项建设活动应当符合经依法批准的城乡规划。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任何单位和个人都应当遵守经依法批准并公布的城乡规划，服从规划管理。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任何单位和个人都有权对城乡规划的制定、实施、修改和监督检查提出意见和建议，就涉及其利害关系的建设活动是否符合规划要求向规划自然资源主管部门查询。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任何单位和个人都有权向规划自然资源主管部门、城市管理综合行政执法机关、乡镇人民政府（以下统称执法机关）或者其他有关部门举报违反城乡规划的行为。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本市应当完善规划公众参与机制，畅通多元主体参与规划渠道。城乡规划的制定、实施、修改和监督检查应当向社会公开，充分听取公众意见。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本市应当完善公众意见采纳情况反馈机制，认真研究相关意见和建议，及时将研究处理情况向公众反馈。</w:t>
      </w:r>
    </w:p>
    <w:p>
      <w:pPr>
        <w:pStyle w:val="3"/>
        <w:topLinePunct/>
        <w:spacing w:line="412" w:lineRule="exact"/>
        <w:ind w:firstLine="482"/>
        <w:rPr>
          <w:rFonts w:ascii="Times New Roman" w:hAnsi="Times New Roman"/>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本市推行责任规划师制度，指导规划实施，推进公众参与。具体办法由市规划自然资源主管部门制定。</w:t>
      </w:r>
    </w:p>
    <w:p>
      <w:pPr>
        <w:pStyle w:val="63"/>
        <w:spacing w:before="218" w:after="218" w:line="412" w:lineRule="exact"/>
      </w:pPr>
      <w:r>
        <w:t>第二章  城乡规划的制定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本市建立健全全域管控、分层分级、多规合一的规划编制体系，有计划地组织编制城乡规划。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类城乡规划应当在上层次城乡规划的基础上编制。在城市总体规划的基础上编制分区规划和首都功能核心区、城市副中心的控制性详细规划；在分区规划的基础上编制控制性详细规划以及乡、镇域规划；在乡、镇域规划的基础上编制村庄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在相关城乡规划的基础上，根据需要编制特定地区的规划和水、电、气、热、交通、信息通信等专项规划，补充、深化有关内容。特定地区规划和专项规划经批准后纳入相应层级的城乡规划。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本市空间利用应当坚持先地下后地上、地上与地下相协调、平战结合与平灾结合并重的原则，统筹各类城乡基础设施、公共服务设施和公共安全设施，兼顾军事设施保护的需要，促进空间资源综合开发利用。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asciiTheme="minorEastAsia" w:hAnsiTheme="minorEastAsia" w:eastAsiaTheme="minorEastAsia"/>
          <w:sz w:val="24"/>
          <w:szCs w:val="24"/>
        </w:rPr>
        <w:t xml:space="preserve">  编制城乡规划应当遵守法律、法规、规章以及国家和本市的技术标准和规范，坚持政府组织、专家领衔、部门合作、公众参与、科学决策。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城乡规划中涉及资源与生态环境保护、区域统筹与城乡统筹、城市发展目标与空间布局、历史文化遗产保护、交通等重大专题的，应当组织相关领域的专家进行研究。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规划的组织编制机关应当采取论证会、听证会、座谈会、公示等形式，依法征求有关部门、专家和公众的意见，并在报送审批的材料中附意见采纳情况及理由。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城乡规划在报送审批前，组织编制机关应当依法将城乡规划草案予以公示，公示的时间不得少于30日。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相关部门和单位应当积极配合城乡规划的编制工作，按照规定提交相关材料，说明现状情况和发展需求。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asciiTheme="minorEastAsia" w:hAnsiTheme="minorEastAsia" w:eastAsiaTheme="minorEastAsia"/>
          <w:sz w:val="24"/>
          <w:szCs w:val="24"/>
        </w:rPr>
        <w:t xml:space="preserve">  城乡规划按照以下规定组织编制：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（一）城市总体规划由市人民政府组织编制；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（二）首都功能核心区、城市副中心的控制性详细规划由市人民政府组织编制；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（三）分区规划和首都功能核心区以外的中心城区、新城的控制性详细规划，由所在区人民政府会同市规划自然资源主管部门组织编制；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（四）乡、镇域规划由所在区人民政府组织编制，乡、镇人民政府按照区人民政府的要求负责具体工作；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（五）村庄规划由所在乡、镇人民政府组织编制；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（六）特定地区规划由所在区人民政府或者市规划自然资源主管部门组织编制；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（七）专项规划由相关主管部门或者市规划自然资源主管部门组织编制。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城乡规划按照以下规定进行审批和备案：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（一）城市总体规划报党中央、国务院批准；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（二）首都功能核心区、城市副中心的控制性详细规划报党中央、国务院批准，经批准后报市人民代表大会常务委员会备案；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（三）分区规划和首都功能核心区以外的中心城区、新城的控制性详细规划报市人民政府审批，经审批后报市人民代表大会常务委员会备案；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（四）乡、镇域规划由区人民政府报市规划自然资源主管部门审查后报市人民政府审批，经审批后报市人民代表大会常务委员会备案；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（五）村庄规划经市规划自然资源主管部门派出机构组织审查后，报区人民政府审批，经审批后报区人民代表大会常务委员会备案；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特定地区规划，由市规划自然资源主管部门组织编制的，报市人民政府审批；由所在区人民政府组织编制的，重点的特定地区规划经市规划自然资源主管部门组织审查后报市人民政府审批，一般的特定地区规划由市规划自然资源主管部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（七）专项规划由市规划自然资源主管部门组织编制的，报市人民政府审批；由相关主管部门组织编制的，经市规划自然资源主管部门组织审查后报市人民政府审批。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前款规定遇有重大事项，应当依照相关规定向党中央、国务院请示报告。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城市总体规划在报送审批前应当先经市人民代表大会常务委员会审议，分区规划在报送审批前应当先经区人民代表大会常务委员会审议，乡、镇域规划在报送审批前应当先经乡、镇人民代表大会审议。常务委员会组成人员或者代表的审议意见交由本级人民政府研究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规划的组织编制机关报送审批城市总体规划、分区规划和乡、镇域规划，应当将审议意见和根据审议意见修改规划的情况随相关城乡规划一并报送。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村庄规划在报送审批前应当依法经村民会议或者村民代表会议讨论同意。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asciiTheme="minorEastAsia" w:hAnsiTheme="minorEastAsia" w:eastAsiaTheme="minorEastAsia"/>
          <w:sz w:val="24"/>
          <w:szCs w:val="24"/>
        </w:rPr>
        <w:t xml:space="preserve">  经依法批准的城乡规划应当通过固定场所或者公共媒体向社会公布，法律、行政法规规定不得公开的除外。</w:t>
      </w:r>
    </w:p>
    <w:p>
      <w:pPr>
        <w:pStyle w:val="3"/>
        <w:topLinePunct/>
        <w:spacing w:line="412" w:lineRule="exact"/>
        <w:ind w:firstLine="480"/>
        <w:rPr>
          <w:rFonts w:ascii="Times New Roman" w:hAnsi="Times New Roman"/>
          <w:sz w:val="24"/>
          <w:szCs w:val="24"/>
        </w:rPr>
      </w:pPr>
      <w:r>
        <w:rPr>
          <w:rFonts w:asciiTheme="minorEastAsia" w:hAnsiTheme="minorEastAsia" w:eastAsiaTheme="minorEastAsia"/>
          <w:sz w:val="24"/>
          <w:szCs w:val="24"/>
        </w:rPr>
        <w:t>任何单位和个人可以依法查阅经批准的城乡规划，规划的组织编制机关应当为查阅提供便利。</w:t>
      </w:r>
    </w:p>
    <w:p>
      <w:pPr>
        <w:pStyle w:val="63"/>
        <w:spacing w:before="218" w:after="218" w:line="412" w:lineRule="exact"/>
      </w:pPr>
      <w:r>
        <w:t>第三章  城乡规划的实施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asciiTheme="minorEastAsia" w:hAnsiTheme="minorEastAsia" w:eastAsiaTheme="minorEastAsia"/>
          <w:sz w:val="24"/>
          <w:szCs w:val="24"/>
        </w:rPr>
        <w:t xml:space="preserve">  市人民政府应当根据本市经济社会发展水平，制定近期建设规划，有计划、分步骤地组织实施城乡规划，引导城市健康有序地发展。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近期建设规划应当以城市总体规划为依据，结合五年规划实施评估，根据城乡发展的实际情况，确定近期控制、引导城市发展的原则、措施以及实施城市总体规划的发展重点和建设时序。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asciiTheme="minorEastAsia" w:hAnsiTheme="minorEastAsia" w:eastAsiaTheme="minorEastAsia"/>
          <w:sz w:val="24"/>
          <w:szCs w:val="24"/>
        </w:rPr>
        <w:t xml:space="preserve">  市规划自然资源主管部门应当依据近期建设规划，结合年度城市体检，组织编制规划年度实施计划，报市人民政府批准。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规划年度实施计划应当与年度投资计划和年度土地供应计划相衔接，明确规划年度实施的主要内容，统筹安排重点城乡基础设施、公共服务设施、公共安全设施、生态环境保护项目和各类保障性住房的建设。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asciiTheme="minorEastAsia" w:hAnsiTheme="minorEastAsia" w:eastAsiaTheme="minorEastAsia"/>
          <w:sz w:val="24"/>
          <w:szCs w:val="24"/>
        </w:rPr>
        <w:t xml:space="preserve">  本市城乡规划实施应当按照减量提质的要求，建立城乡建设用地减量、增减挂钩、综合平衡的实施机制，优化利用疏解腾退空间，鼓励对存量建设用地和存量建筑进行更新改造。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asciiTheme="minorEastAsia" w:hAnsiTheme="minorEastAsia" w:eastAsiaTheme="minorEastAsia"/>
          <w:sz w:val="24"/>
          <w:szCs w:val="24"/>
        </w:rPr>
        <w:t xml:space="preserve">  本市以土地资源整理模式落实城市总体规划，在规划实施单元内，统筹土地开发和非土地开发类项目。具体办法由市人民政府制定。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asciiTheme="minorEastAsia" w:hAnsiTheme="minorEastAsia" w:eastAsiaTheme="minorEastAsia"/>
          <w:sz w:val="24"/>
          <w:szCs w:val="24"/>
        </w:rPr>
        <w:t xml:space="preserve">  市规划自然资源主管部门统筹指导本市城市设计实施，区人民政府负责本行政区域内城市设计的实施管理。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asciiTheme="minorEastAsia" w:hAnsiTheme="minorEastAsia" w:eastAsiaTheme="minorEastAsia"/>
          <w:sz w:val="24"/>
          <w:szCs w:val="24"/>
        </w:rPr>
        <w:t xml:space="preserve">  本市建立贯穿城市规划、建设和管理全过程的城市设计管理体系。城市设计编制层级包括市、区总体城市设计，街区城市设计，地块城市设计及专项城市设计。重点地区应当编制地块城市设计，对建筑形态、公共空间、生态景观、文化传承及其他要素提出控制要求；其他地区按照城市设计通则管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组织编制城市设计应当通过论证会、听证会、座谈会等多种形式，广泛征求专家和公众意见。审批前应当依法通过固定场所或者公共媒体进行公示，公示时间不得少于30日。各层级城市设计经批准后纳入相应层级的城乡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城市设计具体管理办法由市规划自然资源主管部门制定。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asciiTheme="minorEastAsia" w:hAnsiTheme="minorEastAsia" w:eastAsiaTheme="minorEastAsia"/>
          <w:sz w:val="24"/>
          <w:szCs w:val="24"/>
        </w:rPr>
        <w:t xml:space="preserve">  本市建立区级统筹、街道主体、部门协作、专业力量支持、社会公众广泛参与的街区更新实施机制，推行以街区为单元的城市更新模式。具体办法由市人民政府制定。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asciiTheme="minorEastAsia" w:hAnsiTheme="minorEastAsia" w:eastAsiaTheme="minorEastAsia"/>
          <w:sz w:val="24"/>
          <w:szCs w:val="24"/>
        </w:rPr>
        <w:t xml:space="preserve">  本市依法实行规划许可制度，各项建设用地和建设工程应当符合城乡规划，依法取得规划许可。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规划许可证件包括选址意见书、建设工程规划许可证、乡村建设规划许可证和相应的临时规划许可证。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城镇建设项目应当按照建设工程规划许可证或者临时建设工程规划许可证的许可内容进行建设；农村建设项目应当按照乡村建设规划许可证或者临时乡村建设规划许可证的许可内容进行建设。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asciiTheme="minorEastAsia" w:hAnsiTheme="minorEastAsia" w:eastAsiaTheme="minorEastAsia"/>
          <w:sz w:val="24"/>
          <w:szCs w:val="24"/>
        </w:rPr>
        <w:t xml:space="preserve">  本市构建全流程覆盖、全周期服务、全要素公开、全方位监管的工程建设项目审批和管理体系，推行多规合一、多图联审、联合验收、多测合一，实现审批和管理体系科学化、便捷化、标准化。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有关主管部门应当公布审批事项清单，制定全市统一的工程建设项目审批服务事项规范标准、办事指南实用手册和事项申报材料规范。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asciiTheme="minorEastAsia" w:hAnsiTheme="minorEastAsia" w:eastAsiaTheme="minorEastAsia"/>
          <w:sz w:val="24"/>
          <w:szCs w:val="24"/>
        </w:rPr>
        <w:t xml:space="preserve">  市规划自然资源主管部门应当会同相关部门建立向社会开放的多规合一协同平台，依据控制性详细规划或者村庄规划，制定建设项目的规划综合实施方案，并予以公布。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规划综合实施方案应当包含建设工程设计要求、土地权属、规划指标、城市设计要求、市政及交通条件、供地方式、建设时序等内容。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asciiTheme="minorEastAsia" w:hAnsiTheme="minorEastAsia" w:eastAsiaTheme="minorEastAsia"/>
          <w:sz w:val="24"/>
          <w:szCs w:val="24"/>
        </w:rPr>
        <w:t xml:space="preserve">  重大城乡基础设施的建设单位应当在建设工程设计方案的基础上组织编制建设工程扩大初步设计方案。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市规划自然资源主管部门和市发展改革主管部门应当组织有关部门对重大城乡基础设施建设工程的扩大初步设计方案共同进行审查。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asciiTheme="minorEastAsia" w:hAnsiTheme="minorEastAsia" w:eastAsiaTheme="minorEastAsia"/>
          <w:sz w:val="24"/>
          <w:szCs w:val="24"/>
        </w:rPr>
        <w:t xml:space="preserve">  设计单位应当按照规定的资质等级和业务范围承担设计任务。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建设工程设计方案应当依据法律、法规、规章、国家和本市的设计规范和标准进行编制。施工图设计文件应当符合建设工程规划许可证或者乡村建设规划许可证的批准内容。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asciiTheme="minorEastAsia" w:hAnsiTheme="minorEastAsia" w:eastAsiaTheme="minorEastAsia"/>
          <w:sz w:val="24"/>
          <w:szCs w:val="24"/>
        </w:rPr>
        <w:t xml:space="preserve">  施工单位不得承接未依法取得规划许可的建设项目；承接取得规划许可的建设项目的，应当按照符合相关标准的施工图设计文件施工。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asciiTheme="minorEastAsia" w:hAnsiTheme="minorEastAsia" w:eastAsiaTheme="minorEastAsia"/>
          <w:sz w:val="24"/>
          <w:szCs w:val="24"/>
        </w:rPr>
        <w:t xml:space="preserve">  建设工程沿道路、铁路、轨道交通、河道、绿化带等公共用地安排建设的，建设单位应当按照本市有关规定代征上述公共用地。代征应当在建设工程规划验收前完成，同步办理移交。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第三十六条</w:t>
      </w:r>
      <w:r>
        <w:rPr>
          <w:rFonts w:asciiTheme="minorEastAsia" w:hAnsiTheme="minorEastAsia" w:eastAsiaTheme="minorEastAsia"/>
          <w:sz w:val="24"/>
          <w:szCs w:val="24"/>
        </w:rPr>
        <w:t xml:space="preserve">  按照国家规定需要有关部门批准或者核准的建设项目，以划拨方式提供国有土地使用权的，建设单位在报送有关部门批准或者核准前，应当持以下材料向规划自然资源主管部门申请核发选址意见书：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（一）包含项目性质、建设规模、选址意向等情况说明的选址申请书；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（二）标绘有拟建项目用地范围的规定比例尺地形图。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前款规定以外的建设项目不需要申请选址意见书。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asciiTheme="minorEastAsia" w:hAnsiTheme="minorEastAsia" w:eastAsiaTheme="minorEastAsia"/>
          <w:sz w:val="24"/>
          <w:szCs w:val="24"/>
        </w:rPr>
        <w:t xml:space="preserve">  建设项目选址应当节约、集约利用土地，合理、集中布局。因安全、保密、环保、卫生等原因需要与其他建设工程保持一定距离的，可以进行独立选址。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在规划城镇建设用地范围内进行选址应当符合国有土地供应的相关规定。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城乡基础设施和公共安全设施因节约土地、功能需要等原因，可以结合规划道路、河道、绿化等公共用地进行安排。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城乡公共服务设施确需结合规划道路、河道、绿化等公共用地进行安排的，规划自然资源主管部门应当报市人民政府批准。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asciiTheme="minorEastAsia" w:hAnsiTheme="minorEastAsia" w:eastAsiaTheme="minorEastAsia"/>
          <w:sz w:val="24"/>
          <w:szCs w:val="24"/>
        </w:rPr>
        <w:t xml:space="preserve">  建设单位进行城镇建设工程建设的，应当向规划自然资源主管部门申请建设工程规划许可证。符合规划综合实施方案要求的，规划自然资源主管部门应当在7日内核发建设工程规划许可证。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重</w:t>
      </w:r>
      <w:r>
        <w:rPr>
          <w:rFonts w:asciiTheme="minorEastAsia" w:hAnsiTheme="minorEastAsia" w:eastAsiaTheme="minorEastAsia"/>
          <w:spacing w:val="-4"/>
          <w:sz w:val="24"/>
          <w:szCs w:val="24"/>
        </w:rPr>
        <w:t>大城乡基础设施项目，建设单位应当提交经过审查的建设工程扩大初步设计方案。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城镇居民个人申请进行建设的，按照本市有关规定执行。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第三十九条</w:t>
      </w:r>
      <w:r>
        <w:rPr>
          <w:rFonts w:asciiTheme="minorEastAsia" w:hAnsiTheme="minorEastAsia" w:eastAsiaTheme="minorEastAsia"/>
          <w:sz w:val="24"/>
          <w:szCs w:val="24"/>
        </w:rPr>
        <w:t xml:space="preserve">  建设单位应当在取得建设工程规划许可证后2年内取得建筑工程施工许可证；期满需要延续的，应当在期限届满30日前向规划自然资源主管部门提出申请，经批准可以延续，每次期限不得超过2年。未获得延续批准或者在规定的期限内未取得建筑工程施工许可证的，建设工程规划许可证失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第四十条</w:t>
      </w:r>
      <w:r>
        <w:rPr>
          <w:rFonts w:asciiTheme="minorEastAsia" w:hAnsiTheme="minorEastAsia" w:eastAsiaTheme="minorEastAsia"/>
          <w:sz w:val="24"/>
          <w:szCs w:val="24"/>
        </w:rPr>
        <w:t xml:space="preserve">  在规划农村地区，建设单位或者个人进行乡镇企业、乡村公共设施、公益事业建设和村民集中住宅建设的，应当向乡镇人民政府提出申请，由乡镇人民政府报规划自然资源主管部门核发乡村建设规划许可证。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在规划农村地区，村民使用宅基地进行村民住宅建设，应当征询相邻土地使用权人意见，经村民委员会审议后上报乡镇人民政府批准。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乡镇人民政府审批村民使用宅基地进行住宅建设，应当依据村庄规划进行。具体办法由各区人民政府结合实际情况制定。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行乡镇企业、乡村公共设施、公益事业建设和村民住宅建设的，不得占用农用地；确需占用农用地的，应当依照《中华人民共和国土地管理法》有关规定办理农用地转用审批手续后，由规划自然资源主管部门核发乡村建设规划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建设单位或者个人在取得乡村建设规划许可证后，方可办理用地审批手续。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第四十一条</w:t>
      </w:r>
      <w:r>
        <w:rPr>
          <w:rFonts w:asciiTheme="minorEastAsia" w:hAnsiTheme="minorEastAsia" w:eastAsiaTheme="minorEastAsia"/>
          <w:sz w:val="24"/>
          <w:szCs w:val="24"/>
        </w:rPr>
        <w:t xml:space="preserve">  在规划村庄以外的现状村庄，在规划实施前确需进行建设的，由规划自然资源主管部门根据城市发展进程和规划实施的需要核发临时乡村建设规划许可证。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第四十二条</w:t>
      </w:r>
      <w:r>
        <w:rPr>
          <w:rFonts w:asciiTheme="minorEastAsia" w:hAnsiTheme="minorEastAsia" w:eastAsiaTheme="minorEastAsia"/>
          <w:sz w:val="24"/>
          <w:szCs w:val="24"/>
        </w:rPr>
        <w:t xml:space="preserve">  城镇建设项目因施工或者建设城乡基础设施、公共服务设施和公共安全设施需要临时占用土地或者建设临时工程的，建设单位应当向规划自然资源主管部门申请临时建设用地批准文件或临时建设工程规划许可证。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临时建设用地批准文件和临时建设工程规划许可证的有效期不超过2年，期满需要延续的，应当在期限届满前向规划自然资源主管部门提出申请，经批准可以延续，每次期限不得超过1年。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因城乡建设需要或者临时使用期届满未延续的，建设单位应当无条件拆除临时建设工程及设施。为建设主体工程申请的临时建设工程，应当在主体工程申请规划核验之前拆除。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第四十三条</w:t>
      </w:r>
      <w:r>
        <w:rPr>
          <w:rFonts w:asciiTheme="minorEastAsia" w:hAnsiTheme="minorEastAsia" w:eastAsiaTheme="minorEastAsia"/>
          <w:sz w:val="24"/>
          <w:szCs w:val="24"/>
        </w:rPr>
        <w:t xml:space="preserve">  建设工程竣工后，建设单位可以申请有关主管部门对建设工程实施竣工联合验收。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住房和城乡建设主管部门应当会同规划自然资源、消防、民防、城市管理、市场监督管理、水务、档案、交通等主管部门建立建设工程竣工联合验收机制，对申请竣工联合验收的建设工程，实现一次申请、集中验收、统一确认，出具联合验收意见。具体办法由市住房和城乡建设主管部门会同相关部门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对未申请竣工联合验收的建设工程，有关主管部门对建设工程依法独立实施各项验收。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未经验收或者验收不合格的建设工程，规划自然资源主管部门不予办理不动产登记手续；涉及违法建设的，按照法律、行政法规和本条例有关规定处理。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第四十四条</w:t>
      </w:r>
      <w:r>
        <w:rPr>
          <w:rFonts w:asciiTheme="minorEastAsia" w:hAnsiTheme="minorEastAsia" w:eastAsiaTheme="minorEastAsia"/>
          <w:sz w:val="24"/>
          <w:szCs w:val="24"/>
        </w:rPr>
        <w:t xml:space="preserve">  建设工程竣工验收合格后，建设单位应当按照有关规定将齐全、准确的建设工程竣工档案移交城市建设档案机构，竣工档案中应当附有测绘单位的测量报告。竣工档案逐步实现电子化。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第四十五条</w:t>
      </w:r>
      <w:r>
        <w:rPr>
          <w:rFonts w:asciiTheme="minorEastAsia" w:hAnsiTheme="minorEastAsia" w:eastAsiaTheme="minorEastAsia"/>
          <w:sz w:val="24"/>
          <w:szCs w:val="24"/>
        </w:rPr>
        <w:t xml:space="preserve">  规划自然资源主管部门核发规划许可证依据的建设项目批准、核准、备案文件被撤销、撤回、吊销或者土地使用权被收回的，规划自然资源主管部门应当注销相应的规划许可证。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第四十六条</w:t>
      </w:r>
      <w:r>
        <w:rPr>
          <w:rFonts w:asciiTheme="minorEastAsia" w:hAnsiTheme="minorEastAsia" w:eastAsiaTheme="minorEastAsia"/>
          <w:sz w:val="24"/>
          <w:szCs w:val="24"/>
        </w:rPr>
        <w:t xml:space="preserve">  规划许可确定的建设工程使用用途不得擅自改变。不动产登记簿记载的用途应当符合建设工程规划许可证或者乡村建设规划许可证确定的使用用途；有关主管部门核发的与房屋用途相关的行政许可证件应当与不动产登记簿记载的用途一致。对申请行政许可事项涉及房屋的用途与不动产登记簿记载的用途不一致的，有关主管部门不予核发行政许可证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建设工程使用用途确需改变的，应当符合本市规划用途管制的有关规定；有关主管部门可以按照变更后的用途依法办理相关审批手续。具体办法由市人民政府制定。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第四十七条</w:t>
      </w:r>
      <w:r>
        <w:rPr>
          <w:rFonts w:asciiTheme="minorEastAsia" w:hAnsiTheme="minorEastAsia" w:eastAsiaTheme="minorEastAsia"/>
          <w:sz w:val="24"/>
          <w:szCs w:val="24"/>
        </w:rPr>
        <w:t xml:space="preserve">  处置涉及违法建设的房屋和土地，不得妨碍执法机关对违法建设的查处。</w:t>
      </w:r>
    </w:p>
    <w:p>
      <w:pPr>
        <w:pStyle w:val="3"/>
        <w:topLinePunct/>
        <w:spacing w:line="412" w:lineRule="exact"/>
        <w:ind w:firstLine="480"/>
        <w:rPr>
          <w:rFonts w:ascii="Times New Roman" w:hAnsi="Times New Roman"/>
          <w:sz w:val="24"/>
          <w:szCs w:val="24"/>
        </w:rPr>
      </w:pPr>
      <w:r>
        <w:rPr>
          <w:rFonts w:asciiTheme="minorEastAsia" w:hAnsiTheme="minorEastAsia" w:eastAsiaTheme="minorEastAsia"/>
          <w:sz w:val="24"/>
          <w:szCs w:val="24"/>
        </w:rPr>
        <w:t>有关机构在依法处置房屋、土地前应当向规划自然资源主管部门了解有关规划情况，规划自然资源主管部门应当予以配合。涉及违法建设的，规划自然资源主管部门应当书面告知其违法建设处理后，方可处置。</w:t>
      </w:r>
    </w:p>
    <w:p>
      <w:pPr>
        <w:pStyle w:val="63"/>
        <w:spacing w:before="218" w:after="218" w:line="412" w:lineRule="exact"/>
      </w:pPr>
      <w:r>
        <w:t>第四章  城乡规划的修改</w:t>
      </w:r>
    </w:p>
    <w:p>
      <w:pPr>
        <w:pStyle w:val="3"/>
        <w:topLinePunct/>
        <w:spacing w:line="412" w:lineRule="exact"/>
        <w:ind w:firstLine="482"/>
        <w:rPr>
          <w:rFonts w:ascii="Times New Roman" w:hAnsi="Times New Roman"/>
          <w:sz w:val="24"/>
          <w:szCs w:val="24"/>
        </w:rPr>
      </w:pPr>
      <w:r>
        <w:rPr>
          <w:rFonts w:ascii="Times New Roman"/>
          <w:b/>
          <w:sz w:val="24"/>
          <w:szCs w:val="24"/>
        </w:rPr>
        <w:t>第四十八条</w:t>
      </w:r>
      <w:r>
        <w:rPr>
          <w:rFonts w:ascii="Times New Roman" w:hAnsi="Times New Roman" w:eastAsiaTheme="minorEastAsia"/>
          <w:sz w:val="24"/>
          <w:szCs w:val="24"/>
        </w:rPr>
        <w:t xml:space="preserve">  </w:t>
      </w:r>
      <w:r>
        <w:rPr>
          <w:rFonts w:ascii="Times New Roman"/>
          <w:sz w:val="24"/>
          <w:szCs w:val="24"/>
        </w:rPr>
        <w:t>经依法批准的城乡规划不得擅自修改。</w:t>
      </w:r>
    </w:p>
    <w:p>
      <w:pPr>
        <w:pStyle w:val="3"/>
        <w:topLinePunct/>
        <w:spacing w:line="412" w:lineRule="exact"/>
        <w:ind w:firstLine="480"/>
        <w:rPr>
          <w:rFonts w:ascii="Times New Roman" w:hAnsi="Times New Roman"/>
          <w:sz w:val="24"/>
          <w:szCs w:val="24"/>
        </w:rPr>
      </w:pPr>
      <w:r>
        <w:rPr>
          <w:rFonts w:ascii="Times New Roman"/>
          <w:sz w:val="24"/>
          <w:szCs w:val="24"/>
        </w:rPr>
        <w:t>城市总体规划、分区规划和乡、镇域规划确需修改的，应当依照法定程序和权限进行；特定地区规划、专项规划、村庄规划确需修改的，应当按照原审批程序报批。</w:t>
      </w:r>
    </w:p>
    <w:p>
      <w:pPr>
        <w:pStyle w:val="3"/>
        <w:topLinePunct/>
        <w:spacing w:line="412" w:lineRule="exact"/>
        <w:ind w:firstLine="482"/>
        <w:rPr>
          <w:rFonts w:ascii="Times New Roman" w:hAnsi="Times New Roman"/>
          <w:sz w:val="24"/>
          <w:szCs w:val="24"/>
        </w:rPr>
      </w:pPr>
      <w:r>
        <w:rPr>
          <w:rFonts w:ascii="Times New Roman"/>
          <w:b/>
          <w:sz w:val="24"/>
          <w:szCs w:val="24"/>
        </w:rPr>
        <w:t>第四十九条</w:t>
      </w:r>
      <w:r>
        <w:rPr>
          <w:rFonts w:ascii="Times New Roman" w:hAnsi="Times New Roman" w:eastAsiaTheme="minorEastAsia"/>
          <w:sz w:val="24"/>
          <w:szCs w:val="24"/>
        </w:rPr>
        <w:t xml:space="preserve">  </w:t>
      </w:r>
      <w:r>
        <w:rPr>
          <w:rFonts w:ascii="Times New Roman"/>
          <w:sz w:val="24"/>
          <w:szCs w:val="24"/>
        </w:rPr>
        <w:t>本市应当建立常态化的城乡规划体检评估机制，参照体检评估结果对城市总体规划实施工作进行修正，提高规划实施的科学性。</w:t>
      </w:r>
    </w:p>
    <w:p>
      <w:pPr>
        <w:pStyle w:val="3"/>
        <w:topLinePunct/>
        <w:spacing w:line="412" w:lineRule="exact"/>
        <w:ind w:firstLine="480"/>
        <w:rPr>
          <w:rFonts w:ascii="Times New Roman" w:hAnsi="Times New Roman"/>
          <w:sz w:val="24"/>
          <w:szCs w:val="24"/>
        </w:rPr>
      </w:pPr>
      <w:r>
        <w:rPr>
          <w:rFonts w:ascii="Times New Roman"/>
          <w:sz w:val="24"/>
          <w:szCs w:val="24"/>
        </w:rPr>
        <w:t>城市总体规划的组织编制机关，应当委托有关部门和专家每年对城市总体规划的实施情况进行体检，每五年对城市总体规划的实施情况进行全面评估，采取论证会、听证会或者其他方式征求公众意见，形成体检、评估报告，并将体检、评估报告及征求意见情况报送本级人民代表大会常务委员会和原审批机关。</w:t>
      </w:r>
    </w:p>
    <w:p>
      <w:pPr>
        <w:pStyle w:val="3"/>
        <w:topLinePunct/>
        <w:spacing w:line="412" w:lineRule="exact"/>
        <w:ind w:firstLine="482"/>
        <w:rPr>
          <w:rFonts w:ascii="Times New Roman" w:hAnsi="Times New Roman"/>
          <w:sz w:val="24"/>
          <w:szCs w:val="24"/>
        </w:rPr>
      </w:pPr>
      <w:r>
        <w:rPr>
          <w:rFonts w:ascii="Times New Roman"/>
          <w:b/>
          <w:sz w:val="24"/>
          <w:szCs w:val="24"/>
        </w:rPr>
        <w:t>第五十条</w:t>
      </w:r>
      <w:r>
        <w:rPr>
          <w:rFonts w:ascii="Times New Roman" w:hAnsi="Times New Roman" w:eastAsiaTheme="minorEastAsia"/>
          <w:sz w:val="24"/>
          <w:szCs w:val="24"/>
        </w:rPr>
        <w:t xml:space="preserve">  </w:t>
      </w:r>
      <w:r>
        <w:rPr>
          <w:rFonts w:ascii="Times New Roman"/>
          <w:sz w:val="24"/>
          <w:szCs w:val="24"/>
        </w:rPr>
        <w:t>修改控制性详细规划的，组织编制机关应当对修改的必要性进行论证，征求有关部门和规划地段内利害关系人的意见，并向原审批机关提出专题报告。原审批机关同意修改的，组织编制机关方可修改并依照法定程序报原审批机关审批。控制性详细规划修改涉及总体规划强制性内容的，应当先修改总体规划。</w:t>
      </w:r>
    </w:p>
    <w:p>
      <w:pPr>
        <w:pStyle w:val="3"/>
        <w:topLinePunct/>
        <w:spacing w:line="412" w:lineRule="exact"/>
        <w:ind w:firstLine="482"/>
        <w:rPr>
          <w:rFonts w:ascii="Times New Roman" w:hAnsi="Times New Roman"/>
          <w:sz w:val="24"/>
          <w:szCs w:val="24"/>
        </w:rPr>
      </w:pPr>
      <w:r>
        <w:rPr>
          <w:rFonts w:ascii="Times New Roman"/>
          <w:b/>
          <w:sz w:val="24"/>
          <w:szCs w:val="24"/>
        </w:rPr>
        <w:t>第五十一条</w:t>
      </w:r>
      <w:r>
        <w:rPr>
          <w:rFonts w:ascii="Times New Roman" w:hAnsi="Times New Roman" w:eastAsiaTheme="minorEastAsia"/>
          <w:sz w:val="24"/>
          <w:szCs w:val="24"/>
        </w:rPr>
        <w:t xml:space="preserve">  </w:t>
      </w:r>
      <w:r>
        <w:rPr>
          <w:rFonts w:ascii="Times New Roman"/>
          <w:sz w:val="24"/>
          <w:szCs w:val="24"/>
        </w:rPr>
        <w:t>在选址意见书、建设工程规划许可证或者乡村建设规划许可证发放后，因依法修改城乡规划给被许可人合法权益造成损失的，应当依法给予补偿。</w:t>
      </w:r>
    </w:p>
    <w:p>
      <w:pPr>
        <w:pStyle w:val="3"/>
        <w:topLinePunct/>
        <w:spacing w:line="412" w:lineRule="exact"/>
        <w:ind w:firstLine="480"/>
        <w:rPr>
          <w:rFonts w:ascii="Times New Roman" w:hAnsi="Times New Roman"/>
          <w:sz w:val="24"/>
          <w:szCs w:val="24"/>
        </w:rPr>
      </w:pPr>
      <w:r>
        <w:rPr>
          <w:rFonts w:ascii="Times New Roman"/>
          <w:sz w:val="24"/>
          <w:szCs w:val="24"/>
        </w:rPr>
        <w:t>经依法审定的建设工程规划许可证附图不得随意修改；确需修改的，城乡规划主管部门应当听取利害关系人的意见；因修改给利害关系人合法权益造成损失的，应当依法给予补偿。</w:t>
      </w:r>
    </w:p>
    <w:p>
      <w:pPr>
        <w:pStyle w:val="3"/>
        <w:topLinePunct/>
        <w:spacing w:line="412" w:lineRule="exact"/>
        <w:ind w:firstLine="482"/>
        <w:rPr>
          <w:rFonts w:ascii="Times New Roman" w:hAnsi="Times New Roman"/>
          <w:sz w:val="24"/>
          <w:szCs w:val="24"/>
        </w:rPr>
      </w:pPr>
      <w:r>
        <w:rPr>
          <w:rFonts w:ascii="Times New Roman"/>
          <w:b/>
          <w:sz w:val="24"/>
          <w:szCs w:val="24"/>
        </w:rPr>
        <w:t>第五十二条</w:t>
      </w:r>
      <w:r>
        <w:rPr>
          <w:rFonts w:ascii="Times New Roman" w:hAnsi="Times New Roman" w:eastAsiaTheme="minorEastAsia"/>
          <w:sz w:val="24"/>
          <w:szCs w:val="24"/>
        </w:rPr>
        <w:t xml:space="preserve">  </w:t>
      </w:r>
      <w:r>
        <w:rPr>
          <w:rFonts w:ascii="Times New Roman"/>
          <w:sz w:val="24"/>
          <w:szCs w:val="24"/>
        </w:rPr>
        <w:t>控制性详细规划、建设工程规划许可证附图在修改过程中，依照法律规定需要征求利害关系人意见的，应当依法征求意见。</w:t>
      </w:r>
    </w:p>
    <w:p>
      <w:pPr>
        <w:pStyle w:val="3"/>
        <w:topLinePunct/>
        <w:spacing w:line="412" w:lineRule="exact"/>
        <w:ind w:firstLine="482"/>
        <w:rPr>
          <w:rFonts w:ascii="Times New Roman" w:hAnsi="Times New Roman"/>
          <w:sz w:val="24"/>
          <w:szCs w:val="24"/>
        </w:rPr>
      </w:pPr>
      <w:r>
        <w:rPr>
          <w:rFonts w:ascii="Times New Roman"/>
          <w:b/>
          <w:sz w:val="24"/>
          <w:szCs w:val="24"/>
        </w:rPr>
        <w:t>第五十三条</w:t>
      </w:r>
      <w:r>
        <w:rPr>
          <w:rFonts w:ascii="Times New Roman" w:hAnsi="Times New Roman" w:eastAsiaTheme="minorEastAsia"/>
          <w:sz w:val="24"/>
          <w:szCs w:val="24"/>
        </w:rPr>
        <w:t xml:space="preserve">  </w:t>
      </w:r>
      <w:r>
        <w:rPr>
          <w:rFonts w:ascii="Times New Roman"/>
          <w:sz w:val="24"/>
          <w:szCs w:val="24"/>
        </w:rPr>
        <w:t>本市各类城乡规划经过修改后应当通过固定场所或者公共媒体重新向社会公布，法律、行政法规规定不得公开的除外。</w:t>
      </w:r>
    </w:p>
    <w:p>
      <w:pPr>
        <w:pStyle w:val="63"/>
        <w:spacing w:before="218" w:after="218" w:line="412" w:lineRule="exact"/>
      </w:pPr>
      <w:r>
        <w:t>第五章  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第五十四条</w:t>
      </w:r>
      <w:r>
        <w:rPr>
          <w:rFonts w:asciiTheme="minorEastAsia" w:hAnsiTheme="minorEastAsia" w:eastAsiaTheme="minorEastAsia"/>
          <w:sz w:val="24"/>
          <w:szCs w:val="24"/>
        </w:rPr>
        <w:t xml:space="preserve">  本市各级人民政府应当每年向本级人民代表大会常务委员会或者乡镇人民代表大会报告城乡规划的实施情况，并接受监督。各级人民代表大会常务委员会或者乡镇人民代表大会根据需要，可以对本级人民政府城乡规划工作作出相应的决议、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第五十五条</w:t>
      </w:r>
      <w:r>
        <w:rPr>
          <w:rFonts w:asciiTheme="minorEastAsia" w:hAnsiTheme="minorEastAsia" w:eastAsiaTheme="minorEastAsia"/>
          <w:sz w:val="24"/>
          <w:szCs w:val="24"/>
        </w:rPr>
        <w:t xml:space="preserve">  城乡规划实施中的重大建设项目应当依法提请本级人民代表大会常务委员会审议。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第五十六条</w:t>
      </w:r>
      <w:r>
        <w:rPr>
          <w:rFonts w:asciiTheme="minorEastAsia" w:hAnsiTheme="minorEastAsia" w:eastAsiaTheme="minorEastAsia"/>
          <w:sz w:val="24"/>
          <w:szCs w:val="24"/>
        </w:rPr>
        <w:t xml:space="preserve">  市规划自然资源主管部门应当制定和完善本市城乡规划编制和管理工作的有关标准、程序和要求，并加强对乡镇人民政府规划编制和管理工作的业务指导。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第五十七条</w:t>
      </w:r>
      <w:r>
        <w:rPr>
          <w:rFonts w:asciiTheme="minorEastAsia" w:hAnsiTheme="minorEastAsia" w:eastAsiaTheme="minorEastAsia"/>
          <w:sz w:val="24"/>
          <w:szCs w:val="24"/>
        </w:rPr>
        <w:t xml:space="preserve">  规划自然资源主管部门应当建立健全建设项目实施规划情况全过程的服务和监督机制，主动跟踪服务，了解建设情况，协调解决相关问题；加强对施工图设计文件审查、工程建设符合规划、土地出让合同履行等情况的监督，并将有关情况及时通报有关主管部门，实现监督信息共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第五十八条</w:t>
      </w:r>
      <w:r>
        <w:rPr>
          <w:rFonts w:asciiTheme="minorEastAsia" w:hAnsiTheme="minorEastAsia" w:eastAsiaTheme="minorEastAsia"/>
          <w:sz w:val="24"/>
          <w:szCs w:val="24"/>
        </w:rPr>
        <w:t xml:space="preserve">  市人民政府应当明确规划自然资源主管部门、城市管理综合行政执法机关、乡镇人民政府、街道办事处等查处违法建设的职责分工。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街道办事处查处违法建设，可以依照国家和本市有关规定开展综合执法工作，按照有关法律规定相对集中行使行政处罚权。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第五十九条</w:t>
      </w:r>
      <w:r>
        <w:rPr>
          <w:rFonts w:asciiTheme="minorEastAsia" w:hAnsiTheme="minorEastAsia" w:eastAsiaTheme="minorEastAsia"/>
          <w:sz w:val="24"/>
          <w:szCs w:val="24"/>
        </w:rPr>
        <w:t xml:space="preserve">  市人民政府应当明确区人民政府和市人民政府相关部门在规划监督检查中的具体任务和目标，加强对城乡规划监督检查工作的统筹协调。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第六十条</w:t>
      </w:r>
      <w:r>
        <w:rPr>
          <w:rFonts w:asciiTheme="minorEastAsia" w:hAnsiTheme="minorEastAsia" w:eastAsiaTheme="minorEastAsia"/>
          <w:sz w:val="24"/>
          <w:szCs w:val="24"/>
        </w:rPr>
        <w:t xml:space="preserve">  市人民政府应当建立执法机关与有关主管部门的执法联动机制和查处违法建设的信息共享机制，加强对城乡规划工作的监督检查和对违法建设的查处。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第六十一条</w:t>
      </w:r>
      <w:r>
        <w:rPr>
          <w:rFonts w:asciiTheme="minorEastAsia" w:hAnsiTheme="minorEastAsia" w:eastAsiaTheme="minorEastAsia"/>
          <w:sz w:val="24"/>
          <w:szCs w:val="24"/>
        </w:rPr>
        <w:t xml:space="preserve">  本市建立控制违法建设责任制和考核评价制度。区人民政府和乡镇人民政府负责本行政区域内控制违法建设工作。上级人民政府应当加强对下级人民政府控制违法建设落实情况的监督检查和考核评价。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第六十二条</w:t>
      </w:r>
      <w:r>
        <w:rPr>
          <w:rFonts w:asciiTheme="minorEastAsia" w:hAnsiTheme="minorEastAsia" w:eastAsiaTheme="minorEastAsia"/>
          <w:sz w:val="24"/>
          <w:szCs w:val="24"/>
        </w:rPr>
        <w:t xml:space="preserve">  乡镇人民政府、街道办事处应当对本辖区内建设情况进行巡查，发现违法建设行为的，应当予以制止，并依法予以处理。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居民委员会、业主委员会、村民委员会和物业服务企业发现本区域内违法建设行为的，应当予以劝阻，并报告街道办事处、乡镇人民政府或者其他执法机关。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第六十三条</w:t>
      </w:r>
      <w:r>
        <w:rPr>
          <w:rFonts w:asciiTheme="minorEastAsia" w:hAnsiTheme="minorEastAsia" w:eastAsiaTheme="minorEastAsia"/>
          <w:sz w:val="24"/>
          <w:szCs w:val="24"/>
        </w:rPr>
        <w:t xml:space="preserve">  执法机关实施监督检查有权要求有关单位和个人提供相关资料、就有关情况作出说明、进入或者查封现场、扣押工具、责令停止违法行为。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执法机关履行监督检查职责时，有关单位和人员应当积极配合，如实报告相关情况，提供必要资料，不得以任何方式或者手段妨碍和阻挠。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第六十四条</w:t>
      </w:r>
      <w:r>
        <w:rPr>
          <w:rFonts w:asciiTheme="minorEastAsia" w:hAnsiTheme="minorEastAsia" w:eastAsiaTheme="minorEastAsia"/>
          <w:sz w:val="24"/>
          <w:szCs w:val="24"/>
        </w:rPr>
        <w:t xml:space="preserve">  建设单位应当在施工现场对外公示建设工程规划许可证、临时建设工程规划许可证、乡村建设规划许可证、临时乡村建设规划许可证及附件、附图，方便公众查阅，接受社会监督。法律、行政法规规定不得公开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第六十五条</w:t>
      </w:r>
      <w:r>
        <w:rPr>
          <w:rFonts w:asciiTheme="minorEastAsia" w:hAnsiTheme="minorEastAsia" w:eastAsiaTheme="minorEastAsia"/>
          <w:sz w:val="24"/>
          <w:szCs w:val="24"/>
        </w:rPr>
        <w:t xml:space="preserve">  市政公用服务单位办理供水、供电、供气、供热、通讯等服务手续时，应当查验建设工程的规划许可证件或者不动产登记证明，对没有规划许可证件或者不动产登记证明的，不得提供相应服务；未取得规划许可的建设项目进行施工的，市政公用服务单位及其他单位不得提供施工用水、用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对没有规划许可证件或者不动产登记证明，已办理相关服务手续或者提供服务的，市政公用服务单位应当采取合理措施予以纠正。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第六十六条</w:t>
      </w:r>
      <w:r>
        <w:rPr>
          <w:rFonts w:asciiTheme="minorEastAsia" w:hAnsiTheme="minorEastAsia" w:eastAsiaTheme="minorEastAsia"/>
          <w:sz w:val="24"/>
          <w:szCs w:val="24"/>
        </w:rPr>
        <w:t xml:space="preserve">  以违法建设为经营场所的，有关主管部门不得办理相关证照。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执法机关作出责令限期改正或者限期拆除决定的，应当通知规划自然资源主管部门暂停办理不动产登记手续；当事人改正的，应当及时通知规划自然资源主管部门。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第六十七条</w:t>
      </w:r>
      <w:r>
        <w:rPr>
          <w:rFonts w:asciiTheme="minorEastAsia" w:hAnsiTheme="minorEastAsia" w:eastAsiaTheme="minorEastAsia"/>
          <w:sz w:val="24"/>
          <w:szCs w:val="24"/>
        </w:rPr>
        <w:t xml:space="preserve">  查处违法建设过程中，实施查封或者强制拆除的，执法机关应当通知违法建设当事人清理违法建设内的物品；拒不清理的，应当制作物品清单，由违法建设当事人签字确认；违法建设当事人不签字的，可以由违法建设所在地居委会、村委会确认。实施查封的，将物品一并查封；实施强制拆除的，执法机关应当将物品运送到指定场所，交还违法建设当事人，违法建设当事人拒绝接收的，执法机关可以在留存证据后根据实际情况妥善处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机关作出强制拆除决定的，应当告知违法建设当事人，其主张拆除后的违法建设残值，应当在强制拆除前提出书面声明，并在限定的期限内自行处置；违法建设当事人未事先提出书面声明或者事先提出书面声明但未在限定的期限内处置完毕的，执法机关可以予以清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第六十八条</w:t>
      </w:r>
      <w:r>
        <w:rPr>
          <w:rFonts w:asciiTheme="minorEastAsia" w:hAnsiTheme="minorEastAsia" w:eastAsiaTheme="minorEastAsia"/>
          <w:sz w:val="24"/>
          <w:szCs w:val="24"/>
        </w:rPr>
        <w:t xml:space="preserve">  执法机关应当将违法建设当事人受到行政处罚或者行政强制的情况共享到本市的公共信用信息平台。行政机关根据本市关于公共信用信息管理规定可以对其采取惩戒措施。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第六十九条</w:t>
      </w:r>
      <w:r>
        <w:rPr>
          <w:rFonts w:asciiTheme="minorEastAsia" w:hAnsiTheme="minorEastAsia" w:eastAsiaTheme="minorEastAsia"/>
          <w:sz w:val="24"/>
          <w:szCs w:val="24"/>
        </w:rPr>
        <w:t xml:space="preserve">  执法机关实施监督检查和查处违法建设，应当实行行政执法公示制度、执法全过程记录制度、重大执法决定法制审核制度。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执法机关应当通过政府网站及政务新媒体、办事大厅公示栏、服务窗口等平台向社会公开行政执法基本信息和结果信息；实施监督检查时，应当主动出示执法证件，向当事人和相关人员表明身份。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机关应当对行政执法的启动、调查取证、审核决定、送达执行等全部过程进行记录；对实施查封或者强制拆除的全程进行音像记录；完善执法案卷管理制度，按照有关法律法规和档案管理规定归档保存执法全过程记录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第七十条</w:t>
      </w:r>
      <w:r>
        <w:rPr>
          <w:rFonts w:asciiTheme="minorEastAsia" w:hAnsiTheme="minorEastAsia" w:eastAsiaTheme="minorEastAsia"/>
          <w:sz w:val="24"/>
          <w:szCs w:val="24"/>
        </w:rPr>
        <w:t xml:space="preserve">  本市鼓励社会公众对违法建设行为进行举报。执法机关应当公布举报电话和其他举报方式，对单位和个人举报违法建设行为的，应当及时、完整记录并妥善保存。举报事项属于本部门职责范围的，应当及时受理，并依照法律、法规以及国家和本市相关规定进行核实、处理，将处理结果告知举报人。不属于本部门职责范围的，应当将有关案件线索转交负有查处职责的部门，并告知举报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执法机关及其工作人员应当为举报人保密。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第七十一条</w:t>
      </w:r>
      <w:r>
        <w:rPr>
          <w:rFonts w:asciiTheme="minorEastAsia" w:hAnsiTheme="minorEastAsia" w:eastAsiaTheme="minorEastAsia"/>
          <w:sz w:val="24"/>
          <w:szCs w:val="24"/>
        </w:rPr>
        <w:t xml:space="preserve">  监督检查城乡规划实施的情况应当依法公开，供公众查阅和监督。</w:t>
      </w:r>
    </w:p>
    <w:p>
      <w:pPr>
        <w:pStyle w:val="3"/>
        <w:topLinePunct/>
        <w:spacing w:line="412" w:lineRule="exact"/>
        <w:ind w:firstLine="480"/>
        <w:rPr>
          <w:rFonts w:ascii="Times New Roman" w:hAnsi="Times New Roman"/>
          <w:sz w:val="24"/>
          <w:szCs w:val="24"/>
        </w:rPr>
      </w:pPr>
      <w:r>
        <w:rPr>
          <w:rFonts w:asciiTheme="minorEastAsia" w:hAnsiTheme="minorEastAsia" w:eastAsiaTheme="minorEastAsia"/>
          <w:sz w:val="24"/>
          <w:szCs w:val="24"/>
        </w:rPr>
        <w:t>执法机关查处违法建设，在执法决定作出之日起20个工作日内，向社会公布执法机关、执法对象、执法类别、执法结论等信息，接受公众监督。</w:t>
      </w:r>
    </w:p>
    <w:p>
      <w:pPr>
        <w:pStyle w:val="63"/>
        <w:spacing w:before="218" w:after="218" w:line="412" w:lineRule="exact"/>
      </w:pPr>
      <w:r>
        <w:t>第六章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第七十二条</w:t>
      </w:r>
      <w:r>
        <w:rPr>
          <w:rFonts w:asciiTheme="minorEastAsia" w:hAnsiTheme="minorEastAsia" w:eastAsiaTheme="minorEastAsia"/>
          <w:sz w:val="24"/>
          <w:szCs w:val="24"/>
        </w:rPr>
        <w:t xml:space="preserve">  对违反本条例规定的行为，法律、行政法规已有规定的，依照相关规定处理。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第七十三条</w:t>
      </w:r>
      <w:r>
        <w:rPr>
          <w:rFonts w:asciiTheme="minorEastAsia" w:hAnsiTheme="minorEastAsia" w:eastAsiaTheme="minorEastAsia"/>
          <w:sz w:val="24"/>
          <w:szCs w:val="24"/>
        </w:rPr>
        <w:t xml:space="preserve">  本市各级人民政府和规划自然资源及其他相关主管部门有下列行为之一的，由上级行政机关依法责令改正、通报批评，对直接负责的主管人员和其他直接责任人员依法给予处分：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（一）依法应当编制城乡规划而未组织编制，或者未按法定程序编制、审批、修改城乡规划的；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（二）超越职权或者对不符合法定条件的申请人核发选址意见书、临时建设用地批准文件、建设工程规划许可证、临时建设工程规划许可证、乡村建设规划许可证、临时乡村建设规划许可证的；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（三）对符合法定条件的申请人未在法定期限内核发选址意见书、临时建设用地批准文件、建设工程规划许可证、临时建设工程规划许可证、乡村建设规划许可证、临时乡村建设规划许可证的；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（四）对未依法取得选址意见书的建设项目核发建设项目批准文件的；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（五）同意</w:t>
      </w:r>
      <w:r>
        <w:rPr>
          <w:rFonts w:asciiTheme="minorEastAsia" w:hAnsiTheme="minorEastAsia" w:eastAsiaTheme="minorEastAsia"/>
          <w:spacing w:val="8"/>
          <w:sz w:val="24"/>
          <w:szCs w:val="24"/>
        </w:rPr>
        <w:t>修改建设工程规划许可证附图前未依法听取利害关系人的意见的；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（六）发现未依法取得规划许可或者违反规划许可的规定进行建设的行为，不予查处或者接到举报后不依法处理的；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（七）对涉及房屋的用途与不动产登记簿记载的用途不一致的申请许可事项，核发行政许可证件的。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市政公用服务单位违反规定对违法建设提供公用服务且拒不改正的，由相关主管部门依法责令改正、通报批评，有关涉嫌职务违法或者职务犯罪的问题线索移送监察机关依法处理。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第七十四条</w:t>
      </w:r>
      <w:r>
        <w:rPr>
          <w:rFonts w:asciiTheme="minorEastAsia" w:hAnsiTheme="minorEastAsia" w:eastAsiaTheme="minorEastAsia"/>
          <w:sz w:val="24"/>
          <w:szCs w:val="24"/>
        </w:rPr>
        <w:t xml:space="preserve">  对正在搭建、开挖的违法建设，执法机关应当书面责令违法建设当事人立即停止建设、自行拆除或者回填；并可以查封违法建设施工现场、扣押违法建设施工工具和材料。当事人拒不停止建设或者拒不拆除、回填的，执法机关应当依法立即强制拆除、回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第七十五条</w:t>
      </w:r>
      <w:r>
        <w:rPr>
          <w:rFonts w:asciiTheme="minorEastAsia" w:hAnsiTheme="minorEastAsia" w:eastAsiaTheme="minorEastAsia"/>
          <w:sz w:val="24"/>
          <w:szCs w:val="24"/>
        </w:rPr>
        <w:t xml:space="preserve">  建设工程未取得规划许可证件或者未按照规划许可证件许可内容进行建设，尚可采取改正措施消除对规划实施的影响的，执法机关责令限期改正，处该建设工程造价百分之五以上百分之十以下的罚款；无法采取改正措施消除影响的，限期拆除，不能拆除的，没收实物或者违法收入，可以并处该建设工程造价百分之十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没收违法建设实物的处置办法由市规划自然资源主管部门会同市财政部门制定。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第一款所称的违法收入，按照违法建设出售所得价款计算。违法建设未出售或者出售所得价款明显低于周边同类型房地产市场价格的，执法机关应当委托评估机构参照委托时周边同类型房地产市场价格进行评估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第七十六条</w:t>
      </w:r>
      <w:r>
        <w:rPr>
          <w:rFonts w:asciiTheme="minorEastAsia" w:hAnsiTheme="minorEastAsia" w:eastAsiaTheme="minorEastAsia"/>
          <w:sz w:val="24"/>
          <w:szCs w:val="24"/>
        </w:rPr>
        <w:t xml:space="preserve">  城镇临时建设工程未取得临时建设工程规划许可证或者未按照临时建设工程规划许可证许可内容进行建设或者逾期未拆除的，由规划自然资源主管部门责令限期拆除，可以并处该建设工程造价一倍以下的罚款。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第七十七条</w:t>
      </w:r>
      <w:r>
        <w:rPr>
          <w:rFonts w:asciiTheme="minorEastAsia" w:hAnsiTheme="minorEastAsia" w:eastAsiaTheme="minorEastAsia"/>
          <w:sz w:val="24"/>
          <w:szCs w:val="24"/>
        </w:rPr>
        <w:t xml:space="preserve">  未经批准使用宅基地进行村民住宅建设的，符合村庄规划的，乡、镇人民政府责令其补办审批手续；不符合村庄规划的，责令限期拆除；有租金收入的，没收租金收入，并处租金收入一倍的罚款。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第七十八条</w:t>
      </w:r>
      <w:r>
        <w:rPr>
          <w:rFonts w:asciiTheme="minorEastAsia" w:hAnsiTheme="minorEastAsia" w:eastAsiaTheme="minorEastAsia"/>
          <w:sz w:val="24"/>
          <w:szCs w:val="24"/>
        </w:rPr>
        <w:t xml:space="preserve">  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10日。公告期间届满后6个月内无人提起行政复议或者行政诉讼的，依法强制拆除或者没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第七十九条</w:t>
      </w:r>
      <w:r>
        <w:rPr>
          <w:rFonts w:asciiTheme="minorEastAsia" w:hAnsiTheme="minorEastAsia" w:eastAsiaTheme="minorEastAsia"/>
          <w:sz w:val="24"/>
          <w:szCs w:val="24"/>
        </w:rPr>
        <w:t xml:space="preserve">  执法机关查处违法建设，符合法定代履行情形的，依照《中华人民共和国行政强制法》的规定执行。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第八十条</w:t>
      </w:r>
      <w:r>
        <w:rPr>
          <w:rFonts w:asciiTheme="minorEastAsia" w:hAnsiTheme="minorEastAsia" w:eastAsiaTheme="minorEastAsia"/>
          <w:sz w:val="24"/>
          <w:szCs w:val="24"/>
        </w:rPr>
        <w:t xml:space="preserve">  强制拆除或者回填违法建设及其安全鉴定的费用、建筑垃圾清运处置费用，以及相关物品保管费用由违法建设当事人承担。当事人逾期不缴纳的，执法机关可以依法加处滞纳金。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行政机关实施加处滞纳金超过30日，经催告当事人仍不履行的，应当依法申请人民法院强制执行。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第八十一条</w:t>
      </w:r>
      <w:r>
        <w:rPr>
          <w:rFonts w:asciiTheme="minorEastAsia" w:hAnsiTheme="minorEastAsia" w:eastAsiaTheme="minorEastAsia"/>
          <w:sz w:val="24"/>
          <w:szCs w:val="24"/>
        </w:rPr>
        <w:t xml:space="preserve">  设计单位为没有取得规划许可的建设工程提供用于施工的设计图纸，或者不按照规划许可的要求提供用于施工的设计图纸，由规划自然资源主管部门给予警告，并处10万元以上20万元以下的罚款；情节严重的，处以20万元以上50万元以下罚款，并可责令停业整顿、降低资质等级，对直接责任人员给予警告，并处5000元以上5万元以下罚款，对于注册建筑师和其他专业技术人员可以吊销资格证书，5年内不予注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第八十二条</w:t>
      </w:r>
      <w:r>
        <w:rPr>
          <w:rFonts w:asciiTheme="minorEastAsia" w:hAnsiTheme="minorEastAsia" w:eastAsiaTheme="minorEastAsia"/>
          <w:sz w:val="24"/>
          <w:szCs w:val="24"/>
        </w:rPr>
        <w:t xml:space="preserve">  施工单位未按照符合标准的施工图设计文件施工，或者承接未取得规划许可的建设项目的，由住房和城乡建设主管部门处以工程合同款百分之二以上百分之四以下罚款；情节严重的，责令停业整顿，降低资质等级或者吊销资质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第八十三条</w:t>
      </w:r>
      <w:r>
        <w:rPr>
          <w:rFonts w:asciiTheme="minorEastAsia" w:hAnsiTheme="minorEastAsia" w:eastAsiaTheme="minorEastAsia"/>
          <w:sz w:val="24"/>
          <w:szCs w:val="24"/>
        </w:rPr>
        <w:t xml:space="preserve">  城镇居住建设项目的建设单位未按照规定建设基础设施、公共服务设施的，规划自然资源主管部门责令限期改正，处该建设工程造价百分之五以上百分之十以下的罚款；逾期不改的，处应建部分工程造价一倍以上二倍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城镇居住建设项目的配套基础设施、公共服务设施按照规定应当移交未移交的，有关主管部门责令限期移交；逾期不移交的，直接收回，并处未移交部分工程造价百分之五以上百分之十以下的罚款。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第八十四条</w:t>
      </w:r>
      <w:r>
        <w:rPr>
          <w:rFonts w:asciiTheme="minorEastAsia" w:hAnsiTheme="minorEastAsia" w:eastAsiaTheme="minorEastAsia"/>
          <w:sz w:val="24"/>
          <w:szCs w:val="24"/>
        </w:rPr>
        <w:t xml:space="preserve">  建设工程投入使用后，建设单位或者所有人违反本市规划用途管制规定擅自改变使用用途的，由规划自然资源主管部门责令当事人限期改正、按照实际使用用途类型应当缴纳的土地使用权地价款数额的二倍处以罚款；情节严重的，依法无偿收回土地使用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第八十五条</w:t>
      </w:r>
      <w:r>
        <w:rPr>
          <w:rFonts w:asciiTheme="minorEastAsia" w:hAnsiTheme="minorEastAsia" w:eastAsiaTheme="minorEastAsia"/>
          <w:sz w:val="24"/>
          <w:szCs w:val="24"/>
        </w:rPr>
        <w:t xml:space="preserve">  城镇建设项目的建设单位未按照规定在施工现场对外公示建设工程规划许可证、临时建设工程规划许可证、乡村建设规划许可证、临时乡村建设规划许可证及附件、附图的，由市人民政府确定的有关执法机关责令限期改正，可以并处5000元以上1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第八十六条</w:t>
      </w:r>
      <w:r>
        <w:rPr>
          <w:rFonts w:asciiTheme="minorEastAsia" w:hAnsiTheme="minorEastAsia" w:eastAsiaTheme="minorEastAsia"/>
          <w:sz w:val="24"/>
          <w:szCs w:val="24"/>
        </w:rPr>
        <w:t xml:space="preserve">  执法机关在实施监督检查时，任何个人有阻碍执法机关依法执行职务的行为，或者隐藏、转移、变卖、损毁查封、扣押的财物的，依照《中华人民共和国治安管理处罚法》的规定处罚。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第八十七条</w:t>
      </w:r>
      <w:r>
        <w:rPr>
          <w:rFonts w:asciiTheme="minorEastAsia" w:hAnsiTheme="minorEastAsia" w:eastAsiaTheme="minorEastAsia"/>
          <w:sz w:val="24"/>
          <w:szCs w:val="24"/>
        </w:rPr>
        <w:t xml:space="preserve">  违法建设当事人受到罚款处理后逾期不缴纳罚款的，执法机关可以每日按罚款数额的百分之三加处罚款。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违法建设当事人在法定期限内不申请行政复议或者提起行政诉讼，又不缴纳罚款的，执法机关可以依法申请人民法院强制执行。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第八十八条</w:t>
      </w:r>
      <w:r>
        <w:rPr>
          <w:rFonts w:asciiTheme="minorEastAsia" w:hAnsiTheme="minorEastAsia" w:eastAsiaTheme="minorEastAsia"/>
          <w:sz w:val="24"/>
          <w:szCs w:val="24"/>
        </w:rPr>
        <w:t xml:space="preserve">  执法机关申请人民法院强制执行的，人民法院依法作出裁定，并可以依法发出限制消费令、纳入失信被执行人名单等。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第八十九条</w:t>
      </w:r>
      <w:r>
        <w:rPr>
          <w:rFonts w:asciiTheme="minorEastAsia" w:hAnsiTheme="minorEastAsia" w:eastAsiaTheme="minorEastAsia"/>
          <w:sz w:val="24"/>
          <w:szCs w:val="24"/>
        </w:rPr>
        <w:t xml:space="preserve">  建设单位进行建设对公民、法人和其他组织的合法权益造成损害的，应当依法承担相应的民事责任；违法建设破坏生态环境和资源保护等损害社会公共利益的，法律规定的机关和有关组织可以依法对当事人提起民事公益诉讼，追究其损害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第九十条</w:t>
      </w:r>
      <w:r>
        <w:rPr>
          <w:rFonts w:asciiTheme="minorEastAsia" w:hAnsiTheme="minorEastAsia" w:eastAsiaTheme="minorEastAsia"/>
          <w:sz w:val="24"/>
          <w:szCs w:val="24"/>
        </w:rPr>
        <w:t xml:space="preserve">  市、区人民政府及相关主管部门在执行本条例过程中发现公职人员涉嫌职务违法或者职务犯罪的，应当移送监察机关依法处理。</w:t>
      </w:r>
    </w:p>
    <w:p>
      <w:pPr>
        <w:pStyle w:val="3"/>
        <w:topLinePunct/>
        <w:spacing w:line="412" w:lineRule="exact"/>
        <w:ind w:firstLine="480"/>
        <w:rPr>
          <w:rFonts w:ascii="Times New Roman" w:hAnsi="Times New Roman"/>
          <w:sz w:val="24"/>
          <w:szCs w:val="24"/>
        </w:rPr>
      </w:pPr>
      <w:r>
        <w:rPr>
          <w:rFonts w:asciiTheme="minorEastAsia" w:hAnsiTheme="minorEastAsia" w:eastAsiaTheme="minorEastAsia"/>
          <w:sz w:val="24"/>
          <w:szCs w:val="24"/>
        </w:rPr>
        <w:t>违反本条例规定，涉嫌构成其他刑事犯罪的，执法机关应当将涉嫌犯罪案件移送公安机关，依法追究刑事责任。</w:t>
      </w:r>
    </w:p>
    <w:p>
      <w:pPr>
        <w:pStyle w:val="63"/>
        <w:spacing w:before="218" w:after="218" w:line="412" w:lineRule="exact"/>
      </w:pPr>
      <w:r>
        <w:t>第七章  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第九十一条</w:t>
      </w:r>
      <w:r>
        <w:rPr>
          <w:rFonts w:asciiTheme="minorEastAsia" w:hAnsiTheme="minorEastAsia" w:eastAsiaTheme="minorEastAsia"/>
          <w:sz w:val="24"/>
          <w:szCs w:val="24"/>
        </w:rPr>
        <w:t xml:space="preserve">  本条例所称的各项建设工程，指新建、改建、扩建、翻建各类建筑物、构筑物以及城乡市政和交通工程。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重要大街、历史文化街区、市人民政府规定的特定地区的现有建筑物外部装修参照建设工程办理。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第九十二条</w:t>
      </w:r>
      <w:r>
        <w:rPr>
          <w:rFonts w:asciiTheme="minorEastAsia" w:hAnsiTheme="minorEastAsia" w:eastAsiaTheme="minorEastAsia"/>
          <w:sz w:val="24"/>
          <w:szCs w:val="24"/>
        </w:rPr>
        <w:t xml:space="preserve">  本条例所称的违法建设包括城镇违法建设和乡村违法建设。城镇违法建设是指未依法取得建设工程规划许可证、临时建设工程规划许可证或者未按照许可内容进行建设的城镇建设工程，以及逾期未拆除的城镇临时建设工程。乡村违法建设是指应当取得而未取得乡村建设规划许可证、临时乡村建设规划许可证或者未按照许可内容进行建设的乡村建设工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本条例所称的违法建设当事人，包括违法建设的建设单位、施工单位、所有人或者管理人。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第九十三条</w:t>
      </w:r>
      <w:r>
        <w:rPr>
          <w:rFonts w:asciiTheme="minorEastAsia" w:hAnsiTheme="minorEastAsia" w:eastAsiaTheme="minorEastAsia"/>
          <w:sz w:val="24"/>
          <w:szCs w:val="24"/>
        </w:rPr>
        <w:t xml:space="preserve">  本条例自2019年4月28日起施行。</w:t>
      </w:r>
    </w:p>
    <w:p>
      <w:pPr>
        <w:pStyle w:val="3"/>
        <w:topLinePunct/>
        <w:spacing w:line="416" w:lineRule="exact"/>
        <w:ind w:firstLine="480"/>
        <w:rPr>
          <w:rFonts w:asciiTheme="minorEastAsia" w:hAnsiTheme="minorEastAsia" w:eastAsiaTheme="minorEastAsia"/>
          <w:sz w:val="24"/>
          <w:szCs w:val="24"/>
        </w:rPr>
      </w:pPr>
    </w:p>
    <w:p>
      <w:pPr>
        <w:pStyle w:val="4"/>
        <w:keepNext w:val="0"/>
        <w:keepLines w:val="0"/>
        <w:topLinePunct/>
        <w:spacing w:line="416" w:lineRule="exact"/>
        <w:ind w:firstLine="482" w:firstLineChars="200"/>
        <w:rPr>
          <w:rFonts w:asciiTheme="minorEastAsia" w:hAnsiTheme="minorEastAsia" w:eastAsiaTheme="minorEastAsia"/>
          <w:sz w:val="24"/>
          <w:szCs w:val="24"/>
        </w:rPr>
      </w:pPr>
      <w:bookmarkStart w:id="242" w:name="_Toc18942590"/>
    </w:p>
    <w:p>
      <w:pPr>
        <w:widowControl/>
        <w:spacing w:before="156" w:after="156"/>
        <w:ind w:firstLine="240"/>
        <w:rPr>
          <w:rFonts w:cs="Times New Roman" w:asciiTheme="minorEastAsia" w:hAnsiTheme="minorEastAsia"/>
          <w:b/>
          <w:bCs/>
          <w:sz w:val="24"/>
          <w:szCs w:val="24"/>
        </w:rPr>
      </w:pPr>
      <w:r>
        <w:rPr>
          <w:rFonts w:asciiTheme="minorEastAsia" w:hAnsiTheme="minorEastAsia"/>
          <w:sz w:val="24"/>
          <w:szCs w:val="24"/>
        </w:rPr>
        <w:br w:type="page"/>
      </w:r>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243" w:name="_Toc28250880"/>
      <w:bookmarkStart w:id="244" w:name="_Toc25648170"/>
      <w:bookmarkStart w:id="245" w:name="_Toc28156953"/>
      <w:bookmarkStart w:id="246" w:name="_Toc25653665"/>
      <w:bookmarkStart w:id="247" w:name="_Toc26347931"/>
      <w:bookmarkStart w:id="248" w:name="_Toc28252151"/>
      <w:r>
        <w:t>北京市人民政府关于郊区城镇和农村</w:t>
      </w:r>
      <w:r>
        <w:rPr>
          <w:rFonts w:hint="eastAsia"/>
        </w:rPr>
        <w:br w:type="textWrapping"/>
      </w:r>
      <w:r>
        <w:t>建设规划管理的若干规定</w:t>
      </w:r>
      <w:bookmarkEnd w:id="242"/>
      <w:bookmarkEnd w:id="243"/>
      <w:bookmarkEnd w:id="244"/>
      <w:bookmarkEnd w:id="245"/>
      <w:bookmarkEnd w:id="246"/>
      <w:bookmarkEnd w:id="247"/>
      <w:bookmarkEnd w:id="248"/>
    </w:p>
    <w:p>
      <w:pPr>
        <w:pStyle w:val="62"/>
      </w:pPr>
      <w:r>
        <w:rPr>
          <w:rFonts w:hint="eastAsia"/>
        </w:rPr>
        <w:t>（1991年3月6日北京市人民政府第5号令发布，根据2007年11月23日北京市人民政府第200号令第一次修改，根据2018年2月12日北京市人民政府第277号令第二次修改</w:t>
      </w:r>
      <w:r>
        <w:t>）</w:t>
      </w:r>
    </w:p>
    <w:p>
      <w:pPr>
        <w:pStyle w:val="3"/>
        <w:topLinePunct/>
        <w:spacing w:line="412" w:lineRule="exact"/>
        <w:ind w:firstLine="480"/>
        <w:rPr>
          <w:rFonts w:asciiTheme="minorEastAsia" w:hAnsiTheme="minorEastAsia" w:eastAsiaTheme="minorEastAsia"/>
          <w:sz w:val="24"/>
          <w:szCs w:val="24"/>
        </w:rPr>
      </w:pP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为加强本市城乡建设规划管理，保证各项建设按照统一规定实施，根据《中华人民共和国城乡规划法》和《中华人民共和国土地管理法》，作如下规定：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一、全市行政区域16800平方公里范围，都是“城市规划区”的范围。“城市规划区”范围内一切城市和农村各项建设工程、建设用地都必须执行统一规划，服从城乡规划行政主管部门的统一规划管理。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根据《中华人民共和国城乡规划法》第三十八条、第四十条、第四十一条的规定，本市的乡镇机关、乡镇村企事业单位、新集镇、新农村和农民住宅等建设工程的选址定点，必须经城乡规划行政主管部门审查批准，核发建设用地规划许可证、建设工程规划许可证或者乡村建设规划许可证后，方可建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各区人民政府要加强对区域规划、乡域规划、城镇规划编制工作的领导。农村的规划方案（包括乡镇村、农民住宅、乡镇机关和乡镇村企事业），由乡、镇政府组织编制。各项规划方案的审批，按《中华人民共和国城乡规划法》规定的权限进行。市农村工作行政主管部门所属农村建设管理机构依据审定的规划方案组织农村建设和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四、未取得城乡规划行政主管部门核发的建设用地规划许可证、建设工程规划许可证或者乡村建设规划许可证的一切建设活动，均按照违法建设处理。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五、各级城乡规划行政主管部门的工作人员，要忠于职守，依法办事，切实加强对郊区城镇和农村建设的规划管理工作。对执法不严、越权审批造成不良后果的要依法追究责任。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六、本规定自1991年3月10日施行。</w:t>
      </w:r>
    </w:p>
    <w:p>
      <w:pPr>
        <w:topLinePunct/>
        <w:spacing w:beforeLines="0" w:afterLines="0" w:line="416" w:lineRule="exact"/>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br w:type="page"/>
      </w:r>
      <w:bookmarkStart w:id="249" w:name="_Toc18942577"/>
    </w:p>
    <w:p>
      <w:pPr>
        <w:topLinePunct/>
        <w:spacing w:beforeLines="0" w:afterLines="0" w:line="416" w:lineRule="exact"/>
        <w:ind w:firstLine="480" w:firstLineChars="200"/>
        <w:rPr>
          <w:rFonts w:cs="Times New Roman" w:asciiTheme="minorEastAsia" w:hAnsiTheme="minorEastAsia"/>
          <w:kern w:val="0"/>
          <w:sz w:val="24"/>
          <w:szCs w:val="24"/>
        </w:rPr>
      </w:pPr>
    </w:p>
    <w:p>
      <w:pPr>
        <w:pStyle w:val="61"/>
      </w:pPr>
      <w:bookmarkStart w:id="250" w:name="_Toc28156954"/>
      <w:bookmarkStart w:id="251" w:name="_Toc26347932"/>
      <w:bookmarkStart w:id="252" w:name="_Toc25648171"/>
      <w:bookmarkStart w:id="253" w:name="_Toc28250881"/>
      <w:bookmarkStart w:id="254" w:name="_Toc25653666"/>
      <w:bookmarkStart w:id="255" w:name="_Toc28252152"/>
      <w:r>
        <w:t>中华人民共和国农村土地承包法</w:t>
      </w:r>
      <w:bookmarkEnd w:id="249"/>
      <w:bookmarkEnd w:id="250"/>
      <w:bookmarkEnd w:id="251"/>
      <w:bookmarkEnd w:id="252"/>
      <w:bookmarkEnd w:id="253"/>
      <w:bookmarkEnd w:id="254"/>
      <w:bookmarkEnd w:id="255"/>
    </w:p>
    <w:p>
      <w:pPr>
        <w:pStyle w:val="62"/>
      </w:pPr>
      <w:r>
        <w:t>（2002年8月29日第九届全国人民代表大会常务委员会第二十九次会议通过，2002年8月29日中华人民共和国主席令第七十三号公布，根据2009年8月27日第十一届全国人民代表大会常务委员会第十次会议《关于修改部分法律的决定》第一次修正，根据2018年12月29日第十三届全国人民代表大会常务委员会第七次会议《关于修改〈中华人民共和国农村土地承包法〉的决定》第二次修正）</w:t>
      </w:r>
    </w:p>
    <w:p>
      <w:pPr>
        <w:pStyle w:val="63"/>
        <w:spacing w:before="218" w:after="218" w:line="412" w:lineRule="exact"/>
      </w:pPr>
      <w:r>
        <w:rPr>
          <w:rStyle w:val="30"/>
          <w:rFonts w:hint="eastAsia"/>
          <w:b w:val="0"/>
          <w:bCs/>
          <w:szCs w:val="23"/>
        </w:rPr>
        <w:t>第一章</w:t>
      </w:r>
      <w:r>
        <w:rPr>
          <w:rStyle w:val="30"/>
          <w:b w:val="0"/>
          <w:bCs/>
        </w:rPr>
        <w:t xml:space="preserve">  </w:t>
      </w:r>
      <w:r>
        <w:rPr>
          <w:rStyle w:val="30"/>
          <w:rFonts w:hint="eastAsia"/>
          <w:b w:val="0"/>
          <w:bCs/>
          <w:szCs w:val="23"/>
        </w:rPr>
        <w:t>总</w:t>
      </w:r>
      <w:r>
        <w:rPr>
          <w:rStyle w:val="30"/>
          <w:rFonts w:hint="eastAsia"/>
          <w:b w:val="0"/>
          <w:bCs/>
        </w:rPr>
        <w:t xml:space="preserve"> </w:t>
      </w:r>
      <w:r>
        <w:rPr>
          <w:rStyle w:val="30"/>
          <w:b w:val="0"/>
          <w:bCs/>
        </w:rPr>
        <w:t xml:space="preserve"> </w:t>
      </w:r>
      <w:r>
        <w:rPr>
          <w:rStyle w:val="30"/>
          <w:rFonts w:hint="eastAsia"/>
          <w:b w:val="0"/>
          <w:bCs/>
          <w:szCs w:val="23"/>
        </w:rPr>
        <w:t>则</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第一条</w:t>
      </w:r>
      <w:r>
        <w:rPr>
          <w:rStyle w:val="30"/>
          <w:rFonts w:ascii="Times New Roman" w:hAnsi="Times New Roman" w:cs="Times New Roman" w:eastAsiaTheme="minorEastAsia"/>
        </w:rPr>
        <w:t xml:space="preserve">  </w:t>
      </w:r>
      <w:r>
        <w:rPr>
          <w:rFonts w:ascii="Times New Roman" w:cs="Times New Roman" w:hAnsiTheme="minorEastAsia" w:eastAsiaTheme="minorEastAsia"/>
        </w:rPr>
        <w:t>为了巩固和完善以家庭承包经营为基础、统分结合的双层经营体制，保持农村土地承包关系稳定并长久不变，维护农村土地承包经营当事人的合法权益，促进农业、农村经济发展和农村社会和谐稳定，根据宪法，制定本法。</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本法所称农村土地，是指农民集体所有和国家所有依法由农民集体使用的耕地、林地、草地，以及其他依法用于农业的土地。</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第三条</w:t>
      </w:r>
      <w:r>
        <w:rPr>
          <w:rFonts w:ascii="Times New Roman" w:hAnsi="Times New Roman" w:cs="Times New Roman" w:eastAsiaTheme="minorEastAsia"/>
        </w:rPr>
        <w:t xml:space="preserve">  </w:t>
      </w:r>
      <w:r>
        <w:rPr>
          <w:rFonts w:ascii="Times New Roman" w:cs="Times New Roman" w:hAnsiTheme="minorEastAsia" w:eastAsiaTheme="minorEastAsia"/>
        </w:rPr>
        <w:t>国家实行农村土地承包经营制度。</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农村土地承包采取农村集体经济组织内部的家庭承包方式，不宜采取家庭承包方式的荒山、荒沟、荒丘、荒滩等农村土地，可以采取招标、拍卖、公开协商等方式承包。</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第四条</w:t>
      </w:r>
      <w:r>
        <w:rPr>
          <w:rFonts w:ascii="Times New Roman" w:hAnsi="Times New Roman" w:cs="Times New Roman" w:eastAsiaTheme="minorEastAsia"/>
        </w:rPr>
        <w:t xml:space="preserve">  </w:t>
      </w:r>
      <w:r>
        <w:rPr>
          <w:rFonts w:ascii="Times New Roman" w:cs="Times New Roman" w:hAnsiTheme="minorEastAsia" w:eastAsiaTheme="minorEastAsia"/>
        </w:rPr>
        <w:t>农村土地承包后，土地的所有权性质不变。承包地不得买卖。</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农村集体经济组织成员有权依法承包由本集体经济组织发包的农村土地。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任何组织和个人不得剥夺和非法限制农村集体经济组织成员承包土地的权利。</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农村土地承包，妇女与男子享有平等的权利。承包中应当保护妇女的合法权益，任何组织和个人不得剥夺、侵害妇女应当享有的土地承包经营权。</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第七条</w:t>
      </w:r>
      <w:r>
        <w:rPr>
          <w:rFonts w:ascii="Times New Roman" w:hAnsi="Times New Roman" w:cs="Times New Roman" w:eastAsiaTheme="minorEastAsia"/>
        </w:rPr>
        <w:t xml:space="preserve">  </w:t>
      </w:r>
      <w:r>
        <w:rPr>
          <w:rFonts w:ascii="Times New Roman" w:cs="Times New Roman" w:hAnsiTheme="minorEastAsia" w:eastAsiaTheme="minorEastAsia"/>
        </w:rPr>
        <w:t>农村土地承包应当坚持公开、公平、公正的原则，正确处理国家、集体、个人三者的利益关系。</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第八条</w:t>
      </w:r>
      <w:r>
        <w:rPr>
          <w:rFonts w:ascii="Times New Roman" w:hAnsi="Times New Roman" w:cs="Times New Roman" w:eastAsiaTheme="minorEastAsia"/>
        </w:rPr>
        <w:t xml:space="preserve">  </w:t>
      </w:r>
      <w:r>
        <w:rPr>
          <w:rFonts w:ascii="Times New Roman" w:cs="Times New Roman" w:hAnsiTheme="minorEastAsia" w:eastAsiaTheme="minorEastAsia"/>
        </w:rPr>
        <w:t>国家保护集体土地所有者的合法权益，保护承包方的土地承包经营权，任何组织和个人不得侵犯。</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国家鼓励增加对土地的投入，培肥地力，提高农业生产能力。</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第九条</w:t>
      </w:r>
      <w:r>
        <w:rPr>
          <w:rFonts w:ascii="Times New Roman" w:hAnsi="Times New Roman" w:cs="Times New Roman" w:eastAsiaTheme="minorEastAsia"/>
        </w:rPr>
        <w:t xml:space="preserve">  </w:t>
      </w:r>
      <w:r>
        <w:rPr>
          <w:rFonts w:ascii="Times New Roman" w:cs="Times New Roman" w:hAnsiTheme="minorEastAsia" w:eastAsiaTheme="minorEastAsia"/>
        </w:rPr>
        <w:t>承包方承包土地后，享有土地承包经营权，可以自己经营，也可以保留土地承包权，流转其承包地的土地经营权，由他人经营。</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第十条</w:t>
      </w:r>
      <w:r>
        <w:rPr>
          <w:rFonts w:ascii="Times New Roman" w:hAnsi="Times New Roman" w:cs="Times New Roman" w:eastAsiaTheme="minorEastAsia"/>
        </w:rPr>
        <w:t xml:space="preserve">  </w:t>
      </w:r>
      <w:r>
        <w:rPr>
          <w:rFonts w:ascii="Times New Roman" w:cs="Times New Roman" w:hAnsiTheme="minorEastAsia" w:eastAsiaTheme="minorEastAsia"/>
        </w:rPr>
        <w:t>国家保护承包方依法、自愿、有偿流转土地经营权，保护土地经营权人的合法权益，任何组织和个人不得侵犯。</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第十一条</w:t>
      </w:r>
      <w:r>
        <w:rPr>
          <w:rFonts w:ascii="Times New Roman" w:hAnsi="Times New Roman" w:cs="Times New Roman" w:eastAsiaTheme="minorEastAsia"/>
        </w:rPr>
        <w:t xml:space="preserve">  </w:t>
      </w:r>
      <w:r>
        <w:rPr>
          <w:rFonts w:ascii="Times New Roman" w:cs="Times New Roman" w:hAnsiTheme="minorEastAsia" w:eastAsiaTheme="minorEastAsia"/>
        </w:rPr>
        <w:t>农村土地承包经营应当遵守法律、法规，保护土地资源的合理开发和可持续利用。未经依法批准不得将承包地用于非农建设。</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第十二条</w:t>
      </w:r>
      <w:r>
        <w:rPr>
          <w:rFonts w:ascii="Times New Roman" w:hAnsi="Times New Roman" w:cs="Times New Roman" w:eastAsiaTheme="minorEastAsia"/>
        </w:rPr>
        <w:t xml:space="preserve">  </w:t>
      </w:r>
      <w:r>
        <w:rPr>
          <w:rFonts w:ascii="Times New Roman" w:cs="Times New Roman" w:hAnsiTheme="minorEastAsia" w:eastAsiaTheme="minorEastAsia"/>
        </w:rPr>
        <w:t>国务院农业农村、林业和草原主管部门分别依照国务院规定的职责负责全国农村土地承包经营及承包经营合同管理的指导。</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县级以上地方人民政府农业农村、林业和草原等主管部门分别依照各自职责，负责本行政区域内农村土地承包经营及承包经营合同管理。</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乡（镇）人民政府负责本行政区域内农村土地承包经营及承包经营合同管理。</w:t>
      </w:r>
    </w:p>
    <w:p>
      <w:pPr>
        <w:pStyle w:val="63"/>
        <w:spacing w:before="218" w:after="218" w:line="412" w:lineRule="exact"/>
        <w:rPr>
          <w:rStyle w:val="30"/>
          <w:bCs w:val="0"/>
          <w:szCs w:val="23"/>
        </w:rPr>
      </w:pPr>
      <w:r>
        <w:rPr>
          <w:rStyle w:val="30"/>
          <w:b w:val="0"/>
          <w:bCs/>
          <w:szCs w:val="23"/>
        </w:rPr>
        <w:t>第二章  家庭承包</w:t>
      </w:r>
    </w:p>
    <w:p>
      <w:pPr>
        <w:pStyle w:val="64"/>
        <w:spacing w:before="156" w:after="156"/>
        <w:rPr>
          <w:rFonts w:hAnsi="Times New Roman"/>
        </w:rPr>
      </w:pPr>
      <w:r>
        <w:t>第一节</w:t>
      </w:r>
      <w:r>
        <w:rPr>
          <w:rFonts w:hAnsi="Times New Roman"/>
        </w:rPr>
        <w:t xml:space="preserve">  </w:t>
      </w:r>
      <w:r>
        <w:t>发包方和承包方的权利和义务</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第十三条</w:t>
      </w:r>
      <w:r>
        <w:rPr>
          <w:rFonts w:ascii="Times New Roman" w:hAnsi="Times New Roman" w:cs="Times New Roman" w:eastAsiaTheme="minorEastAsia"/>
        </w:rPr>
        <w:t xml:space="preserve">  </w:t>
      </w:r>
      <w:r>
        <w:rPr>
          <w:rFonts w:ascii="Times New Roman" w:cs="Times New Roman" w:hAnsiTheme="minorEastAsia" w:eastAsiaTheme="minorEastAsia"/>
        </w:rPr>
        <w:t>农民集体所有的土地依法属于村农民集体所有的，由村集体经济组织或者村民委员会发包；已经分别属于村内两个以上农村集体经济组织的农民集体所有的，由村内各该农村集体经济组织或者村民小组发包。村集体经济组织或者村民委员会发包的，不得改变村内各集体经济组织农民集体所有的土地的所有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国家所有依法由农民集体使用的农村土地，由使用该土地的农村集体经济组织、村民委员会或者村民小组发包。</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第十四条</w:t>
      </w:r>
      <w:r>
        <w:rPr>
          <w:rFonts w:ascii="Times New Roman" w:hAnsi="Times New Roman" w:cs="Times New Roman" w:eastAsiaTheme="minorEastAsia"/>
        </w:rPr>
        <w:t xml:space="preserve">  </w:t>
      </w:r>
      <w:r>
        <w:rPr>
          <w:rFonts w:ascii="Times New Roman" w:cs="Times New Roman" w:hAnsiTheme="minorEastAsia" w:eastAsiaTheme="minorEastAsia"/>
        </w:rPr>
        <w:t>发包方享有下列权利：</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（一）发包本集体所有的或者国家所有依法由本集体使用的农村土地；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（二）监督承包方依照承包合同约定的用途合理利用和保护土地；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（三）制止承包方损害承包地和农业资源的行为；</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（四）法律、行政法规规定的其他权利。</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第十五条</w:t>
      </w:r>
      <w:r>
        <w:rPr>
          <w:rFonts w:ascii="Times New Roman" w:hAnsi="Times New Roman" w:cs="Times New Roman" w:eastAsiaTheme="minorEastAsia"/>
        </w:rPr>
        <w:t xml:space="preserve">  </w:t>
      </w:r>
      <w:r>
        <w:rPr>
          <w:rFonts w:ascii="Times New Roman" w:cs="Times New Roman" w:hAnsiTheme="minorEastAsia" w:eastAsiaTheme="minorEastAsia"/>
        </w:rPr>
        <w:t>发包方承担下列义务：</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（一）维护承包方的土地承包经营权，不得非法变更、解除承包合同；</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（二）尊重承包方的生产经营自主权，不得干涉承包方依法进行正常的生产经营活动；</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（三）依照承包合同约定为承包方提供生产、技术、信息等服务；</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（四）执行县、乡（镇）土地利用总体规划，组织本集体经济组织内的农业基础设施建设；</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（五）法律、行政法规规定的其他义务。</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第十六条</w:t>
      </w:r>
      <w:r>
        <w:rPr>
          <w:rFonts w:ascii="Times New Roman" w:hAnsi="Times New Roman" w:cs="Times New Roman" w:eastAsiaTheme="minorEastAsia"/>
        </w:rPr>
        <w:t xml:space="preserve">  </w:t>
      </w:r>
      <w:r>
        <w:rPr>
          <w:rFonts w:ascii="Times New Roman" w:cs="Times New Roman" w:hAnsiTheme="minorEastAsia" w:eastAsiaTheme="minorEastAsia"/>
        </w:rPr>
        <w:t>家庭承包的承包方是本集体经济组织的农户。</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农户内家庭成员依法平等享有承包土地的各项权益。</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第十七条</w:t>
      </w:r>
      <w:r>
        <w:rPr>
          <w:rFonts w:ascii="Times New Roman" w:hAnsi="Times New Roman" w:cs="Times New Roman" w:eastAsiaTheme="minorEastAsia"/>
        </w:rPr>
        <w:t xml:space="preserve">  </w:t>
      </w:r>
      <w:r>
        <w:rPr>
          <w:rFonts w:ascii="Times New Roman" w:cs="Times New Roman" w:hAnsiTheme="minorEastAsia" w:eastAsiaTheme="minorEastAsia"/>
        </w:rPr>
        <w:t>承包方享有下列权利：</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（一）依法享有承包地使用、收益的权利，有权自主组织生产经营和处置产品；</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（二）依法互换、转让土地承包经营权；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（三）依法流转土地经营权；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（四）承包地被依法征收、征用、占用的，有权依法获得相应的补偿；</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（五）法律、行政法规规定的其他权利。</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第十八条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承包方承担下列义务：</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（一）维持土地的农业用途，未经依法批准不得用于非农建设；</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（二）依法保护和合理利用土地，不得给土地造成永久性损害；</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（三）法律、行政法规规定的其他义务。</w:t>
      </w:r>
    </w:p>
    <w:p>
      <w:pPr>
        <w:pStyle w:val="64"/>
        <w:spacing w:before="156" w:after="156"/>
        <w:rPr>
          <w:rFonts w:hAnsi="Times New Roman"/>
        </w:rPr>
      </w:pPr>
      <w:r>
        <w:t>第二节</w:t>
      </w:r>
      <w:r>
        <w:rPr>
          <w:rFonts w:hAnsi="Times New Roman"/>
        </w:rPr>
        <w:t xml:space="preserve">  </w:t>
      </w:r>
      <w:r>
        <w:t>承包的原则和程序</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第十九条</w:t>
      </w:r>
      <w:r>
        <w:rPr>
          <w:rFonts w:ascii="Times New Roman" w:hAnsi="Times New Roman" w:cs="Times New Roman" w:eastAsiaTheme="minorEastAsia"/>
        </w:rPr>
        <w:t xml:space="preserve">  </w:t>
      </w:r>
      <w:r>
        <w:rPr>
          <w:rFonts w:ascii="Times New Roman" w:cs="Times New Roman" w:hAnsiTheme="minorEastAsia" w:eastAsiaTheme="minorEastAsia"/>
        </w:rPr>
        <w:t>土地承包应当遵循以下原则：</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（一）按照规定统一组织承包时，本集体经济组织成员依法平等地行使承包土地的权利，也可以自愿放弃承包土地的权利；</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（二）民主协商，公平合理；</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（三）承包方案应当按照本法第十二条的规定，依法经本集体经济组织成员的村民会议三分之二以上成员或者三分之二以上村民代表的同意；</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（四）承包程序合法。</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第二十条</w:t>
      </w:r>
      <w:r>
        <w:rPr>
          <w:rFonts w:ascii="Times New Roman" w:hAnsi="Times New Roman" w:cs="Times New Roman" w:eastAsiaTheme="minorEastAsia"/>
        </w:rPr>
        <w:t xml:space="preserve">  </w:t>
      </w:r>
      <w:r>
        <w:rPr>
          <w:rFonts w:ascii="Times New Roman" w:cs="Times New Roman" w:hAnsiTheme="minorEastAsia" w:eastAsiaTheme="minorEastAsia"/>
        </w:rPr>
        <w:t>土地承包应当按照以下程序进行：</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（一）本集体经济组织成员的村民会议选举产生承包工作小组；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（二）承包工作小组依照法律、法规的规定拟订并公布承包方案；</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（三）依法召开本集体经济组织成员的村民会议，讨论通过承包方案；</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（四）公开组织实施承包方案；</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（五）签订承包合同。</w:t>
      </w:r>
    </w:p>
    <w:p>
      <w:pPr>
        <w:pStyle w:val="64"/>
        <w:spacing w:before="156" w:after="156"/>
        <w:rPr>
          <w:rFonts w:hAnsi="Times New Roman"/>
        </w:rPr>
      </w:pPr>
      <w:r>
        <w:t>第三节</w:t>
      </w:r>
      <w:r>
        <w:rPr>
          <w:rFonts w:hAnsi="Times New Roman"/>
        </w:rPr>
        <w:t xml:space="preserve">  </w:t>
      </w:r>
      <w:r>
        <w:t>承包期限和承包合同</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第二十一条</w:t>
      </w:r>
      <w:r>
        <w:rPr>
          <w:rFonts w:ascii="Times New Roman" w:hAnsi="Times New Roman" w:cs="Times New Roman" w:eastAsiaTheme="minorEastAsia"/>
        </w:rPr>
        <w:t xml:space="preserve">  </w:t>
      </w:r>
      <w:r>
        <w:rPr>
          <w:rFonts w:ascii="Times New Roman" w:cs="Times New Roman" w:hAnsiTheme="minorEastAsia" w:eastAsiaTheme="minorEastAsia"/>
        </w:rPr>
        <w:t>耕地的承包期为三十年。草地的承包期为三十年至五十年。林地的承包期为三十年至七十年。</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前款规定的耕地承包期届满后再延长三十年，草地、林地承包期届满后依照前款规定相应延长。</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第二十二条</w:t>
      </w:r>
      <w:r>
        <w:rPr>
          <w:rFonts w:ascii="Times New Roman" w:hAnsi="Times New Roman" w:cs="Times New Roman" w:eastAsiaTheme="minorEastAsia"/>
        </w:rPr>
        <w:t xml:space="preserve">  </w:t>
      </w:r>
      <w:r>
        <w:rPr>
          <w:rFonts w:ascii="Times New Roman" w:cs="Times New Roman" w:hAnsiTheme="minorEastAsia" w:eastAsiaTheme="minorEastAsia"/>
        </w:rPr>
        <w:t>发包方应当与承包方签订书面承包合同。</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承包合同一般包括以下条款：</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（一）发包方、承包方的名称，发包方负责人和承包方代表的姓名、住所；</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（二）承包土地的名称、坐落、面积、质量等级；</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（三）承包期限和起止日期；</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（四）承包土地的用途；</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（五）发包方和承包方的权利和义务；</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（六）违约责任。</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第二十三条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承包合同自成立之日起生效。承包方自承包合同生效时取得土地承包经营权。</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第二十四条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国家对耕地、林地和草地等实行统一登记，登记机构应当向承包方颁发土地承包经营权证或者林权证等证书，并登记造册，确认土地承包经营权。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土地承包经营权证或者林权证等证书应当将具有土地承包经营权的全部家庭成员列入。</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登记机构除按规定收取证书工本费外，不得收取其他费用。</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第二十五条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承包合同生效后，发包方不得因承办人或者负责人的变动而变更或者解除，也不得因集体经济组织的分立或者合并而变更或者解除。</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第二十六条</w:t>
      </w:r>
      <w:r>
        <w:rPr>
          <w:rFonts w:ascii="Times New Roman" w:hAnsi="Times New Roman" w:cs="Times New Roman" w:eastAsiaTheme="minorEastAsia"/>
        </w:rPr>
        <w:t xml:space="preserve">  </w:t>
      </w:r>
      <w:r>
        <w:rPr>
          <w:rFonts w:ascii="Times New Roman" w:cs="Times New Roman" w:hAnsiTheme="minorEastAsia" w:eastAsiaTheme="minorEastAsia"/>
        </w:rPr>
        <w:t>国家机关及其工作人员不得利用职权干涉农村土地承包或者变更、解除承包合同。</w:t>
      </w:r>
    </w:p>
    <w:p>
      <w:pPr>
        <w:pStyle w:val="64"/>
        <w:spacing w:before="156" w:after="156"/>
        <w:rPr>
          <w:rFonts w:hAnsi="Times New Roman"/>
        </w:rPr>
      </w:pPr>
      <w:r>
        <w:t>第四节</w:t>
      </w:r>
      <w:r>
        <w:rPr>
          <w:rFonts w:hAnsi="Times New Roman"/>
        </w:rPr>
        <w:t xml:space="preserve">  </w:t>
      </w:r>
      <w:r>
        <w:t>土地承包经营权的保护和互换、转让</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第二十七条</w:t>
      </w:r>
      <w:r>
        <w:rPr>
          <w:rFonts w:ascii="Times New Roman" w:hAnsi="Times New Roman" w:cs="Times New Roman" w:eastAsiaTheme="minorEastAsia"/>
        </w:rPr>
        <w:t xml:space="preserve">  </w:t>
      </w:r>
      <w:r>
        <w:rPr>
          <w:rFonts w:ascii="Times New Roman" w:cs="Times New Roman" w:hAnsiTheme="minorEastAsia" w:eastAsiaTheme="minorEastAsia"/>
        </w:rPr>
        <w:t>承包期内，发包方不得收回承包地。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国家保护进城农户的土地承包经营权。不得以退出土地承包经营权作为农户进城落户的条件。</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承包期内，承包农户进城落户的，引导支持其按照自愿有偿原则依法在本集体经济组织内转让土地承包经营权或者将承包地交回发包方，也可以鼓励其流转土地经营权。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承包期内，承包方交回承包地或者发包方依法收回承包地时，承包方对其在承包地上投入而提高土地生产能力的，有权获得相应的补偿。</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第二十八条</w:t>
      </w:r>
      <w:r>
        <w:rPr>
          <w:rFonts w:ascii="Times New Roman" w:hAnsi="Times New Roman" w:cs="Times New Roman" w:eastAsiaTheme="minorEastAsia"/>
        </w:rPr>
        <w:t xml:space="preserve">  </w:t>
      </w:r>
      <w:r>
        <w:rPr>
          <w:rFonts w:ascii="Times New Roman" w:cs="Times New Roman" w:hAnsiTheme="minorEastAsia" w:eastAsiaTheme="minorEastAsia"/>
        </w:rPr>
        <w:t>承包期内，发包方不得调整承包地。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第二十九条</w:t>
      </w:r>
      <w:r>
        <w:rPr>
          <w:rFonts w:ascii="Times New Roman" w:hAnsi="Times New Roman" w:cs="Times New Roman" w:eastAsiaTheme="minorEastAsia"/>
        </w:rPr>
        <w:t xml:space="preserve">  </w:t>
      </w:r>
      <w:r>
        <w:rPr>
          <w:rFonts w:ascii="Times New Roman" w:cs="Times New Roman" w:hAnsiTheme="minorEastAsia" w:eastAsiaTheme="minorEastAsia"/>
        </w:rPr>
        <w:t>下列土地应当用于调整承包土地或者承包给新增人口：</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（一）集体经济组织依法预留的机动地；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（二）通过依法开垦等方式增加的；</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（三）发包方依法收回和承包方依法、自愿交回的。</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承包期内，承包方可以自愿将承包地交回发包方。承包方自愿交回承包地的，可以获得合理补偿，但是应当提前半年以书面形式通知发包方。承包方在承包期内交回承包地的，在承包期内不得再要求承包土地。</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第三十一条</w:t>
      </w:r>
      <w:r>
        <w:rPr>
          <w:rFonts w:ascii="Times New Roman" w:hAnsi="Times New Roman" w:cs="Times New Roman" w:eastAsiaTheme="minorEastAsia"/>
        </w:rPr>
        <w:t xml:space="preserve">  </w:t>
      </w:r>
      <w:r>
        <w:rPr>
          <w:rFonts w:ascii="Times New Roman" w:cs="Times New Roman" w:hAnsiTheme="minorEastAsia" w:eastAsiaTheme="minorEastAsia"/>
        </w:rPr>
        <w:t>承包期内，妇女结婚，在新居住地未取得承包地的，发包方不得收回其原承包地；妇女离婚或者丧偶，仍在原居住地生活或者不在原居住地生活但在新居住地未取得承包地的，发包方不得收回其原承包地。</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第三十二条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承包人应得的承包收益，依照继承法的规定继承。</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林地承包的承包人死亡，其继承人可以在承包期内继续承包。</w:t>
      </w:r>
    </w:p>
    <w:p>
      <w:pPr>
        <w:pStyle w:val="64"/>
        <w:spacing w:before="156" w:after="156"/>
        <w:rPr>
          <w:rFonts w:hAnsi="Times New Roman"/>
        </w:rPr>
      </w:pPr>
      <w:r>
        <w:t>第五节</w:t>
      </w:r>
      <w:r>
        <w:rPr>
          <w:rFonts w:hAnsi="Times New Roman"/>
        </w:rPr>
        <w:t xml:space="preserve">  </w:t>
      </w:r>
      <w:r>
        <w:t>土地承包经营权的流转</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第三十三条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承包方之间为方便耕种或者各自需要，可以对属于同一集体经济组织的土地的土地承包经营权进行互换，并向发包方备案。</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第三十四条</w:t>
      </w:r>
      <w:r>
        <w:rPr>
          <w:rFonts w:ascii="Times New Roman" w:hAnsi="Times New Roman" w:cs="Times New Roman" w:eastAsiaTheme="minorEastAsia"/>
        </w:rPr>
        <w:t xml:space="preserve">  </w:t>
      </w:r>
      <w:r>
        <w:rPr>
          <w:rFonts w:ascii="Times New Roman" w:cs="Times New Roman" w:hAnsiTheme="minorEastAsia" w:eastAsiaTheme="minorEastAsia"/>
        </w:rPr>
        <w:t>经发包方同意，承包方可以将全部或者部分的土地承包经营权转让给本集体经济组织的其他农户，由该农户同发包方确立新的承包关系，原承包方与发包方在该土地上的承包关系即行终止。</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第三十五条</w:t>
      </w:r>
      <w:r>
        <w:rPr>
          <w:rFonts w:ascii="Times New Roman" w:hAnsi="Times New Roman" w:cs="Times New Roman" w:eastAsiaTheme="minorEastAsia"/>
        </w:rPr>
        <w:t xml:space="preserve">  </w:t>
      </w:r>
      <w:r>
        <w:rPr>
          <w:rFonts w:ascii="Times New Roman" w:cs="Times New Roman" w:hAnsiTheme="minorEastAsia" w:eastAsiaTheme="minorEastAsia"/>
        </w:rPr>
        <w:t>土地承包经营权互换、转让的，当事人可以向登记机构申请登记。未经登记，不得对抗善意第三人。</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第三十六条</w:t>
      </w:r>
      <w:r>
        <w:rPr>
          <w:rFonts w:ascii="Times New Roman" w:hAnsi="Times New Roman" w:cs="Times New Roman" w:eastAsiaTheme="minorEastAsia"/>
        </w:rPr>
        <w:t xml:space="preserve">  </w:t>
      </w:r>
      <w:r>
        <w:rPr>
          <w:rFonts w:ascii="Times New Roman" w:cs="Times New Roman" w:hAnsiTheme="minorEastAsia" w:eastAsiaTheme="minorEastAsia"/>
        </w:rPr>
        <w:t>承包方可以自主决定依法采取出租（转包）、入股或者其他方式向他人流转土地经营权，并向发包方备案。</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第三十七条</w:t>
      </w:r>
      <w:r>
        <w:rPr>
          <w:rFonts w:ascii="Times New Roman" w:hAnsi="Times New Roman" w:cs="Times New Roman" w:eastAsiaTheme="minorEastAsia"/>
        </w:rPr>
        <w:t xml:space="preserve">  </w:t>
      </w:r>
      <w:r>
        <w:rPr>
          <w:rFonts w:ascii="Times New Roman" w:cs="Times New Roman" w:hAnsiTheme="minorEastAsia" w:eastAsiaTheme="minorEastAsia"/>
        </w:rPr>
        <w:t>土地经营权人有权在合同约定的期限内占有农村土地，自主开展农业生产经营并取得收益。</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第三十八条</w:t>
      </w:r>
      <w:r>
        <w:rPr>
          <w:rFonts w:ascii="Times New Roman" w:hAnsi="Times New Roman" w:cs="Times New Roman" w:eastAsiaTheme="minorEastAsia"/>
        </w:rPr>
        <w:t xml:space="preserve">  </w:t>
      </w:r>
      <w:r>
        <w:rPr>
          <w:rFonts w:ascii="Times New Roman" w:cs="Times New Roman" w:hAnsiTheme="minorEastAsia" w:eastAsiaTheme="minorEastAsia"/>
        </w:rPr>
        <w:t>土地经营权流转应当遵循以下原则：</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（一）依法、自愿、有偿，任何组织和个人不得强迫或者阻碍土地经营权流转；</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（二）不得改变土地所有权的性质和土地的农业用途，不得破坏农业综合生产能力和农业生态环境；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（三）流转期限不得超过承包期的剩余期限；</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（四）受让方须有农业经营能力或者资质；</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（五）在同等条件下，本集体经济组织成员享有优先权。</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第三十九条</w:t>
      </w:r>
      <w:r>
        <w:rPr>
          <w:rFonts w:ascii="Times New Roman" w:hAnsi="Times New Roman" w:cs="Times New Roman" w:eastAsiaTheme="minorEastAsia"/>
        </w:rPr>
        <w:t xml:space="preserve">  </w:t>
      </w:r>
      <w:r>
        <w:rPr>
          <w:rFonts w:ascii="Times New Roman" w:cs="Times New Roman" w:hAnsiTheme="minorEastAsia" w:eastAsiaTheme="minorEastAsia"/>
        </w:rPr>
        <w:t>土地经营权流转的价款，应当由当事人双方协商确定。流转的收益归承包方所有，任何组织和个人不得擅自截留、扣缴。</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土地经营权流转，当事人双方应当签订书面流转合同。</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土地经营权流转合同一般包括以下条款：</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（一）双方当事人的姓名、住所；</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（二）流转土地的名称、坐落、面积、质量等级；</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（三）流转期限和起止日期；</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（四）流转土地的用途；</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（五）双方当事人的权利和义务；</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（六）流转价款及支付方式；</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（七）土地被依法征收、征用、占用时有关补偿费的归属；</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（八）违约责任。</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承包方将土地交由他人代耕不超过一年的，可以不签订书面合同。</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第四十一条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土地经营权流转期限为五年以上的，当事人可以向登记机构申请土地经营权登记。未经登记，不得对抗善意第三人。</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第四十二条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承包方不得单方解除土地经营权流转合同，但受让方有下列情形之一的除外：</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（一）擅自改变土地的农业用途；</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（二）弃耕抛荒连续两年以上；</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（三）给土地造成严重损害或者严重破坏土地生态环境；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（四）其他严重违约行为。</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第四十三条</w:t>
      </w:r>
      <w:r>
        <w:rPr>
          <w:rFonts w:ascii="Times New Roman" w:hAnsi="Times New Roman" w:cs="Times New Roman" w:eastAsiaTheme="minorEastAsia"/>
        </w:rPr>
        <w:t xml:space="preserve">  </w:t>
      </w:r>
      <w:r>
        <w:rPr>
          <w:rFonts w:ascii="Times New Roman" w:cs="Times New Roman" w:hAnsiTheme="minorEastAsia" w:eastAsiaTheme="minorEastAsia"/>
        </w:rPr>
        <w:t>经承包方同意，受让方可以依法投资改良土壤，建设农业生产附属、配套设施，并按照合同约定对其投资部分获得合理补偿。</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第四十四条</w:t>
      </w:r>
      <w:r>
        <w:rPr>
          <w:rFonts w:ascii="Times New Roman" w:hAnsi="Times New Roman" w:cs="Times New Roman" w:eastAsiaTheme="minorEastAsia"/>
        </w:rPr>
        <w:t xml:space="preserve">  </w:t>
      </w:r>
      <w:r>
        <w:rPr>
          <w:rFonts w:ascii="Times New Roman" w:cs="Times New Roman" w:hAnsiTheme="minorEastAsia" w:eastAsiaTheme="minorEastAsia"/>
        </w:rPr>
        <w:t>承包方流转土地经营权的，其与发包方的承包关系不变。</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第四十五条</w:t>
      </w:r>
      <w:r>
        <w:rPr>
          <w:rFonts w:ascii="Times New Roman" w:hAnsi="Times New Roman" w:cs="Times New Roman" w:eastAsiaTheme="minorEastAsia"/>
        </w:rPr>
        <w:t xml:space="preserve">  </w:t>
      </w:r>
      <w:r>
        <w:rPr>
          <w:rFonts w:ascii="Times New Roman" w:cs="Times New Roman" w:hAnsiTheme="minorEastAsia" w:eastAsiaTheme="minorEastAsia"/>
        </w:rPr>
        <w:t>县级以上地方人民政府应当建立工商企业等社会资本通过流转取得土地经营权的资格审查、项目审核和风险防范制度。</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工商企业等社会资本通过流转取得土地经营权的，本集体经济组织可以收取适量管理费用。</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具体办法由国务院农业农村、林业和草原主管部门规定。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第四十六条</w:t>
      </w:r>
      <w:r>
        <w:rPr>
          <w:rFonts w:ascii="Times New Roman" w:hAnsi="Times New Roman" w:cs="Times New Roman" w:eastAsiaTheme="minorEastAsia"/>
        </w:rPr>
        <w:t xml:space="preserve">  </w:t>
      </w:r>
      <w:r>
        <w:rPr>
          <w:rFonts w:ascii="Times New Roman" w:cs="Times New Roman" w:hAnsiTheme="minorEastAsia" w:eastAsiaTheme="minorEastAsia"/>
        </w:rPr>
        <w:t>经承包方书面同意，并向本集体经济组织备案，受让方可以再流转土地经营权。</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第四十七条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承包方可以用承包地的土地经营权向金融机构融资担保，并向发包方备案。受让方通过流转取得的土地经营权，经承包方书面同意并向发包方备案，可以向金融机构融资担保。</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担保物权自融资担保合同生效时设立。当事人可以向登记机构申请登记；未经登记，不得对抗善意第三人。</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实现担保物权时，担保物权人有权就土地经营权优先受偿。</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土地经营权融资担保办法由国务院有关部门规定。</w:t>
      </w:r>
    </w:p>
    <w:p>
      <w:pPr>
        <w:pStyle w:val="63"/>
        <w:spacing w:before="218" w:after="218" w:line="412" w:lineRule="exact"/>
        <w:rPr>
          <w:rStyle w:val="30"/>
          <w:bCs w:val="0"/>
          <w:szCs w:val="23"/>
        </w:rPr>
      </w:pPr>
      <w:r>
        <w:rPr>
          <w:rStyle w:val="30"/>
          <w:b w:val="0"/>
          <w:bCs/>
          <w:szCs w:val="23"/>
        </w:rPr>
        <w:t>第三章  其他方式的承包</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第四十八条</w:t>
      </w:r>
      <w:r>
        <w:rPr>
          <w:rFonts w:ascii="Times New Roman" w:hAnsi="Times New Roman" w:cs="Times New Roman" w:eastAsiaTheme="minorEastAsia"/>
        </w:rPr>
        <w:t xml:space="preserve">  </w:t>
      </w:r>
      <w:r>
        <w:rPr>
          <w:rFonts w:ascii="Times New Roman" w:cs="Times New Roman" w:hAnsiTheme="minorEastAsia" w:eastAsiaTheme="minorEastAsia"/>
        </w:rPr>
        <w:t>不宜采取家庭承包方式的荒山、荒沟、荒丘、荒滩等农村土地，通过招标、拍卖、公开协商等方式承包的，适用本章规定。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第四十九条</w:t>
      </w:r>
      <w:r>
        <w:rPr>
          <w:rStyle w:val="30"/>
          <w:rFonts w:ascii="Times New Roman" w:hAnsi="Times New Roman" w:cs="Times New Roman" w:eastAsiaTheme="minorEastAsia"/>
        </w:rPr>
        <w:t xml:space="preserve">  </w:t>
      </w:r>
      <w:r>
        <w:rPr>
          <w:rFonts w:ascii="Times New Roman" w:cs="Times New Roman" w:hAnsiTheme="minorEastAsia" w:eastAsiaTheme="minorEastAsia"/>
        </w:rPr>
        <w:t>以其他方式承包农村土地的，应当签订承包合同，承包方取得土地经营权。当事人的权利和义务、承包期限等，由双方协商确定。以招标、拍卖方式承包的，承包费通过公开竞标、竞价确定；以公开协商等方式承包的，承包费由双方议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第五十条</w:t>
      </w:r>
      <w:r>
        <w:rPr>
          <w:rFonts w:ascii="Times New Roman" w:hAnsi="Times New Roman" w:cs="Times New Roman" w:eastAsiaTheme="minorEastAsia"/>
        </w:rPr>
        <w:t xml:space="preserve">  </w:t>
      </w:r>
      <w:r>
        <w:rPr>
          <w:rFonts w:ascii="Times New Roman" w:cs="Times New Roman" w:hAnsiTheme="minorEastAsia" w:eastAsiaTheme="minorEastAsia"/>
        </w:rPr>
        <w:t>荒山、荒沟、荒丘、荒滩等可以直接通过招标、拍卖、公开协商等方式实行承包经营，也可以将土地经营权折股分给本集体经济组织成员后，再实行承包经营或者股份合作经营。</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承包荒山、荒沟、荒丘、荒滩的，应当遵守有关法律、行政法规的规定，防止水土流失，保护生态环境。</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第五十一条</w:t>
      </w:r>
      <w:r>
        <w:rPr>
          <w:rFonts w:ascii="Times New Roman" w:hAnsi="Times New Roman" w:cs="Times New Roman" w:eastAsiaTheme="minorEastAsia"/>
        </w:rPr>
        <w:t xml:space="preserve">  </w:t>
      </w:r>
      <w:r>
        <w:rPr>
          <w:rFonts w:ascii="Times New Roman" w:cs="Times New Roman" w:hAnsiTheme="minorEastAsia" w:eastAsiaTheme="minorEastAsia"/>
        </w:rPr>
        <w:t>荒山、荒沟、荒丘、荒滩等可以直接通过招标、拍卖、公开协商等方式实行承包经营，也可以将土地经营权折股分给本集体经济组织成员后，再实行承包经营或者股份合作经营。</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第五十二条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发包方将农村土地发包给本集体经济组织以外的单位或者个人承包，应当事先经本集体经济组织成员的村民会议三分之二以上成员或者三分之二以上村民代表的同意，并报乡（镇）人民政府批准。</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由本集体经济组织以外的单位或者个人承包的，应当对承包方的资信情况和经营能力进行审查后，再签订承包合同。</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第五十三条</w:t>
      </w:r>
      <w:r>
        <w:rPr>
          <w:rFonts w:ascii="Times New Roman" w:hAnsi="Times New Roman" w:cs="Times New Roman" w:eastAsiaTheme="minorEastAsia"/>
        </w:rPr>
        <w:t xml:space="preserve">  </w:t>
      </w:r>
      <w:r>
        <w:rPr>
          <w:rFonts w:ascii="Times New Roman" w:cs="Times New Roman" w:hAnsiTheme="minorEastAsia" w:eastAsiaTheme="minorEastAsia"/>
        </w:rPr>
        <w:t>通过招标、拍卖、公开协商等方式承包农村土地，经依法登记取得权属证书的，可以依法采取出租、入股、抵押或者其他方式流转土地经营权。</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第五十四条</w:t>
      </w:r>
      <w:r>
        <w:rPr>
          <w:rFonts w:ascii="Times New Roman" w:hAnsi="Times New Roman" w:cs="Times New Roman" w:eastAsiaTheme="minorEastAsia"/>
        </w:rPr>
        <w:t xml:space="preserve">  </w:t>
      </w:r>
      <w:r>
        <w:rPr>
          <w:rFonts w:ascii="Times New Roman" w:cs="Times New Roman" w:hAnsiTheme="minorEastAsia" w:eastAsiaTheme="minorEastAsia"/>
        </w:rPr>
        <w:t>依照本章规定通过招标、拍卖、公开协商等方式取得土地经营权的，该承包人死亡，其应得的承包收益，依照继承法的规定继承；在承包期内，其继承人可以继续承包。</w:t>
      </w:r>
    </w:p>
    <w:p>
      <w:pPr>
        <w:pStyle w:val="63"/>
        <w:spacing w:before="218" w:after="218" w:line="412" w:lineRule="exact"/>
        <w:rPr>
          <w:rStyle w:val="30"/>
          <w:bCs w:val="0"/>
          <w:szCs w:val="23"/>
        </w:rPr>
      </w:pPr>
      <w:r>
        <w:rPr>
          <w:rStyle w:val="30"/>
          <w:b w:val="0"/>
          <w:bCs/>
          <w:szCs w:val="23"/>
        </w:rPr>
        <w:t>第四章  争议的解决和法律责任</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第五十五条</w:t>
      </w:r>
      <w:r>
        <w:rPr>
          <w:rFonts w:ascii="Times New Roman" w:hAnsi="Times New Roman" w:cs="Times New Roman" w:eastAsiaTheme="minorEastAsia"/>
        </w:rPr>
        <w:t xml:space="preserve">  </w:t>
      </w:r>
      <w:r>
        <w:rPr>
          <w:rFonts w:ascii="Times New Roman" w:cs="Times New Roman" w:hAnsiTheme="minorEastAsia" w:eastAsiaTheme="minorEastAsia"/>
        </w:rPr>
        <w:t>因土地承包经营发生纠纷的，双方当事人可以通过协商解决，也可以请求村民委员会、乡（镇）人民政府等调解解决。</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当事人不愿协商、调解或者协商、调解不成的，可以向农村土地承包仲裁机构申请仲裁，也可以直接向人民法院起诉。</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第五十六条</w:t>
      </w:r>
      <w:r>
        <w:rPr>
          <w:rStyle w:val="30"/>
          <w:rFonts w:ascii="Times New Roman" w:hAnsi="Times New Roman" w:cs="Times New Roman" w:eastAsiaTheme="minorEastAsia"/>
        </w:rPr>
        <w:t xml:space="preserve">  </w:t>
      </w:r>
      <w:r>
        <w:rPr>
          <w:rFonts w:ascii="Times New Roman" w:cs="Times New Roman" w:hAnsiTheme="minorEastAsia" w:eastAsiaTheme="minorEastAsia"/>
        </w:rPr>
        <w:t>任何组织和个人侵害土地承包经营权、土地经营权的，应当承担民事责任。</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第五十七条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发包方有下列行为之一的，应当承担停止侵害、排除妨碍、消除危险、返还财产、恢复原状、赔偿损失等民事责任：</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（一）干涉承包方依法享有的生产经营自主权；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（二）违反本法规定收回、调整承包地；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（三）强迫或者阻碍承包方进行土地承包经营权的互换、转让或者土地经营权流转；</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（四）假借少数服从多数强迫承包方放弃或者变更土地承包经营权；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（五）以划分</w:t>
      </w:r>
      <w:r>
        <w:rPr>
          <w:rFonts w:ascii="Times New Roman" w:hAnsi="Times New Roman" w:cs="Times New Roman" w:eastAsiaTheme="minorEastAsia"/>
        </w:rPr>
        <w:t>‘</w:t>
      </w:r>
      <w:r>
        <w:rPr>
          <w:rFonts w:ascii="Times New Roman" w:cs="Times New Roman" w:hAnsiTheme="minorEastAsia" w:eastAsiaTheme="minorEastAsia"/>
        </w:rPr>
        <w:t>口粮田</w:t>
      </w:r>
      <w:r>
        <w:rPr>
          <w:rFonts w:ascii="Times New Roman" w:hAnsi="Times New Roman" w:cs="Times New Roman" w:eastAsiaTheme="minorEastAsia"/>
        </w:rPr>
        <w:t>’</w:t>
      </w:r>
      <w:r>
        <w:rPr>
          <w:rFonts w:ascii="Times New Roman" w:cs="Times New Roman" w:hAnsiTheme="minorEastAsia" w:eastAsiaTheme="minorEastAsia"/>
        </w:rPr>
        <w:t>和</w:t>
      </w:r>
      <w:r>
        <w:rPr>
          <w:rFonts w:ascii="Times New Roman" w:hAnsi="Times New Roman" w:cs="Times New Roman" w:eastAsiaTheme="minorEastAsia"/>
        </w:rPr>
        <w:t>‘</w:t>
      </w:r>
      <w:r>
        <w:rPr>
          <w:rFonts w:ascii="Times New Roman" w:cs="Times New Roman" w:hAnsiTheme="minorEastAsia" w:eastAsiaTheme="minorEastAsia"/>
        </w:rPr>
        <w:t>责任田</w:t>
      </w:r>
      <w:r>
        <w:rPr>
          <w:rFonts w:ascii="Times New Roman" w:hAnsi="Times New Roman" w:cs="Times New Roman" w:eastAsiaTheme="minorEastAsia"/>
        </w:rPr>
        <w:t>’</w:t>
      </w:r>
      <w:r>
        <w:rPr>
          <w:rFonts w:ascii="Times New Roman" w:cs="Times New Roman" w:hAnsiTheme="minorEastAsia" w:eastAsiaTheme="minorEastAsia"/>
        </w:rPr>
        <w:t>等为由收回承包地搞招标承包；</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（六）将承包地收回抵顶欠款；</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（七）剥夺、侵害妇女依法享有的土地承包经营权；</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（八）其他侵害土地承包经营权的行为。</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第五十八条</w:t>
      </w:r>
      <w:r>
        <w:rPr>
          <w:rStyle w:val="30"/>
          <w:rFonts w:ascii="Times New Roman" w:hAnsi="Times New Roman" w:cs="Times New Roman" w:eastAsiaTheme="minorEastAsia"/>
        </w:rPr>
        <w:t xml:space="preserve">  </w:t>
      </w:r>
      <w:r>
        <w:rPr>
          <w:rFonts w:ascii="Times New Roman" w:cs="Times New Roman" w:hAnsiTheme="minorEastAsia" w:eastAsiaTheme="minorEastAsia"/>
        </w:rPr>
        <w:t>承包合同中违背承包方意愿或者违反法律、行政法规有关不得收回、调整承包地等强制性规定的约定无效。</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第五十九条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当事人一方不履行合同义务或者履行义务不符合约定的，应当依法承担违约责任。</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第六十条</w:t>
      </w:r>
      <w:r>
        <w:rPr>
          <w:rFonts w:ascii="Times New Roman" w:hAnsi="Times New Roman" w:cs="Times New Roman" w:eastAsiaTheme="minorEastAsia"/>
        </w:rPr>
        <w:t xml:space="preserve">  </w:t>
      </w:r>
      <w:r>
        <w:rPr>
          <w:rFonts w:ascii="Times New Roman" w:cs="Times New Roman" w:hAnsiTheme="minorEastAsia" w:eastAsiaTheme="minorEastAsia"/>
        </w:rPr>
        <w:t>任何组织和个人强迫进行土地承包经营权互换、转让或者土地经营权流转的，该互换、转让或者流转无效。</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第六十一条</w:t>
      </w:r>
      <w:r>
        <w:rPr>
          <w:rFonts w:ascii="Times New Roman" w:hAnsi="Times New Roman" w:cs="Times New Roman" w:eastAsiaTheme="minorEastAsia"/>
        </w:rPr>
        <w:t xml:space="preserve">  </w:t>
      </w:r>
      <w:r>
        <w:rPr>
          <w:rFonts w:ascii="Times New Roman" w:cs="Times New Roman" w:hAnsiTheme="minorEastAsia" w:eastAsiaTheme="minorEastAsia"/>
        </w:rPr>
        <w:t>任何组织和个人擅自截留、扣缴土地承包经营权互换、转让或者土地经营权流转收益的，应当退还。</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第六十二条</w:t>
      </w:r>
      <w:r>
        <w:rPr>
          <w:rFonts w:ascii="Times New Roman" w:hAnsi="Times New Roman" w:cs="Times New Roman" w:eastAsiaTheme="minorEastAsia"/>
        </w:rPr>
        <w:t xml:space="preserve">  </w:t>
      </w:r>
      <w:r>
        <w:rPr>
          <w:rFonts w:ascii="Times New Roman" w:cs="Times New Roman" w:hAnsiTheme="minorEastAsia" w:eastAsiaTheme="minorEastAsia"/>
        </w:rPr>
        <w:t>违反土地管理法规，非法征收、征用、占用土地或者贪污、挪用土地征收、征用补偿费用，构成犯罪的，依法追究刑事责任；造成他人损害的，应当承担损害赔偿等责任。</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第六十三条</w:t>
      </w:r>
      <w:r>
        <w:rPr>
          <w:rFonts w:ascii="Times New Roman" w:hAnsi="Times New Roman" w:cs="Times New Roman" w:eastAsiaTheme="minorEastAsia"/>
        </w:rPr>
        <w:t xml:space="preserve">  </w:t>
      </w:r>
      <w:r>
        <w:rPr>
          <w:rFonts w:ascii="Times New Roman" w:cs="Times New Roman" w:hAnsiTheme="minorEastAsia" w:eastAsiaTheme="minorEastAsia"/>
        </w:rPr>
        <w:t>承包方违法将承包地用于非农建设的，由县级以上地方人民政府有关行政主管部门依法予以处罚。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承包方给承包地造成永久性损害的，发包方有权制止，并有权要求承包方赔偿由此造成的损失。</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第六十四条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土地经营权人擅自改变土地的农业用途、弃耕抛荒连续两年以上、给土地造成严重损害或者严重破坏土地生态环境，承包方在合理期限内不解除土地经营权流转合同的，发包方有权要求终止土地经营权流转合同。土地经营权人对土地和土地生态环境造成的损害应当予以赔偿。</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第六十五条</w:t>
      </w:r>
      <w:r>
        <w:rPr>
          <w:rFonts w:ascii="Times New Roman" w:hAnsi="Times New Roman" w:cs="Times New Roman" w:eastAsiaTheme="minorEastAsia"/>
        </w:rPr>
        <w:t xml:space="preserve">  </w:t>
      </w:r>
      <w:r>
        <w:rPr>
          <w:rFonts w:ascii="Times New Roman" w:cs="Times New Roman" w:hAnsiTheme="minorEastAsia" w:eastAsiaTheme="minorEastAsia"/>
        </w:rPr>
        <w:t>国家机关及其工作人员有利用职权干涉农村土地承包经营，变更、解除承包经营合同，干涉承包经营当事人依法享有的生产经营自主权，强迫、阻碍承包经营当事人进行土地承包经营权互换、转让或者土地经营权流转等侵害土地承包经营权、土地经营权的行为，给承包经营当事人造成损失的，应当承担损害赔偿等责任；情节严重的，由上级机关或者所在单位给予直接责任人员处分；构成犯罪的，依法追究刑事责任。</w:t>
      </w:r>
    </w:p>
    <w:p>
      <w:pPr>
        <w:pStyle w:val="63"/>
        <w:spacing w:before="218" w:after="218" w:line="412" w:lineRule="exact"/>
        <w:rPr>
          <w:rStyle w:val="30"/>
          <w:bCs w:val="0"/>
          <w:szCs w:val="23"/>
        </w:rPr>
      </w:pPr>
      <w:r>
        <w:rPr>
          <w:rStyle w:val="30"/>
          <w:b w:val="0"/>
          <w:bCs/>
          <w:szCs w:val="23"/>
        </w:rPr>
        <w:t xml:space="preserve">第五章  附 </w:t>
      </w:r>
      <w:r>
        <w:rPr>
          <w:rStyle w:val="30"/>
          <w:rFonts w:hint="eastAsia"/>
          <w:b w:val="0"/>
          <w:bCs/>
          <w:szCs w:val="23"/>
        </w:rPr>
        <w:t xml:space="preserve"> </w:t>
      </w:r>
      <w:r>
        <w:rPr>
          <w:rStyle w:val="30"/>
          <w:b w:val="0"/>
          <w:bCs/>
          <w:szCs w:val="23"/>
        </w:rPr>
        <w:t>则</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第六十六条</w:t>
      </w:r>
      <w:r>
        <w:rPr>
          <w:rFonts w:ascii="Times New Roman" w:hAnsi="Times New Roman" w:cs="Times New Roman" w:eastAsiaTheme="minorEastAsia"/>
        </w:rPr>
        <w:t xml:space="preserve">  </w:t>
      </w:r>
      <w:r>
        <w:rPr>
          <w:rFonts w:ascii="Times New Roman" w:cs="Times New Roman" w:hAnsiTheme="minorEastAsia" w:eastAsiaTheme="minorEastAsia"/>
        </w:rPr>
        <w:t>本法实施前已经按照国家有关农村土地承包的规定承包，包括承包期限长于本法规定的，本法实施后继续有效，不得重新承包土地。未向承包方颁发土地承包经营权证或者林权证等证书的，应当补发证书。</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第六十七条</w:t>
      </w:r>
      <w:r>
        <w:rPr>
          <w:rFonts w:ascii="Times New Roman" w:hAnsi="Times New Roman" w:cs="Times New Roman" w:eastAsiaTheme="minorEastAsia"/>
        </w:rPr>
        <w:t xml:space="preserve">  </w:t>
      </w:r>
      <w:r>
        <w:rPr>
          <w:rFonts w:ascii="Times New Roman" w:cs="Times New Roman" w:hAnsiTheme="minorEastAsia" w:eastAsiaTheme="minorEastAsia"/>
        </w:rPr>
        <w:t>本法实施前已经预留机动地的，机动地面积不得超过本集体经济组织耕地总面积的百分之五。不足百分之五的，不得再增加机动地。</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hAnsiTheme="minorEastAsia" w:eastAsiaTheme="minorEastAsia"/>
        </w:rPr>
        <w:t>本法实施前未留机动地的，本法实施后不得再留机动地。</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第六十八条</w:t>
      </w:r>
      <w:r>
        <w:rPr>
          <w:rStyle w:val="30"/>
          <w:rFonts w:ascii="Times New Roman" w:hAnsi="Times New Roman" w:cs="Times New Roman" w:eastAsiaTheme="minorEastAsia"/>
        </w:rPr>
        <w:t xml:space="preserve">  </w:t>
      </w:r>
      <w:r>
        <w:rPr>
          <w:rFonts w:ascii="Times New Roman" w:cs="Times New Roman" w:hAnsiTheme="minorEastAsia" w:eastAsiaTheme="minorEastAsia"/>
        </w:rPr>
        <w:t>各省、自治区、直辖市人民代表大会常务委员会可以根据本法，结合本行政区域的实际情况，制定实施办法。</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第六十九条</w:t>
      </w:r>
      <w:r>
        <w:rPr>
          <w:rFonts w:ascii="Times New Roman" w:hAnsi="Times New Roman" w:cs="Times New Roman" w:eastAsiaTheme="minorEastAsia"/>
        </w:rPr>
        <w:t xml:space="preserve">  </w:t>
      </w:r>
      <w:r>
        <w:rPr>
          <w:rFonts w:ascii="Times New Roman" w:cs="Times New Roman" w:hAnsiTheme="minorEastAsia" w:eastAsiaTheme="minorEastAsia"/>
        </w:rPr>
        <w:t>确认农村集体经济组织成员身份的原则、程序等，由法律、法规规定。</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hAnsiTheme="minorEastAsia" w:eastAsiaTheme="minorEastAsia"/>
        </w:rPr>
        <w:t>第七十条</w:t>
      </w:r>
      <w:r>
        <w:rPr>
          <w:rFonts w:ascii="Times New Roman" w:hAnsi="Times New Roman" w:cs="Times New Roman" w:eastAsiaTheme="minorEastAsia"/>
        </w:rPr>
        <w:t xml:space="preserve">  </w:t>
      </w:r>
      <w:r>
        <w:rPr>
          <w:rFonts w:ascii="Times New Roman" w:cs="Times New Roman" w:hAnsiTheme="minorEastAsia" w:eastAsiaTheme="minorEastAsia"/>
        </w:rPr>
        <w:t>本法自</w:t>
      </w:r>
      <w:r>
        <w:rPr>
          <w:rFonts w:ascii="Times New Roman" w:hAnsi="Times New Roman" w:cs="Times New Roman" w:eastAsiaTheme="minorEastAsia"/>
        </w:rPr>
        <w:t>2003</w:t>
      </w:r>
      <w:r>
        <w:rPr>
          <w:rFonts w:ascii="Times New Roman" w:cs="Times New Roman" w:hAnsiTheme="minorEastAsia" w:eastAsiaTheme="minorEastAsia"/>
        </w:rPr>
        <w:t>年</w:t>
      </w:r>
      <w:r>
        <w:rPr>
          <w:rFonts w:ascii="Times New Roman" w:hAnsi="Times New Roman" w:cs="Times New Roman" w:eastAsiaTheme="minorEastAsia"/>
        </w:rPr>
        <w:t>3</w:t>
      </w:r>
      <w:r>
        <w:rPr>
          <w:rFonts w:ascii="Times New Roman" w:cs="Times New Roman" w:hAnsiTheme="minorEastAsia" w:eastAsiaTheme="minorEastAsia"/>
        </w:rPr>
        <w:t>月</w:t>
      </w:r>
      <w:r>
        <w:rPr>
          <w:rFonts w:ascii="Times New Roman" w:hAnsi="Times New Roman" w:cs="Times New Roman" w:eastAsiaTheme="minorEastAsia"/>
        </w:rPr>
        <w:t>1</w:t>
      </w:r>
      <w:r>
        <w:rPr>
          <w:rFonts w:ascii="Times New Roman" w:cs="Times New Roman" w:hAnsiTheme="minorEastAsia" w:eastAsiaTheme="minorEastAsia"/>
        </w:rPr>
        <w:t>日起施行。</w:t>
      </w:r>
    </w:p>
    <w:p>
      <w:pPr>
        <w:spacing w:beforeLines="0" w:afterLines="0" w:line="416" w:lineRule="exact"/>
        <w:ind w:firstLine="480" w:firstLineChars="200"/>
        <w:rPr>
          <w:rFonts w:ascii="Times New Roman" w:hAnsi="Times New Roman" w:cs="Times New Roman"/>
          <w:sz w:val="24"/>
          <w:szCs w:val="24"/>
        </w:rPr>
      </w:pPr>
    </w:p>
    <w:p>
      <w:pPr>
        <w:topLinePunct/>
        <w:spacing w:beforeLines="0" w:afterLines="0" w:line="416" w:lineRule="exact"/>
        <w:ind w:firstLine="480" w:firstLineChars="200"/>
        <w:rPr>
          <w:rFonts w:cs="Times New Roman" w:asciiTheme="minorEastAsia" w:hAnsiTheme="minorEastAsia"/>
          <w:kern w:val="0"/>
          <w:sz w:val="24"/>
          <w:szCs w:val="24"/>
        </w:rPr>
      </w:pP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256" w:name="_Toc18942578"/>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257" w:name="_Toc28252153"/>
      <w:bookmarkStart w:id="258" w:name="_Toc28156955"/>
      <w:bookmarkStart w:id="259" w:name="_Toc28250882"/>
      <w:bookmarkStart w:id="260" w:name="_Toc25653667"/>
      <w:bookmarkStart w:id="261" w:name="_Toc25648172"/>
      <w:bookmarkStart w:id="262" w:name="_Toc26347933"/>
      <w:r>
        <w:t>中华人民共和国农村土地承包经营权证管理办法</w:t>
      </w:r>
      <w:bookmarkEnd w:id="256"/>
      <w:bookmarkEnd w:id="257"/>
      <w:bookmarkEnd w:id="258"/>
      <w:bookmarkEnd w:id="259"/>
      <w:bookmarkEnd w:id="260"/>
      <w:bookmarkEnd w:id="261"/>
      <w:bookmarkEnd w:id="262"/>
    </w:p>
    <w:p>
      <w:pPr>
        <w:pStyle w:val="62"/>
        <w:topLinePunct w:val="0"/>
        <w:ind w:firstLine="0" w:firstLineChars="0"/>
        <w:jc w:val="center"/>
        <w:rPr>
          <w:b/>
        </w:rPr>
      </w:pPr>
      <w:r>
        <w:t>（</w:t>
      </w:r>
      <w:r>
        <w:rPr>
          <w:shd w:val="clear" w:color="auto" w:fill="FFFFFF"/>
        </w:rPr>
        <w:t>2003年11</w:t>
      </w:r>
      <w:r>
        <w:t>月14日中华人民共和国农业部令第33号公布）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为稳定和完善农村土地承包关系，维护承包方依法取得的土地承包经营权，加强农村土地承包经营权证管理，根据《中华人民共和国农村土地承包法》，制定本办法。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农村土地承包经营权证是农村土地承包合同生效后，国家依法确认承包方享有土地承包经营权的法律凭证。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农村土地承包经营权证只限承包方使用。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承包耕地、园地、荒山、荒沟、荒丘、荒滩等农村土地从事种植业生产活动，承包方依法取得农村土地承包经营权后，应颁发农村土地承包经营权证予以确认。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承包草原、水面、滩涂从事养殖业生产活动的，依照《中华人民共和国草原法》、《中华人民共和国渔业法》等有关规定确权发证。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实行家庭承包经营的承包方，由县级以上地方人民政府颁发农村土地承包经营权证。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实行其它方式承包经营的承包方，经依法登记，由县级以上地方人民政府颁发农村土地承包经营权证。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县级以上地方人民政府农业行政主管部门负责农村土地承包经营权证的备案、登记、发放等具体工作。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农村土地承包经营权证所载明的权利有效期限，应与依法签订的土地承包合同约定的承包期一致。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农村土地承包经营权证应包括以下内容：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（一）名称和编号;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（二）发证机关及日期;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（三）承包期限和起止日期;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（四）承包土地名称、坐落、面积、用途;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（五）农村土地承包经营权变动情况;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（六）其他应当注明的事项。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实行家庭承包的，按下列程序颁发农村土地承包经营权证：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（一）土地承包合同生效后，发包方应在30个工作日内，将土地承包方案、承包方及承包土地的详细情况、土地承包合同等材料一式两份报乡（镇）人民政府农村经营管理部门。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乡（镇）人民政府农村经营管理部门对发包方报送的材料予以初审。材料符合规定的，及时登记造册，由乡（镇）人民政府向县级以上地方人民政府提出颁发农村土地承包经营权证的书面申请;材料不符合规定的，应在15个工作日内补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县级以上地方人民政府农业行政主管部门对乡（镇）人民政府报送的申请材料予以审核。申请材料符合规定的，编制农村土地承包经营权证登记簿，报同级人民政府颁发农村土地承包经营权证;申请材料不符合规定的，书面通知乡（镇）人民政府补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实行招标、拍卖、公开协商等方式承包农村土地的，按下列程序办理农村土地承包经营权证：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（一）土地承包合同生效后，承包方填写农村土地承包经营权证登记申请书，报承包土地所在乡（镇）人民政府农村经营管理部门。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（二）乡（镇）人民政府农村经营管理部门对发包方和承包方的资格、发包程序、承包期限、承包地用途等予以初审，并在农村土地承包经营权证登记申请书上签署初审意见。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（三）承包方持乡（镇）人民政府初审通过的农村土地承包经营权登记申请书，向县级以上地方人民政府申请农村土地承包经营权证登记。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县级以上地方人民政府农业行政主管部门对登记申请予以审核。申请材料符合规定的，编制农村土地承包经营权证登记簿，报请同级人民政府颁发农村土地承包经营权证;申请材料不符合规定的，书面通知申请人补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农村土地承包经营权证登记簿记载农村土地承包经营权的基本内容。农村土地承包经营权证、农村土地承包合同、农村土地承包经营权证登记簿记载的事项应一致。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农村土地承包经营权证登记簿、承包合同登记及其他登记材料，由县级以上地方农业行政主管部门管理。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农村土地承包方有权查阅、复制农村土地承包经营权证登记簿和其他登记材料。县级以上农业行政主管部门不得限制和阻挠。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农村土地承包当事人认为农村土地承包经营权证和登记簿记载错误的，有权申请更正。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乡（镇）农村经营管理部门和县级以上地方人民政府农业行政主管部门在办理农村土地承包经营权证过程中应当履行下列职责：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（一）查验申请人提交的有关材料;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（二）就有关登记事项询问申请人;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（三）如实、及时地登记有关事项;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（四）需要实地查看的，应进行查验。在实地查验过程中，申请人有义务给予协助。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乡（镇）人民政府农村经营管理部门领取农村土地承包经营权证后，应在30个工作日内将农村土地承包经营权证发给承包方。发包方不得为承包方保存农村土地承包经营权证。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承包期内，承包方采取转包、出租、入股方式流转土地承包经营权的，不须办理农村土地承包经营权证变更。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采取转让、互换方式流转土地承包经营权的，当事人可以要求办理农村土地承包经营权证变更登记。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因转让、互换以外的其他方式导致农村土地承包经营权分立、合并的，应当办理农村土地承包经营权证变更。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办理农村土地承包经营权变更申请应提交以下材料：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（一）变更的书面请求;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（二）已变更的农村土地承包合同或其它证明材料;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（三）农村土地承包经营权证原件。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乡（镇）人民政府农村经营管理部门受理变更申请后，应及时对申请材料进行审核。符合规定的，报请原发证机关办理变更手续，并在农村土地承包经营权证登记簿上记载。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农村土地承包经营权证严重污损、毁坏、遗失的，承包方应向乡（镇）人民政府农村经营管理部门申请换发、补发。</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经乡（镇）人民政府农村经营管理部门审核后，报请原发证机关办理换发、补发手续。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办理农村土地承包经营权证换发、补发手续，应以农村土地经营权证登记簿记载的内容为准。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农村土地承包经营权证换发、补发，应当在农村土地承包经营权证上注明“换发”、“补发”字样。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承包期内，发生下列情形之一的，应依法收回农村土地承包经营权证：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（一）承包期内，承包方全家迁入设区的市，转为非农业户口的。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（二）承包期内，承包方提出书面申请，自愿放弃全部承包土地的。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（三）承包土地被依法征用、占用，导致农村土地承包经营权全部丧失的。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（四）其他收回土地承包经营权证的情形。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符合本办法第二十条规定，承包方无正当理由拒绝交回农村土地承包经营权证的，由原发证机关注销该证（包括编号），并予以公告。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收回的农村土地承包经营权证，应退回原发证机关，加盖“作废”章。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县级人民政府农业行政主管部门和乡（镇）人民政府要完善农村土地承包方案、农村土地承包合同、农村土地承包经营权证及其相关文件档案的管理制度，建立健全农村土地承包信息化管理系统。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地方各级人民政府农业行政主管部门要加强对农村土地承包经营权证的发放管理，确保农村土地承包经营权证全部落实到户。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对不按规定及时发放农村土地承包经营权证的责任人，予以批评教育;造成严重后果的，应追究行政责任。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颁发农村土地承包经营权证，除工本费外，不得向承包方收取任何费用。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农村土地承包经营权证工本费的支出要严格执行国家有关财务管理的规定。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本办法实施以前颁发的农村土地承包经营权证，符合《农村土地承包法》有关规定，并已加盖县级以上地方人民政府印章的，继续有效。个别条款如承包期限、承包方承担义务等违反《农村土地承包法》规定的，该条款无效，是否换发新证，由承包方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未加盖县级以上地方人民政府印章的，应按本《办法》规定重新颁发。重新颁发农村土地承包经营权证，土地承包期限应符合《农村土地承包法》的有关规定，不得借机调整土地。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农村土地承包经营权证由农业部监制，由省级人民政府农业行政主管部门统一组织印制，加盖县级以上地方人民政府印章。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本办法自2004年1月1日起正式施行。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263" w:name="_Toc18942579"/>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264" w:name="_Toc28250883"/>
      <w:bookmarkStart w:id="265" w:name="_Toc26347934"/>
      <w:bookmarkStart w:id="266" w:name="_Toc28252154"/>
      <w:bookmarkStart w:id="267" w:name="_Toc25648173"/>
      <w:bookmarkStart w:id="268" w:name="_Toc28156956"/>
      <w:bookmarkStart w:id="269" w:name="_Toc25653668"/>
      <w:r>
        <w:t>中华人民共和国农村土地承包</w:t>
      </w:r>
      <w:r>
        <w:rPr>
          <w:rFonts w:hint="eastAsia"/>
        </w:rPr>
        <w:br w:type="textWrapping"/>
      </w:r>
      <w:r>
        <w:t>经营权流转管理办法</w:t>
      </w:r>
      <w:bookmarkEnd w:id="263"/>
      <w:bookmarkEnd w:id="264"/>
      <w:bookmarkEnd w:id="265"/>
      <w:bookmarkEnd w:id="266"/>
      <w:bookmarkEnd w:id="267"/>
      <w:bookmarkEnd w:id="268"/>
      <w:bookmarkEnd w:id="269"/>
    </w:p>
    <w:p>
      <w:pPr>
        <w:pStyle w:val="62"/>
        <w:topLinePunct w:val="0"/>
        <w:ind w:firstLine="0" w:firstLineChars="0"/>
        <w:jc w:val="center"/>
      </w:pPr>
      <w:r>
        <w:t>（2005年1月19日</w:t>
      </w:r>
      <w:r>
        <w:rPr>
          <w:shd w:val="clear" w:color="auto" w:fill="FFFFFF"/>
        </w:rPr>
        <w:t>中华人民共和国</w:t>
      </w:r>
      <w:r>
        <w:t>农业部令第47号公布）</w:t>
      </w:r>
    </w:p>
    <w:p>
      <w:pPr>
        <w:pStyle w:val="5"/>
        <w:keepNext w:val="0"/>
        <w:keepLines w:val="0"/>
        <w:topLinePunct/>
        <w:spacing w:line="416" w:lineRule="exact"/>
        <w:ind w:firstLine="482" w:firstLineChars="200"/>
        <w:rPr>
          <w:rFonts w:asciiTheme="minorEastAsia" w:hAnsiTheme="minorEastAsia" w:eastAsiaTheme="minorEastAsia"/>
          <w:sz w:val="24"/>
          <w:szCs w:val="24"/>
        </w:rPr>
      </w:pPr>
    </w:p>
    <w:p>
      <w:pPr>
        <w:pStyle w:val="63"/>
        <w:spacing w:before="218" w:after="218" w:line="412" w:lineRule="exact"/>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为规范农村土地承包经营权流转行为，维护流转双方当事人合法权益，促进农业和农村经济发展，根据《农村土地承包法》及有关规定制定本办法。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农村土地承包经营权流转应当在坚持农户家庭承包经营制度和稳定农村土地承包关系的基础上，遵循平等协商、依法、自愿、有偿的原则。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农村土地承包经营权流转不得改变承包土地的农业用途，流转期限不得超过承包期的剩余期限，不得损害利害关系人和农村集体经济组织的合法权益。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农村土地承包经营权流转应当规范有序。依法形成的流转关系应当受到保护。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县级以上人民政府农业行政主管（或农村经营管理）部门依照同级人民政府规定的职责负责本行政区域内的农村土地承包经营权流转及合同管理的指导。</w:t>
      </w:r>
    </w:p>
    <w:p>
      <w:pPr>
        <w:pStyle w:val="63"/>
        <w:spacing w:before="218" w:after="218" w:line="412" w:lineRule="exact"/>
      </w:pPr>
      <w:r>
        <w:t>第二章</w:t>
      </w:r>
      <w:r>
        <w:rPr>
          <w:rFonts w:hint="eastAsia"/>
        </w:rPr>
        <w:t xml:space="preserve"> </w:t>
      </w:r>
      <w:r>
        <w:t xml:space="preserve"> 流转当事人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承包方有权依法自主决定承包土地是否流转、流转的对象和方式。任何单位和个人不得强迫或者阻碍承包方依法流转其承包土地。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农村土地承包经营权流转收益归承包方所有，任何组织和个人不得侵占、截留、扣缴。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承包方自愿委托发包方或中介组织流转其承包土地的，应当由承包方出具土地流转委托书。委托书应当载明委托的事项、权限和期限等，并有委托人的签名或盖章。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没有承包方的书面委托，任何组织和个人无权以任何方式决定流转农户的承包土地。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农村土地承包经营权流转的受让方可以是承包农户，也可以是其他按有关法律及有关规定允许从事农业生产经营的组织和个人。在同等条件下，本集体经济组织成员享有优先权。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受让方应当具有农业经营能力。</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农村土地承包经营权流转方式、期限和具体条件，由流转双方平等协商确定。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承包方与受让方达成流转意向后，以转包、出租、互换或者其他方式流转的，承包方应当及时向发包方备案；以转让方式流转的，应当事先向发包方提出转让申请。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受让方应当依照有关法律、法规的规定保护土地，禁止改变流转土地的农业用途。</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受让方将承包方以转包、出租方式流转的土地实行再流转，应当取得原承包方的同意。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受让方在流转期间因投入而提高土地生产能力的，土地流转合同到期或者未到期由承包方依法收回承包土地时，受让方有权获得相应的补偿。具体补偿办法可以在土地流转合同中约定或双方通过协商解决。</w:t>
      </w:r>
    </w:p>
    <w:p>
      <w:pPr>
        <w:pStyle w:val="63"/>
        <w:spacing w:before="218" w:after="218" w:line="412" w:lineRule="exact"/>
      </w:pPr>
      <w:r>
        <w:t>第三章</w:t>
      </w:r>
      <w:r>
        <w:rPr>
          <w:rFonts w:hint="eastAsia"/>
        </w:rPr>
        <w:t xml:space="preserve"> </w:t>
      </w:r>
      <w:r>
        <w:t xml:space="preserve"> 流转方式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承包方依法取得的农村土地承包经营权可以采取转包、出租、互换、转让或者其他符合有关法律和国家政策规定的方式流转。</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承包方依法采取转包、出租、入股方式将农村土地承包经营权部分或者全部流转的，承包方与发包方的承包关系不变，双方享有的权利和承担的义务不变。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同一集体经济组织的承包方之间自愿将土地承包经营权进行互换，双方对互换土地原享有的承包权利和承担的义务也相应互换，当事人可以要求办理农村土地承包经营权证变更登记手续。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承包方采取转让方式流转农村土地承包经营权的，经发包方同意后，当事人可以要求及时办理农村土地承包经营权证变更、注销或重发手续。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承包方之间可以自愿将承包土地入股发展农业合作生产，但股份合作解散时入股土地应当退回原承包农户。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通过转让、互换方式取得的土地承包经营权经依法登记获得土地承包经营权证后，可以依法采取转包、出租、互换、转让或者其他符合法律和国家政策规定的方式流转。</w:t>
      </w:r>
    </w:p>
    <w:p>
      <w:pPr>
        <w:pStyle w:val="63"/>
        <w:spacing w:before="218" w:after="218" w:line="412" w:lineRule="exact"/>
      </w:pPr>
      <w:r>
        <w:t xml:space="preserve">第四章 </w:t>
      </w:r>
      <w:r>
        <w:rPr>
          <w:rFonts w:hint="eastAsia"/>
        </w:rPr>
        <w:t xml:space="preserve"> </w:t>
      </w:r>
      <w:r>
        <w:t>流转合同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承包方流转农村土地承包经营权，应当与受让方在协商一致的基础上签订书面流转合同。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农村土地承包经营权流转合同一式四份，流转双方各执一份，发包方和乡（镇）人民政府农村土地承包管理部门各备案一份。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承包方将土地交由他人代耕不超过一年的，可以不签订书面合同。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承包方委托发包方或者中介服务组织流转其承包土地的，流转合同应当由承包方或其书面委托的代理人签订。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农村土地承包经营权流转合同一般包括以下内容：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（一）双方当事人的姓名、住所；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（二）流转土地的四至、坐落、面积、质量等级；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（三）流转的期限和起止日期；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（四）流转方式；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（五）流转土地的用途；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（六）双方当事人的权利和义务；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（七）流转价款及支付方式；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（八）流转合同到期后地上附着物及相关设施的处理；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（九）违约责任。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农村土地承包经营权流转合同文本格式由省级人民政府农业行政主管部门确定。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农村土地承包经营权流转当事人可以向乡（镇）人民政府农村土地承包管理部门申请合同鉴证。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乡（镇）人民政府农村土地承包管理部门不得强迫土地承包经营权流转当事人接受鉴证。</w:t>
      </w:r>
    </w:p>
    <w:p>
      <w:pPr>
        <w:pStyle w:val="63"/>
        <w:spacing w:before="218" w:after="218" w:line="412" w:lineRule="exact"/>
      </w:pPr>
      <w:r>
        <w:t xml:space="preserve">第五章 </w:t>
      </w:r>
      <w:r>
        <w:rPr>
          <w:rFonts w:hint="eastAsia"/>
        </w:rPr>
        <w:t xml:space="preserve"> </w:t>
      </w:r>
      <w:r>
        <w:t>流转管理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发包方对承包方提出的转包、出租、互换或者其他方式流转承包土地的要求，应当及时办理备案，并报告乡（镇）人民政府农村土地承包管理部门。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承包方转让承包土地，发包方同意转让的，应当及时向乡（镇）人民政府农村土地承包管理部门报告，并配合办理有关变更手续；发包方不同意转让的，应当于七日内向承包方书面说明理由。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乡（镇）人民政府农村土地承包管理部门应当及时向达成流转意向的承包方提供统一文本格式的流转合同，并指导签订。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乡（镇）人民政府农村土地承包管理部门应当建立农村土地承包经营权流转情况登记册，及时准确记载农村土地承包经营权流转情况。以转包、出租或者其他方式流转承包土地的，及时办理相关登记；以转让、互换方式流转承包土地的，及时办理有关承包合同和土地承包经营权证变更等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乡（镇）人民政府农村土地承包管理部门应当对农村土地承包经营权流转合同及有关文件、文本、资料等进行归档并妥善保管。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采取互换、转让方式流转土地承包经营权，当事人申请办理土地承包经营权流转登记的，县级人民政府农业行政（或农村经营管理）主管部门应当予以受理，并依照《农村土地承包经营权证管理办法》的规定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从事农村土地承包经营权流转服务的中介组织应当向县级以上地方人民政府农业行政（或农村经营管理）主管部门备案并接受其指导，依照法律和有关规定提供流转中介服务。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乡（镇）人民政府农村土地承包管理部门在指导流转合同签订或流转合同鉴证中，发现流转双方有违反法律法规的约定，要及时予以纠正。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县级以上地方人民政府农业行政（或农村经营管理）主管部门应当加强对乡（镇）人民政府农村土地承包管理部门工作的指导。乡（镇）人民政府农村土地承包管理部门应当依法开展农村土地承包经营权流转的指导和管理工作，正确履行职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农村土地承包经营权流转发生争议或者纠纷，当事人应当依法协商解决。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当事人协商不成的，可以请求村民委员会、乡（镇）人民政府调解。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当事人不愿协商或者调解不成的，可以向农村土地承包仲裁机构申请仲裁，也可以直接向人民法院起诉。</w:t>
      </w:r>
    </w:p>
    <w:p>
      <w:pPr>
        <w:pStyle w:val="63"/>
        <w:spacing w:before="218" w:after="218" w:line="412" w:lineRule="exact"/>
      </w:pPr>
      <w:r>
        <w:t xml:space="preserve">第六章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通过招标、拍卖和公开协商等方式承包荒山、荒沟、荒丘、荒滩等农村土地，经依法登记取得农村土地承包经营权证的，可以采取转让、出租、入股、抵押或者其他方式流转，其流转管理参照本办法执行。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办法所称转让是指承包方有稳定的非农职业或者有稳定的收入来源，经承包方申请和发包方同意，将部分或全部土地承包经营权让渡给其他从事农业生产经营的农户，由其履行相应土地承包合同的权利和义务。转让后原土地承包关系自行终止，原承包方承包期内的土地承包经营权部分或全部灭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转包是指承包方将部分或全部土地承包经营权以一定期限转给同一集体经济组织的其他农户从事农业生产经营。转包后原土地承包关系不变，原承包方继续履行原土地承包合同规定的权利和义务。接包方按转包时约定的条件对转包方负责。承包方将土地交他人代耕不足一年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互换是指承包方之间为方便耕作或者各自需要，对属于同一集体经济组织的承包地块进行交换，同时交换相应的土地承包经营权。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入股是指实行家庭承包方式的承包方之间为发展农业经济，将土地承包经营权作为股权，自愿联合从事农业合作生产经营；其他承包方式的承包方将土地承包经营权量化为股权，入股组成股份公司或者合作社等，从事农业生产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出租是指承包方将部分或全部土地承包经营权以一定期限租赁给他人从事农业生产经营。出租后原土地承包关系不变，原承包方继续履行原土地承包合同规定的权利和义务。承租方按出租时约定的条件对承包方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本办法所称受让方包括接包方、承租方等。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本办法自2005年3月1日起正式施行。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270" w:name="_Toc18942581"/>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271" w:name="_Toc28156957"/>
      <w:bookmarkStart w:id="272" w:name="_Toc25653669"/>
      <w:bookmarkStart w:id="273" w:name="_Toc28252155"/>
      <w:bookmarkStart w:id="274" w:name="_Toc28250884"/>
      <w:bookmarkStart w:id="275" w:name="_Toc25648174"/>
      <w:bookmarkStart w:id="276" w:name="_Toc26347935"/>
      <w:r>
        <w:t>中华人民共和国农村土地承包经营</w:t>
      </w:r>
      <w:r>
        <w:rPr>
          <w:rFonts w:hint="eastAsia"/>
        </w:rPr>
        <w:br w:type="textWrapping"/>
      </w:r>
      <w:r>
        <w:t>纠纷调解仲裁法</w:t>
      </w:r>
      <w:bookmarkEnd w:id="270"/>
      <w:bookmarkEnd w:id="271"/>
      <w:bookmarkEnd w:id="272"/>
      <w:bookmarkEnd w:id="273"/>
      <w:bookmarkEnd w:id="274"/>
      <w:bookmarkEnd w:id="275"/>
      <w:bookmarkEnd w:id="276"/>
    </w:p>
    <w:p>
      <w:pPr>
        <w:pStyle w:val="62"/>
        <w:topLinePunct w:val="0"/>
        <w:ind w:firstLine="0" w:firstLineChars="0"/>
        <w:jc w:val="center"/>
      </w:pPr>
      <w:r>
        <w:t>（</w:t>
      </w:r>
      <w:r>
        <w:rPr>
          <w:shd w:val="clear" w:color="auto" w:fill="FFFFFF"/>
        </w:rPr>
        <w:t>2</w:t>
      </w:r>
      <w:r>
        <w:rPr>
          <w:spacing w:val="-4"/>
          <w:shd w:val="clear" w:color="auto" w:fill="FFFFFF"/>
        </w:rPr>
        <w:t>009年6月27日第十一届全国人民代表大会常务委员会第九次会议通过</w:t>
      </w:r>
      <w:r>
        <w:rPr>
          <w:spacing w:val="-4"/>
        </w:rPr>
        <w:t>）</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kern w:val="0"/>
          <w:sz w:val="24"/>
          <w:szCs w:val="24"/>
        </w:rPr>
        <w:t>为了公正、及时解决农村土地承包经营纠纷，维护当事人的合法权益，促进农村经济发展和社会稳定，制定本法。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第二条  </w:t>
      </w:r>
      <w:r>
        <w:rPr>
          <w:rFonts w:asciiTheme="minorEastAsia" w:hAnsiTheme="minorEastAsia" w:eastAsiaTheme="minorEastAsia"/>
          <w:kern w:val="0"/>
          <w:sz w:val="24"/>
          <w:szCs w:val="24"/>
        </w:rPr>
        <w:t>农村土地承包经营纠纷调解和仲裁，适用本法。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农村土地承包经营纠纷包括：</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（一）因订立、履行、变更、解除和终止农村土地承包合同发生的纠纷；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（二）因</w:t>
      </w:r>
      <w:r>
        <w:rPr>
          <w:rFonts w:asciiTheme="minorEastAsia" w:hAnsiTheme="minorEastAsia" w:eastAsiaTheme="minorEastAsia"/>
          <w:spacing w:val="-6"/>
          <w:kern w:val="0"/>
          <w:sz w:val="24"/>
          <w:szCs w:val="24"/>
        </w:rPr>
        <w:t>农村土地承包经营权转包、出租、互换、转让、入股等流转发生的纠纷；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（三）因收回、调整承包地发生的纠纷；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（四）因确认农村土地承包经营权发生的纠纷；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（五）因侵害农村土地承包经营权发生的纠纷；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（六）法律、法规规定的其他农村土地承包经营纠纷。</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因征收集体所有的土地及其补偿发生的纠纷，不属于</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仲裁委员会的受理范围，可以通过行政复议或者诉讼等方式解决。</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第三条  </w:t>
      </w:r>
      <w:r>
        <w:rPr>
          <w:rFonts w:asciiTheme="minorEastAsia" w:hAnsiTheme="minorEastAsia" w:eastAsiaTheme="minorEastAsia"/>
          <w:kern w:val="0"/>
          <w:sz w:val="24"/>
          <w:szCs w:val="24"/>
        </w:rPr>
        <w:t>发生农村土地承包经营纠纷的，当事人可以自行和解，也可以请求村民委员会、乡（镇）人民政府等调解。</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第四条  </w:t>
      </w:r>
      <w:r>
        <w:rPr>
          <w:rFonts w:asciiTheme="minorEastAsia" w:hAnsiTheme="minorEastAsia" w:eastAsiaTheme="minorEastAsia"/>
          <w:kern w:val="0"/>
          <w:sz w:val="24"/>
          <w:szCs w:val="24"/>
        </w:rPr>
        <w:t>当事人和解、调解不成或者不愿和解、调解的，可以向农村土地承包仲裁委员会申请仲裁，也可以直接向人民法院起诉。</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第五条  </w:t>
      </w:r>
      <w:r>
        <w:rPr>
          <w:rFonts w:asciiTheme="minorEastAsia" w:hAnsiTheme="minorEastAsia" w:eastAsiaTheme="minorEastAsia"/>
          <w:kern w:val="0"/>
          <w:sz w:val="24"/>
          <w:szCs w:val="24"/>
        </w:rPr>
        <w:t>农村土地承包经营纠纷调解和仲裁，应当公开、公平、公正，便民高效，根据事实，符合法律，尊重社会公德。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第六条  </w:t>
      </w:r>
      <w:r>
        <w:rPr>
          <w:rFonts w:asciiTheme="minorEastAsia" w:hAnsiTheme="minorEastAsia" w:eastAsiaTheme="minorEastAsia"/>
          <w:kern w:val="0"/>
          <w:sz w:val="24"/>
          <w:szCs w:val="24"/>
        </w:rPr>
        <w:t>县级以上人民政府应当加强对农村土地承包经营纠纷调解和仲裁工作的指导。</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县级以上人民政府农村土地承包管理部门及其他有关部门应当依照职责分工，支持有关调解组织和农村土地承包仲裁委员会依法开展工作。</w:t>
      </w:r>
    </w:p>
    <w:p>
      <w:pPr>
        <w:pStyle w:val="63"/>
        <w:spacing w:before="218" w:after="218" w:line="412" w:lineRule="exact"/>
      </w:pPr>
      <w:r>
        <w:t xml:space="preserve">第二章 </w:t>
      </w:r>
      <w:r>
        <w:rPr>
          <w:rFonts w:hint="eastAsia"/>
        </w:rPr>
        <w:t xml:space="preserve"> </w:t>
      </w:r>
      <w:r>
        <w:t>调解</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kern w:val="0"/>
          <w:sz w:val="24"/>
          <w:szCs w:val="24"/>
        </w:rPr>
        <w:t>村民委员会、乡（镇）人民政府应当加强农村土地承包经营纠纷的调解工作，帮助当事人达成协议解决纠纷。</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第八条  </w:t>
      </w:r>
      <w:r>
        <w:rPr>
          <w:rFonts w:asciiTheme="minorEastAsia" w:hAnsiTheme="minorEastAsia" w:eastAsiaTheme="minorEastAsia"/>
          <w:kern w:val="0"/>
          <w:sz w:val="24"/>
          <w:szCs w:val="24"/>
        </w:rPr>
        <w:t>当事人申请农村土地承包经营纠纷调解可以书面申请，也可以口头申请。口头申请的，由村民委员会或者乡（镇）人民政府当场记录申请人的基本情况、申请调解的纠纷事项、理由和时间。</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第九条  </w:t>
      </w:r>
      <w:r>
        <w:rPr>
          <w:rFonts w:asciiTheme="minorEastAsia" w:hAnsiTheme="minorEastAsia" w:eastAsiaTheme="minorEastAsia"/>
          <w:kern w:val="0"/>
          <w:sz w:val="24"/>
          <w:szCs w:val="24"/>
        </w:rPr>
        <w:t>调解农村土地承包经营纠纷，村民委员会或者乡（镇）人民政府应当充分听取当事人对事实和理由的陈述，讲解有关法律以及国家政策，耐心疏导，帮助当事人达成协议。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第十条  </w:t>
      </w:r>
      <w:r>
        <w:rPr>
          <w:rFonts w:asciiTheme="minorEastAsia" w:hAnsiTheme="minorEastAsia" w:eastAsiaTheme="minorEastAsia"/>
          <w:kern w:val="0"/>
          <w:sz w:val="24"/>
          <w:szCs w:val="24"/>
        </w:rPr>
        <w:t>经调解达成协议的，村民委员会或者乡（镇）人民政府应当制作调解协议书。</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调解协议书由双方当事人签名、盖章或者按指印，经调解人员签名并加盖调解组织印章后生效。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第十一条  </w:t>
      </w:r>
      <w:r>
        <w:rPr>
          <w:rFonts w:asciiTheme="minorEastAsia" w:hAnsiTheme="minorEastAsia" w:eastAsiaTheme="minorEastAsia"/>
          <w:kern w:val="0"/>
          <w:sz w:val="24"/>
          <w:szCs w:val="24"/>
        </w:rPr>
        <w:t>仲裁庭对农村土地承包经营纠纷应当进行调解。调解达成协议的，仲裁庭应当制作调解书；调解不成的，应当及时作出裁决。</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调解书应当写明仲裁请求和当事人协议的结果。调解书由仲裁员签名，加盖</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仲裁委员会印章，送达双方当事人。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调解书经双方当事人签收后，即发生法律效力。在调解书签收前当事人反悔的，仲裁庭应当及时作出裁决。</w:t>
      </w:r>
    </w:p>
    <w:p>
      <w:pPr>
        <w:pStyle w:val="63"/>
        <w:spacing w:before="218" w:after="218" w:line="412" w:lineRule="exact"/>
      </w:pPr>
      <w:r>
        <w:t xml:space="preserve">第三章 </w:t>
      </w:r>
      <w:r>
        <w:rPr>
          <w:rFonts w:hint="eastAsia"/>
        </w:rPr>
        <w:t xml:space="preserve"> </w:t>
      </w:r>
      <w:r>
        <w:t>仲</w:t>
      </w:r>
      <w:r>
        <w:rPr>
          <w:rFonts w:hint="eastAsia"/>
        </w:rPr>
        <w:t xml:space="preserve">  </w:t>
      </w:r>
      <w:r>
        <w:t>裁</w:t>
      </w:r>
    </w:p>
    <w:p>
      <w:pPr>
        <w:pStyle w:val="64"/>
        <w:spacing w:before="156" w:after="156"/>
        <w:rPr>
          <w:kern w:val="0"/>
        </w:rPr>
      </w:pPr>
      <w:r>
        <w:rPr>
          <w:kern w:val="0"/>
        </w:rPr>
        <w:t xml:space="preserve">第一节 </w:t>
      </w:r>
      <w:r>
        <w:rPr>
          <w:rFonts w:hint="eastAsia"/>
          <w:kern w:val="0"/>
        </w:rPr>
        <w:t xml:space="preserve"> </w:t>
      </w:r>
      <w:r>
        <w:rPr>
          <w:kern w:val="0"/>
        </w:rPr>
        <w:t>仲裁委员会和仲裁员</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第十二条  </w:t>
      </w:r>
      <w:r>
        <w:rPr>
          <w:rFonts w:asciiTheme="minorEastAsia" w:hAnsiTheme="minorEastAsia" w:eastAsiaTheme="minorEastAsia"/>
          <w:kern w:val="0"/>
          <w:sz w:val="24"/>
          <w:szCs w:val="24"/>
        </w:rPr>
        <w:t>农村土地承包仲裁委员会，根据解决农村土地承包经营纠纷的实际需要设立。农村土地承包仲裁委员会可以在县和不设区的市设立，也可以在设区的市或者其市辖区设立。</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农村土地承包仲裁委员会在当地人民政府指导下设立。设立农村土地承包仲裁委员会的，其日常工作由当地农村土地承包管理部门承担。</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第十三条  </w:t>
      </w:r>
      <w:r>
        <w:rPr>
          <w:rFonts w:asciiTheme="minorEastAsia" w:hAnsiTheme="minorEastAsia" w:eastAsiaTheme="minorEastAsia"/>
          <w:kern w:val="0"/>
          <w:sz w:val="24"/>
          <w:szCs w:val="24"/>
        </w:rPr>
        <w:t>农村土地承包仲裁委员会由当地人民政府及其有关部门代表、有关人民团体代表、农村集体经济组织代表、农民代表和法律、经济等相关专业人员兼任组成，其中农民代表和法律、经济等相关专业人员不得少于组成人员的二分之一。</w:t>
      </w:r>
    </w:p>
    <w:p>
      <w:pPr>
        <w:pStyle w:val="3"/>
        <w:topLinePunct/>
        <w:spacing w:line="412" w:lineRule="exact"/>
        <w:rPr>
          <w:rFonts w:asciiTheme="minorEastAsia" w:hAnsiTheme="minorEastAsia" w:eastAsiaTheme="minorEastAsia"/>
          <w:b/>
          <w:kern w:val="0"/>
          <w:sz w:val="24"/>
          <w:szCs w:val="24"/>
        </w:rPr>
      </w:pP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仲裁委员会设主任一人、副主任一至二人和委员若干人。主任、副主任由全体组成人员选举产生。</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第十四条  </w:t>
      </w:r>
      <w:r>
        <w:rPr>
          <w:rFonts w:asciiTheme="minorEastAsia" w:hAnsiTheme="minorEastAsia" w:eastAsiaTheme="minorEastAsia"/>
          <w:kern w:val="0"/>
          <w:sz w:val="24"/>
          <w:szCs w:val="24"/>
        </w:rPr>
        <w:t>农村土地承包仲裁委员会依法履行下列职责：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（一）聘任、解聘仲裁员；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（二）受理仲裁申请；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（三）监督仲裁活动。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农村土地承包仲裁委员会应当依照本法制定章程，对其组成人员的产生方式及任期、议事规则等作出规定。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第十五条  </w:t>
      </w:r>
      <w:r>
        <w:rPr>
          <w:rFonts w:asciiTheme="minorEastAsia" w:hAnsiTheme="minorEastAsia" w:eastAsiaTheme="minorEastAsia"/>
          <w:kern w:val="0"/>
          <w:sz w:val="24"/>
          <w:szCs w:val="24"/>
        </w:rPr>
        <w:t>农村土地承包仲裁委员会应当从公道正派的人员中聘任仲裁员。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仲裁员应当符合下列条件之一：</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（一）从事农村土地承包管理工作满五年；</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（二）从事法律工作或者人民调解工作满五年；</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（三）在当地威信较高，并熟悉农村土地承包法律以及国家政策的居民。</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第十六条  </w:t>
      </w:r>
      <w:r>
        <w:rPr>
          <w:rFonts w:asciiTheme="minorEastAsia" w:hAnsiTheme="minorEastAsia" w:eastAsiaTheme="minorEastAsia"/>
          <w:kern w:val="0"/>
          <w:sz w:val="24"/>
          <w:szCs w:val="24"/>
        </w:rPr>
        <w:t>农村土地承包仲裁委员会应当对仲裁员进行农村土地承包法律以及国家政策的培训。</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省、自治区、直辖市人民政府农村土地承包管理部门应当制定仲裁员培训计划，加强对仲裁员培训工作的组织和指导。</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第十七条  </w:t>
      </w:r>
      <w:r>
        <w:rPr>
          <w:rFonts w:asciiTheme="minorEastAsia" w:hAnsiTheme="minorEastAsia" w:eastAsiaTheme="minorEastAsia"/>
          <w:kern w:val="0"/>
          <w:sz w:val="24"/>
          <w:szCs w:val="24"/>
        </w:rPr>
        <w:t>农村土地承包仲裁委员会组成人员、仲裁员应当依法履行职责，遵守农村土地承包仲裁委员会章程和仲裁规则，不得索贿受贿、徇私舞弊，不得侵害当事人的合法权益。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仲裁员有索贿受贿、徇私舞弊、枉法裁决以及接受当事人请客送礼等违法违纪行为的，农村土地承包</w:t>
      </w:r>
      <w:r>
        <w:fldChar w:fldCharType="begin"/>
      </w:r>
      <w:r>
        <w:instrText xml:space="preserve"> HYPERLINK "https://baike.baidu.com/item/%E4%BB%B2%E8%A3%81%E5%A7%94%E5%91%98%E4%BC%9A/10315580" \t "_blank" </w:instrText>
      </w:r>
      <w:r>
        <w:fldChar w:fldCharType="separate"/>
      </w:r>
      <w:r>
        <w:rPr>
          <w:rFonts w:asciiTheme="minorEastAsia" w:hAnsiTheme="minorEastAsia" w:eastAsiaTheme="minorEastAsia"/>
          <w:kern w:val="0"/>
          <w:sz w:val="24"/>
          <w:szCs w:val="24"/>
        </w:rPr>
        <w:t>仲裁委员会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应当将其除名；构成犯罪的，依法追究刑事责任。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县级以上地方人民政府及有关部门应当受理对农村土地承包仲裁委员会组成人员、仲裁员违法违纪行为的投诉和举报，并依法组织查处。</w:t>
      </w:r>
    </w:p>
    <w:p>
      <w:pPr>
        <w:pStyle w:val="64"/>
        <w:spacing w:before="156" w:after="156"/>
        <w:rPr>
          <w:kern w:val="0"/>
        </w:rPr>
      </w:pPr>
      <w:r>
        <w:rPr>
          <w:kern w:val="0"/>
        </w:rPr>
        <w:t xml:space="preserve">第二节 </w:t>
      </w:r>
      <w:r>
        <w:rPr>
          <w:rFonts w:hint="eastAsia"/>
          <w:kern w:val="0"/>
        </w:rPr>
        <w:t xml:space="preserve"> </w:t>
      </w:r>
      <w:r>
        <w:rPr>
          <w:kern w:val="0"/>
        </w:rPr>
        <w:t>申请和受理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第十八条  </w:t>
      </w:r>
      <w:r>
        <w:rPr>
          <w:rFonts w:asciiTheme="minorEastAsia" w:hAnsiTheme="minorEastAsia" w:eastAsiaTheme="minorEastAsia"/>
          <w:kern w:val="0"/>
          <w:sz w:val="24"/>
          <w:szCs w:val="24"/>
        </w:rPr>
        <w:t>农村土地承包经营纠纷申请仲裁的时效期间为二年，自当事人知道或者应当知道其权利被侵害之日起计算。</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第十九条  </w:t>
      </w:r>
      <w:r>
        <w:rPr>
          <w:rFonts w:asciiTheme="minorEastAsia" w:hAnsiTheme="minorEastAsia" w:eastAsiaTheme="minorEastAsia"/>
          <w:kern w:val="0"/>
          <w:sz w:val="24"/>
          <w:szCs w:val="24"/>
        </w:rPr>
        <w:t>农村土地承包经营纠纷仲裁的申请人、被申请人为当事人。家庭承包的，可以由农户代表人参加仲裁。当事人一方人数众多的，可以推选代表人参加仲裁。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与案件处理结果有利害关系的，可以申请作为第三人参加仲裁，或者由</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仲裁委员会通知其参加仲裁。</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当事人、第三人可以委托代理人参加仲裁。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第二十条  </w:t>
      </w:r>
      <w:r>
        <w:rPr>
          <w:rFonts w:asciiTheme="minorEastAsia" w:hAnsiTheme="minorEastAsia" w:eastAsiaTheme="minorEastAsia"/>
          <w:kern w:val="0"/>
          <w:sz w:val="24"/>
          <w:szCs w:val="24"/>
        </w:rPr>
        <w:t>申请农村土地承包经营纠纷仲裁应当符合下列条件：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（一）申请人与纠纷有直接的利害关系；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（二）有明确的被申请人；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（三）有具体的仲裁请求和事实、理由；</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（四）属于农村土地承包仲裁委员会的受理范围。</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第二十一条  </w:t>
      </w:r>
      <w:r>
        <w:rPr>
          <w:rFonts w:asciiTheme="minorEastAsia" w:hAnsiTheme="minorEastAsia" w:eastAsiaTheme="minorEastAsia"/>
          <w:kern w:val="0"/>
          <w:sz w:val="24"/>
          <w:szCs w:val="24"/>
        </w:rPr>
        <w:t>当事人申请仲裁，应当向纠纷涉及的土地所在地的</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仲裁委员会递交仲裁申请书。仲裁申请书可以邮寄或者委托他人代交。仲裁申请书应当载明申请人和被申请人的基本情况，仲裁请求和所根据的事实、理由，并提供相应的证据和证据来源。</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书面申请确有困难的，可以口头申请，由农村土地承包仲裁委员会记入笔录，经申请人核实后由其签名、盖章或者按指印。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第二十二条  </w:t>
      </w:r>
      <w:r>
        <w:rPr>
          <w:rFonts w:asciiTheme="minorEastAsia" w:hAnsiTheme="minorEastAsia" w:eastAsiaTheme="minorEastAsia"/>
          <w:kern w:val="0"/>
          <w:sz w:val="24"/>
          <w:szCs w:val="24"/>
        </w:rPr>
        <w:t>农村土地承包仲裁委员会应当对仲裁申请予以审查，认为符合本法第二十条规定的，应当受理。有下列情形之一的，不予受理；已受理的，终止仲裁程序：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（一）不符合申请条件；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（二）人民法院已受理该纠纷；</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（三）法律规定该纠纷应当由其他机构处理；</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（四）对该纠纷已有生效的判决、裁定、仲裁裁决、行政处理决定等。</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第二十三条  </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决定受理的，应当自收到仲裁申请之日起五个工作日内，将受理通知书、仲裁规则和仲裁员名册送达申请人；决定不予受理或者终止仲裁程序的，应当自收到仲裁申请或者发现终止仲裁程序情形之日起五个工作日内书面通知申请人，并说明理由。</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第二十四条  </w:t>
      </w:r>
      <w:r>
        <w:rPr>
          <w:rFonts w:asciiTheme="minorEastAsia" w:hAnsiTheme="minorEastAsia" w:eastAsiaTheme="minorEastAsia"/>
          <w:kern w:val="0"/>
          <w:sz w:val="24"/>
          <w:szCs w:val="24"/>
        </w:rPr>
        <w:t>农村土地承包仲裁委员会应当自受理仲裁申请之日起五个工作日内，将受理通知书、仲裁申请书副本、仲裁规则和仲裁员名册送达被申请人。</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第二十五条  </w:t>
      </w:r>
      <w:r>
        <w:rPr>
          <w:rFonts w:asciiTheme="minorEastAsia" w:hAnsiTheme="minorEastAsia" w:eastAsiaTheme="minorEastAsia"/>
          <w:kern w:val="0"/>
          <w:sz w:val="24"/>
          <w:szCs w:val="24"/>
        </w:rPr>
        <w:t>被申请人应当自收到仲裁申请书副本之日起十日内向</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提交答辩书；书面答辩确有困难的，可以口头答辩，由农村土地承包仲裁委员会记入笔录，经被申请人核实后由其签名、盖章或者按指印。农村土地承包仲裁委员会应当自收到答辩书之日起五个工作日内将答辩书副本送达申请人。被申请人未答辩的，不影响仲裁程序的进行。</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第二十六条  </w:t>
      </w:r>
      <w:r>
        <w:rPr>
          <w:rFonts w:asciiTheme="minorEastAsia" w:hAnsiTheme="minorEastAsia" w:eastAsiaTheme="minorEastAsia"/>
          <w:kern w:val="0"/>
          <w:sz w:val="24"/>
          <w:szCs w:val="24"/>
        </w:rPr>
        <w:t>一方当事人因另一方当事人的行为或者其他原因，可能使裁决不能执行或者难以执行的，可以申请财产保全。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当事人申请财产保全的，农村土地承包仲裁委员会应当将当事人的申请提交被申请人住所地或者财产所在地的基层人民法院。</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申请有错误的，申请人应当赔偿被申请人因财产保全所遭受的损失。</w:t>
      </w:r>
    </w:p>
    <w:p>
      <w:pPr>
        <w:pStyle w:val="64"/>
        <w:spacing w:before="156" w:after="156"/>
        <w:rPr>
          <w:kern w:val="0"/>
        </w:rPr>
      </w:pPr>
      <w:r>
        <w:rPr>
          <w:kern w:val="0"/>
        </w:rPr>
        <w:t xml:space="preserve">第三节 </w:t>
      </w:r>
      <w:r>
        <w:rPr>
          <w:rFonts w:hint="eastAsia"/>
          <w:kern w:val="0"/>
        </w:rPr>
        <w:t xml:space="preserve"> </w:t>
      </w:r>
      <w:r>
        <w:rPr>
          <w:kern w:val="0"/>
        </w:rPr>
        <w:t>仲裁庭的组成</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第二十七条  </w:t>
      </w:r>
      <w:r>
        <w:rPr>
          <w:rFonts w:asciiTheme="minorEastAsia" w:hAnsiTheme="minorEastAsia" w:eastAsiaTheme="minorEastAsia"/>
          <w:kern w:val="0"/>
          <w:sz w:val="24"/>
          <w:szCs w:val="24"/>
        </w:rPr>
        <w:t>仲裁庭由三名仲裁员组成，首席仲裁员由当事人共同选定，其他二名仲裁员由当事人各自选定；当事人不能选定的，由</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仲裁委员会主任指定。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事实清楚、权利义务关系明确、争议不大的农村土地承包经营纠纷，经双方当事人同意，可以由一名仲裁员仲裁。仲裁员由当事人共同选定或者由农村土地承包仲裁委员会主任指定。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农村土地承包仲裁委员会应当自仲裁庭组成之日起二个工作日内将仲裁庭组成情况通知当事人。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第二十八条  </w:t>
      </w:r>
      <w:r>
        <w:rPr>
          <w:rFonts w:asciiTheme="minorEastAsia" w:hAnsiTheme="minorEastAsia" w:eastAsiaTheme="minorEastAsia"/>
          <w:kern w:val="0"/>
          <w:sz w:val="24"/>
          <w:szCs w:val="24"/>
        </w:rPr>
        <w:t>仲裁员有下列情形之一的，必须回避，当事人也有权以口头或者书面方式申请其回避：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（一）是本案当事人或者当事人、代理人的近亲属；</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（二）与本案有利害关系；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（三）与本案当事人、代理人有其他关系，可能影响公正仲裁；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（四）私自会见当事人、代理人，或者接受当事人、代理人的请客送礼。</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当事人提出回避申请，应当说明理由，在首次开庭前提出。回避事由在首次开庭后知道的，可以在最后一次开庭终结前提出。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第二十九条  </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仲裁委员会对回避申请应当及时作出决定，以口头或者书面方式通知当事人，并说明理由。</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仲裁员是否回避，由农村土地承包仲裁委员会主任决定；农村土地承包仲裁委员会主任担任仲裁员时，由农村土地承包仲裁委员会集体决定。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仲裁员因回避或者其他原因不能履行职责的，应当依照本法规定重新选定或者指定仲裁员。</w:t>
      </w:r>
    </w:p>
    <w:p>
      <w:pPr>
        <w:pStyle w:val="64"/>
        <w:spacing w:before="156" w:after="156"/>
        <w:rPr>
          <w:kern w:val="0"/>
        </w:rPr>
      </w:pPr>
      <w:r>
        <w:rPr>
          <w:kern w:val="0"/>
        </w:rPr>
        <w:t xml:space="preserve">第四节 </w:t>
      </w:r>
      <w:r>
        <w:rPr>
          <w:rFonts w:hint="eastAsia"/>
          <w:kern w:val="0"/>
        </w:rPr>
        <w:t xml:space="preserve"> </w:t>
      </w:r>
      <w:r>
        <w:rPr>
          <w:kern w:val="0"/>
        </w:rPr>
        <w:t>开庭和裁决</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第三十条  </w:t>
      </w:r>
      <w:r>
        <w:rPr>
          <w:rFonts w:asciiTheme="minorEastAsia" w:hAnsiTheme="minorEastAsia" w:eastAsiaTheme="minorEastAsia"/>
          <w:kern w:val="0"/>
          <w:sz w:val="24"/>
          <w:szCs w:val="24"/>
        </w:rPr>
        <w:t>农村土地承包经营纠纷仲裁应当开庭进行。</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开庭可以在纠纷涉及的土地所在地的乡（镇）或者村进行，也可以在农村土地承包仲裁委员会所在地进行。当事人双方要求在乡（镇）或者村开庭的，应当在该乡（镇）或者村开庭。</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开庭应当公开，但涉及国家秘密、商业秘密和个人隐私以及当事人约定不公开的除外。</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第三十一条  </w:t>
      </w:r>
      <w:r>
        <w:rPr>
          <w:rFonts w:asciiTheme="minorEastAsia" w:hAnsiTheme="minorEastAsia" w:eastAsiaTheme="minorEastAsia"/>
          <w:kern w:val="0"/>
          <w:sz w:val="24"/>
          <w:szCs w:val="24"/>
        </w:rPr>
        <w:t>仲裁庭应当在开庭五个工作日前将开庭的时间、地点通知当事人和其他仲裁参与人。</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当事人有正当理由的，可以向仲裁庭请求变更开庭的时间、地点。是否变更，由仲裁庭决定。</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第三十二条  </w:t>
      </w:r>
      <w:r>
        <w:rPr>
          <w:rFonts w:asciiTheme="minorEastAsia" w:hAnsiTheme="minorEastAsia" w:eastAsiaTheme="minorEastAsia"/>
          <w:kern w:val="0"/>
          <w:sz w:val="24"/>
          <w:szCs w:val="24"/>
        </w:rPr>
        <w:t>当事人申请仲裁后，可以自行和解。达成和解协议的，可以请求仲裁庭根据和解协议作出裁决 书，也可以撤回仲裁申请。</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第三十三条  </w:t>
      </w:r>
      <w:r>
        <w:rPr>
          <w:rFonts w:asciiTheme="minorEastAsia" w:hAnsiTheme="minorEastAsia" w:eastAsiaTheme="minorEastAsia"/>
          <w:kern w:val="0"/>
          <w:sz w:val="24"/>
          <w:szCs w:val="24"/>
        </w:rPr>
        <w:t>申请人可以放弃或者变更仲裁请求。被申请人可以承认或者反驳仲裁请求，有权提出反请求。</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第三十四条  </w:t>
      </w:r>
      <w:r>
        <w:rPr>
          <w:rFonts w:asciiTheme="minorEastAsia" w:hAnsiTheme="minorEastAsia" w:eastAsiaTheme="minorEastAsia"/>
          <w:kern w:val="0"/>
          <w:sz w:val="24"/>
          <w:szCs w:val="24"/>
        </w:rPr>
        <w:t>仲裁庭作出裁决前，申请人撤回仲裁申请的，除被申请人提出反请求的外，仲裁庭应当终止仲裁。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第三十五条  </w:t>
      </w:r>
      <w:r>
        <w:rPr>
          <w:rFonts w:asciiTheme="minorEastAsia" w:hAnsiTheme="minorEastAsia" w:eastAsiaTheme="minorEastAsia"/>
          <w:kern w:val="0"/>
          <w:sz w:val="24"/>
          <w:szCs w:val="24"/>
        </w:rPr>
        <w:t>申请人经书面通知，无正当理由不到庭或者未经仲裁庭许可中途退庭的，可以视为撤回仲裁申请。</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被申请人经书面通知，无正当理由不到庭或者未经仲裁庭许可中途退庭的，可以缺席裁决。</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第三十六条  </w:t>
      </w:r>
      <w:r>
        <w:rPr>
          <w:rFonts w:asciiTheme="minorEastAsia" w:hAnsiTheme="minorEastAsia" w:eastAsiaTheme="minorEastAsia"/>
          <w:kern w:val="0"/>
          <w:sz w:val="24"/>
          <w:szCs w:val="24"/>
        </w:rPr>
        <w:t>当事人在开庭过程中有权发表意见、陈述事实和理由、提供证据、进行质证和辩论。对不通晓当地通用语言文字的当事人，农村土地承包</w:t>
      </w:r>
      <w:r>
        <w:fldChar w:fldCharType="begin"/>
      </w:r>
      <w:r>
        <w:instrText xml:space="preserve"> HYPERLINK "https://baike.baidu.com/item/%E4%BB%B2%E8%A3%81%E5%A7%94%E5%91%98%E4%BC%9A/10315580" \t "_blank" </w:instrText>
      </w:r>
      <w:r>
        <w:fldChar w:fldCharType="separate"/>
      </w:r>
      <w:r>
        <w:rPr>
          <w:rFonts w:asciiTheme="minorEastAsia" w:hAnsiTheme="minorEastAsia" w:eastAsiaTheme="minorEastAsia"/>
          <w:kern w:val="0"/>
          <w:sz w:val="24"/>
          <w:szCs w:val="24"/>
        </w:rPr>
        <w:t>仲裁委员会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应当为其提供翻译。</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第三十七条  </w:t>
      </w:r>
      <w:r>
        <w:rPr>
          <w:rFonts w:asciiTheme="minorEastAsia" w:hAnsiTheme="minorEastAsia" w:eastAsiaTheme="minorEastAsia"/>
          <w:kern w:val="0"/>
          <w:sz w:val="24"/>
          <w:szCs w:val="24"/>
        </w:rPr>
        <w:t>当事人应当对自己的主张提供证据。与纠纷有关的证据由作为当事人一方的发包方等掌握管理的，该当事人应当在仲裁庭指定的期限内提供，逾期不提供的，应当承担不利后果。</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第三十八条  </w:t>
      </w:r>
      <w:r>
        <w:rPr>
          <w:rFonts w:asciiTheme="minorEastAsia" w:hAnsiTheme="minorEastAsia" w:eastAsiaTheme="minorEastAsia"/>
          <w:kern w:val="0"/>
          <w:sz w:val="24"/>
          <w:szCs w:val="24"/>
        </w:rPr>
        <w:t>仲裁庭认为有必要收集的证据，可以自行收集。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第三十九条  </w:t>
      </w:r>
      <w:r>
        <w:rPr>
          <w:rFonts w:asciiTheme="minorEastAsia" w:hAnsiTheme="minorEastAsia" w:eastAsiaTheme="minorEastAsia"/>
          <w:kern w:val="0"/>
          <w:sz w:val="24"/>
          <w:szCs w:val="24"/>
        </w:rPr>
        <w:t>仲裁庭对专门性问题认为需要鉴定的，可以交由当事人约定的鉴定机构鉴定；当事人没有约定的，由仲裁庭指定的鉴定机构鉴定。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根据当事人的请求或者仲裁庭的要求，鉴定机构应当派鉴定人参加开庭。当事人经仲裁庭许可，可以向鉴定人提问。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第四十条  </w:t>
      </w:r>
      <w:r>
        <w:rPr>
          <w:rFonts w:asciiTheme="minorEastAsia" w:hAnsiTheme="minorEastAsia" w:eastAsiaTheme="minorEastAsia"/>
          <w:kern w:val="0"/>
          <w:sz w:val="24"/>
          <w:szCs w:val="24"/>
        </w:rPr>
        <w:t>证据应当在开庭时出示，但涉及国家秘密、商业秘密和个人隐私的证据不得在公开开庭时出示。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仲裁庭应当依照仲裁规则的规定开庭，给予双方当事人平等陈述、辩论的机会，并组织当事人进行质证。</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经仲裁庭查证属实的证据，应当作为认定事实的根据。</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第四十一条  </w:t>
      </w:r>
      <w:r>
        <w:rPr>
          <w:rFonts w:asciiTheme="minorEastAsia" w:hAnsiTheme="minorEastAsia" w:eastAsiaTheme="minorEastAsia"/>
          <w:kern w:val="0"/>
          <w:sz w:val="24"/>
          <w:szCs w:val="24"/>
        </w:rPr>
        <w:t>在证据可能灭失或者以后难以取得的情况下，当事人可以申请证据保全。当事人申请证据保全的，</w:t>
      </w:r>
      <w:r>
        <w:fldChar w:fldCharType="begin"/>
      </w:r>
      <w:r>
        <w:instrText xml:space="preserve"> HYPERLINK "https://baike.baidu.com/item/%E5%86%9C%E6%9D%91%E5%9C%9F%E5%9C%B0%E6%89%BF%E5%8C%85/9973496" \t "_blank" </w:instrText>
      </w:r>
      <w:r>
        <w:fldChar w:fldCharType="separate"/>
      </w:r>
      <w:r>
        <w:rPr>
          <w:rFonts w:asciiTheme="minorEastAsia" w:hAnsiTheme="minorEastAsia" w:eastAsiaTheme="minorEastAsia"/>
          <w:kern w:val="0"/>
          <w:sz w:val="24"/>
          <w:szCs w:val="24"/>
        </w:rPr>
        <w:t>农村土地承包</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仲裁委员会应当将当事人的申请提交证据所在地的基层人民法院。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第四十二条  </w:t>
      </w:r>
      <w:r>
        <w:rPr>
          <w:rFonts w:asciiTheme="minorEastAsia" w:hAnsiTheme="minorEastAsia" w:eastAsiaTheme="minorEastAsia"/>
          <w:kern w:val="0"/>
          <w:sz w:val="24"/>
          <w:szCs w:val="24"/>
        </w:rPr>
        <w:t>对权利义务关系明确的纠纷，经当事人申请，仲裁庭可以先行裁定维持现状、恢复农业生产以及停止取土、占地等行为。</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一方当事人不履行先行裁定的，另一方当事人可以向人民法院申请执行，但应当提供相应的担保。</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第四十三条  </w:t>
      </w:r>
      <w:r>
        <w:rPr>
          <w:rFonts w:asciiTheme="minorEastAsia" w:hAnsiTheme="minorEastAsia" w:eastAsiaTheme="minorEastAsia"/>
          <w:kern w:val="0"/>
          <w:sz w:val="24"/>
          <w:szCs w:val="24"/>
        </w:rPr>
        <w:t>仲裁庭应当将开庭情况记入笔录，由仲裁员、记录人员、当事人和其他仲裁参与人签名、盖章或者按指印。</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当事人和其他仲裁参与人认为对自己陈述的记录有遗漏或者差错的，有权申请补正。如果不予补正，应当记录该申请。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第四十四条  </w:t>
      </w:r>
      <w:r>
        <w:rPr>
          <w:rFonts w:asciiTheme="minorEastAsia" w:hAnsiTheme="minorEastAsia" w:eastAsiaTheme="minorEastAsia"/>
          <w:kern w:val="0"/>
          <w:sz w:val="24"/>
          <w:szCs w:val="24"/>
        </w:rPr>
        <w:t>仲裁庭应当根据认定的事实和法律以及国家政策作出裁决并制作裁决书。</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裁决应当按照多数仲裁员的意见作出，少数仲裁员的不同意见可以记入笔录。仲裁庭不能形成多数意见时，裁决应当按照首席仲裁员的意见作出。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第四十五条  </w:t>
      </w:r>
      <w:r>
        <w:rPr>
          <w:rFonts w:asciiTheme="minorEastAsia" w:hAnsiTheme="minorEastAsia" w:eastAsiaTheme="minorEastAsia"/>
          <w:kern w:val="0"/>
          <w:sz w:val="24"/>
          <w:szCs w:val="24"/>
        </w:rPr>
        <w:t>裁决书应当写明仲裁请求、争议事实、裁决理由、裁决结果、裁决日期以及当事人不服仲裁裁决的起诉权利、期限，由仲裁员签名，加盖农村土地承包仲裁委员会印章。</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农村土地承包仲裁委员会应当在裁决作出之日起三个工作日内将裁决书送达当事人，并告知当事人不服仲裁裁决的起诉权利、期限。</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第四十六条  </w:t>
      </w:r>
      <w:r>
        <w:rPr>
          <w:rFonts w:asciiTheme="minorEastAsia" w:hAnsiTheme="minorEastAsia" w:eastAsiaTheme="minorEastAsia"/>
          <w:kern w:val="0"/>
          <w:sz w:val="24"/>
          <w:szCs w:val="24"/>
        </w:rPr>
        <w:t>仲裁庭依法独立履行职责，不受行政机关、社会团体和个人的干涉。</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第四十七条  </w:t>
      </w:r>
      <w:r>
        <w:rPr>
          <w:rFonts w:asciiTheme="minorEastAsia" w:hAnsiTheme="minorEastAsia" w:eastAsiaTheme="minorEastAsia"/>
          <w:kern w:val="0"/>
          <w:sz w:val="24"/>
          <w:szCs w:val="24"/>
        </w:rPr>
        <w:t>仲裁农村土地承包经营纠纷，应当自受理仲裁申请之日起六十日内结束；案情复杂需要延长的，经农村土地承包仲裁委员会主任批准可以延长，并书面通知当事人，但延长期限不得超过三十日。</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第四十八条  </w:t>
      </w:r>
      <w:r>
        <w:rPr>
          <w:rFonts w:asciiTheme="minorEastAsia" w:hAnsiTheme="minorEastAsia" w:eastAsiaTheme="minorEastAsia"/>
          <w:kern w:val="0"/>
          <w:sz w:val="24"/>
          <w:szCs w:val="24"/>
        </w:rPr>
        <w:t>当事人不服仲裁裁决的，可以自收到裁决书之日起三十日内向人民法院起诉。逾期不起诉的，裁决书即发生法律效力。</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第四十九条  </w:t>
      </w:r>
      <w:r>
        <w:rPr>
          <w:rFonts w:asciiTheme="minorEastAsia" w:hAnsiTheme="minorEastAsia" w:eastAsiaTheme="minorEastAsia"/>
          <w:kern w:val="0"/>
          <w:sz w:val="24"/>
          <w:szCs w:val="24"/>
        </w:rPr>
        <w:t>当事人对发生法律效力的调解书、裁决书，应当依照规定的期限履行。一方当事人逾期不履行的，另一方当事人可以向被申请人住所地或者财产所在地的基层人民法院申请执行。受理申请的人民法院应当依法执行。</w:t>
      </w:r>
    </w:p>
    <w:p>
      <w:pPr>
        <w:pStyle w:val="63"/>
        <w:spacing w:before="218" w:after="218" w:line="412" w:lineRule="exact"/>
      </w:pPr>
      <w:r>
        <w:t xml:space="preserve">第四章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kern w:val="0"/>
          <w:sz w:val="24"/>
          <w:szCs w:val="24"/>
        </w:rPr>
        <w:t>本法所称农村土地，是指农民集体所有和国家所有依法由农民集体使用的耕地、林地、草地，以及其他依法用于农业的土地。</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第五十一条  </w:t>
      </w:r>
      <w:r>
        <w:rPr>
          <w:rFonts w:asciiTheme="minorEastAsia" w:hAnsiTheme="minorEastAsia" w:eastAsiaTheme="minorEastAsia"/>
          <w:kern w:val="0"/>
          <w:sz w:val="24"/>
          <w:szCs w:val="24"/>
        </w:rPr>
        <w:t>农村土地承包经营纠纷仲裁规则和农村土地承包仲裁委员会示范章程，由国务院农业、林业行政主管部门依照本法规定共同制定。</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第五十二条  </w:t>
      </w:r>
      <w:r>
        <w:rPr>
          <w:rFonts w:asciiTheme="minorEastAsia" w:hAnsiTheme="minorEastAsia" w:eastAsiaTheme="minorEastAsia"/>
          <w:kern w:val="0"/>
          <w:sz w:val="24"/>
          <w:szCs w:val="24"/>
        </w:rPr>
        <w:t>农村土地承包经营纠纷仲裁不得向当事人收取费用，仲裁工作经费纳入财政预算予以保障。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第五十三条  </w:t>
      </w:r>
      <w:r>
        <w:rPr>
          <w:rFonts w:asciiTheme="minorEastAsia" w:hAnsiTheme="minorEastAsia" w:eastAsiaTheme="minorEastAsia"/>
          <w:kern w:val="0"/>
          <w:sz w:val="24"/>
          <w:szCs w:val="24"/>
        </w:rPr>
        <w:t>本法自2010年1月1日起施行。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277" w:name="_Toc18942583"/>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278" w:name="_Toc28156958"/>
      <w:bookmarkStart w:id="279" w:name="_Toc28252156"/>
      <w:bookmarkStart w:id="280" w:name="_Toc26347936"/>
      <w:bookmarkStart w:id="281" w:name="_Toc25648175"/>
      <w:bookmarkStart w:id="282" w:name="_Toc25653670"/>
      <w:bookmarkStart w:id="283" w:name="_Toc28250885"/>
      <w:r>
        <w:t>农村土地承包仲裁委员会示范章程</w:t>
      </w:r>
      <w:bookmarkEnd w:id="277"/>
      <w:bookmarkEnd w:id="278"/>
      <w:bookmarkEnd w:id="279"/>
      <w:bookmarkEnd w:id="280"/>
      <w:bookmarkEnd w:id="281"/>
      <w:bookmarkEnd w:id="282"/>
      <w:bookmarkEnd w:id="283"/>
    </w:p>
    <w:p>
      <w:pPr>
        <w:pStyle w:val="62"/>
        <w:topLinePunct w:val="0"/>
        <w:ind w:firstLine="0" w:firstLineChars="0"/>
        <w:jc w:val="center"/>
      </w:pPr>
      <w:r>
        <w:t>（2009年12月29日</w:t>
      </w:r>
      <w:r>
        <w:rPr>
          <w:shd w:val="clear" w:color="auto" w:fill="FFFFFF"/>
        </w:rPr>
        <w:t>中华人民共和国</w:t>
      </w:r>
      <w:r>
        <w:t>农业部令</w:t>
      </w:r>
      <w:r>
        <w:rPr>
          <w:rFonts w:hint="eastAsia"/>
        </w:rPr>
        <w:t>、</w:t>
      </w:r>
      <w:r>
        <w:t>国家林业局令第2号公布）</w:t>
      </w:r>
    </w:p>
    <w:p>
      <w:pPr>
        <w:pStyle w:val="3"/>
        <w:topLinePunct/>
        <w:spacing w:line="412" w:lineRule="exact"/>
        <w:ind w:firstLine="480"/>
        <w:rPr>
          <w:rFonts w:asciiTheme="minorEastAsia" w:hAnsiTheme="minorEastAsia" w:eastAsiaTheme="minorEastAsia"/>
          <w:sz w:val="24"/>
          <w:szCs w:val="24"/>
        </w:rPr>
      </w:pP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本示范章程中的楷体文字部分为解释性规定，其他字体部分为示范性规定。各农村土地承包仲裁委员会根据自身实际情况，参照示范章程制定本委员会章程。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_____农村土地承包仲裁委员会章程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根据《中华人民共和国农村土地承包经营纠纷调解仲裁法》，制定本章程。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____市/县/区农村土地承包仲裁委员会（以下简称本仲裁委员会）在____市/县/区人民政府指导下依法组织设立，并报____省（自治区、直辖市）人民政府农业、林业行政主管部门备案。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本仲裁委员会的职责：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（一）聘任、解聘仲裁员；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（二）培训、管理仲裁员；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（三）受理仲裁申请；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（四）指导、监督仲裁活动；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（五）法律法规规定的其他职责。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本仲裁委员会的日常工作由____市/县/区____【注：农村土地承包管理部门】承担，主要包括以下内容：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（一）登记、审查仲裁申请；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（二）监督管理仲裁程序；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（三）编制仲裁员名册；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（四）组织仲裁员培训；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（五）管理仲裁文书和仲裁档案；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（六）管理仲裁工作经费；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（七）仲裁委员会交办的其他事项。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本仲裁委员会办公地点设在_______。</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本仲裁委员会由_____市/县/区人民政府及____【注：有关部门】代表、____【注：有关人民团体】代表、农村集体经济组织代表、农民代表和____【注：法律、经济等相关专业】人员兼任组成，成员人数为____人【注：总数为单数，其中农民代表和法律、经济等相关专业人员不少于二分之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本仲裁委员会设主任一人、副主任____【注：一至二】人，委员____人。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本仲裁委员会组成人员的任期为____【注：三至五】年。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仲裁委员会换届，应当在任期届满前一个月内完成；有特殊情况不能如期换届的，应当在任期届满后两个月内完成。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本仲裁委员会组成人员任期内因故更换的，由仲裁委员会组织重新确定人选。主任、副主任更换的，由本仲裁委员会全体会议选举决定。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本仲裁委员会每年召开____【注：不少于一】次全体会议。根据主任、副主任或者三分之二以上组成人员提议，可以召开临时全体会议。全体会议由主任或者主任委托的副主任主持。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全体会议须有三分之二以上的成员出席方能举行，会议决议须经出席会议成员三分之二以上通过。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修改章程须经全体成员的三分之二以上通过。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全体会议主要负责议决以下事项：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（一）制定和修改仲裁委员会的章程、议事规则和规章制度；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（二）选举仲裁委员会主任、副主任；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（三）决定仲裁员的聘任、解聘和除名；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（四）仲裁委员会主任担任仲裁员的，决定主任的回避；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（五）审议仲裁委员会工作计划和年度工作报告；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（六）研究农村土地承包经营纠纷仲裁的重大事项；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（七）其他重要事项。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本仲裁委员会从公道正派，并符合下列条件之一的人员中选聘仲裁员，颁发聘书：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（一）从事农村土地承包管理工作满五年；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（二）从事法律工作或者人民调解工作满五年；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（三）在当地威信较高，熟悉农村土地承包法律以及国家政策的居民。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本仲裁委员会定期组织仲裁员进行农村土地承包法律以及国家政策的培训。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仲裁员聘期____【注：一般为三】年，期满可以继续聘任。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本仲裁委员会建立仲裁员考核制度，考核结果作为续聘或者解聘仲裁员的依据。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本仲裁委员会的组成人员、仲裁员应当依法履行职责，遵纪守法，不得索贿受贿、徇私舞弊、枉法裁决，不得侵害当事人的合法权益。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本仲裁委员会有权要求被选定或者被指定组成仲裁庭的仲裁员主动报告是否有回避情形。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本仲裁委员会组成人员、仲裁员、记录人员、翻译人员等有保密义务，不得擅自对外界透露案件实体和仲裁程序进行的情况。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仲裁员辞聘，应当提前三个月向本仲裁委员会提交辞呈。组成仲裁庭的仲裁员，在仲裁程序结束前不得辞聘。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本仲裁委员会对有下列情形之一的仲裁员，予以解聘：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（一）故意隐瞒应当回避事实的；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（二）无正当理由故意不到庭审理案件的；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（三）连续两年考核不合格的；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（四）其他不宜继续担任仲裁员的。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本仲裁委员会对有索贿受贿、徇私舞弊、枉法裁决以及接受当事人请客送礼等违法违纪行为的仲裁员，予以除名，且不再聘为仲裁员。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本仲裁委员会不向当事人收取仲裁费用，工作经费依法纳入财政预算。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本章程经本仲裁委员会____年____月____日全体会议讨论通过，自____年____月____日起生效。</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284" w:name="_Toc18942582"/>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285" w:name="_Toc25648176"/>
      <w:bookmarkStart w:id="286" w:name="_Toc28252157"/>
      <w:bookmarkStart w:id="287" w:name="_Toc26347937"/>
      <w:bookmarkStart w:id="288" w:name="_Toc25653671"/>
      <w:bookmarkStart w:id="289" w:name="_Toc28250886"/>
      <w:bookmarkStart w:id="290" w:name="_Toc28156959"/>
      <w:r>
        <w:t>农村土地承包经营纠纷仲裁规则</w:t>
      </w:r>
      <w:bookmarkEnd w:id="284"/>
      <w:bookmarkEnd w:id="285"/>
      <w:bookmarkEnd w:id="286"/>
      <w:bookmarkEnd w:id="287"/>
      <w:bookmarkEnd w:id="288"/>
      <w:bookmarkEnd w:id="289"/>
      <w:bookmarkEnd w:id="290"/>
    </w:p>
    <w:p>
      <w:pPr>
        <w:pStyle w:val="62"/>
        <w:topLinePunct w:val="0"/>
        <w:ind w:firstLine="0" w:firstLineChars="0"/>
        <w:jc w:val="center"/>
      </w:pPr>
      <w:r>
        <w:t>（2009年12月29日中华人民共和国农业部令</w:t>
      </w:r>
      <w:r>
        <w:rPr>
          <w:rFonts w:hint="eastAsia"/>
        </w:rPr>
        <w:t>、</w:t>
      </w:r>
      <w:r>
        <w:t>国家林业局令第1号公布）</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为规范农村土地承包经营纠纷仲裁活动，根据《中华人民共和国农村土地承包经营纠纷调解仲裁法》，制定本规则。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农村土地承包经营纠纷仲裁适用本规则。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下列农村土地承包经营纠纷，当事人可以向农村土地承包仲裁委员会（以下简称仲裁委员会）申请仲裁：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（一）因订立、履行、变更、解除和终止农村土地承包合同发生的纠纷；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（二）因农村土地承包经营权转包、出租、互换、转让、入股等流转发生的纠纷；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（三）因收回、调整承包地发生的纠纷；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（四）因确认农村土地承包经营权发生的纠纷；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（五）因侵害农村土地承包经营权发生的纠纷；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（六）法律、法规规定的其他农村土地承包经营纠纷。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因征收集体所有的土地及其补偿发生的纠纷，不属于仲裁委员会的受理范围，可以通过行政复议或者诉讼等方式解决。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仲裁委员会依法设立，其日常工作由当地农村土地承包管理部门承担。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农村土地承包经营纠纷仲裁，应当公开、公平、公正，便民高效，注重调解，尊重事实，符合法律，遵守社会公德。</w:t>
      </w:r>
    </w:p>
    <w:p>
      <w:pPr>
        <w:pStyle w:val="63"/>
        <w:spacing w:before="218" w:after="218" w:line="412" w:lineRule="exact"/>
      </w:pPr>
      <w:r>
        <w:t xml:space="preserve">第二章 </w:t>
      </w:r>
      <w:r>
        <w:rPr>
          <w:rFonts w:hint="eastAsia"/>
        </w:rPr>
        <w:t xml:space="preserve"> </w:t>
      </w:r>
      <w:r>
        <w:t>申请和受理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农村土地承包经营纠纷仲裁的申请人、被申请人为仲裁当事人。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家庭承包的，可以由农户代表人参加仲裁。农户代表人由农户成员共同推选；不能共同推选的，按下列方式确定：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（一）土地承包经营权证或者林权证等证书上记载的人；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（二）未取得土地承包经营权证或者林权证等证书的，为在承包合同上签字的人。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当事人一方为五户（人）以上的，可以推选三至五名代表人参加仲裁。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与案件处理结果有利害关系的，可以申请作为第三人参加仲裁，或者由仲裁委员会通知其参加仲裁。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当事人、第三人可以委托代理人参加仲裁。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当事人或者第三人为无民事行为能力人或者限制民事行为能力人的，由其法定代理人参加仲裁。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当事人申请农村土地承包经营纠纷仲裁的时效期间为二年，自当事人知道或者应当知道其权利被侵害之日起计算。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仲裁时效因申请调解、申请仲裁、当事人一方提出要求或者同意履行义务而中断。从中断时起，仲裁时效重新计算。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在仲裁时效期间的最后六个月内，因不可抗力或者其他事由，当事人不能申请仲裁的，仲裁时效中止。从中止时效的原因消除之日起，仲裁时效期间继续计算。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侵害农村土地承包经营权行为持续发生的，仲裁时效从侵权行为终了时计算。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申请农村土地承包经营纠纷仲裁，应当符合下列条件：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（一）申请人与纠纷有直接的利害关系；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（二）有明确的被申请人；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（三）有具体的仲裁请求和事实、理由；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（四）属于仲裁委员会的受理范围。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当事人申请仲裁，应当向纠纷涉及土地所在地的仲裁委员会递交仲裁申请书。申请书可以邮寄或者委托他人代交。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书面申请有困难的，可以口头申请，由仲裁委员会记入笔录，经申请人核实后由其签名、盖章或者按指印。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仲裁委员会收到仲裁申请材料，应当出具回执。回执应当载明接收材料的名称和份数、接收日期等，并加盖仲裁委员会印章。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仲裁申请书应当载明下列内容：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（一）申请人和被申请人的姓名、年龄、住所、邮政编码、电话或者其他通讯方式；法人或者其他组织应当写明名称、地址和法定代表人或者主要负责人的姓名、职务、通讯方式；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（二）申请人的仲裁请求；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（三）仲裁请求所依据的事实和理由；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（四）证据和证据来源、证人姓名和联系方式。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仲裁委员会应当对仲裁申请进行审查，符合申请条件的，应当受理。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有下列情形之一的，不予受理；已受理的，终止仲裁程序：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（一）不符合申请条件；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（二）人民法院已受理该纠纷；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（三）法律规定该纠纷应当由其他机构受理；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（四）对该纠纷已有生效的判决、裁定、仲裁裁决、行政处理决定等。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仲裁委员会决定受理仲裁申请的，应当自收到仲裁申请之日起五个工作日内，将受理通知书、仲裁规则、仲裁员名册送达申请人，将受理通知书、仲裁申请书副本、仲裁规则、仲裁员名册送达被申请人。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决定不予受理或者终止仲裁程序的，应当自收到仲裁申请或者发现终止仲裁程序情形之日起五个工作日内书面通知申请人，并说明理由。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需要通知第三人参加仲裁的，仲裁委员会应当通知第三人，并告知其权利义务。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被申请人应当自收到仲裁申请书副本之日起十日内向仲裁委员会提交答辩书。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仲裁委员会应当自收到答辩书之日起五个工作日内将答辩书副本送达申请人。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被申请人未答辩的，不影响仲裁程序的进行。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答辩书应当载明下列内容：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（一）答辩人姓名、年龄、住所、邮政编码、电话或者其他通讯方式；法人或者其他组织应当写明名称、地址和法定代表人或者主要负责人的姓名、职务、通讯方式；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（二）对申请人仲裁申请的答辩及所依据的事实和理由；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（三）证据和证据来源，证人姓名和联系方式。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书面答辩确有困难的，可以口头答辩，由仲裁委员会记入笔录，经被申请人核实后由其签名、盖章或者按指印。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当事人提交仲裁申请书、答辩书、有关证据材料及其他书面文件，应当一式三份。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因一方当事人的行为或者其他原因可能使裁决不能执行或者难以执行，另一方当事人申请财产保全的，仲裁委员会应当将当事人的申请提交被申请人住所地或者财产所在地的基层人民法院，并告知申请人因申请错误造成被申请人财产损失的，应当承担相应的赔偿责任。</w:t>
      </w:r>
    </w:p>
    <w:p>
      <w:pPr>
        <w:pStyle w:val="63"/>
        <w:spacing w:before="218" w:after="218" w:line="412" w:lineRule="exact"/>
      </w:pPr>
      <w:r>
        <w:t xml:space="preserve">第三章 </w:t>
      </w:r>
      <w:r>
        <w:rPr>
          <w:rFonts w:hint="eastAsia"/>
        </w:rPr>
        <w:t xml:space="preserve"> </w:t>
      </w:r>
      <w:r>
        <w:t>仲裁庭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仲裁庭由三名仲裁员组成。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事实清楚、权利义务关系明确、争议不大的农村土地承包经营纠纷，经双方当事人同意，可以由一名仲裁员仲裁。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双方当事人自收到受理通知书之日起五个工作日内，从仲裁员名册中选定仲裁员。首席仲裁员由双方当事人共同选定，其他二名仲裁员由双方当事人各自选定；当事人不能选定的，由仲裁委员会主任指定。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独任仲裁员由双方当事人共同选定；当事人不能选定的，由仲裁委员会主任指定。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仲裁委员会应当自仲裁庭组成之日起二个工作日内将仲裁庭组成情况通知当事人。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仲裁庭组成后，首席仲裁员应当召集其他仲裁员审阅案件材料，了解纠纷的事实和情节，研究双方当事人的请求和理由，查核证据，整理争议焦点。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仲裁庭认为确有必要的，可以要求当事人在一定期限内补充证据，也可以自行调查取证。自行调查取证的，调查人员不得少于二人。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仲裁员有下列情形之一的，应当回避：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（一）是本案当事人或者当事人、代理人的近亲属；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（二）与本案有利害关系；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（三）与本案当事人、代理人有其他关系，可能影响公正仲裁；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（四）私自会见当事人、代理人，或者接受当事人、代理人请客送礼。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仲裁员有回避情形的，应当以口头或者书面方式及时向仲裁委员会提出。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当事人认为仲裁员有回避情形的，有权以口头或者书面方式向仲裁委员会申请其回避。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当事人提出回避申请，应当在首次开庭前提出，并说明理由；在首次开庭后知道回避事由的，可以在最后一次开庭终结前提出。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仲裁委员会应当自收到回避申请或者发现仲裁员有回避情形之日起二个工作日内作出决定，以口头或者书面方式通知当事人，并说明理由。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仲裁员是否回避，由仲裁委员会主任决定；仲裁委员会主任担任仲裁员时，由仲裁委员会集体决定主任的回避。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仲裁员有下列情形之一的，应当按照本规则第二十二条规定重新选定或者指定仲裁员：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（一）被决定回避的；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（二）在法律上或者事实上不能履行职责的；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（三）因被除名或者解聘丧失仲裁员资格的；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（四）因个人原因退出或者不能从事仲裁工作的；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（五）因徇私舞弊、失职渎职被仲裁委员会决定更换的。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重新选定或者指定仲裁员后，仲裁程序继续进行。当事人请求仲裁程序重新进行的，由仲裁庭决定。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仲裁庭应当向当事人提供必要的法律政策解释，帮助当事人自行和解。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达成和解协议的，当事人可以请求仲裁庭根据和解协议制作裁决书；当事人要求撤回仲裁申请的，仲裁庭应当终止仲裁程序。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仲裁庭应当在双方当事人自愿的基础上进行调解。调解达成协议的，仲裁庭应当制作调解书。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调解书应当载明双方当事人基本情况、纠纷事由、仲裁请求和协议结果，由仲裁员签名，并加盖仲裁委员会印章，送达双方当事人。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调解书经双方当事人签收即发生法律效力。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调解不成或者当事人在调解书签收前反悔的，仲裁庭应当及时作出裁决。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当事人在调解过程中的陈述、意见、观点或者建议，仲裁庭不得作为裁决的证据或依据。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仲裁庭作出裁决前，申请人放弃仲裁请求并撤回仲裁申请，且被申请人没有就申请人的仲裁请求提出反请求的，仲裁庭应当终止仲裁程序。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申请人经书面通知，无正当理由不到庭或者未经仲裁庭许可中途退庭的，可以视为撤回仲裁申请。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被申请人就申请人的仲裁请求提出反请求的，应当说明反请求事项及其所依据的事实和理由，并附具有关证明材料。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被申请人在仲裁庭组成前提出反请求的，由仲裁委员会决定是否受理；在仲裁庭组成后提出反请求的，由仲裁庭决定是否受理。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仲裁委员会或者仲裁庭决定受理反请求的，应当自收到反请求之日起五个工作日内将反请求申请书副本送达申请人。申请人应当在收到反请求申请书副本后十个工作日内提交反请求答辩书，不答辩的不影响仲裁程序的进行。仲裁庭应当将被申请人的反请求与申请人的请求合并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仲裁委员会或者仲裁庭决定不予受理反请求的，应当书面通知被申请人，并说明理由。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仲裁庭组成前申请人变更仲裁请求或者被申请人变更反请求的，由仲裁委员会作出是否准许的决定；仲裁庭组成后变更请求或者反请求的，由仲裁庭作出是否准许的决定。</w:t>
      </w:r>
    </w:p>
    <w:p>
      <w:pPr>
        <w:pStyle w:val="63"/>
        <w:spacing w:before="218" w:after="218" w:line="412" w:lineRule="exact"/>
      </w:pPr>
      <w:r>
        <w:t xml:space="preserve">第四章 </w:t>
      </w:r>
      <w:r>
        <w:rPr>
          <w:rFonts w:hint="eastAsia"/>
        </w:rPr>
        <w:t xml:space="preserve"> </w:t>
      </w:r>
      <w:r>
        <w:t>开</w:t>
      </w:r>
      <w:r>
        <w:rPr>
          <w:rFonts w:hint="eastAsia"/>
        </w:rPr>
        <w:t xml:space="preserve">  </w:t>
      </w:r>
      <w:r>
        <w:t>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农村土地承包经营纠纷仲裁应当开庭进行。开庭应当公开，但涉及国家秘密、商业秘密和个人隐私以及当事人约定不公开的除外。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开庭可以在纠纷涉及的土地所在地的乡（镇）或者村进行，也可以在仲裁委员会所在地进行。当事人双方要求在乡（镇）或者村开庭的，应当在该乡（镇）或者村开庭。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仲裁庭应当在开庭五个工作日前将开庭时间、地点通知当事人、第三人和其他仲裁参与人。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当事人请求变更开庭时间和地点的，应当在开庭三个工作日前向仲裁庭提出，并说明理由。仲裁庭决定变更的，通知双方当事人、第三人和其他仲裁参与人；决定不变更的，通知提出变更请求的当事人。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公开开庭的，应当将开庭时间、地点等信息予以公告。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申请旁听的公民，经仲裁庭审查后可以旁听。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被申请人经书面通知，无正当理由不到庭或者未经仲裁庭许可中途退庭的，仲裁庭可以缺席裁决。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被申请人提出反请求，申请人经书面通知，无正当理由不到庭或者未经仲裁庭许可中途退庭的，仲裁庭可以就反请求缺席裁决。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开庭前，仲裁庭应当查明当事人、第三人、代理人和其他仲裁参与人是否到庭，并逐一核对身份。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开庭由首席仲裁员或者独任仲裁员宣布。首席仲裁员或者独任仲裁员应当宣布案由，宣读仲裁庭组成人员名单、仲裁庭纪律、当事人权利和义务，询问当事人是否申请仲裁员回避。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仲裁庭应当保障双方当事人平等陈述的机会，组织当事人、第三人、代理人陈述事实、意见、理由。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当事人、第三人应当提供证据，对其主张加以证明。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与纠纷有关的证据由作为当事人一方的发包方等掌握管理的，该当事人应当在仲裁庭指定的期限内提供，逾期不提供的，应当承担不利后果。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仲裁庭自行调查收集的证据，应当在开庭时向双方当事人出示。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仲裁庭对专门性问题认为需要鉴定的，可以交由当事人约定的鉴定机构鉴定；当事人没有约定的，由仲裁庭指定的鉴定机构鉴定。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当事人申请证据保全，应当向仲裁委员会书面提出。仲裁委员会应当自收到申请之日起二个工作日内，将申请提交证据所在地的基层人民法院。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当事人、第三人申请证人出庭作证的，仲裁庭应当准许，并告知证人的权利义务。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证人不得旁听案件审理。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证据应当在开庭时出示，但涉及国家秘密、商业秘密和个人隐私的证据不得在公开开庭时出示。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仲裁庭应当组织当事人、第三人交换证据，相互质证。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经仲裁庭许可，当事人、第三人可以向证人询问，证人应当据实回答。</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根据当事人的请求或者仲裁庭的要求，鉴定机构应当派鉴定人参加开庭。经仲裁庭许可，当事人可以向鉴定人提问。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仲裁庭应当保障双方当事人平等行使辩论权，并对争议焦点组织辩论。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辩论终结时，首席仲裁员或者独任仲裁员应当征询双方当事人、第三人的最后意见。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对权利义务关系明确的纠纷，当事人可以向仲裁庭书面提出先行裁定申请，请求维持现状、恢复农业生产以及停止取土、占地等破坏性行为。仲裁庭应当自收到先行裁定申请之日起二个工作日内作出决定。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仲裁庭作出先行裁定的，应当制作先行裁定书，并告知先行裁定申请人可以向人民法院申请执行，但应当提供相应的担保。</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先行裁定书应当载明先行裁定申请的内容、依据事实和理由、裁定结果和日期，由仲裁员签名，加盖仲裁委员会印章。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仲裁庭应当将开庭情况记入笔录。笔录由仲裁员、记录人员、当事人、第三人和其他仲裁参与人签名、盖章或者按指印。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当事人、第三人和其他仲裁参与人认为对自己的陈述记录有遗漏或者差错的，有权申请补正。仲裁庭不予补正的，应当向申请人说明情况，并记录该申请。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发生下列情形之一的，仲裁程序中止：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（一）一方当事人死亡，需要等待继承人表明是否参加仲裁的；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（二）一方当事人丧失行为能力，尚未确定法定代理人的；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（三）作为一方当事人的法人或者其他组织终止，尚未确定权利义务承受人的；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（四）一方当事人因不可抗拒的事由，不能参加仲裁的；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（五）本案必须以另一案的审理结果为依据，而另一案尚未审结的；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（六）其他应当中止仲裁程序的情形。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在仲裁庭组成前发生仲裁中止事由的，由仲裁委员会决定是否中止仲裁；仲裁庭组成后发生仲裁中止事由的，由仲裁庭决定是否中止仲裁。决定仲裁程序中止的，应当书面通知当事人。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仲裁程序中止的原因消除后，仲裁委员会或者仲裁庭应当在三个工作日内作出恢复仲裁程序的决定，并通知当事人和第三人。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发生下列情形之一的，仲裁程序终结：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（一）申请人死亡或者终止，没有继承人及权利义务承受人，或者继承人、权利义务承受人放弃权利的；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（二）被申请人死亡或者终止，没有可供执行的财产，也没有应当承担义务的人的；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（三）其他应当终结仲裁程序的。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终结仲裁程序的，仲裁委员会应当自发现终结仲裁程序情形之日起五个工作日内书面通知当事人、第三人，并说明理由。</w:t>
      </w:r>
    </w:p>
    <w:p>
      <w:pPr>
        <w:pStyle w:val="63"/>
        <w:spacing w:before="218" w:after="218" w:line="412" w:lineRule="exact"/>
      </w:pPr>
      <w:r>
        <w:t xml:space="preserve">第五章 </w:t>
      </w:r>
      <w:r>
        <w:rPr>
          <w:rFonts w:hint="eastAsia"/>
        </w:rPr>
        <w:t xml:space="preserve"> </w:t>
      </w:r>
      <w:r>
        <w:t>裁决和送达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仲裁庭应当根据认定的事实和法律以及国家政策作出裁决，并制作裁决书。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首席仲裁员组织仲裁庭对案件进行评议，裁决依多数仲裁员意见作出。少数仲裁员的不同意见可以记入笔录。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仲裁庭不能形成多数意见时，应当按照首席仲裁员的意见作出裁决。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裁决书应当写明仲裁请求、争议事实、裁决理由和依据、裁决结果、裁决日期，以及当事人不服仲裁裁决的起诉权利和期限。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裁决书由仲裁员签名，加盖仲裁委员会印章。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对裁决书中的文字、计算错误，或者裁决书中有遗漏的事项，仲裁庭应当及时补正。补正构成裁决书的一部分。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仲裁庭应当自受理仲裁申请之日起六十日内作出仲裁裁决。受理日期以受理通知书上记载的日期为准。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案情复杂需要延长的，经仲裁委员会主任批准可以延长，但延长期限不得超过三十日。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延长期限的，应当自作出延期决定之日起三个工作日内书面通知当事人、第三人。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期限不包括仲裁程序中止、鉴定、当事人在庭外自行和解、补充申请材料和补正裁决的时间。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仲裁委员会应当在裁决作出之日起三个工作日内将裁决书送达当事人、第三人。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直接送达的，应当告知当事人、第三人下列事项：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（一）不服仲裁裁决的，可以在收到裁决书之日起三十日内向人民法院起诉，逾期不起诉的，裁决书即发生法律效力；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（二）一方当事人不履行生效的裁决书所确定义务的，另一方当事人可以向被申请人住所地或者财产所在地的基层人民法院申请执行。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仲裁文书应当直接送达当事人或者其代理人。受送达人是自然人，但本人不在场的，由其同住成年家属签收；受送达人是法人或者其他组织的，应当由法人的法定代表人、其他组织的主要负责人或者该法人、组织负责收件的人签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仲裁文书送达后，由受送达人在送达回证上签名、盖章或者按指印，受送达人在送达回证上的签收日期为送达日期。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受送达人或者其同住成年家属拒绝接收仲裁文书的，可以留置送达。送达人应当邀请有关基层组织或者受送达人所在单位的代表到场，说明情况，在送达回证上记明拒收理由和日期，由送达人、见证人签名、盖章或者按指印，将仲裁文书留在受送达人的住所，即视为已经送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直接送达有困难的，可以邮寄送达。邮寄送达的，以当事人签收日期为送达日期。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当事人下落不明，或者以前款规定的送达方式无法送达的，可以公告送达，自发出公告之日起，经过六十日，即视为已经送达。</w:t>
      </w:r>
    </w:p>
    <w:p>
      <w:pPr>
        <w:pStyle w:val="63"/>
        <w:spacing w:before="218" w:after="218" w:line="412" w:lineRule="exact"/>
      </w:pPr>
      <w:r>
        <w:t xml:space="preserve">第六章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独任仲裁可以适用简易程序。简易程序的仲裁规则由仲裁委员会依照本规则制定。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期间包括法定期间和仲裁庭指定的期间。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期间以日、月、年计算，期间开始日不计算在期间内。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期间最后一日是法定节假日的，以法定节假日后的第一个工作日为期间的最后一日。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对不通晓当地通用语言文字的当事人、第三人，仲裁委员会应当为其提供翻译。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仲裁文书格式由农业部、国家林业局共同制定。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农村土地承包经营纠纷仲裁不得向当事人收取费用，仲裁工作经费依法纳入财政预算予以保障。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当事人委托代理人、申请鉴定等发生的费用由当事人负担。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本规则自2010年1月1日起施行。</w:t>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bookmarkStart w:id="291" w:name="_Toc18942580"/>
      <w:bookmarkStart w:id="292" w:name="_Toc12956970"/>
    </w:p>
    <w:p>
      <w:pPr>
        <w:pStyle w:val="61"/>
      </w:pPr>
      <w:bookmarkStart w:id="293" w:name="_Toc28156960"/>
      <w:bookmarkStart w:id="294" w:name="_Toc28250887"/>
      <w:bookmarkStart w:id="295" w:name="_Toc26347938"/>
      <w:bookmarkStart w:id="296" w:name="_Toc25653672"/>
      <w:bookmarkStart w:id="297" w:name="_Toc25648177"/>
      <w:bookmarkStart w:id="298" w:name="_Toc28252158"/>
      <w:r>
        <w:t>农业承包合同条例</w:t>
      </w:r>
      <w:bookmarkEnd w:id="291"/>
      <w:bookmarkEnd w:id="292"/>
      <w:bookmarkEnd w:id="293"/>
      <w:bookmarkEnd w:id="294"/>
      <w:bookmarkEnd w:id="295"/>
      <w:bookmarkEnd w:id="296"/>
      <w:bookmarkEnd w:id="297"/>
      <w:bookmarkEnd w:id="298"/>
    </w:p>
    <w:p>
      <w:pPr>
        <w:pStyle w:val="62"/>
        <w:topLinePunct w:val="0"/>
        <w:ind w:firstLine="0" w:firstLineChars="0"/>
        <w:jc w:val="center"/>
      </w:pPr>
      <w:r>
        <w:t>（</w:t>
      </w:r>
      <w:r>
        <w:rPr>
          <w:rFonts w:hint="eastAsia"/>
        </w:rPr>
        <w:t>1998年8月3日北京市人民代表大会常务委员会1998年第7号公布</w:t>
      </w:r>
      <w:r>
        <w:t>）</w:t>
      </w:r>
    </w:p>
    <w:p>
      <w:pPr>
        <w:pStyle w:val="5"/>
        <w:keepNext w:val="0"/>
        <w:keepLines w:val="0"/>
        <w:topLinePunct/>
        <w:spacing w:line="416" w:lineRule="exact"/>
        <w:ind w:firstLine="482" w:firstLineChars="200"/>
        <w:rPr>
          <w:rFonts w:asciiTheme="minorEastAsia" w:hAnsiTheme="minorEastAsia" w:eastAsiaTheme="minorEastAsia"/>
          <w:sz w:val="24"/>
          <w:szCs w:val="24"/>
        </w:rPr>
      </w:pPr>
    </w:p>
    <w:p>
      <w:pPr>
        <w:pStyle w:val="63"/>
        <w:spacing w:before="218" w:after="218" w:line="412" w:lineRule="exact"/>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为了稳定和完善农业承包经营责任制，保护农业承包合同当事人的合法权益，根据本市实际情况，制定本条例。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本条例适用于本市农村集体经济组织与其成员之间为从事种植业、林业、畜牧业和渔业生产经营活动，以承包的方式明确相互权利义务关系而订立的农业承包合同（以下简称承包合同）。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本市农村实行以家庭联产承包为主的责任制和统分结合的双层经营体制。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农业承包经营方式应当根据当地生产力水平和集体经济组织成员的意愿确定。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农村集体经济组织成员对本集体经济组织所有的土地享有承包权。任何组织和个人不得非法剥夺农民的承包权。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依照法律属于农民集体所有的土地和其他生产资料，承包后所有权不变。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市和区、县以及乡、镇农村合作经济经营管理部门负责本行政区域内承包合同的管理工作。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区、县农业承包合同仲裁委员会负责本区、县承包合同纠纷的仲裁，日常办事机构设在区、县农村合作经济经营管理部门。</w:t>
      </w:r>
    </w:p>
    <w:p>
      <w:pPr>
        <w:pStyle w:val="63"/>
        <w:spacing w:before="218" w:after="218" w:line="412" w:lineRule="exact"/>
      </w:pPr>
      <w:r>
        <w:t xml:space="preserve">第二章 </w:t>
      </w:r>
      <w:r>
        <w:rPr>
          <w:rFonts w:hint="eastAsia"/>
        </w:rPr>
        <w:t xml:space="preserve"> </w:t>
      </w:r>
      <w:r>
        <w:t>发包和承包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承包合同的发包方是拥有土地和其他生产资料所有权的农村集体经济组织。承包方是该集体经济组织内部的农户、个人或者生产经营组织。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发包项目和发包方案应当由集体经济组织成员大会或者成员代表大会决定并公布。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承包期限应当按照有利于发展生产，提高经济效益，调动承包者积极性，保护自然资源的原则确定。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实行家庭联产承包的，土地承包期限为30年。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发包方的权利和义务：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（一）制定土地利用规划和区域种植规划；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（二）依照承包合同约定，收取承包金；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（三）制止承包方损害农业资源和其他资产的行为；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（四）依照承包合同约定，为承包方提供生产、经营、技术服务；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（五）维护承包方的正常生产经营秩序；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（六）法律、法规规定和承包合同约定的其他权利和义务。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承包方的权利和义务：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（一）依照承包合同约定，享有经营自主权、产品处分权和收益权；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（二）依照承包合同约定和区域种植规划，合理使用和保护农业资源及其他资产；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（三）依法缴纳税款，依照承包合同约定交纳承包金，完成国家的农产品定购任务；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（四）法律、法规规定和承包合同约定的其他权利和义务。</w:t>
      </w:r>
    </w:p>
    <w:p>
      <w:pPr>
        <w:pStyle w:val="63"/>
        <w:spacing w:before="218" w:after="218" w:line="412" w:lineRule="exact"/>
      </w:pPr>
      <w:r>
        <w:t xml:space="preserve">第三章 </w:t>
      </w:r>
      <w:r>
        <w:rPr>
          <w:rFonts w:hint="eastAsia"/>
        </w:rPr>
        <w:t xml:space="preserve"> </w:t>
      </w:r>
      <w:r>
        <w:t>承包合同的订立和履行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实行农业承包经营的，当事人双方应当签订承包合同。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订立承包合同必须遵守法律、法规和国家政策，符合集体经济组织章程，执行集体经济组织成员大会或者成员代表大会决议，坚持公开公正、自愿互利、协商一致、诚实信用的原则，兼顾国家、集体、个人三者利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承包合同应当采用书面形式。发包方和承包方就承包合同条款协商一致，签字盖章，合同即为成立。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承包合同依法成立，即具有法律约束力，当事人必须全面履行承包合同规定的义务，任何一方不得擅自变更或者解除。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承包合同签订后，当事人可以向农村合作经济经营管理部门申请鉴证，也可以向公证机关申请公证。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承包合同应当具备以下主要条款：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（一）承包项目名称；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（二）发包方、承包方名称及双方代表人姓名；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（三）发包方提供的资源和其他资产的方位、数量、质量、等级；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（四）承包期限和起止时间；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（五）承包方应当缴纳的税款、承包金及缴纳时间，应当完成的国家农产品定购任务；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（六）发包方提供的生产条件和服务；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（七）因不可抗力的原因造成减产、减收或者绝产、绝收的处理办法；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（八）承包合同存续期间资产增值、减值处理办法；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（九）违约责任；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（十）双方议定的其他事项。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发包方分立或者合并，承包合同仍然有效。发包方的权利、义务由分立或者合并后的集体经济组织行使和履行。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实行家庭联产承包的，在承包期内，在不改变土地所有权和用途的前提下，承包方对其承包土地的使用权，可以有偿转包、转让或者互换、入股。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承包方将承包土地的使用权转包、互换、入股，原承包合同有效。承包土地的使用权转包他人时，原承包方应当与第三方签订转包合同。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承包土地的使用权转让他人时，原承包合同解除，由发包方与第三方签订承包合同。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承包方将承包土地的使用权转包、转让、互换、入股的，应当经发包方同意。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承包人在承包期内死亡，其继承人可以继续承包，并履行原承包合同约定的权利和义务；没有继承人或者继承人不愿继续承包的，发包方可以收回承包项目重新发包。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有下列情况之一的，为无效承包合同：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（一）违反法律、法规和国家政策的；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（二）损害国家、集体利益和社会公共利益的；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（三）发包方违背集体经济组织章程，违背集体经济组织成员大会或者成员代表大会决议越权发包的；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（四）采取欺诈、胁迫及其他不正当手段签订的。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无效承包合同从订立时起，就没有法律约束力。确认承包合同部分无效的，如果不影响其余部分的效力，其余部分仍然有效。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无效承包合同由农业承包合同仲裁委员会或者人民法院确认。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承包合同被确认无效后，当事人依据该承包合同所取得的财产，应当返还给对方。有过错的一方应当赔偿对方因此遭受的经济损失；如果双方都有过错，各自承担相应的责任。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发包方与承包方恶意串通，实施损害国家、集体或者第三人利益的行为，造成经济损失的，应当由双方负责赔偿，并追缴非法所得，收归国家、集体所有或者返还第三人。第四章承包合同的变更和解除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发生下列情况之一的，允许变更或者解除承包合同：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（一）当事人双方经过协商一致,并且不因变更或者解除承包合同而损害国家、集体利益和社会公共利益的；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（二）承包的土地依法由农用地转为建设用地的；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（三）因不可抗力的原因，致使承包合同部分或者全部不能履行的；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（四）一方违约，致使承包合同无法履行或者没有必要继续履行的；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（五）承包方改变土地用途，或者进行破坏性生产经营，或者弃耕撂荒，或者拒交承包金，经发包方制止无效的；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（六）承包方丧失承包经营能力或者转营他业无力经营的；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（七）签订承包合同所依据的国家政策发生重大变化的。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变更或者解除承包合同，应当不违农时，避免造成损失。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承包合同当事人一方要求变更或者解除承包合同，应当及时书面通知对方；对方应当自接到通知书之日起15日内予以书面答复。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当事人双方就变更或者解除承包合同达成书面协议，报乡、镇农村合作经济经营管理部门备案。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因变更或者解除承包合同使一方遭受损失的，除依法可以免除责任的以外，应当由造成损失的责任方负责赔偿。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在承包期内，发包方不得随意调整承包方承包的土地。因承包土地依法由农用地转为建设用地或者自然灾害，需要对土地承包方案作调整的，应当经集体经济组织成员大会或者成员代表大会通过。</w:t>
      </w:r>
    </w:p>
    <w:p>
      <w:pPr>
        <w:pStyle w:val="63"/>
        <w:spacing w:before="218" w:after="218" w:line="412" w:lineRule="exact"/>
      </w:pPr>
      <w:r>
        <w:t xml:space="preserve">第五章 </w:t>
      </w:r>
      <w:r>
        <w:rPr>
          <w:rFonts w:hint="eastAsia"/>
        </w:rPr>
        <w:t xml:space="preserve"> </w:t>
      </w:r>
      <w:r>
        <w:t>违约责任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由于当事人一方的过错，造成承包合同不能履行或者不能完全履行的，由有过错的一方承担违约责任；双方都有过错的，由双方分别承担各自应负的违约责任。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一方由于不可抗力的原因不能履行承包合同的，应当及时向对方通报不能履行或者需要延期履行、部分履行承包合同的理由，在取得有关证明以后，允许延期履行、部分履行或者不履行，并可根据情况部分或者全部免予承担违约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当事人一方违反承包合同，应当向对方支付违约金；违约金不足以弥补损失的，应当对超出的损失部分进行赔偿。对方要求继续履行承包合同的，应当继续履行。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发包方有下列行为之一的，应当采取补救措施，给承包方造成损失的，应当负责赔偿：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（一）擅自变更或者解除承包合同的；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（二）未按承包合同约定提供生产经营条件和服务的；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（三）非法干预承包方正常生产经营活动的；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（四）未履行承包合同约定的其他义务的。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承包方有下列行为之一的，应当采取补救措施，给发包方造成损失的，应当负责赔偿：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（一）改变承包土地用途，或者进行破坏性生产经营，或者弃耕撂荒的；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（二）承包的生产设施毁坏或者丢失的；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（三）未按承包合同约定缴纳税款、承包金或者未完成国家农产品定购任务的；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（四）未履行承包合同约定的其他义务的。</w:t>
      </w:r>
    </w:p>
    <w:p>
      <w:pPr>
        <w:pStyle w:val="63"/>
        <w:spacing w:before="218" w:after="218" w:line="412" w:lineRule="exact"/>
      </w:pPr>
      <w:r>
        <w:t xml:space="preserve">第六章 </w:t>
      </w:r>
      <w:r>
        <w:rPr>
          <w:rFonts w:hint="eastAsia"/>
        </w:rPr>
        <w:t xml:space="preserve"> </w:t>
      </w:r>
      <w:r>
        <w:t>承包合同纠纷的处理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承包合同发生纠纷时，由当事人协商解决，也可以向所在乡、镇农村合作经济经营管理部门申请调解，调解达成协议的，应当制作调解书。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双方协商一致，可以不经前款程序，向所在区、县农业承包合同仲裁委员会申请仲裁。仲裁作出裁决，由仲裁委员会制作裁决书。对仲裁不服的，可以在接到裁决书之日起30日内向人民法院起诉。当事人一方期满不起诉又不履行裁决的，另一方可以向人民法院申请执行。当事人可以直接向人民法院起诉。</w:t>
      </w:r>
    </w:p>
    <w:p>
      <w:pPr>
        <w:pStyle w:val="63"/>
        <w:spacing w:before="218" w:after="218" w:line="412" w:lineRule="exact"/>
      </w:pPr>
      <w:r>
        <w:t xml:space="preserve">第七章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本条例具体应用中的问题，由市人民政府负责解释。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本条例自1998年9月15日起施行。1989年10月19日北京市第九届人民代表大会常务委员会第十四次会议通过的《北京市农业联产承包合同条例》同时废止。</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4"/>
        <w:keepNext w:val="0"/>
        <w:keepLines w:val="0"/>
        <w:topLinePunct/>
        <w:spacing w:line="416" w:lineRule="exact"/>
        <w:ind w:firstLine="482" w:firstLineChars="200"/>
        <w:rPr>
          <w:rFonts w:asciiTheme="minorEastAsia" w:hAnsiTheme="minorEastAsia" w:eastAsiaTheme="minorEastAsia"/>
          <w:sz w:val="24"/>
          <w:szCs w:val="24"/>
        </w:rPr>
      </w:pPr>
      <w:bookmarkStart w:id="299" w:name="_Toc18942584"/>
      <w:bookmarkStart w:id="300" w:name="_Toc12956986"/>
    </w:p>
    <w:p>
      <w:pPr>
        <w:pStyle w:val="61"/>
      </w:pPr>
      <w:bookmarkStart w:id="301" w:name="_Toc26347939"/>
      <w:bookmarkStart w:id="302" w:name="_Toc25648178"/>
      <w:bookmarkStart w:id="303" w:name="_Toc28156961"/>
      <w:bookmarkStart w:id="304" w:name="_Toc25653673"/>
      <w:bookmarkStart w:id="305" w:name="_Toc28252159"/>
      <w:bookmarkStart w:id="306" w:name="_Toc28250888"/>
      <w:r>
        <w:t>北京市农村集体所有荒山荒滩租赁条例</w:t>
      </w:r>
      <w:bookmarkEnd w:id="299"/>
      <w:bookmarkEnd w:id="300"/>
      <w:bookmarkEnd w:id="301"/>
      <w:bookmarkEnd w:id="302"/>
      <w:bookmarkEnd w:id="303"/>
      <w:bookmarkEnd w:id="304"/>
      <w:bookmarkEnd w:id="305"/>
      <w:bookmarkEnd w:id="306"/>
    </w:p>
    <w:p>
      <w:pPr>
        <w:pStyle w:val="62"/>
      </w:pPr>
      <w:r>
        <w:t>（</w:t>
      </w:r>
      <w:r>
        <w:rPr>
          <w:rFonts w:hint="eastAsia"/>
        </w:rPr>
        <w:t>1994年9月9日北京市第十届人民代表大会常务委员会第12次会议通过，根据2010年12月23日北京市第十三届人民代表大会常务委员会第22次会议《关于修改部分地方性法规的决定》修订</w:t>
      </w:r>
      <w:r>
        <w:t>）</w:t>
      </w:r>
    </w:p>
    <w:p>
      <w:pPr>
        <w:pStyle w:val="5"/>
        <w:keepNext w:val="0"/>
        <w:keepLines w:val="0"/>
        <w:topLinePunct/>
        <w:spacing w:line="416" w:lineRule="exact"/>
        <w:ind w:firstLine="482" w:firstLineChars="200"/>
        <w:rPr>
          <w:rFonts w:asciiTheme="minorEastAsia" w:hAnsiTheme="minorEastAsia" w:eastAsiaTheme="minorEastAsia"/>
          <w:sz w:val="24"/>
          <w:szCs w:val="24"/>
        </w:rPr>
      </w:pPr>
    </w:p>
    <w:p>
      <w:pPr>
        <w:pStyle w:val="63"/>
        <w:spacing w:before="218" w:after="218" w:line="412" w:lineRule="exact"/>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为加快荒山、荒滩开发利用，促进农村经济发展，保护荒山、荒滩租赁双方当事人的合法权益，根据国家有关法律、法规的规定，制定本条例。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本条例适用于本市行政区域内集体所有的荒山、荒滩（以下简称荒山）的租赁开发。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本条例所称的租赁是指在不改变土地所有权的前提下，农村集体经济组织将其集体所有的荒山使用权出租给承租人，用于林果业、种植业、养殖业生产的开发和经营，并由承租人支付租金的行为。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出租荒山使用权，不包括地下资源、埋藏物和公用农田水利设施。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租赁双方当事人必须遵守有关法律、法规。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荒山租赁必须坚持公开、公正、公平和自愿的原则。</w:t>
      </w:r>
    </w:p>
    <w:p>
      <w:pPr>
        <w:pStyle w:val="63"/>
        <w:spacing w:before="218" w:after="218" w:line="412" w:lineRule="exact"/>
      </w:pPr>
      <w:r>
        <w:t xml:space="preserve">第二章 </w:t>
      </w:r>
      <w:r>
        <w:rPr>
          <w:rFonts w:hint="eastAsia"/>
        </w:rPr>
        <w:t xml:space="preserve"> </w:t>
      </w:r>
      <w:r>
        <w:t>出租与承租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荒山租赁的出租方是农村集体经济组织；承租方是有承租能力的农村集体经济组织成员、企业事业单位、社会团体或者其他个人。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农村集体经济组织必须根据社员大会或者社员代表会议决定的出租方案组织荒山租赁。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农村集体经济组织应当成立有社员代表参加的评议小组，拟定租金数额或者租金标底，并经社员大会或者社员代表会议讨论通过。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制定荒山租赁方案，应当兼顾国家、集体、个人三者利益，按照经济效益、生态效益、社会效益相结合的原则，因地制宜，综合治理，山水林田路统一规划，科学开发。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已经植树造林的责任山、义务植树责任区不得纳入租赁范围。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没有植树造林的责任山，可以由集体经济组织收回，另行出租。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在国家批准的矿井井田范围内，出租方应当向地下资源开发单位了解地下资源开采对地上安全的影响，不安全区域的荒山不得出租。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荒山租赁前已有的零星树木，可以合理作价出售给承租方，也可以出租给承租方。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承租方在所承租荒山上栽植的林木，在承租期内归承租方所有。租赁期满，林木的处置由租赁合同约定。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承租方所有的林木，按照《北京市森林资源保护管理条例》规定的程序审查批准，可以采伐、更新。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荒山租赁期限最长不超过70年；开发限期一般不超过5年。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承租方必须按照租赁合同约定的用途和期限开发利用荒山，逾期不开发利用的，由集体经济组织无偿收回。</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荒山租赁的租金可以一次计租，也可以分段计租；租金可以一次交付，也可以分期交付。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荒山租赁可以采取协议、定价招租和招标等方式。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在租赁合同约定的期限内，荒山使用权及承租方所有的林木、地上财产可以依法继承和转租。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转租须经出租方同意，并由转租方与承租方签订转租合同。</w:t>
      </w:r>
    </w:p>
    <w:p>
      <w:pPr>
        <w:pStyle w:val="63"/>
        <w:spacing w:before="218" w:after="218" w:line="412" w:lineRule="exact"/>
      </w:pPr>
      <w:r>
        <w:t xml:space="preserve">第三章 </w:t>
      </w:r>
      <w:r>
        <w:rPr>
          <w:rFonts w:hint="eastAsia"/>
        </w:rPr>
        <w:t xml:space="preserve"> </w:t>
      </w:r>
      <w:r>
        <w:t>当事人的权利和义务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出租方的权利：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（一）对荒山开发利用活动进行检查，保护资源不受破坏；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（二）检查荒山开发项目和限期等履行情况；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（三）按照合同约定收取租金。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出租方的义务：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（一）保证承租方的自主经营；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（二）不侵犯承租方的合法收益；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（三）按照合同约定提供生产、技术等项服务。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承租方的权利：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（一）按照合同约定的用途自主开发经营承租的荒山；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（二）享有承租荒山的收益权和按照合同约定的财产所有权；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（三）享受国家有关政策规定的优惠。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承租方的义务：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（一）按照合同约定的用途、期限开发利用所承租的荒山；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（二）保护自然资源和公用农田水利设施，搞好水土保持；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（三）按期交付租金。</w:t>
      </w:r>
    </w:p>
    <w:p>
      <w:pPr>
        <w:pStyle w:val="63"/>
        <w:spacing w:before="218" w:after="218" w:line="412" w:lineRule="exact"/>
      </w:pPr>
      <w:r>
        <w:t xml:space="preserve">第四章 </w:t>
      </w:r>
      <w:r>
        <w:rPr>
          <w:rFonts w:hint="eastAsia"/>
        </w:rPr>
        <w:t xml:space="preserve"> </w:t>
      </w:r>
      <w:r>
        <w:t>租赁合同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荒山租赁，出租方和承租方必须签订书面合同。订立租赁合同，应当遵循平等互利、协商一致的原则。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租赁合同应当具备以下主要条款：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（一）荒山的位置、面积；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（二）用途；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（三）租赁期限和开发限期；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（四）出租前和合同期满后地上物的处置；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（五）租金及其交付方式；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（六）双方当事人的权利和义务；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（七）违约责任；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（八）合同纠纷的解决办法；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（九）双方当事人协议的其他事项。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出租方和承租方就租赁合同条款协商一致，签字盖章，合同即为成立。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租赁合同具有法律效力，任何单位和个人不得随意变更或者解除。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租赁合同签订后，当事人可以向农村合作经济管理部门或者公证机关申请鉴证或者公证，确认租赁合同的真实性、合法性。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租赁合同、转租合同应当报乡、镇人民政府和区、县人民政府备案。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合同管理的具体工作由农村合作经济管理部门负责。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凡有下列情况之一的，允许变更或者解除租赁合同：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（一）由于不可抗力的原因，致使租赁合同无法履行的；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（二）因国家建设，租赁的荒山被征收、征用的；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（三）当事人双方协商一致，并且不因变更或者解除租赁合同而损害国家、集体利益的；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（四）由于一方当事人在合同约定的期限内没有履行合同的。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因变更或者解除合同，使他方遭受损失的，除依法可以免除责任的以外，应当由责任方负责赔偿。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出租方出租不属于其集体所有的荒山，给承租方造成损失的，应当承担相应的责任。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租赁合同一方当事人要求变更或者解除合同，应当及时书面通知对方；对方应当在接到通知书30日内予以书面答复。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双方当事人就变更或者解除租赁合同达成书面协议后，应当在协议书上签字盖章，并报乡、镇人民政府和区、县人民政府备案。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租赁合同期满后，可以续租。续租需经双方当事人协商一致，并重新签订合同。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租赁合同发生纠纷时，当事人可以通过协商或者由人民政府调解解决。当事人不愿通过协商、调解解决或者协商、调解不成的，可以向农村土地承包仲裁机构申请仲裁，也可以直接向人民法院起诉。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仲裁作出裁决，由仲裁委员会制作仲裁裁决书。对仲裁委员会的仲裁裁决，当事人应当履行。当事人一方在规定的期限内不履行仲裁委员会的仲裁裁决的，对方可以申请人民法院强制执行。</w:t>
      </w:r>
    </w:p>
    <w:p>
      <w:pPr>
        <w:pStyle w:val="63"/>
        <w:spacing w:before="218" w:after="218" w:line="412" w:lineRule="exact"/>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本条例具体应用中的问题，由市人民政府农村工作主管部门负责解释。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本条例自1994年10月1日起施行。</w:t>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pStyle w:val="61"/>
        <w:rPr>
          <w:rFonts w:hAnsi="Times New Roman"/>
        </w:rPr>
      </w:pPr>
      <w:bookmarkStart w:id="307" w:name="_Toc25653674"/>
      <w:bookmarkStart w:id="308" w:name="_Toc28156962"/>
      <w:bookmarkStart w:id="309" w:name="_Toc28250889"/>
      <w:bookmarkStart w:id="310" w:name="_Toc25648179"/>
      <w:bookmarkStart w:id="311" w:name="_Toc26347940"/>
      <w:bookmarkStart w:id="312" w:name="_Toc28252160"/>
      <w:r>
        <w:t>北京市建设征地补偿安置办法</w:t>
      </w:r>
      <w:bookmarkEnd w:id="307"/>
      <w:bookmarkEnd w:id="308"/>
      <w:bookmarkEnd w:id="309"/>
      <w:bookmarkEnd w:id="310"/>
      <w:bookmarkEnd w:id="311"/>
      <w:bookmarkEnd w:id="312"/>
    </w:p>
    <w:p>
      <w:pPr>
        <w:pStyle w:val="62"/>
        <w:topLinePunct w:val="0"/>
        <w:ind w:firstLine="0" w:firstLineChars="0"/>
        <w:jc w:val="center"/>
        <w:rPr>
          <w:rFonts w:hAnsi="Times New Roman"/>
        </w:rPr>
      </w:pPr>
      <w:r>
        <w:rPr>
          <w:rFonts w:hint="eastAsia"/>
        </w:rPr>
        <w:t>（2004年5月21日北京市人民政府令第148号公布）</w:t>
      </w:r>
    </w:p>
    <w:p>
      <w:pPr>
        <w:pStyle w:val="63"/>
        <w:spacing w:before="218" w:after="218" w:line="412" w:lineRule="exact"/>
        <w:rPr>
          <w:rFonts w:hAnsi="Times New Roman"/>
          <w:kern w:val="0"/>
        </w:rPr>
      </w:pPr>
      <w:r>
        <w:rPr>
          <w:kern w:val="0"/>
        </w:rPr>
        <w:t>第一章</w:t>
      </w:r>
      <w:r>
        <w:rPr>
          <w:rFonts w:hint="eastAsia"/>
          <w:kern w:val="0"/>
        </w:rPr>
        <w:t xml:space="preserve">  </w:t>
      </w:r>
      <w:r>
        <w:rPr>
          <w:kern w:val="0"/>
        </w:rPr>
        <w:t>总</w:t>
      </w:r>
      <w:r>
        <w:rPr>
          <w:rFonts w:hint="eastAsia"/>
          <w:kern w:val="0"/>
        </w:rPr>
        <w:t xml:space="preserve">  </w:t>
      </w:r>
      <w:r>
        <w:rPr>
          <w:kern w:val="0"/>
        </w:rPr>
        <w:t>则</w:t>
      </w:r>
      <w:r>
        <w:rPr>
          <w:rFonts w:hAnsi="Times New Roman"/>
          <w:kern w:val="0"/>
        </w:rPr>
        <w:t xml:space="preserve"> </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第一条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为了保护被征地农村村民、农村集体经济组织和征地单位合法权益，促进首都经济发展，维护社会稳定，根据《中华人民共和国土地管理法》、《中华人民共和国劳动法》等有关规定，结合本市实际情况，制定本办法</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本市行政区域内依法征用农民集体所有土地的，依照本办法进行补偿安置</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市土地行政主管部门负责征地补偿管理工作；市劳动保障行政主管部门负责转非劳动力就业和社会保险管理工作；市民政部门负责超转人员管理工作。区、县土地、劳动保障、民政部门按照分工负责本行政区域内征地补偿安置具体管理工作</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公安、农村工作等部门应当按照各自的职责对征地补偿安置工作实施管理</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区、县人民政府应当对本行政区域内的征地补偿安置工作实施监督管理。乡镇人民政府应当协助做好征地补偿安置工作</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本市征地补偿安置工作坚持公开的原则，征地补偿费由征地双方依法协商确定</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第五条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经批准征用农民集体所有土地的单位（以下简称征地单位）应当支付征地补偿费。征地补偿费应当按时、足额支付到位</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本市征地补偿费实行最低保护标准制度</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第六条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任何单位和个人不得侵占、挪用征地补偿费用和其他有关费用</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第七条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农村集体经济组织和村民委员会应当按照本办法规定做好征地补偿安置中相应工作</w:t>
      </w:r>
      <w:r>
        <w:rPr>
          <w:rFonts w:hAnsiTheme="minorEastAsia"/>
          <w:kern w:val="0"/>
          <w:sz w:val="24"/>
        </w:rPr>
        <w:t>。</w:t>
      </w:r>
    </w:p>
    <w:p>
      <w:pPr>
        <w:pStyle w:val="63"/>
        <w:spacing w:before="218" w:after="218" w:line="412" w:lineRule="exact"/>
        <w:rPr>
          <w:rFonts w:hAnsi="Times New Roman"/>
          <w:kern w:val="0"/>
        </w:rPr>
      </w:pPr>
      <w:r>
        <w:rPr>
          <w:kern w:val="0"/>
        </w:rPr>
        <w:t>第二章</w:t>
      </w:r>
      <w:r>
        <w:rPr>
          <w:rFonts w:hAnsi="Times New Roman"/>
          <w:kern w:val="0"/>
        </w:rPr>
        <w:t xml:space="preserve">  </w:t>
      </w:r>
      <w:r>
        <w:rPr>
          <w:kern w:val="0"/>
        </w:rPr>
        <w:t>征地补偿</w:t>
      </w:r>
      <w:r>
        <w:rPr>
          <w:rFonts w:hAnsi="Times New Roman"/>
          <w:kern w:val="0"/>
        </w:rPr>
        <w:t xml:space="preserve"> </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第八条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征地单位支付的征地补偿费包括土地补偿费和安置补助费。涉及青苗和其他土地附着物的，还应当向所有权人支付青苗补偿费和其他土地附着物补偿费</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青苗是指尚未收获的农作物。其他土地附着物包括房屋、水井、道路、管线、水渠等建筑物、构筑物以及林木和其他经济作物等</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第九条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征地补偿费最低保护标准由市土地行政主管部门以乡镇为单位结合被征地农村村民的生活水平、农业产值、土地区位以及本办法规定的人员安置费用等综合因素确定，报市人民政府批准后公布执行</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征地补偿费最低保护标准应当根据社会、经济发展水平适时调整</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地单位与被征地农村集体经济组织或者村民委员会应当在不低于本市征地补偿费最低保护标准的基础上，协商签订书面征地补偿安置协议。协议应当包括补偿方式、补偿款金额及支付方式、安置人员数量及安置方式、青苗及土地附着物补偿、违约责任和纠纷处理方式等内容</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签订协议前，被征地农村集体经济组织或者村民委员会应当就协议主要内容经村民大会或者村民代表大会等民主程序形成书面决议。决议应当妥善保存。签订协议后，农村集体经济组织或者村民委员会应当向农村村民公示征地补偿安置协议</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第十一条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土地行政主管部门应当对农村集体经济组织或者村民委员会在签订征地补偿安置协议前是否履行民主程序、征地双方达成协议的内容是否符合法律规定进行监督，并可就监督内容听取农村村民意见</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土地行政主管部门在向批准征地机关报送征用土地方案时，应当附具征地双方签订的征地补偿安置协议</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第十二条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区、县人民政府应当自收到征用土地批准文件之日起</w:t>
      </w:r>
      <w:r>
        <w:rPr>
          <w:rFonts w:ascii="Times New Roman" w:hAnsi="Times New Roman" w:cs="Times New Roman"/>
          <w:kern w:val="0"/>
          <w:sz w:val="24"/>
          <w:szCs w:val="24"/>
        </w:rPr>
        <w:t xml:space="preserve"> 10 </w:t>
      </w:r>
      <w:r>
        <w:rPr>
          <w:rFonts w:ascii="Times New Roman" w:cs="Times New Roman" w:hAnsiTheme="minorEastAsia"/>
          <w:kern w:val="0"/>
          <w:sz w:val="24"/>
          <w:szCs w:val="24"/>
        </w:rPr>
        <w:t>日内在被征地的乡镇、村进行征地公告。征地公告的内容应当包括批准机关、批准时间、批准文件名称和文号，被征地范围、地类、土地面积，征地单位、项目名称、征后用途，双方协议的征地补偿款金额和人员安置方式等内容</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第十三条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征地单位应当将征地补偿费专户存储，接受土地行政主管部门的监督，依法支付</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征地补偿费监管的具体办法，由市土地行政主管部门规定并公布</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第十四条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征地补偿费用于人员安置后，其余部分作为土地补偿费支付给被征地的农村集体经济组织或者村民委员会，用于农村村民生产生活</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农村集体经济组织或者村民委员会应当依法公开土地补偿费和安置补助费的使用情况，接受监督</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第十五条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征地双方经协商可以实行非货币补偿。在符合规划的前提下，征地单位可以在征用范围内留出部分土地由农村集体经济组织或者村民委员会使用，作为征地补偿</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第十六条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青苗补偿按照</w:t>
      </w:r>
      <w:r>
        <w:rPr>
          <w:rFonts w:ascii="Times New Roman" w:hAnsi="Times New Roman" w:cs="Times New Roman"/>
          <w:kern w:val="0"/>
          <w:sz w:val="24"/>
          <w:szCs w:val="24"/>
        </w:rPr>
        <w:t xml:space="preserve"> 1 </w:t>
      </w:r>
      <w:r>
        <w:rPr>
          <w:rFonts w:ascii="Times New Roman" w:cs="Times New Roman" w:hAnsiTheme="minorEastAsia"/>
          <w:kern w:val="0"/>
          <w:sz w:val="24"/>
          <w:szCs w:val="24"/>
        </w:rPr>
        <w:t>季产值计算，但多年生的农作物青苗按照</w:t>
      </w:r>
      <w:r>
        <w:rPr>
          <w:rFonts w:ascii="Times New Roman" w:hAnsi="Times New Roman" w:cs="Times New Roman"/>
          <w:kern w:val="0"/>
          <w:sz w:val="24"/>
          <w:szCs w:val="24"/>
        </w:rPr>
        <w:t xml:space="preserve"> 1 </w:t>
      </w:r>
      <w:r>
        <w:rPr>
          <w:rFonts w:ascii="Times New Roman" w:cs="Times New Roman" w:hAnsiTheme="minorEastAsia"/>
          <w:kern w:val="0"/>
          <w:sz w:val="24"/>
          <w:szCs w:val="24"/>
        </w:rPr>
        <w:t>年产值计算</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林木的补偿按照本市有关规定执行</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其他经济作物的补偿，由征地双方根据经济作物生长情况协商确定；协商不成的，可以委托评估机构参照届时市场价格评估确定</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第十七条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拆迁住宅房屋的，按照《北京市集体土地房屋拆迁管理办法》执行</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拆迁非住宅房屋和其他建筑物、构筑物的，按照重置成新价格予以补偿；公益公共设施确需迁建的，应当迁建。拆迁经营性用房造成停产停业经济损失的，应当按照规定给予一次性停产停业补助费</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拆迁未超过批准期限的临时建筑，按照重置成新价格予以适当补偿；超过批准期限的临时建筑和违法建设，不予补偿</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第十八条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违法建设、违法占用土地的，涉及的土地附着物不予补偿。征地公告发布后，在征地范围内新种植的青苗、经济作物、林木等，不予补偿</w:t>
      </w:r>
      <w:r>
        <w:rPr>
          <w:rFonts w:hAnsiTheme="minorEastAsia"/>
          <w:kern w:val="0"/>
          <w:sz w:val="24"/>
        </w:rPr>
        <w:t>。</w:t>
      </w:r>
    </w:p>
    <w:p>
      <w:pPr>
        <w:pStyle w:val="63"/>
        <w:spacing w:before="218" w:after="218" w:line="412" w:lineRule="exact"/>
        <w:rPr>
          <w:rFonts w:hAnsi="Times New Roman"/>
          <w:kern w:val="0"/>
        </w:rPr>
      </w:pPr>
      <w:r>
        <w:rPr>
          <w:kern w:val="0"/>
        </w:rPr>
        <w:t>第三章</w:t>
      </w:r>
      <w:r>
        <w:rPr>
          <w:rFonts w:hAnsi="Times New Roman"/>
          <w:kern w:val="0"/>
        </w:rPr>
        <w:t xml:space="preserve">  </w:t>
      </w:r>
      <w:r>
        <w:rPr>
          <w:kern w:val="0"/>
        </w:rPr>
        <w:t>人员安置</w:t>
      </w:r>
      <w:r>
        <w:rPr>
          <w:rFonts w:hAnsi="Times New Roman"/>
          <w:kern w:val="0"/>
        </w:rPr>
        <w:t xml:space="preserve"> </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第十九条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用农民集体所有土地的，相应的农村村民应当同时转为非农业户口。应当转为非农业户口的农村村民数量，按照被征用的土地数量除以征地前被征地农村集体经济组织或者该村人均土地数量计算。应当转为非农业户口的农村村民人口年龄结构应当与该农村集体经济组织的人口年龄结构一致</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农</w:t>
      </w:r>
      <w:r>
        <w:rPr>
          <w:rFonts w:ascii="Times New Roman" w:cs="Times New Roman" w:hAnsiTheme="minorEastAsia"/>
          <w:spacing w:val="-4"/>
          <w:kern w:val="0"/>
          <w:sz w:val="24"/>
          <w:szCs w:val="24"/>
        </w:rPr>
        <w:t>村集体经济组织或者村民委员会应当自征地公告之日起</w:t>
      </w:r>
      <w:r>
        <w:rPr>
          <w:rFonts w:ascii="Times New Roman" w:hAnsi="Times New Roman" w:cs="Times New Roman"/>
          <w:spacing w:val="-4"/>
          <w:kern w:val="0"/>
          <w:sz w:val="24"/>
          <w:szCs w:val="24"/>
        </w:rPr>
        <w:t xml:space="preserve"> 60 </w:t>
      </w:r>
      <w:r>
        <w:rPr>
          <w:rFonts w:ascii="Times New Roman" w:cs="Times New Roman" w:hAnsiTheme="minorEastAsia"/>
          <w:spacing w:val="-4"/>
          <w:kern w:val="0"/>
          <w:sz w:val="24"/>
          <w:szCs w:val="24"/>
        </w:rPr>
        <w:t>日内确定应当转为非农业户口人员、转非劳动力、超转人员名单，向农村村民公示，并分别报区、县公安、劳动保障和民政部门。各有关部门应当依照职责办理相关手续</w:t>
      </w:r>
      <w:r>
        <w:rPr>
          <w:rFonts w:hAnsiTheme="minorEastAsia"/>
          <w:spacing w:val="-4"/>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超转人员安置办法依照市人民政府有关规定执行</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第二十一条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不满</w:t>
      </w:r>
      <w:r>
        <w:rPr>
          <w:rFonts w:ascii="Times New Roman" w:hAnsi="Times New Roman" w:cs="Times New Roman"/>
          <w:kern w:val="0"/>
          <w:sz w:val="24"/>
          <w:szCs w:val="24"/>
        </w:rPr>
        <w:t xml:space="preserve"> 16 </w:t>
      </w:r>
      <w:r>
        <w:rPr>
          <w:rFonts w:ascii="Times New Roman" w:cs="Times New Roman" w:hAnsiTheme="minorEastAsia"/>
          <w:kern w:val="0"/>
          <w:sz w:val="24"/>
          <w:szCs w:val="24"/>
        </w:rPr>
        <w:t>周岁的未成年人及</w:t>
      </w:r>
      <w:r>
        <w:rPr>
          <w:rFonts w:ascii="Times New Roman" w:hAnsi="Times New Roman" w:cs="Times New Roman"/>
          <w:kern w:val="0"/>
          <w:sz w:val="24"/>
          <w:szCs w:val="24"/>
        </w:rPr>
        <w:t xml:space="preserve"> 16 </w:t>
      </w:r>
      <w:r>
        <w:rPr>
          <w:rFonts w:ascii="Times New Roman" w:cs="Times New Roman" w:hAnsiTheme="minorEastAsia"/>
          <w:kern w:val="0"/>
          <w:sz w:val="24"/>
          <w:szCs w:val="24"/>
        </w:rPr>
        <w:t>周岁以上正在接受义务教育和学历教育的学生，只办理转为非农业户口的手续，不享受本办法规定的转非劳动力安置补偿待遇</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第二十二条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依照本办法第十五条规定实行非货币补偿的，农村集体经济组织或者村民委员会应当保证转非劳动力和超转人员安置补偿所需费用</w:t>
      </w:r>
      <w:r>
        <w:rPr>
          <w:rFonts w:hAnsiTheme="minorEastAsia"/>
          <w:kern w:val="0"/>
          <w:sz w:val="24"/>
        </w:rPr>
        <w:t>。</w:t>
      </w:r>
    </w:p>
    <w:p>
      <w:pPr>
        <w:pStyle w:val="63"/>
        <w:spacing w:before="218" w:after="218" w:line="412" w:lineRule="exact"/>
        <w:rPr>
          <w:rFonts w:hAnsi="Times New Roman"/>
          <w:kern w:val="0"/>
        </w:rPr>
      </w:pPr>
      <w:r>
        <w:rPr>
          <w:kern w:val="0"/>
        </w:rPr>
        <w:t>第四章</w:t>
      </w:r>
      <w:r>
        <w:rPr>
          <w:rFonts w:hAnsi="Times New Roman"/>
          <w:kern w:val="0"/>
        </w:rPr>
        <w:t xml:space="preserve">  </w:t>
      </w:r>
      <w:r>
        <w:rPr>
          <w:kern w:val="0"/>
        </w:rPr>
        <w:t>就业促进</w:t>
      </w:r>
      <w:r>
        <w:rPr>
          <w:rFonts w:hAnsi="Times New Roman"/>
          <w:kern w:val="0"/>
        </w:rPr>
        <w:t xml:space="preserve"> </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第二十三条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转非劳动力的就业应当坚持征地单位优先招用、劳动者自主择业、政府促进就业的方针</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第二十四条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征地单位招用人员时，应当优先招用转非劳动力。乡镇企业、农村集体经济组织有条件的，可以吸纳转非劳动力就业</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鼓励用人单位招用转非劳动力</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第二十五条</w:t>
      </w:r>
      <w:r>
        <w:rPr>
          <w:rFonts w:ascii="Times New Roman" w:hAnsi="Times New Roman" w:cs="Times New Roman"/>
          <w:b/>
          <w:kern w:val="0"/>
          <w:sz w:val="24"/>
          <w:szCs w:val="24"/>
        </w:rPr>
        <w:t xml:space="preserve">  </w:t>
      </w:r>
      <w:r>
        <w:rPr>
          <w:rFonts w:ascii="Times New Roman" w:cs="Times New Roman" w:hAnsiTheme="minorEastAsia"/>
          <w:kern w:val="0"/>
          <w:sz w:val="24"/>
          <w:szCs w:val="24"/>
        </w:rPr>
        <w:t>公共就业服务机构应当为转非劳动力提供职业指导、职业介绍、职业技能培训等促进就业服务</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第二十六条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转非劳动力在征地时被单位招用的，征地单位应当从征地补偿款中支付招用单位一次性就业补助费；转非劳动力自谋职业的，一次性就业补助费支付给本人</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第二十七条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一次性就业补助费不低于下列标准：</w:t>
      </w:r>
      <w:r>
        <w:rPr>
          <w:rFonts w:ascii="Times New Roman" w:hAnsi="Times New Roman" w:cs="Times New Roman"/>
          <w:kern w:val="0"/>
          <w:sz w:val="24"/>
          <w:szCs w:val="24"/>
        </w:rPr>
        <w:t xml:space="preserve"> </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（一）转非劳动力年满</w:t>
      </w:r>
      <w:r>
        <w:rPr>
          <w:rFonts w:ascii="Times New Roman" w:hAnsi="Times New Roman" w:cs="Times New Roman"/>
          <w:kern w:val="0"/>
          <w:sz w:val="24"/>
          <w:szCs w:val="24"/>
        </w:rPr>
        <w:t>30</w:t>
      </w:r>
      <w:r>
        <w:rPr>
          <w:rFonts w:ascii="Times New Roman" w:cs="Times New Roman" w:hAnsiTheme="minorEastAsia"/>
          <w:kern w:val="0"/>
          <w:sz w:val="24"/>
          <w:szCs w:val="24"/>
        </w:rPr>
        <w:t>周岁、不满</w:t>
      </w:r>
      <w:r>
        <w:rPr>
          <w:rFonts w:ascii="Times New Roman" w:hAnsi="Times New Roman" w:cs="Times New Roman"/>
          <w:kern w:val="0"/>
          <w:sz w:val="24"/>
          <w:szCs w:val="24"/>
        </w:rPr>
        <w:t>40</w:t>
      </w:r>
      <w:r>
        <w:rPr>
          <w:rFonts w:ascii="Times New Roman" w:cs="Times New Roman" w:hAnsiTheme="minorEastAsia"/>
          <w:kern w:val="0"/>
          <w:sz w:val="24"/>
          <w:szCs w:val="24"/>
        </w:rPr>
        <w:t>周岁的，为征地时本市月最低工资标准的</w:t>
      </w:r>
      <w:r>
        <w:rPr>
          <w:rFonts w:ascii="Times New Roman" w:hAnsi="Times New Roman" w:cs="Times New Roman"/>
          <w:kern w:val="0"/>
          <w:sz w:val="24"/>
          <w:szCs w:val="24"/>
        </w:rPr>
        <w:t>60</w:t>
      </w:r>
      <w:r>
        <w:rPr>
          <w:rFonts w:ascii="Times New Roman" w:cs="Times New Roman" w:hAnsiTheme="minorEastAsia"/>
          <w:kern w:val="0"/>
          <w:sz w:val="24"/>
          <w:szCs w:val="24"/>
        </w:rPr>
        <w:t>倍</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（二）转非劳动力男年满</w:t>
      </w:r>
      <w:r>
        <w:rPr>
          <w:rFonts w:ascii="Times New Roman" w:hAnsi="Times New Roman" w:cs="Times New Roman"/>
          <w:kern w:val="0"/>
          <w:sz w:val="24"/>
          <w:szCs w:val="24"/>
        </w:rPr>
        <w:t>55</w:t>
      </w:r>
      <w:r>
        <w:rPr>
          <w:rFonts w:ascii="Times New Roman" w:cs="Times New Roman" w:hAnsiTheme="minorEastAsia"/>
          <w:kern w:val="0"/>
          <w:sz w:val="24"/>
          <w:szCs w:val="24"/>
        </w:rPr>
        <w:t>周岁、女年满</w:t>
      </w:r>
      <w:r>
        <w:rPr>
          <w:rFonts w:ascii="Times New Roman" w:hAnsi="Times New Roman" w:cs="Times New Roman"/>
          <w:kern w:val="0"/>
          <w:sz w:val="24"/>
          <w:szCs w:val="24"/>
        </w:rPr>
        <w:t>45</w:t>
      </w:r>
      <w:r>
        <w:rPr>
          <w:rFonts w:ascii="Times New Roman" w:cs="Times New Roman" w:hAnsiTheme="minorEastAsia"/>
          <w:kern w:val="0"/>
          <w:sz w:val="24"/>
          <w:szCs w:val="24"/>
        </w:rPr>
        <w:t>周岁的，为征地时本市月最低工资标准的</w:t>
      </w:r>
      <w:r>
        <w:rPr>
          <w:rFonts w:ascii="Times New Roman" w:hAnsi="Times New Roman" w:cs="Times New Roman"/>
          <w:kern w:val="0"/>
          <w:sz w:val="24"/>
          <w:szCs w:val="24"/>
        </w:rPr>
        <w:t>48</w:t>
      </w:r>
      <w:r>
        <w:rPr>
          <w:rFonts w:ascii="Times New Roman" w:cs="Times New Roman" w:hAnsiTheme="minorEastAsia"/>
          <w:kern w:val="0"/>
          <w:sz w:val="24"/>
          <w:szCs w:val="24"/>
        </w:rPr>
        <w:t>倍，年龄每增加</w:t>
      </w:r>
      <w:r>
        <w:rPr>
          <w:rFonts w:ascii="Times New Roman" w:hAnsi="Times New Roman" w:cs="Times New Roman"/>
          <w:kern w:val="0"/>
          <w:sz w:val="24"/>
          <w:szCs w:val="24"/>
        </w:rPr>
        <w:t>1</w:t>
      </w:r>
      <w:r>
        <w:rPr>
          <w:rFonts w:ascii="Times New Roman" w:cs="Times New Roman" w:hAnsiTheme="minorEastAsia"/>
          <w:kern w:val="0"/>
          <w:sz w:val="24"/>
          <w:szCs w:val="24"/>
        </w:rPr>
        <w:t>岁递减六分之一，至达到国家规定的退休年龄时止</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（三）其他转非劳动力为征地时本市月最低工资标准的</w:t>
      </w:r>
      <w:r>
        <w:rPr>
          <w:rFonts w:ascii="Times New Roman" w:hAnsi="Times New Roman" w:cs="Times New Roman"/>
          <w:kern w:val="0"/>
          <w:sz w:val="24"/>
          <w:szCs w:val="24"/>
        </w:rPr>
        <w:t xml:space="preserve"> 48 </w:t>
      </w:r>
      <w:r>
        <w:rPr>
          <w:rFonts w:ascii="Times New Roman" w:cs="Times New Roman" w:hAnsiTheme="minorEastAsia"/>
          <w:kern w:val="0"/>
          <w:sz w:val="24"/>
          <w:szCs w:val="24"/>
        </w:rPr>
        <w:t>倍</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第二十八条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依照本办法第二十六条规定招用转非劳动力的单位，应当按照劳动管理法律、法规、规章的规定，对转非劳动力实行同工同酬、进行岗前职业技能培训等，并遵守下列规定：</w:t>
      </w:r>
      <w:r>
        <w:rPr>
          <w:rFonts w:ascii="Times New Roman" w:hAnsi="Times New Roman" w:cs="Times New Roman"/>
          <w:kern w:val="0"/>
          <w:sz w:val="24"/>
          <w:szCs w:val="24"/>
        </w:rPr>
        <w:t xml:space="preserve"> </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（一）与转非劳动力签订劳动合同，并到土地所在区、县劳动保障部门办理招聘备案手续。转非劳动力要求签订无固定期限合同的，应当与其签订无固定期限劳动合同，并不得约定试用期</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（二）与转非劳动力履行劳动合同未满</w:t>
      </w:r>
      <w:r>
        <w:rPr>
          <w:rFonts w:ascii="Times New Roman" w:hAnsi="Times New Roman" w:cs="Times New Roman"/>
          <w:kern w:val="0"/>
          <w:sz w:val="24"/>
          <w:szCs w:val="24"/>
        </w:rPr>
        <w:t>5</w:t>
      </w:r>
      <w:r>
        <w:rPr>
          <w:rFonts w:ascii="Times New Roman" w:cs="Times New Roman" w:hAnsiTheme="minorEastAsia"/>
          <w:kern w:val="0"/>
          <w:sz w:val="24"/>
          <w:szCs w:val="24"/>
        </w:rPr>
        <w:t>年且转非劳动力未达到国家规定退休年龄的，解除或终止劳动合同时，每少履行</w:t>
      </w:r>
      <w:r>
        <w:rPr>
          <w:rFonts w:ascii="Times New Roman" w:hAnsi="Times New Roman" w:cs="Times New Roman"/>
          <w:kern w:val="0"/>
          <w:sz w:val="24"/>
          <w:szCs w:val="24"/>
        </w:rPr>
        <w:t>1</w:t>
      </w:r>
      <w:r>
        <w:rPr>
          <w:rFonts w:ascii="Times New Roman" w:cs="Times New Roman" w:hAnsiTheme="minorEastAsia"/>
          <w:kern w:val="0"/>
          <w:sz w:val="24"/>
          <w:szCs w:val="24"/>
        </w:rPr>
        <w:t>年，一次性就业补助费按照五分之一的比例返还给转非劳动力，不足</w:t>
      </w:r>
      <w:r>
        <w:rPr>
          <w:rFonts w:ascii="Times New Roman" w:hAnsi="Times New Roman" w:cs="Times New Roman"/>
          <w:kern w:val="0"/>
          <w:sz w:val="24"/>
          <w:szCs w:val="24"/>
        </w:rPr>
        <w:t>1</w:t>
      </w:r>
      <w:r>
        <w:rPr>
          <w:rFonts w:ascii="Times New Roman" w:cs="Times New Roman" w:hAnsiTheme="minorEastAsia"/>
          <w:kern w:val="0"/>
          <w:sz w:val="24"/>
          <w:szCs w:val="24"/>
        </w:rPr>
        <w:t>年的，按</w:t>
      </w:r>
      <w:r>
        <w:rPr>
          <w:rFonts w:ascii="Times New Roman" w:hAnsi="Times New Roman" w:cs="Times New Roman"/>
          <w:kern w:val="0"/>
          <w:sz w:val="24"/>
          <w:szCs w:val="24"/>
        </w:rPr>
        <w:t>1</w:t>
      </w:r>
      <w:r>
        <w:rPr>
          <w:rFonts w:ascii="Times New Roman" w:cs="Times New Roman" w:hAnsiTheme="minorEastAsia"/>
          <w:kern w:val="0"/>
          <w:sz w:val="24"/>
          <w:szCs w:val="24"/>
        </w:rPr>
        <w:t>年计算</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第二十九条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转非劳动力自谋职业的，应当与乡镇人民政府、农村集体经济组织或者村民委员会签订自谋职业协议并经公证机关公证</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按照前款规定签订自</w:t>
      </w:r>
      <w:r>
        <w:rPr>
          <w:rFonts w:ascii="Times New Roman" w:cs="Times New Roman" w:hAnsiTheme="minorEastAsia"/>
          <w:spacing w:val="4"/>
          <w:kern w:val="0"/>
          <w:sz w:val="24"/>
          <w:szCs w:val="24"/>
        </w:rPr>
        <w:t>谋职业协议后，转非劳动力应当办理就业登记手续，将档案转到市或者区、县职业介绍服务中心，并按照国家和本市规定缴纳各项社会保险费</w:t>
      </w:r>
      <w:r>
        <w:rPr>
          <w:rFonts w:hAnsiTheme="minorEastAsia"/>
          <w:spacing w:val="4"/>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转非劳动力失业的，可以将本人档案转到户籍所在地的区、县失业保险经办机构，并办理失业登记、申领失业保险金手续。有关部门应当按照规定为其发放《北京市再就业优惠证》</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失业的转非劳动力和招用失业转非劳动力的单位，享受本市促进就业的各项优惠政策</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第三十一条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正在服有期徒刑或者被劳动教养的转非劳动力，其一次性就业补助费可以支付给其委托的人，也可以先由农村集体经济组织或者村民委员会代为保管，待其刑满释放或者解除劳动教养后一次性全额支付给本人</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第三十二条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转非劳动力的档案由农村集体经济组织或者村民委员会负责建立。档案中应当有转非劳动力登记表及相关材料，自谋职业的还应当有经公证的自谋职业协议书</w:t>
      </w:r>
      <w:r>
        <w:rPr>
          <w:rFonts w:hAnsiTheme="minorEastAsia"/>
          <w:kern w:val="0"/>
          <w:sz w:val="24"/>
        </w:rPr>
        <w:t>。</w:t>
      </w:r>
    </w:p>
    <w:p>
      <w:pPr>
        <w:pStyle w:val="63"/>
        <w:spacing w:before="218" w:after="218" w:line="412" w:lineRule="exact"/>
        <w:rPr>
          <w:kern w:val="0"/>
        </w:rPr>
      </w:pPr>
      <w:r>
        <w:rPr>
          <w:rFonts w:hAnsiTheme="minorEastAsia"/>
          <w:kern w:val="0"/>
        </w:rPr>
        <w:t>第五章</w:t>
      </w:r>
      <w:r>
        <w:rPr>
          <w:kern w:val="0"/>
        </w:rPr>
        <w:t xml:space="preserve">  </w:t>
      </w:r>
      <w:r>
        <w:rPr>
          <w:rFonts w:hAnsiTheme="minorEastAsia"/>
          <w:kern w:val="0"/>
        </w:rPr>
        <w:t>社会保险</w:t>
      </w:r>
      <w:r>
        <w:rPr>
          <w:kern w:val="0"/>
        </w:rPr>
        <w:t xml:space="preserve"> </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第三十三条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自批准征地之月起，转非劳动力应当按照国家和本市规定参加各项社会保险，并按规定缴纳社会保险费</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农村集体经济组织或者村民委员会应当在转非劳动力办理转为非农业户口手续后</w:t>
      </w:r>
      <w:r>
        <w:rPr>
          <w:rFonts w:ascii="Times New Roman" w:hAnsi="Times New Roman" w:cs="Times New Roman"/>
          <w:kern w:val="0"/>
          <w:sz w:val="24"/>
          <w:szCs w:val="24"/>
        </w:rPr>
        <w:t>30</w:t>
      </w:r>
      <w:r>
        <w:rPr>
          <w:rFonts w:ascii="Times New Roman" w:cs="Times New Roman" w:hAnsiTheme="minorEastAsia"/>
          <w:kern w:val="0"/>
          <w:sz w:val="24"/>
          <w:szCs w:val="24"/>
        </w:rPr>
        <w:t>日内，到所在区、县社会保险经办机构为其办理参加社会保险手续，补缴社会保险费</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转非劳动力补缴的社会保险费，由征地单位从征地补偿费中直接拨付到其所在区、县社会保险经办机构</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第三十四条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转非劳动力达到国家规定的退休年龄时，累计缴纳基本养老保险费满</w:t>
      </w:r>
      <w:r>
        <w:rPr>
          <w:rFonts w:ascii="Times New Roman" w:hAnsi="Times New Roman" w:cs="Times New Roman"/>
          <w:kern w:val="0"/>
          <w:sz w:val="24"/>
          <w:szCs w:val="24"/>
        </w:rPr>
        <w:t>15</w:t>
      </w:r>
      <w:r>
        <w:rPr>
          <w:rFonts w:ascii="Times New Roman" w:cs="Times New Roman" w:hAnsiTheme="minorEastAsia"/>
          <w:kern w:val="0"/>
          <w:sz w:val="24"/>
          <w:szCs w:val="24"/>
        </w:rPr>
        <w:t>年及其以上的，享受按月领取基本养老金待遇。基本养老金由基础养老金和个人帐户养老金两部分组成。基础养老金按照本人退休时上一年本市职工月平均工资的</w:t>
      </w:r>
      <w:r>
        <w:rPr>
          <w:rFonts w:ascii="Times New Roman" w:hAnsi="Times New Roman" w:cs="Times New Roman"/>
          <w:kern w:val="0"/>
          <w:sz w:val="24"/>
          <w:szCs w:val="24"/>
        </w:rPr>
        <w:t>20</w:t>
      </w:r>
      <w:r>
        <w:rPr>
          <w:rFonts w:ascii="Times New Roman" w:cs="Times New Roman" w:hAnsiTheme="minorEastAsia"/>
          <w:kern w:val="0"/>
          <w:sz w:val="24"/>
          <w:szCs w:val="24"/>
        </w:rPr>
        <w:t>％计发；个人帐户养老金按照个人帐户累计储存额的一百二十分之一计发。转非劳动力按月领取的基本养老金低于本市基本养老金最低标准的，按照最低标准发放，并执行基本养老金调整的统一规定</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转非劳动力达到国家规定的退休年龄时，累计缴纳基本养老保险费不满</w:t>
      </w:r>
      <w:r>
        <w:rPr>
          <w:rFonts w:ascii="Times New Roman" w:hAnsi="Times New Roman" w:cs="Times New Roman"/>
          <w:kern w:val="0"/>
          <w:sz w:val="24"/>
          <w:szCs w:val="24"/>
        </w:rPr>
        <w:t>15</w:t>
      </w:r>
      <w:r>
        <w:rPr>
          <w:rFonts w:ascii="Times New Roman" w:cs="Times New Roman" w:hAnsiTheme="minorEastAsia"/>
          <w:kern w:val="0"/>
          <w:sz w:val="24"/>
          <w:szCs w:val="24"/>
        </w:rPr>
        <w:t>年的，不享受按月领取基本养老金待遇，其个人帐户储存额一次性支付给本人，并终止养老保险关系</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第三十五条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依法批准征地时，转非劳动力男年满</w:t>
      </w:r>
      <w:r>
        <w:rPr>
          <w:rFonts w:ascii="Times New Roman" w:hAnsi="Times New Roman" w:cs="Times New Roman"/>
          <w:kern w:val="0"/>
          <w:sz w:val="24"/>
          <w:szCs w:val="24"/>
        </w:rPr>
        <w:t>41</w:t>
      </w:r>
      <w:r>
        <w:rPr>
          <w:rFonts w:ascii="Times New Roman" w:cs="Times New Roman" w:hAnsiTheme="minorEastAsia"/>
          <w:kern w:val="0"/>
          <w:sz w:val="24"/>
          <w:szCs w:val="24"/>
        </w:rPr>
        <w:t>周岁、女年满</w:t>
      </w:r>
      <w:r>
        <w:rPr>
          <w:rFonts w:ascii="Times New Roman" w:hAnsi="Times New Roman" w:cs="Times New Roman"/>
          <w:kern w:val="0"/>
          <w:sz w:val="24"/>
          <w:szCs w:val="24"/>
        </w:rPr>
        <w:t>31</w:t>
      </w:r>
      <w:r>
        <w:rPr>
          <w:rFonts w:ascii="Times New Roman" w:cs="Times New Roman" w:hAnsiTheme="minorEastAsia"/>
          <w:kern w:val="0"/>
          <w:sz w:val="24"/>
          <w:szCs w:val="24"/>
        </w:rPr>
        <w:t>周岁的补缴</w:t>
      </w:r>
      <w:r>
        <w:rPr>
          <w:rFonts w:ascii="Times New Roman" w:hAnsi="Times New Roman" w:cs="Times New Roman"/>
          <w:kern w:val="0"/>
          <w:sz w:val="24"/>
          <w:szCs w:val="24"/>
        </w:rPr>
        <w:t>1</w:t>
      </w:r>
      <w:r>
        <w:rPr>
          <w:rFonts w:ascii="Times New Roman" w:cs="Times New Roman" w:hAnsiTheme="minorEastAsia"/>
          <w:kern w:val="0"/>
          <w:sz w:val="24"/>
          <w:szCs w:val="24"/>
        </w:rPr>
        <w:t>年基本养老保险费；年龄每增加</w:t>
      </w:r>
      <w:r>
        <w:rPr>
          <w:rFonts w:ascii="Times New Roman" w:hAnsi="Times New Roman" w:cs="Times New Roman"/>
          <w:kern w:val="0"/>
          <w:sz w:val="24"/>
          <w:szCs w:val="24"/>
        </w:rPr>
        <w:t>1</w:t>
      </w:r>
      <w:r>
        <w:rPr>
          <w:rFonts w:ascii="Times New Roman" w:cs="Times New Roman" w:hAnsiTheme="minorEastAsia"/>
          <w:kern w:val="0"/>
          <w:sz w:val="24"/>
          <w:szCs w:val="24"/>
        </w:rPr>
        <w:t>岁增补</w:t>
      </w:r>
      <w:r>
        <w:rPr>
          <w:rFonts w:ascii="Times New Roman" w:hAnsi="Times New Roman" w:cs="Times New Roman"/>
          <w:kern w:val="0"/>
          <w:sz w:val="24"/>
          <w:szCs w:val="24"/>
        </w:rPr>
        <w:t>1</w:t>
      </w:r>
      <w:r>
        <w:rPr>
          <w:rFonts w:ascii="Times New Roman" w:cs="Times New Roman" w:hAnsiTheme="minorEastAsia"/>
          <w:kern w:val="0"/>
          <w:sz w:val="24"/>
          <w:szCs w:val="24"/>
        </w:rPr>
        <w:t>年基本养老保险费，最多补缴</w:t>
      </w:r>
      <w:r>
        <w:rPr>
          <w:rFonts w:ascii="Times New Roman" w:hAnsi="Times New Roman" w:cs="Times New Roman"/>
          <w:kern w:val="0"/>
          <w:sz w:val="24"/>
          <w:szCs w:val="24"/>
        </w:rPr>
        <w:t>15</w:t>
      </w:r>
      <w:r>
        <w:rPr>
          <w:rFonts w:ascii="Times New Roman" w:cs="Times New Roman" w:hAnsiTheme="minorEastAsia"/>
          <w:kern w:val="0"/>
          <w:sz w:val="24"/>
          <w:szCs w:val="24"/>
        </w:rPr>
        <w:t>年</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补缴基本养老保险费以依法批准征地时上一年本市职工平均工资的</w:t>
      </w:r>
      <w:r>
        <w:rPr>
          <w:rFonts w:ascii="Times New Roman" w:hAnsi="Times New Roman" w:cs="Times New Roman"/>
          <w:kern w:val="0"/>
          <w:sz w:val="24"/>
          <w:szCs w:val="24"/>
        </w:rPr>
        <w:t>60</w:t>
      </w:r>
      <w:r>
        <w:rPr>
          <w:rFonts w:ascii="Times New Roman" w:cs="Times New Roman" w:hAnsiTheme="minorEastAsia"/>
          <w:kern w:val="0"/>
          <w:sz w:val="24"/>
          <w:szCs w:val="24"/>
        </w:rPr>
        <w:t>％为基数，按照</w:t>
      </w:r>
      <w:r>
        <w:rPr>
          <w:rFonts w:ascii="Times New Roman" w:hAnsi="Times New Roman" w:cs="Times New Roman"/>
          <w:kern w:val="0"/>
          <w:sz w:val="24"/>
          <w:szCs w:val="24"/>
        </w:rPr>
        <w:t>28</w:t>
      </w:r>
      <w:r>
        <w:rPr>
          <w:rFonts w:ascii="Times New Roman" w:cs="Times New Roman" w:hAnsiTheme="minorEastAsia"/>
          <w:kern w:val="0"/>
          <w:sz w:val="24"/>
          <w:szCs w:val="24"/>
        </w:rPr>
        <w:t>％的比例一次性补缴。补缴后，由社会保险经办机构按照</w:t>
      </w:r>
      <w:r>
        <w:rPr>
          <w:rFonts w:ascii="Times New Roman" w:hAnsi="Times New Roman" w:cs="Times New Roman"/>
          <w:kern w:val="0"/>
          <w:sz w:val="24"/>
          <w:szCs w:val="24"/>
        </w:rPr>
        <w:t>11</w:t>
      </w:r>
      <w:r>
        <w:rPr>
          <w:rFonts w:ascii="Times New Roman" w:cs="Times New Roman" w:hAnsiTheme="minorEastAsia"/>
          <w:kern w:val="0"/>
          <w:sz w:val="24"/>
          <w:szCs w:val="24"/>
        </w:rPr>
        <w:t>％的比例一次性为其建立基本养老保险个人帐户</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第三十六条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转非劳动力达到国家规定的退休年龄时，基本医疗保险累计缴费年限男满</w:t>
      </w:r>
      <w:r>
        <w:rPr>
          <w:rFonts w:ascii="Times New Roman" w:hAnsi="Times New Roman" w:cs="Times New Roman"/>
          <w:kern w:val="0"/>
          <w:sz w:val="24"/>
          <w:szCs w:val="24"/>
        </w:rPr>
        <w:t>25</w:t>
      </w:r>
      <w:r>
        <w:rPr>
          <w:rFonts w:ascii="Times New Roman" w:cs="Times New Roman" w:hAnsiTheme="minorEastAsia"/>
          <w:kern w:val="0"/>
          <w:sz w:val="24"/>
          <w:szCs w:val="24"/>
        </w:rPr>
        <w:t>年、女满</w:t>
      </w:r>
      <w:r>
        <w:rPr>
          <w:rFonts w:ascii="Times New Roman" w:hAnsi="Times New Roman" w:cs="Times New Roman"/>
          <w:kern w:val="0"/>
          <w:sz w:val="24"/>
          <w:szCs w:val="24"/>
        </w:rPr>
        <w:t>20</w:t>
      </w:r>
      <w:r>
        <w:rPr>
          <w:rFonts w:ascii="Times New Roman" w:cs="Times New Roman" w:hAnsiTheme="minorEastAsia"/>
          <w:kern w:val="0"/>
          <w:sz w:val="24"/>
          <w:szCs w:val="24"/>
        </w:rPr>
        <w:t>年且符合按月领取基本养老金条件的，办理退休手续后按规定享受退休人员基本医疗保险待遇；不符合上述条件的不享受退休人员基本医疗保险待遇，个人帐户余额一次性支付给本人</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第三十七条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依法批准征地时，转非劳动力男年满</w:t>
      </w:r>
      <w:r>
        <w:rPr>
          <w:rFonts w:ascii="Times New Roman" w:hAnsi="Times New Roman" w:cs="Times New Roman"/>
          <w:kern w:val="0"/>
          <w:sz w:val="24"/>
          <w:szCs w:val="24"/>
        </w:rPr>
        <w:t>31</w:t>
      </w:r>
      <w:r>
        <w:rPr>
          <w:rFonts w:ascii="Times New Roman" w:cs="Times New Roman" w:hAnsiTheme="minorEastAsia"/>
          <w:kern w:val="0"/>
          <w:sz w:val="24"/>
          <w:szCs w:val="24"/>
        </w:rPr>
        <w:t>周岁的补缴</w:t>
      </w:r>
      <w:r>
        <w:rPr>
          <w:rFonts w:ascii="Times New Roman" w:hAnsi="Times New Roman" w:cs="Times New Roman"/>
          <w:kern w:val="0"/>
          <w:sz w:val="24"/>
          <w:szCs w:val="24"/>
        </w:rPr>
        <w:t>1</w:t>
      </w:r>
      <w:r>
        <w:rPr>
          <w:rFonts w:ascii="Times New Roman" w:cs="Times New Roman" w:hAnsiTheme="minorEastAsia"/>
          <w:kern w:val="0"/>
          <w:sz w:val="24"/>
          <w:szCs w:val="24"/>
        </w:rPr>
        <w:t>年基本医疗保险费，至年满</w:t>
      </w:r>
      <w:r>
        <w:rPr>
          <w:rFonts w:ascii="Times New Roman" w:hAnsi="Times New Roman" w:cs="Times New Roman"/>
          <w:kern w:val="0"/>
          <w:sz w:val="24"/>
          <w:szCs w:val="24"/>
        </w:rPr>
        <w:t>51</w:t>
      </w:r>
      <w:r>
        <w:rPr>
          <w:rFonts w:ascii="Times New Roman" w:cs="Times New Roman" w:hAnsiTheme="minorEastAsia"/>
          <w:kern w:val="0"/>
          <w:sz w:val="24"/>
          <w:szCs w:val="24"/>
        </w:rPr>
        <w:t>周岁前每增加</w:t>
      </w:r>
      <w:r>
        <w:rPr>
          <w:rFonts w:ascii="Times New Roman" w:hAnsi="Times New Roman" w:cs="Times New Roman"/>
          <w:kern w:val="0"/>
          <w:sz w:val="24"/>
          <w:szCs w:val="24"/>
        </w:rPr>
        <w:t>1</w:t>
      </w:r>
      <w:r>
        <w:rPr>
          <w:rFonts w:ascii="Times New Roman" w:cs="Times New Roman" w:hAnsiTheme="minorEastAsia"/>
          <w:kern w:val="0"/>
          <w:sz w:val="24"/>
          <w:szCs w:val="24"/>
        </w:rPr>
        <w:t>岁增补</w:t>
      </w:r>
      <w:r>
        <w:rPr>
          <w:rFonts w:ascii="Times New Roman" w:hAnsi="Times New Roman" w:cs="Times New Roman"/>
          <w:kern w:val="0"/>
          <w:sz w:val="24"/>
          <w:szCs w:val="24"/>
        </w:rPr>
        <w:t>1</w:t>
      </w:r>
      <w:r>
        <w:rPr>
          <w:rFonts w:ascii="Times New Roman" w:cs="Times New Roman" w:hAnsiTheme="minorEastAsia"/>
          <w:kern w:val="0"/>
          <w:sz w:val="24"/>
          <w:szCs w:val="24"/>
        </w:rPr>
        <w:t>年，最多补缴</w:t>
      </w:r>
      <w:r>
        <w:rPr>
          <w:rFonts w:ascii="Times New Roman" w:hAnsi="Times New Roman" w:cs="Times New Roman"/>
          <w:kern w:val="0"/>
          <w:sz w:val="24"/>
          <w:szCs w:val="24"/>
        </w:rPr>
        <w:t>10</w:t>
      </w:r>
      <w:r>
        <w:rPr>
          <w:rFonts w:ascii="Times New Roman" w:cs="Times New Roman" w:hAnsiTheme="minorEastAsia"/>
          <w:kern w:val="0"/>
          <w:sz w:val="24"/>
          <w:szCs w:val="24"/>
        </w:rPr>
        <w:t>年；年满</w:t>
      </w:r>
      <w:r>
        <w:rPr>
          <w:rFonts w:ascii="Times New Roman" w:hAnsi="Times New Roman" w:cs="Times New Roman"/>
          <w:kern w:val="0"/>
          <w:sz w:val="24"/>
          <w:szCs w:val="24"/>
        </w:rPr>
        <w:t>51</w:t>
      </w:r>
      <w:r>
        <w:rPr>
          <w:rFonts w:ascii="Times New Roman" w:cs="Times New Roman" w:hAnsiTheme="minorEastAsia"/>
          <w:kern w:val="0"/>
          <w:sz w:val="24"/>
          <w:szCs w:val="24"/>
        </w:rPr>
        <w:t>周岁的补缴</w:t>
      </w:r>
      <w:r>
        <w:rPr>
          <w:rFonts w:ascii="Times New Roman" w:hAnsi="Times New Roman" w:cs="Times New Roman"/>
          <w:kern w:val="0"/>
          <w:sz w:val="24"/>
          <w:szCs w:val="24"/>
        </w:rPr>
        <w:t>11</w:t>
      </w:r>
      <w:r>
        <w:rPr>
          <w:rFonts w:ascii="Times New Roman" w:cs="Times New Roman" w:hAnsiTheme="minorEastAsia"/>
          <w:kern w:val="0"/>
          <w:sz w:val="24"/>
          <w:szCs w:val="24"/>
        </w:rPr>
        <w:t>年基本医疗保险费，至退休前每增加</w:t>
      </w:r>
      <w:r>
        <w:rPr>
          <w:rFonts w:ascii="Times New Roman" w:hAnsi="Times New Roman" w:cs="Times New Roman"/>
          <w:kern w:val="0"/>
          <w:sz w:val="24"/>
          <w:szCs w:val="24"/>
        </w:rPr>
        <w:t>1</w:t>
      </w:r>
      <w:r>
        <w:rPr>
          <w:rFonts w:ascii="Times New Roman" w:cs="Times New Roman" w:hAnsiTheme="minorEastAsia"/>
          <w:kern w:val="0"/>
          <w:sz w:val="24"/>
          <w:szCs w:val="24"/>
        </w:rPr>
        <w:t>岁增补</w:t>
      </w:r>
      <w:r>
        <w:rPr>
          <w:rFonts w:ascii="Times New Roman" w:hAnsi="Times New Roman" w:cs="Times New Roman"/>
          <w:kern w:val="0"/>
          <w:sz w:val="24"/>
          <w:szCs w:val="24"/>
        </w:rPr>
        <w:t>1</w:t>
      </w:r>
      <w:r>
        <w:rPr>
          <w:rFonts w:ascii="Times New Roman" w:cs="Times New Roman" w:hAnsiTheme="minorEastAsia"/>
          <w:kern w:val="0"/>
          <w:sz w:val="24"/>
          <w:szCs w:val="24"/>
        </w:rPr>
        <w:t>年，最多补缴</w:t>
      </w:r>
      <w:r>
        <w:rPr>
          <w:rFonts w:ascii="Times New Roman" w:hAnsi="Times New Roman" w:cs="Times New Roman"/>
          <w:kern w:val="0"/>
          <w:sz w:val="24"/>
          <w:szCs w:val="24"/>
        </w:rPr>
        <w:t>15</w:t>
      </w:r>
      <w:r>
        <w:rPr>
          <w:rFonts w:ascii="Times New Roman" w:cs="Times New Roman" w:hAnsiTheme="minorEastAsia"/>
          <w:kern w:val="0"/>
          <w:sz w:val="24"/>
          <w:szCs w:val="24"/>
        </w:rPr>
        <w:t>年</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依法批准征地时，转非劳动力女年满</w:t>
      </w:r>
      <w:r>
        <w:rPr>
          <w:rFonts w:ascii="Times New Roman" w:hAnsi="Times New Roman" w:cs="Times New Roman"/>
          <w:kern w:val="0"/>
          <w:sz w:val="24"/>
          <w:szCs w:val="24"/>
        </w:rPr>
        <w:t>26</w:t>
      </w:r>
      <w:r>
        <w:rPr>
          <w:rFonts w:ascii="Times New Roman" w:cs="Times New Roman" w:hAnsiTheme="minorEastAsia"/>
          <w:kern w:val="0"/>
          <w:sz w:val="24"/>
          <w:szCs w:val="24"/>
        </w:rPr>
        <w:t>周岁的补缴</w:t>
      </w:r>
      <w:r>
        <w:rPr>
          <w:rFonts w:ascii="Times New Roman" w:hAnsi="Times New Roman" w:cs="Times New Roman"/>
          <w:kern w:val="0"/>
          <w:sz w:val="24"/>
          <w:szCs w:val="24"/>
        </w:rPr>
        <w:t>1</w:t>
      </w:r>
      <w:r>
        <w:rPr>
          <w:rFonts w:ascii="Times New Roman" w:cs="Times New Roman" w:hAnsiTheme="minorEastAsia"/>
          <w:kern w:val="0"/>
          <w:sz w:val="24"/>
          <w:szCs w:val="24"/>
        </w:rPr>
        <w:t>年基本医疗保险费，至年满</w:t>
      </w:r>
      <w:r>
        <w:rPr>
          <w:rFonts w:ascii="Times New Roman" w:hAnsi="Times New Roman" w:cs="Times New Roman"/>
          <w:kern w:val="0"/>
          <w:sz w:val="24"/>
          <w:szCs w:val="24"/>
        </w:rPr>
        <w:t>41</w:t>
      </w:r>
      <w:r>
        <w:rPr>
          <w:rFonts w:ascii="Times New Roman" w:cs="Times New Roman" w:hAnsiTheme="minorEastAsia"/>
          <w:kern w:val="0"/>
          <w:sz w:val="24"/>
          <w:szCs w:val="24"/>
        </w:rPr>
        <w:t>周岁前每增加</w:t>
      </w:r>
      <w:r>
        <w:rPr>
          <w:rFonts w:ascii="Times New Roman" w:hAnsi="Times New Roman" w:cs="Times New Roman"/>
          <w:kern w:val="0"/>
          <w:sz w:val="24"/>
          <w:szCs w:val="24"/>
        </w:rPr>
        <w:t>1</w:t>
      </w:r>
      <w:r>
        <w:rPr>
          <w:rFonts w:ascii="Times New Roman" w:cs="Times New Roman" w:hAnsiTheme="minorEastAsia"/>
          <w:kern w:val="0"/>
          <w:sz w:val="24"/>
          <w:szCs w:val="24"/>
        </w:rPr>
        <w:t>岁增补</w:t>
      </w:r>
      <w:r>
        <w:rPr>
          <w:rFonts w:ascii="Times New Roman" w:hAnsi="Times New Roman" w:cs="Times New Roman"/>
          <w:kern w:val="0"/>
          <w:sz w:val="24"/>
          <w:szCs w:val="24"/>
        </w:rPr>
        <w:t>1</w:t>
      </w:r>
      <w:r>
        <w:rPr>
          <w:rFonts w:ascii="Times New Roman" w:cs="Times New Roman" w:hAnsiTheme="minorEastAsia"/>
          <w:kern w:val="0"/>
          <w:sz w:val="24"/>
          <w:szCs w:val="24"/>
        </w:rPr>
        <w:t>年，最多补缴</w:t>
      </w:r>
      <w:r>
        <w:rPr>
          <w:rFonts w:ascii="Times New Roman" w:hAnsi="Times New Roman" w:cs="Times New Roman"/>
          <w:kern w:val="0"/>
          <w:sz w:val="24"/>
          <w:szCs w:val="24"/>
        </w:rPr>
        <w:t>5</w:t>
      </w:r>
      <w:r>
        <w:rPr>
          <w:rFonts w:ascii="Times New Roman" w:cs="Times New Roman" w:hAnsiTheme="minorEastAsia"/>
          <w:kern w:val="0"/>
          <w:sz w:val="24"/>
          <w:szCs w:val="24"/>
        </w:rPr>
        <w:t>年；年满</w:t>
      </w:r>
      <w:r>
        <w:rPr>
          <w:rFonts w:ascii="Times New Roman" w:hAnsi="Times New Roman" w:cs="Times New Roman"/>
          <w:kern w:val="0"/>
          <w:sz w:val="24"/>
          <w:szCs w:val="24"/>
        </w:rPr>
        <w:t>41</w:t>
      </w:r>
      <w:r>
        <w:rPr>
          <w:rFonts w:ascii="Times New Roman" w:cs="Times New Roman" w:hAnsiTheme="minorEastAsia"/>
          <w:kern w:val="0"/>
          <w:sz w:val="24"/>
          <w:szCs w:val="24"/>
        </w:rPr>
        <w:t>周岁补缴</w:t>
      </w:r>
      <w:r>
        <w:rPr>
          <w:rFonts w:ascii="Times New Roman" w:hAnsi="Times New Roman" w:cs="Times New Roman"/>
          <w:kern w:val="0"/>
          <w:sz w:val="24"/>
          <w:szCs w:val="24"/>
        </w:rPr>
        <w:t>6</w:t>
      </w:r>
      <w:r>
        <w:rPr>
          <w:rFonts w:ascii="Times New Roman" w:cs="Times New Roman" w:hAnsiTheme="minorEastAsia"/>
          <w:kern w:val="0"/>
          <w:sz w:val="24"/>
          <w:szCs w:val="24"/>
        </w:rPr>
        <w:t>年基本医疗保险费，至退休前每增加</w:t>
      </w:r>
      <w:r>
        <w:rPr>
          <w:rFonts w:ascii="Times New Roman" w:hAnsi="Times New Roman" w:cs="Times New Roman"/>
          <w:kern w:val="0"/>
          <w:sz w:val="24"/>
          <w:szCs w:val="24"/>
        </w:rPr>
        <w:t>1</w:t>
      </w:r>
      <w:r>
        <w:rPr>
          <w:rFonts w:ascii="Times New Roman" w:cs="Times New Roman" w:hAnsiTheme="minorEastAsia"/>
          <w:kern w:val="0"/>
          <w:sz w:val="24"/>
          <w:szCs w:val="24"/>
        </w:rPr>
        <w:t>岁增补</w:t>
      </w:r>
      <w:r>
        <w:rPr>
          <w:rFonts w:ascii="Times New Roman" w:hAnsi="Times New Roman" w:cs="Times New Roman"/>
          <w:kern w:val="0"/>
          <w:sz w:val="24"/>
          <w:szCs w:val="24"/>
        </w:rPr>
        <w:t>1</w:t>
      </w:r>
      <w:r>
        <w:rPr>
          <w:rFonts w:ascii="Times New Roman" w:cs="Times New Roman" w:hAnsiTheme="minorEastAsia"/>
          <w:kern w:val="0"/>
          <w:sz w:val="24"/>
          <w:szCs w:val="24"/>
        </w:rPr>
        <w:t>年，最多补缴</w:t>
      </w:r>
      <w:r>
        <w:rPr>
          <w:rFonts w:ascii="Times New Roman" w:hAnsi="Times New Roman" w:cs="Times New Roman"/>
          <w:kern w:val="0"/>
          <w:sz w:val="24"/>
          <w:szCs w:val="24"/>
        </w:rPr>
        <w:t>10</w:t>
      </w:r>
      <w:r>
        <w:rPr>
          <w:rFonts w:ascii="Times New Roman" w:cs="Times New Roman" w:hAnsiTheme="minorEastAsia"/>
          <w:kern w:val="0"/>
          <w:sz w:val="24"/>
          <w:szCs w:val="24"/>
        </w:rPr>
        <w:t>年</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补缴基本医疗保险费以依法批准征地时上一年本市职工平均工资的</w:t>
      </w:r>
      <w:r>
        <w:rPr>
          <w:rFonts w:ascii="Times New Roman" w:hAnsi="Times New Roman" w:cs="Times New Roman"/>
          <w:kern w:val="0"/>
          <w:sz w:val="24"/>
          <w:szCs w:val="24"/>
        </w:rPr>
        <w:t>60</w:t>
      </w:r>
      <w:r>
        <w:rPr>
          <w:rFonts w:ascii="Times New Roman" w:cs="Times New Roman" w:hAnsiTheme="minorEastAsia"/>
          <w:kern w:val="0"/>
          <w:sz w:val="24"/>
          <w:szCs w:val="24"/>
        </w:rPr>
        <w:t>％为基数，按照</w:t>
      </w:r>
      <w:r>
        <w:rPr>
          <w:rFonts w:ascii="Times New Roman" w:hAnsi="Times New Roman" w:cs="Times New Roman"/>
          <w:kern w:val="0"/>
          <w:sz w:val="24"/>
          <w:szCs w:val="24"/>
        </w:rPr>
        <w:t>12</w:t>
      </w:r>
      <w:r>
        <w:rPr>
          <w:rFonts w:ascii="Times New Roman" w:cs="Times New Roman" w:hAnsiTheme="minorEastAsia"/>
          <w:kern w:val="0"/>
          <w:sz w:val="24"/>
          <w:szCs w:val="24"/>
        </w:rPr>
        <w:t>％的比例一次性补缴。补缴后，由社会保险经办机构将其中</w:t>
      </w:r>
      <w:r>
        <w:rPr>
          <w:rFonts w:ascii="Times New Roman" w:hAnsi="Times New Roman" w:cs="Times New Roman"/>
          <w:kern w:val="0"/>
          <w:sz w:val="24"/>
          <w:szCs w:val="24"/>
        </w:rPr>
        <w:t>9</w:t>
      </w:r>
      <w:r>
        <w:rPr>
          <w:rFonts w:ascii="Times New Roman" w:cs="Times New Roman" w:hAnsiTheme="minorEastAsia"/>
          <w:kern w:val="0"/>
          <w:sz w:val="24"/>
          <w:szCs w:val="24"/>
        </w:rPr>
        <w:t>％划入统筹基金、</w:t>
      </w:r>
      <w:r>
        <w:rPr>
          <w:rFonts w:ascii="Times New Roman" w:hAnsi="Times New Roman" w:cs="Times New Roman"/>
          <w:kern w:val="0"/>
          <w:sz w:val="24"/>
          <w:szCs w:val="24"/>
        </w:rPr>
        <w:t>1</w:t>
      </w:r>
      <w:r>
        <w:rPr>
          <w:rFonts w:ascii="Times New Roman" w:cs="Times New Roman" w:hAnsiTheme="minorEastAsia"/>
          <w:kern w:val="0"/>
          <w:sz w:val="24"/>
          <w:szCs w:val="24"/>
        </w:rPr>
        <w:t>％划入大额医疗互助资金、</w:t>
      </w:r>
      <w:r>
        <w:rPr>
          <w:rFonts w:ascii="Times New Roman" w:hAnsi="Times New Roman" w:cs="Times New Roman"/>
          <w:kern w:val="0"/>
          <w:sz w:val="24"/>
          <w:szCs w:val="24"/>
        </w:rPr>
        <w:t>2</w:t>
      </w:r>
      <w:r>
        <w:rPr>
          <w:rFonts w:ascii="Times New Roman" w:cs="Times New Roman" w:hAnsiTheme="minorEastAsia"/>
          <w:kern w:val="0"/>
          <w:sz w:val="24"/>
          <w:szCs w:val="24"/>
        </w:rPr>
        <w:t>％划入个人帐户</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第三十八条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转非劳动力按本办法第三十五条规定一次性补缴基本养老保险费的，其补缴基本养老保险费年限视同基本医疗保险缴费年限，但最多视同</w:t>
      </w:r>
      <w:r>
        <w:rPr>
          <w:rFonts w:ascii="Times New Roman" w:hAnsi="Times New Roman" w:cs="Times New Roman"/>
          <w:kern w:val="0"/>
          <w:sz w:val="24"/>
          <w:szCs w:val="24"/>
        </w:rPr>
        <w:t xml:space="preserve"> 10 </w:t>
      </w:r>
      <w:r>
        <w:rPr>
          <w:rFonts w:ascii="Times New Roman" w:cs="Times New Roman" w:hAnsiTheme="minorEastAsia"/>
          <w:kern w:val="0"/>
          <w:sz w:val="24"/>
          <w:szCs w:val="24"/>
        </w:rPr>
        <w:t>年缴费年限</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第三十九条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按照本办法第三十七条规定补缴基本医疗保险费后，在达到国家规定的退休年龄前继续缴纳基本医疗保险费的，享受当期基本医疗保险待遇；不继续缴纳基本医疗保险费的，不享受当期基本医疗保险待遇</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依法批准征地时，转非劳动力年满</w:t>
      </w:r>
      <w:r>
        <w:rPr>
          <w:rFonts w:ascii="Times New Roman" w:hAnsi="Times New Roman" w:cs="Times New Roman"/>
          <w:kern w:val="0"/>
          <w:sz w:val="24"/>
          <w:szCs w:val="24"/>
        </w:rPr>
        <w:t>16</w:t>
      </w:r>
      <w:r>
        <w:rPr>
          <w:rFonts w:ascii="Times New Roman" w:cs="Times New Roman" w:hAnsiTheme="minorEastAsia"/>
          <w:kern w:val="0"/>
          <w:sz w:val="24"/>
          <w:szCs w:val="24"/>
        </w:rPr>
        <w:t>周岁的补缴</w:t>
      </w:r>
      <w:r>
        <w:rPr>
          <w:rFonts w:ascii="Times New Roman" w:hAnsi="Times New Roman" w:cs="Times New Roman"/>
          <w:kern w:val="0"/>
          <w:sz w:val="24"/>
          <w:szCs w:val="24"/>
        </w:rPr>
        <w:t>1</w:t>
      </w:r>
      <w:r>
        <w:rPr>
          <w:rFonts w:ascii="Times New Roman" w:cs="Times New Roman" w:hAnsiTheme="minorEastAsia"/>
          <w:kern w:val="0"/>
          <w:sz w:val="24"/>
          <w:szCs w:val="24"/>
        </w:rPr>
        <w:t>年失业保险费，至达到国家规定的退休年龄前，每增加</w:t>
      </w:r>
      <w:r>
        <w:rPr>
          <w:rFonts w:ascii="Times New Roman" w:hAnsi="Times New Roman" w:cs="Times New Roman"/>
          <w:kern w:val="0"/>
          <w:sz w:val="24"/>
          <w:szCs w:val="24"/>
        </w:rPr>
        <w:t>1</w:t>
      </w:r>
      <w:r>
        <w:rPr>
          <w:rFonts w:ascii="Times New Roman" w:cs="Times New Roman" w:hAnsiTheme="minorEastAsia"/>
          <w:kern w:val="0"/>
          <w:sz w:val="24"/>
          <w:szCs w:val="24"/>
        </w:rPr>
        <w:t>岁增补</w:t>
      </w:r>
      <w:r>
        <w:rPr>
          <w:rFonts w:ascii="Times New Roman" w:hAnsi="Times New Roman" w:cs="Times New Roman"/>
          <w:kern w:val="0"/>
          <w:sz w:val="24"/>
          <w:szCs w:val="24"/>
        </w:rPr>
        <w:t>1</w:t>
      </w:r>
      <w:r>
        <w:rPr>
          <w:rFonts w:ascii="Times New Roman" w:cs="Times New Roman" w:hAnsiTheme="minorEastAsia"/>
          <w:kern w:val="0"/>
          <w:sz w:val="24"/>
          <w:szCs w:val="24"/>
        </w:rPr>
        <w:t>年，最多补缴</w:t>
      </w:r>
      <w:r>
        <w:rPr>
          <w:rFonts w:ascii="Times New Roman" w:hAnsi="Times New Roman" w:cs="Times New Roman"/>
          <w:kern w:val="0"/>
          <w:sz w:val="24"/>
          <w:szCs w:val="24"/>
        </w:rPr>
        <w:t>20</w:t>
      </w:r>
      <w:r>
        <w:rPr>
          <w:rFonts w:ascii="Times New Roman" w:cs="Times New Roman" w:hAnsiTheme="minorEastAsia"/>
          <w:kern w:val="0"/>
          <w:sz w:val="24"/>
          <w:szCs w:val="24"/>
        </w:rPr>
        <w:t>年。补缴失业保险费以依法批准征地时上一年本市职工平均工资的</w:t>
      </w:r>
      <w:r>
        <w:rPr>
          <w:rFonts w:ascii="Times New Roman" w:hAnsi="Times New Roman" w:cs="Times New Roman"/>
          <w:kern w:val="0"/>
          <w:sz w:val="24"/>
          <w:szCs w:val="24"/>
        </w:rPr>
        <w:t>60</w:t>
      </w:r>
      <w:r>
        <w:rPr>
          <w:rFonts w:ascii="Times New Roman" w:cs="Times New Roman" w:hAnsiTheme="minorEastAsia"/>
          <w:kern w:val="0"/>
          <w:sz w:val="24"/>
          <w:szCs w:val="24"/>
        </w:rPr>
        <w:t>％为基数，按照</w:t>
      </w:r>
      <w:r>
        <w:rPr>
          <w:rFonts w:ascii="Times New Roman" w:hAnsi="Times New Roman" w:cs="Times New Roman"/>
          <w:kern w:val="0"/>
          <w:sz w:val="24"/>
          <w:szCs w:val="24"/>
        </w:rPr>
        <w:t>2</w:t>
      </w:r>
      <w:r>
        <w:rPr>
          <w:rFonts w:ascii="Times New Roman" w:cs="Times New Roman" w:hAnsiTheme="minorEastAsia"/>
          <w:kern w:val="0"/>
          <w:sz w:val="24"/>
          <w:szCs w:val="24"/>
        </w:rPr>
        <w:t>％的比例一次性补缴</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转非劳动力失业后，按照规定享受失业保险待遇。但其在领取失业保险金期间自谋职业的，不执行一次性领取失业保险金的规定。未领取失业保险金的期限予以保留，与再次失业后应当领取失业保险金的期限合并计算</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第四十一条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转非劳动力中的复员退伍军人，其在军队工作的年限视同社会保险费缴费年限</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参加了城镇企业农民工社会保险的转非劳动力，其参加农民工社会保险的时间计算为缴费年限。但已一次性领取养老保险费、一次性生活补助费的，不计算养老保险和失业保险的缴费年限</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第四十二条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正在服有期徒刑或者被劳动教养的转非劳动力，其补偿安置适用本章有关规定</w:t>
      </w:r>
      <w:r>
        <w:rPr>
          <w:rFonts w:hAnsiTheme="minorEastAsia"/>
          <w:kern w:val="0"/>
          <w:sz w:val="24"/>
        </w:rPr>
        <w:t>。</w:t>
      </w:r>
    </w:p>
    <w:p>
      <w:pPr>
        <w:pStyle w:val="63"/>
        <w:spacing w:before="218" w:after="218" w:line="412" w:lineRule="exact"/>
        <w:rPr>
          <w:rFonts w:hAnsiTheme="minorEastAsia"/>
          <w:kern w:val="0"/>
        </w:rPr>
      </w:pPr>
      <w:r>
        <w:rPr>
          <w:rFonts w:hAnsiTheme="minorEastAsia"/>
          <w:kern w:val="0"/>
        </w:rPr>
        <w:t xml:space="preserve">第六章  法律责任 </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第四十三条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侵占、挪用征地补偿费用和其他有关费用的，由上级机关或者监察部门依法给予行政处分；构成犯罪的，依法追究刑事责任</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第四十四条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土地、劳动保障、民政、公安等有关管理部门不依法履行职责的，由其上级主管部门责令限期改正，逾期不改正的，依法追究主管责任人员和其他直接责任人员的行政责任</w:t>
      </w:r>
      <w:r>
        <w:rPr>
          <w:rFonts w:hAnsiTheme="minorEastAsia"/>
          <w:kern w:val="0"/>
          <w:sz w:val="24"/>
        </w:rPr>
        <w:t>。</w:t>
      </w:r>
    </w:p>
    <w:p>
      <w:pPr>
        <w:pStyle w:val="63"/>
        <w:spacing w:before="218" w:after="218" w:line="412" w:lineRule="exact"/>
        <w:rPr>
          <w:rFonts w:hAnsiTheme="minorEastAsia"/>
          <w:kern w:val="0"/>
        </w:rPr>
      </w:pPr>
      <w:r>
        <w:rPr>
          <w:rFonts w:hAnsiTheme="minorEastAsia"/>
          <w:kern w:val="0"/>
        </w:rPr>
        <w:t>第七章  附</w:t>
      </w:r>
      <w:r>
        <w:rPr>
          <w:rFonts w:hint="eastAsia" w:hAnsiTheme="minorEastAsia"/>
          <w:kern w:val="0"/>
        </w:rPr>
        <w:t xml:space="preserve">  </w:t>
      </w:r>
      <w:r>
        <w:rPr>
          <w:rFonts w:hAnsiTheme="minorEastAsia"/>
          <w:kern w:val="0"/>
        </w:rPr>
        <w:t xml:space="preserve">则 </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第四十五条</w:t>
      </w:r>
      <w:r>
        <w:rPr>
          <w:rFonts w:ascii="Times New Roman" w:hAnsi="Times New Roman" w:cs="Times New Roman"/>
          <w:b/>
          <w:kern w:val="0"/>
          <w:sz w:val="24"/>
          <w:szCs w:val="24"/>
        </w:rPr>
        <w:t xml:space="preserve"> </w:t>
      </w:r>
      <w:r>
        <w:rPr>
          <w:rFonts w:ascii="Times New Roman" w:hAnsi="Times New Roman" w:cs="Times New Roman"/>
          <w:kern w:val="0"/>
          <w:sz w:val="24"/>
          <w:szCs w:val="24"/>
        </w:rPr>
        <w:t xml:space="preserve"> </w:t>
      </w:r>
      <w:r>
        <w:rPr>
          <w:rFonts w:ascii="Times New Roman" w:cs="Times New Roman" w:hAnsiTheme="minorEastAsia"/>
          <w:kern w:val="0"/>
          <w:sz w:val="24"/>
          <w:szCs w:val="24"/>
        </w:rPr>
        <w:t>本办法所称下列名词的含义是：</w:t>
      </w:r>
      <w:r>
        <w:rPr>
          <w:rFonts w:ascii="Times New Roman" w:hAnsi="Times New Roman" w:cs="Times New Roman"/>
          <w:kern w:val="0"/>
          <w:sz w:val="24"/>
          <w:szCs w:val="24"/>
        </w:rPr>
        <w:t xml:space="preserve"> </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转非劳动力是指征地转为非农业户口且在法定劳动年龄范围内具有劳动能力的人员，不包括</w:t>
      </w:r>
      <w:r>
        <w:rPr>
          <w:rFonts w:ascii="Times New Roman" w:hAnsi="Times New Roman" w:cs="Times New Roman"/>
          <w:kern w:val="0"/>
          <w:sz w:val="24"/>
          <w:szCs w:val="24"/>
        </w:rPr>
        <w:t>16</w:t>
      </w:r>
      <w:r>
        <w:rPr>
          <w:rFonts w:ascii="Times New Roman" w:cs="Times New Roman" w:hAnsiTheme="minorEastAsia"/>
          <w:kern w:val="0"/>
          <w:sz w:val="24"/>
          <w:szCs w:val="24"/>
        </w:rPr>
        <w:t>周岁以上正在接受义务教育和学历教育的学生</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超转人员是指征地转为非农业户口且男年满</w:t>
      </w:r>
      <w:r>
        <w:rPr>
          <w:rFonts w:ascii="Times New Roman" w:hAnsi="Times New Roman" w:cs="Times New Roman"/>
          <w:kern w:val="0"/>
          <w:sz w:val="24"/>
          <w:szCs w:val="24"/>
        </w:rPr>
        <w:t>60</w:t>
      </w:r>
      <w:r>
        <w:rPr>
          <w:rFonts w:ascii="Times New Roman" w:cs="Times New Roman" w:hAnsiTheme="minorEastAsia"/>
          <w:kern w:val="0"/>
          <w:sz w:val="24"/>
          <w:szCs w:val="24"/>
        </w:rPr>
        <w:t>周岁、女年满</w:t>
      </w:r>
      <w:r>
        <w:rPr>
          <w:rFonts w:ascii="Times New Roman" w:hAnsi="Times New Roman" w:cs="Times New Roman"/>
          <w:kern w:val="0"/>
          <w:sz w:val="24"/>
          <w:szCs w:val="24"/>
        </w:rPr>
        <w:t>50</w:t>
      </w:r>
      <w:r>
        <w:rPr>
          <w:rFonts w:ascii="Times New Roman" w:cs="Times New Roman" w:hAnsiTheme="minorEastAsia"/>
          <w:kern w:val="0"/>
          <w:sz w:val="24"/>
          <w:szCs w:val="24"/>
        </w:rPr>
        <w:t>周岁及其以上的人员和经认定完全丧失劳动能力的人员</w:t>
      </w:r>
      <w:r>
        <w:rPr>
          <w:rFonts w:hAnsiTheme="minorEastAsia"/>
          <w:kern w:val="0"/>
          <w:sz w:val="24"/>
        </w:rPr>
        <w:t>。</w:t>
      </w:r>
    </w:p>
    <w:p>
      <w:pPr>
        <w:shd w:val="clear" w:color="auto" w:fill="FFFFFF"/>
        <w:topLinePunct/>
        <w:spacing w:beforeLines="0" w:afterLines="0" w:line="412" w:lineRule="exact"/>
        <w:ind w:firstLine="480" w:firstLineChars="200"/>
        <w:rPr>
          <w:rFonts w:ascii="Times New Roman" w:hAnsi="Times New Roman" w:cs="Times New Roman"/>
          <w:kern w:val="0"/>
          <w:sz w:val="24"/>
          <w:szCs w:val="24"/>
        </w:rPr>
      </w:pPr>
      <w:r>
        <w:rPr>
          <w:rFonts w:ascii="Times New Roman" w:cs="Times New Roman" w:hAnsiTheme="minorEastAsia"/>
          <w:kern w:val="0"/>
          <w:sz w:val="24"/>
          <w:szCs w:val="24"/>
        </w:rPr>
        <w:t>以上年龄计算以依法批准征地之日为准</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第四十六条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农村村民转为非农业户口后，不丧失对农村集体经济组织积累应当享有的财产权利</w:t>
      </w:r>
      <w:r>
        <w:rPr>
          <w:rFonts w:hAnsiTheme="minorEastAsia"/>
          <w:kern w:val="0"/>
          <w:sz w:val="24"/>
        </w:rPr>
        <w:t>。</w:t>
      </w:r>
    </w:p>
    <w:p>
      <w:pPr>
        <w:shd w:val="clear" w:color="auto" w:fill="FFFFFF"/>
        <w:topLinePunct/>
        <w:spacing w:beforeLines="0" w:afterLines="0" w:line="412" w:lineRule="exact"/>
        <w:ind w:firstLine="482" w:firstLineChars="200"/>
        <w:rPr>
          <w:rFonts w:ascii="Times New Roman" w:hAnsi="Times New Roman" w:cs="Times New Roman"/>
          <w:kern w:val="0"/>
          <w:sz w:val="24"/>
          <w:szCs w:val="24"/>
        </w:rPr>
      </w:pPr>
      <w:r>
        <w:rPr>
          <w:rFonts w:ascii="Times New Roman" w:cs="Times New Roman" w:hAnsiTheme="minorEastAsia"/>
          <w:b/>
          <w:kern w:val="0"/>
          <w:sz w:val="24"/>
          <w:szCs w:val="24"/>
        </w:rPr>
        <w:t>第四十七条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国家对大中型水利、水电工程建设征地补偿另有规定的，从其规定</w:t>
      </w:r>
      <w:r>
        <w:rPr>
          <w:rFonts w:hAnsiTheme="minorEastAsia"/>
          <w:kern w:val="0"/>
          <w:sz w:val="24"/>
        </w:rPr>
        <w:t>。</w:t>
      </w:r>
    </w:p>
    <w:p>
      <w:pPr>
        <w:topLinePunct/>
        <w:spacing w:beforeLines="0" w:afterLines="0" w:line="412" w:lineRule="exact"/>
        <w:ind w:firstLine="482" w:firstLineChars="200"/>
        <w:rPr>
          <w:rFonts w:cs="Times New Roman" w:asciiTheme="minorEastAsia" w:hAnsiTheme="minorEastAsia"/>
          <w:sz w:val="24"/>
          <w:szCs w:val="24"/>
        </w:rPr>
      </w:pPr>
      <w:r>
        <w:rPr>
          <w:rFonts w:ascii="Times New Roman" w:cs="Times New Roman" w:hAnsiTheme="minorEastAsia"/>
          <w:b/>
          <w:kern w:val="0"/>
          <w:sz w:val="24"/>
          <w:szCs w:val="24"/>
        </w:rPr>
        <w:t>第四十八条</w:t>
      </w:r>
      <w:r>
        <w:rPr>
          <w:rFonts w:ascii="Times New Roman" w:hAnsi="Times New Roman" w:cs="Times New Roman"/>
          <w:kern w:val="0"/>
          <w:sz w:val="24"/>
          <w:szCs w:val="24"/>
        </w:rPr>
        <w:t xml:space="preserve">  </w:t>
      </w:r>
      <w:r>
        <w:rPr>
          <w:rFonts w:ascii="Times New Roman" w:cs="Times New Roman" w:hAnsiTheme="minorEastAsia"/>
          <w:kern w:val="0"/>
          <w:sz w:val="24"/>
          <w:szCs w:val="24"/>
        </w:rPr>
        <w:t>本办法自</w:t>
      </w:r>
      <w:r>
        <w:rPr>
          <w:rFonts w:ascii="Times New Roman" w:hAnsi="Times New Roman" w:cs="Times New Roman"/>
          <w:kern w:val="0"/>
          <w:sz w:val="24"/>
          <w:szCs w:val="24"/>
        </w:rPr>
        <w:t>2004</w:t>
      </w:r>
      <w:r>
        <w:rPr>
          <w:rFonts w:ascii="Times New Roman" w:cs="Times New Roman" w:hAnsiTheme="minorEastAsia"/>
          <w:kern w:val="0"/>
          <w:sz w:val="24"/>
          <w:szCs w:val="24"/>
        </w:rPr>
        <w:t>年</w:t>
      </w:r>
      <w:r>
        <w:rPr>
          <w:rFonts w:ascii="Times New Roman" w:hAnsi="Times New Roman" w:cs="Times New Roman"/>
          <w:kern w:val="0"/>
          <w:sz w:val="24"/>
          <w:szCs w:val="24"/>
        </w:rPr>
        <w:t>7</w:t>
      </w:r>
      <w:r>
        <w:rPr>
          <w:rFonts w:ascii="Times New Roman" w:cs="Times New Roman" w:hAnsiTheme="minorEastAsia"/>
          <w:kern w:val="0"/>
          <w:sz w:val="24"/>
          <w:szCs w:val="24"/>
        </w:rPr>
        <w:t>月</w:t>
      </w:r>
      <w:r>
        <w:rPr>
          <w:rFonts w:ascii="Times New Roman" w:hAnsi="Times New Roman" w:cs="Times New Roman"/>
          <w:kern w:val="0"/>
          <w:sz w:val="24"/>
          <w:szCs w:val="24"/>
        </w:rPr>
        <w:t>1</w:t>
      </w:r>
      <w:r>
        <w:rPr>
          <w:rFonts w:ascii="Times New Roman" w:cs="Times New Roman" w:hAnsiTheme="minorEastAsia"/>
          <w:kern w:val="0"/>
          <w:sz w:val="24"/>
          <w:szCs w:val="24"/>
        </w:rPr>
        <w:t>日起实施</w:t>
      </w:r>
      <w:r>
        <w:rPr>
          <w:rFonts w:hAnsiTheme="minorEastAsia"/>
          <w:kern w:val="0"/>
          <w:sz w:val="24"/>
        </w:rPr>
        <w:t>，</w:t>
      </w:r>
      <w:r>
        <w:rPr>
          <w:rFonts w:ascii="Times New Roman" w:hAnsi="Times New Roman" w:cs="Times New Roman"/>
          <w:kern w:val="0"/>
          <w:sz w:val="24"/>
          <w:szCs w:val="24"/>
        </w:rPr>
        <w:t>1993</w:t>
      </w:r>
      <w:r>
        <w:rPr>
          <w:rFonts w:ascii="Times New Roman" w:cs="Times New Roman" w:hAnsiTheme="minorEastAsia"/>
          <w:kern w:val="0"/>
          <w:sz w:val="24"/>
          <w:szCs w:val="24"/>
        </w:rPr>
        <w:t>年</w:t>
      </w:r>
      <w:r>
        <w:rPr>
          <w:rFonts w:ascii="Times New Roman" w:hAnsi="Times New Roman" w:cs="Times New Roman"/>
          <w:kern w:val="0"/>
          <w:sz w:val="24"/>
          <w:szCs w:val="24"/>
        </w:rPr>
        <w:t>10</w:t>
      </w:r>
      <w:r>
        <w:rPr>
          <w:rFonts w:ascii="Times New Roman" w:cs="Times New Roman" w:hAnsiTheme="minorEastAsia"/>
          <w:kern w:val="0"/>
          <w:sz w:val="24"/>
          <w:szCs w:val="24"/>
        </w:rPr>
        <w:t>月</w:t>
      </w:r>
      <w:r>
        <w:rPr>
          <w:rFonts w:ascii="Times New Roman" w:hAnsi="Times New Roman" w:cs="Times New Roman"/>
          <w:kern w:val="0"/>
          <w:sz w:val="24"/>
          <w:szCs w:val="24"/>
        </w:rPr>
        <w:t>6</w:t>
      </w:r>
      <w:r>
        <w:rPr>
          <w:rFonts w:ascii="Times New Roman" w:cs="Times New Roman" w:hAnsiTheme="minorEastAsia"/>
          <w:kern w:val="0"/>
          <w:sz w:val="24"/>
          <w:szCs w:val="24"/>
        </w:rPr>
        <w:t>日市人民政府发布的《北京市建设征地农转工人员安置办法》同时废止</w:t>
      </w:r>
      <w:r>
        <w:rPr>
          <w:rFonts w:hAnsiTheme="minorEastAsia"/>
          <w:kern w:val="0"/>
          <w:sz w:val="24"/>
        </w:rPr>
        <w:t>。</w:t>
      </w:r>
    </w:p>
    <w:p>
      <w:pPr>
        <w:topLinePunct/>
        <w:spacing w:beforeLines="0" w:afterLines="0" w:line="416" w:lineRule="exact"/>
        <w:ind w:firstLine="480" w:firstLineChars="200"/>
        <w:rPr>
          <w:rFonts w:cs="Times New Roman" w:asciiTheme="minorEastAsia" w:hAnsiTheme="minorEastAsia"/>
          <w:sz w:val="24"/>
          <w:szCs w:val="24"/>
        </w:rPr>
      </w:pPr>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pStyle w:val="2"/>
        <w:keepNext w:val="0"/>
        <w:keepLines w:val="0"/>
        <w:shd w:val="clear" w:color="auto" w:fill="FFFFFF"/>
        <w:topLinePunct/>
        <w:spacing w:line="416" w:lineRule="exact"/>
        <w:ind w:firstLine="482" w:firstLineChars="200"/>
        <w:jc w:val="both"/>
        <w:rPr>
          <w:rFonts w:asciiTheme="minorEastAsia" w:hAnsiTheme="minorEastAsia" w:eastAsiaTheme="minorEastAsia"/>
          <w:sz w:val="24"/>
          <w:szCs w:val="24"/>
        </w:rPr>
      </w:pPr>
    </w:p>
    <w:p>
      <w:pPr>
        <w:pStyle w:val="61"/>
      </w:pPr>
      <w:bookmarkStart w:id="313" w:name="_Toc28250890"/>
      <w:bookmarkStart w:id="314" w:name="_Toc26347941"/>
      <w:bookmarkStart w:id="315" w:name="_Toc25648180"/>
      <w:bookmarkStart w:id="316" w:name="_Toc28252161"/>
      <w:bookmarkStart w:id="317" w:name="_Toc28156963"/>
      <w:bookmarkStart w:id="318" w:name="_Toc25653675"/>
      <w:r>
        <w:rPr>
          <w:rFonts w:hint="eastAsia"/>
        </w:rPr>
        <w:t>北京市湿地保护条例</w:t>
      </w:r>
      <w:bookmarkEnd w:id="313"/>
      <w:bookmarkEnd w:id="314"/>
      <w:bookmarkEnd w:id="315"/>
      <w:bookmarkEnd w:id="316"/>
      <w:bookmarkEnd w:id="317"/>
      <w:bookmarkEnd w:id="318"/>
    </w:p>
    <w:p>
      <w:pPr>
        <w:pStyle w:val="62"/>
      </w:pPr>
      <w:r>
        <w:rPr>
          <w:rFonts w:hint="eastAsia"/>
        </w:rPr>
        <w:t>（</w:t>
      </w:r>
      <w:r>
        <w:t>2012年12月27日北京市第十三届人民代表大会常务委员会第三十七次会议通过，根据2019年7月26日北京市第十五届人民代表大会常务委员会第十四次会议通过的《关于修改〈北京市河湖保护管理条例〉〈北京市农业机械化促进条例〉等十一部地方性法规的决定》修正）</w:t>
      </w:r>
    </w:p>
    <w:p>
      <w:pPr>
        <w:pStyle w:val="63"/>
        <w:spacing w:before="218" w:after="218" w:line="412" w:lineRule="exact"/>
        <w:rPr>
          <w:rFonts w:hAnsiTheme="minorEastAsia"/>
          <w:kern w:val="0"/>
          <w:sz w:val="24"/>
          <w:szCs w:val="24"/>
        </w:rPr>
      </w:pPr>
      <w:r>
        <w:rPr>
          <w:kern w:val="0"/>
        </w:rPr>
        <w:t>第一章  总  则</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第一条 </w:t>
      </w:r>
      <w:r>
        <w:rPr>
          <w:rFonts w:cs="Tahoma" w:asciiTheme="minorEastAsia" w:hAnsiTheme="minorEastAsia" w:eastAsiaTheme="minorEastAsia"/>
        </w:rPr>
        <w:t xml:space="preserve"> 为了加强湿地保护，维护湿地生态功能和生物多样性，促进湿地资源的可持续利用，保障首都生态安全，建设宜居城市，根据有关法律、法规，结合本市实际情况，制定本条例。</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第二条 </w:t>
      </w:r>
      <w:r>
        <w:rPr>
          <w:rFonts w:cs="Tahoma" w:asciiTheme="minorEastAsia" w:hAnsiTheme="minorEastAsia" w:eastAsiaTheme="minorEastAsia"/>
        </w:rPr>
        <w:t xml:space="preserve"> 本条例适用于本市行政区域内湿地的规划和建设、管理和利用、监督检查及其他湿地保护活动。有关法律、法规对湿地保护作出规定的，依照其规定执行。</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本条例所称湿地是指天然或者人工形成的河流、湖泊、库塘、沼泽等常年或者季节性、带有静止或者流动水体、适宜喜湿野生生物生存的地域。</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第三条</w:t>
      </w:r>
      <w:r>
        <w:rPr>
          <w:rFonts w:cs="Tahoma" w:asciiTheme="minorEastAsia" w:hAnsiTheme="minorEastAsia" w:eastAsiaTheme="minorEastAsia"/>
        </w:rPr>
        <w:t xml:space="preserve">  湿地保护是生态公益事业。</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市和区人民政府应当加强对湿地保护工作的领导，将湿地保护纳入国民经济和社会发展规划和计划，保障湿地保护建设项目和管理工作所需的资金投入，并将湿地保护经费列入同级财政预算。</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乡镇人民政府和街道办事处应当做好本辖区内湿地保护的相关工作。</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第四条  </w:t>
      </w:r>
      <w:r>
        <w:rPr>
          <w:rFonts w:cs="Tahoma" w:asciiTheme="minorEastAsia" w:hAnsiTheme="minorEastAsia" w:eastAsiaTheme="minorEastAsia"/>
        </w:rPr>
        <w:t>本市实行最严格的湿地保护管理制度。市和区人民政府及其有关部门应当实行湿地保护目标责任制，确保湿地面积总量不减少，并采取措施，提升湿地质量，改善湿地功能。</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市人民政府应当定期对有关部门和区人民政府湿地保护目标完成情况进行考核。</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第五条 </w:t>
      </w:r>
      <w:r>
        <w:rPr>
          <w:rFonts w:cs="Tahoma" w:asciiTheme="minorEastAsia" w:hAnsiTheme="minorEastAsia" w:eastAsiaTheme="minorEastAsia"/>
        </w:rPr>
        <w:t xml:space="preserve"> 本市湿地保护坚持生态优先、全面保护、突出重点、合理利用、持续发展的方针，充分发挥湿地涵养水源、净化水质、蓄洪防旱、调节气候、固碳释氧、改善空气质量和维护生物多样性等功能。</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第六条  </w:t>
      </w:r>
      <w:r>
        <w:rPr>
          <w:rFonts w:cs="Tahoma" w:asciiTheme="minorEastAsia" w:hAnsiTheme="minorEastAsia" w:eastAsiaTheme="minorEastAsia"/>
        </w:rPr>
        <w:t>本市实行综合协调、分部门实施的湿地保护管理体制。</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市和区园林绿化部门负责本行政区域内湿地保护的组织、协调、指导和监督。</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和区园林绿化、水务、农业农村部门（以下统称湿地保护管理部门）按照市人民政府确定的职责，分别负责湿地保护管理工作；发展改革、财政、规划自然资源、生态环境等其他有关部门依照职责分工，做好湿地保护相关工作。</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市和区人民政府建立健全湿地保护联席会议制度，研究、协调涉及湿地保护的重大事项及相关工作。园林绿化部门承担湿地保护联席会议的日常工作。</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第七条</w:t>
      </w:r>
      <w:r>
        <w:rPr>
          <w:rFonts w:cs="Tahoma" w:asciiTheme="minorEastAsia" w:hAnsiTheme="minorEastAsia" w:eastAsiaTheme="minorEastAsia"/>
        </w:rPr>
        <w:t xml:space="preserve">  每年九月的第三个星期日为“北京湿地日”。</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各级人民政府、有关部门、新闻媒体应当组织和开展经常性的湿地保护宣传教育，普及湿地保护法律法规和科学知识，提高全社会湿地保护意识。</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第八条 </w:t>
      </w:r>
      <w:r>
        <w:rPr>
          <w:rFonts w:cs="Tahoma" w:asciiTheme="minorEastAsia" w:hAnsiTheme="minorEastAsia" w:eastAsiaTheme="minorEastAsia"/>
        </w:rPr>
        <w:t xml:space="preserve"> 鼓励公民、法人和其他组织以宣传教育、捐赠、志愿服务等形式参与湿地保护活动。</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鼓励、支持湿地保护科学技术研究和成果转化应用，提高湿地保护科学技术水平。对在湿地保护中作出显著成绩的单位或者个人，市和区人民政府或者湿地保护管理部门应当给予表彰、奖励。</w:t>
      </w:r>
    </w:p>
    <w:p>
      <w:pPr>
        <w:pStyle w:val="63"/>
        <w:spacing w:before="218" w:after="218" w:line="412" w:lineRule="exact"/>
        <w:rPr>
          <w:kern w:val="0"/>
        </w:rPr>
      </w:pPr>
      <w:r>
        <w:rPr>
          <w:bCs w:val="0"/>
          <w:kern w:val="0"/>
        </w:rPr>
        <w:t>第二章  规划和建设</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第九条</w:t>
      </w:r>
      <w:r>
        <w:rPr>
          <w:rFonts w:cs="Tahoma" w:asciiTheme="minorEastAsia" w:hAnsiTheme="minorEastAsia" w:eastAsiaTheme="minorEastAsia"/>
        </w:rPr>
        <w:t xml:space="preserve">  市和区园林绿化部门应当会同发展改革、水务、农业农村、规划自然资源、生态环境等部门编制全市和区湿地保护发展规划，报本级人民政府批准后公布实施。区湿地保护发展规划应当符合全市湿地保护发展规划，并报市园林绿化部门备案。</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编制湿地保护发展规划应当采取座谈会、论证会、听证会等多种形式，公开、广泛听取专家和公众意见。</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第十条 </w:t>
      </w:r>
      <w:r>
        <w:rPr>
          <w:rFonts w:cs="Tahoma" w:asciiTheme="minorEastAsia" w:hAnsiTheme="minorEastAsia" w:eastAsiaTheme="minorEastAsia"/>
        </w:rPr>
        <w:t xml:space="preserve"> 湿地保护发展规划应当明确湿地保护的目标任务、总体布局、保护重点和保障措施等。</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湿地保护发展规划应当符合本市国民经济和社会发展规划、城乡规划、土地利用总体规划和主体功能区规划，与水资源、防洪、水土保持、环境保护等规划相互协调。</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第十一条 </w:t>
      </w:r>
      <w:r>
        <w:rPr>
          <w:rFonts w:cs="Tahoma" w:asciiTheme="minorEastAsia" w:hAnsiTheme="minorEastAsia" w:eastAsiaTheme="minorEastAsia"/>
        </w:rPr>
        <w:t xml:space="preserve"> 湿地保护发展规划是湿地建设、管理、利用等湿地保护相关工作的依据，任何单位和个人未经批准不得修改。确需修改的，应当按照原审批程序报批、备案。湿地保护发展规划修改后应当重新公布。</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第十二条</w:t>
      </w:r>
      <w:r>
        <w:rPr>
          <w:rFonts w:cs="Tahoma" w:asciiTheme="minorEastAsia" w:hAnsiTheme="minorEastAsia" w:eastAsiaTheme="minorEastAsia"/>
        </w:rPr>
        <w:t xml:space="preserve">  列入湿地保护发展规划的湿地保护建设项目，市和区人民政府应当根据项目前期准备工作和建设资金落实情况，在各年度国民经济和社会发展计划中予以安排。</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市和区湿地保护管理部门应当按照湿地保护发展规划制定湿地保护工程规划或者保护方案，组织恢复或者建设湿地，落实保护措施。</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园林绿化部门应当为恢复或者建设湿地提供技术指导和服务。</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第十三条</w:t>
      </w:r>
      <w:r>
        <w:rPr>
          <w:rFonts w:cs="Tahoma" w:asciiTheme="minorEastAsia" w:hAnsiTheme="minorEastAsia" w:eastAsiaTheme="minorEastAsia"/>
        </w:rPr>
        <w:t xml:space="preserve">  恢复或者建设湿地，应当符合国家和本市有关湿地保护的标准和技术规范，采用自然或者生态的材料和工艺，维护湿地生态功能。防洪、抗旱、水系治理等涉及湿地的工程应当兼顾湿地生态功能，最大限度地减少采用影响湿地生态功能的工程措施。</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恢复或者建设湿地，应当种植湿地植物，根据野生动物活动特点和规律，建设野生动物繁殖、栖息环境。</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市园林绿化部门应当会同有关部门编制有关湿地保护的标准和技术规范。</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第十四条 </w:t>
      </w:r>
      <w:r>
        <w:rPr>
          <w:rFonts w:cs="Tahoma" w:asciiTheme="minorEastAsia" w:hAnsiTheme="minorEastAsia" w:eastAsiaTheme="minorEastAsia"/>
        </w:rPr>
        <w:t xml:space="preserve"> 恢复或者建设湿地应当考虑本地区水资源状况，充分利用雨洪水和再生水，禁止使用地下水。</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鼓励、支持污水处理单位恢复或者建设湿地，利用湿地生物资源和生态工程降解污染物、净化水质。</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第十五条 </w:t>
      </w:r>
      <w:r>
        <w:rPr>
          <w:rFonts w:cs="Tahoma" w:asciiTheme="minorEastAsia" w:hAnsiTheme="minorEastAsia" w:eastAsiaTheme="minorEastAsia"/>
        </w:rPr>
        <w:t xml:space="preserve"> 市和区人民政府应当制定政策措施，支持村集体经济组织或者农民在集体土地上恢复或者建设湿地，改善农村生态环境。</w:t>
      </w:r>
    </w:p>
    <w:p>
      <w:pPr>
        <w:pStyle w:val="63"/>
        <w:spacing w:before="218" w:after="218" w:line="412" w:lineRule="exact"/>
        <w:rPr>
          <w:kern w:val="0"/>
        </w:rPr>
      </w:pPr>
      <w:r>
        <w:rPr>
          <w:bCs w:val="0"/>
          <w:kern w:val="0"/>
        </w:rPr>
        <w:t>第三章  管理和利用</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第十六条 </w:t>
      </w:r>
      <w:r>
        <w:rPr>
          <w:rFonts w:cs="Tahoma" w:asciiTheme="minorEastAsia" w:hAnsiTheme="minorEastAsia" w:eastAsiaTheme="minorEastAsia"/>
        </w:rPr>
        <w:t xml:space="preserve"> 本市对湿地实行分级分类保护，按照湿地生态功能和环境效益的重要性，将湿地分为国家重要湿地、市级湿地、区级湿地和一般湿地，并对国家重要湿地、市级湿地和区级湿地采取设立湿地自然保护区、湿地公园、湿地自然保护小区等方式予以保护。</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第十七条</w:t>
      </w:r>
      <w:r>
        <w:rPr>
          <w:rFonts w:cs="Tahoma" w:asciiTheme="minorEastAsia" w:hAnsiTheme="minorEastAsia" w:eastAsiaTheme="minorEastAsia"/>
        </w:rPr>
        <w:t xml:space="preserve">  本市对国家重要湿地、市级湿地和区级湿地实行名录管理。</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国家重要湿地名录按照国家有关规定确定并公布。市级湿地名录由市园林绿化部门会同市水务、农业农村部门提出，报市人民政府批准后公布。区级湿地名录由区园林绿化部门会同区水务、农业农村部门提出，报区人民政府批准后公布。</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湿地名录应当明确湿地的名称、类型、管理机构或者责任单位、保护管理部门等事项。</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湿地名录的确定应当征求规划自然资源部门的意见。</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第十八条</w:t>
      </w:r>
      <w:r>
        <w:rPr>
          <w:rFonts w:cs="Tahoma" w:asciiTheme="minorEastAsia" w:hAnsiTheme="minorEastAsia" w:eastAsiaTheme="minorEastAsia"/>
        </w:rPr>
        <w:t xml:space="preserve">  本市面积8公顷以上的湿地，应当列入湿地名录。</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符合下列条件之一的，应当列入市级湿地名录：</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（一）河流湿地、湖泊湿地和沼泽湿地；</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（二）库容量在1000万立方米以上的库塘湿地；</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（三）具有重要的人文、科学研究和宣传教育价值的湿地；</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（四）具有生态系统典型性和代表性的湿地。</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第十九条 </w:t>
      </w:r>
      <w:r>
        <w:rPr>
          <w:rFonts w:cs="Tahoma" w:asciiTheme="minorEastAsia" w:hAnsiTheme="minorEastAsia" w:eastAsiaTheme="minorEastAsia"/>
        </w:rPr>
        <w:t xml:space="preserve"> 列入名录的湿地应当划定保护范围。保护范围由市或者区园林绿化部门会同同级水务、农业农村部门，按照维护湿地生态系统的整体性、联通性、稳定性及保护相关权利人利益的原则提出建议，经征求规划自然资源部门意见后，报市或者区人民政府批准后公布。</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根据国家和本市河湖保护管理规定划定的河湖管理范围和保护范围，可以作为列入名录的河湖湿地的保护范围。</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第二十条</w:t>
      </w:r>
      <w:r>
        <w:rPr>
          <w:rFonts w:cs="Tahoma" w:asciiTheme="minorEastAsia" w:hAnsiTheme="minorEastAsia" w:eastAsiaTheme="minorEastAsia"/>
        </w:rPr>
        <w:t xml:space="preserve">  湿地保护管理部门应当在列入名录的湿地设立保护标志，标明湿地的名称、类型、保护级别、保护范围、管理机构或者责任单位、保护管理部门。保护标志的样式由市园林绿化部门根据国家规定统一制定。</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任何单位和个人不得损毁、涂改、擅自移动湿地保护标志。</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第二十一条</w:t>
      </w:r>
      <w:r>
        <w:rPr>
          <w:rFonts w:cs="Tahoma" w:asciiTheme="minorEastAsia" w:hAnsiTheme="minorEastAsia" w:eastAsiaTheme="minorEastAsia"/>
        </w:rPr>
        <w:t xml:space="preserve">  珍稀濒危野生动植物物种集中分布地、鸟类主要繁殖栖息地或者重要迁徙停歇地等具有生态系统典型性和代表性的湿地，应当设立湿地自然保护区。</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湿地自然保护区的设立和管理，应当遵守国家有关自然保护区的规定和本条例。</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第二十二条 </w:t>
      </w:r>
      <w:r>
        <w:rPr>
          <w:rFonts w:cs="Tahoma" w:asciiTheme="minorEastAsia" w:hAnsiTheme="minorEastAsia" w:eastAsiaTheme="minorEastAsia"/>
        </w:rPr>
        <w:t xml:space="preserve"> 具有一定规模和景观价值，适宜开展生态展示、科普教育、生态旅游等活动的湿地，可以设立湿地公园。</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市级湿地公园的设立，由所在地区园林绿化部门提出申请，报市园林绿化部门批准。区级湿地公园的设立，由所在地区园林绿化部门决定。</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公园应当划分为湿地保育区、生态功能展示体验区和管理服务区等，实行分区管理。在保育区内只能开展保护、监测等必需的湿地生态系统保护活动；在生态功能展示体验区内只能开展以生态展示、科普教育和生态旅游为主的活动；在管理服务区内可以开展管理和服务等活动。</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第二十三条</w:t>
      </w:r>
      <w:r>
        <w:rPr>
          <w:rFonts w:cs="Tahoma" w:asciiTheme="minorEastAsia" w:hAnsiTheme="minorEastAsia" w:eastAsiaTheme="minorEastAsia"/>
        </w:rPr>
        <w:t xml:space="preserve">  具有湿地自然保护区部分特征，但面积较小、不适宜设立湿地自然保护区或者湿地公园的湿地，可以设立湿地自然保护小区。</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湿地自然保护小区的设立，由所在地区园林绿化部门提出申请，报市园林绿化部门会同市水务、农业农村部门批准。</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在湿地自然保护小区内只能开展科学实验和保护、监测等必需的湿地生态系统保护活动。</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第二十四条 </w:t>
      </w:r>
      <w:r>
        <w:rPr>
          <w:rFonts w:cs="Tahoma" w:asciiTheme="minorEastAsia" w:hAnsiTheme="minorEastAsia" w:eastAsiaTheme="minorEastAsia"/>
        </w:rPr>
        <w:t xml:space="preserve"> 列入名录的湿地的管理机构或者责任单位应当履行下列职责：</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（一）贯彻执行有关湿地保护的法律、法规、规章和政策；</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（二）制定并实施湿地保护管理工作制度；</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（三）开展有关湿地资源调查并建立档案，组织湿地生态监测，及时分析监测结果，适时调整保护措施；</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（四）组织实施湿地保护、恢复等建设工程；</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（五）及时清理废弃的建筑物、构筑物等设施；</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（六）制止破坏湿地的行为，并协助有关部门进行调查处理；</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（七）组织开展生态展示、科普教育、生态旅游等活动；</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（八）开展其他湿地保护活动。</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第二十五条</w:t>
      </w:r>
      <w:r>
        <w:rPr>
          <w:rFonts w:cs="Tahoma" w:asciiTheme="minorEastAsia" w:hAnsiTheme="minorEastAsia" w:eastAsiaTheme="minorEastAsia"/>
        </w:rPr>
        <w:t xml:space="preserve">  利用列入名录的湿地从事生态展示、科普教育、生态旅游等活动，应当符合湿地保护发展规划，不得超出湿地承载能力、改变湿地生态功能、破坏野生动植物生存环境。</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第二十六条</w:t>
      </w:r>
      <w:r>
        <w:rPr>
          <w:rFonts w:cs="Tahoma" w:asciiTheme="minorEastAsia" w:hAnsiTheme="minorEastAsia" w:eastAsiaTheme="minorEastAsia"/>
        </w:rPr>
        <w:t xml:space="preserve">  水务部门在保障生活用水的前提下，应当合理调配水资源，充分利用雨洪水和再生水，维持湿地自然保护区、湿地公园和湿地自然保护小区的基本生态用水，维护湿地生态系统。</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第二十七条</w:t>
      </w:r>
      <w:r>
        <w:rPr>
          <w:rFonts w:cs="Tahoma" w:asciiTheme="minorEastAsia" w:hAnsiTheme="minorEastAsia" w:eastAsiaTheme="minorEastAsia"/>
        </w:rPr>
        <w:t xml:space="preserve">  列入名录的湿地，任何单位和个人未经批准不得擅自开垦、占用或者改变湿地用途。</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列入名录的湿地因基础设施建设等特殊原因需要占用的，建设单位应当在办理建设项目规划审批手续前，先报湿地所在地的区人民政府；经湿地所在地的区人民政府同意后，向市湿地保护管理部门提出申请；市湿地保护管理部门通过论证会、听证会等形式广泛听取专家和公众意见后，对占用湿地申请提出处理意见，提交市湿地保护联席会议研究；经市湿地保护联席会议研究，不同意占用湿地的，由湿地保护管理部门书面告知建设单位并说明理由；经市湿地保护联席会议研究确需占用湿地的，由市湿地保护管理部门报经市人民政府同意后，建设单位方可办理规划审批手续；未经市人民政府同意占用湿地的，规划自然资源部门不予办理规划审批手续。</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经批准占用列入名录的湿地的，建设单位应当按照湿地保护发展规划、国家和本市有关湿地保护的标准和技术规范，制定湿地恢复建设方案，经市湿地保护管理部门审核同意后，按照湿地恢复建设方案在指定地点补建不少于占用面积并具备相应功能的湿地；建设单位也可以委托湿地保护管理部门组织专业单位按照湿地恢复建设方案，在指定地点补建不少于占用面积并具备相应功能的湿地，费用由建设单位承担。</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第二十八条</w:t>
      </w:r>
      <w:r>
        <w:rPr>
          <w:rFonts w:cs="Tahoma" w:asciiTheme="minorEastAsia" w:hAnsiTheme="minorEastAsia" w:eastAsiaTheme="minorEastAsia"/>
        </w:rPr>
        <w:t xml:space="preserve">  建设项目的环境影响评价范围内有列入名录的湿地的，建设单位应当依法办理环境影响评价审批手续，并在报批的环境影响评价文件中，就建设项目对湿地主要保护对象和生态系统的影响作出重点分析，提出预防和减轻不良影响的措施。</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生态环境部门在办理环境影响评价审批手续前，应当征求湿地保护管理部门的意见。</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第二十九条</w:t>
      </w:r>
      <w:r>
        <w:rPr>
          <w:rFonts w:cs="Tahoma" w:asciiTheme="minorEastAsia" w:hAnsiTheme="minorEastAsia" w:eastAsiaTheme="minorEastAsia"/>
        </w:rPr>
        <w:t xml:space="preserve">  本市建立湿地保护专家咨询机制。市园林绿化部门应当组织设立湿地保护专家委员会，对湿地保护发展规划的编制、湿地名录的拟定、湿地保护范围的划定、湿地保护方案的制定、湿地资源的评估，以及在湿地保护范围内开展建设和利用等活动提供技术咨询意见。</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湿地保护专家委员会成员由湿地、水资源、野生动植物、生态环境等方面的专家组成。</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第三十条</w:t>
      </w:r>
      <w:r>
        <w:rPr>
          <w:rFonts w:cs="Tahoma" w:asciiTheme="minorEastAsia" w:hAnsiTheme="minorEastAsia" w:eastAsiaTheme="minorEastAsia"/>
        </w:rPr>
        <w:t xml:space="preserve">  按照湿地保护发展规划恢复或者建设湿地，造成农村集体经济组织或者农民合法权益损失的，市或者区人民政府依法予以补偿；对农民生产、生活造成影响的，应当作出妥善安排。</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第三十一条</w:t>
      </w:r>
      <w:r>
        <w:rPr>
          <w:rFonts w:cs="Tahoma" w:asciiTheme="minorEastAsia" w:hAnsiTheme="minorEastAsia" w:eastAsiaTheme="minorEastAsia"/>
        </w:rPr>
        <w:t xml:space="preserve">  禁止在列入名录的湿地保护范围内从事下列行为：</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（一）采集泥炭、采挖野生植物、捡拾鸟蛋；</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 xml:space="preserve">（二）抓捕野生动物，破坏野生动物繁殖区和栖息地；  </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（三）投放有毒有害物质、倾倒废弃物或者排放未经处理的污水；</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（四）投放有害物种或者擅自引入外来物种；</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（五）擅自排放湿地水资源或者堵截湿地水系与外围水系的联系；</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（六）破坏湿地保护监测设施设备；</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（七）擅自建造建筑物、构筑物；</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（八）法律、法规禁止的其他破坏湿地的行为。</w:t>
      </w:r>
    </w:p>
    <w:p>
      <w:pPr>
        <w:pStyle w:val="63"/>
        <w:spacing w:before="218" w:after="218" w:line="412" w:lineRule="exact"/>
        <w:rPr>
          <w:kern w:val="0"/>
        </w:rPr>
      </w:pPr>
      <w:r>
        <w:rPr>
          <w:bCs w:val="0"/>
          <w:kern w:val="0"/>
        </w:rPr>
        <w:t>第四章  监督检查</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第三十二条 </w:t>
      </w:r>
      <w:r>
        <w:rPr>
          <w:rFonts w:cs="Tahoma" w:asciiTheme="minorEastAsia" w:hAnsiTheme="minorEastAsia" w:eastAsiaTheme="minorEastAsia"/>
        </w:rPr>
        <w:t xml:space="preserve"> 湿地保护管理部门应当依照法律、法规的规定和市人民政府确定的职责，加强对湿地保护工作的监督检查，并对违法行为予以行政处罚，落实湿地保护发展规划的目标和任务。</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园林绿化部门应当加强对湿地保护发展规划实施情况的监督检查。</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第三十三条</w:t>
      </w:r>
      <w:r>
        <w:rPr>
          <w:rFonts w:cs="Tahoma" w:asciiTheme="minorEastAsia" w:hAnsiTheme="minorEastAsia" w:eastAsiaTheme="minorEastAsia"/>
        </w:rPr>
        <w:t xml:space="preserve">  湿地所在地乡镇人民政府和街道办事处应当建立巡查制度，加强对本辖区内湿地保护情况的日常监督检查，协助湿地保护管理部门查处违反本条例的行为。</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村民委员会、居民委员会发现违反本条例行为的，有权予以制止，并向湿地保护管理部门报告。</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第三十四条</w:t>
      </w:r>
      <w:r>
        <w:rPr>
          <w:rFonts w:cs="Tahoma" w:asciiTheme="minorEastAsia" w:hAnsiTheme="minorEastAsia" w:eastAsiaTheme="minorEastAsia"/>
        </w:rPr>
        <w:t xml:space="preserve">  任何单位和个人都有保护湿地的义务，对破坏、侵占湿地的行为，有权向区、乡镇人民政府或者湿地保护管理部门举报。</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有关政府或者部门应当建立健全举报制度，公布举报电话和信箱；接到举报后，应当及时调查处理；经调查属实的，对举报人予以表彰或者奖励；将处理情况记录在案，供举报人查询。</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第三十五条</w:t>
      </w:r>
      <w:r>
        <w:rPr>
          <w:rFonts w:cs="Tahoma" w:asciiTheme="minorEastAsia" w:hAnsiTheme="minorEastAsia" w:eastAsiaTheme="minorEastAsia"/>
        </w:rPr>
        <w:t xml:space="preserve">  湿地保护管理部门应当对湿地资源进行动态监测，对湿地的生态状况和利用情况进行评估。园林绿化部门应当及时汇总有关监测数据。</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第三十六条</w:t>
      </w:r>
      <w:r>
        <w:rPr>
          <w:rFonts w:cs="Tahoma" w:asciiTheme="minorEastAsia" w:hAnsiTheme="minorEastAsia" w:eastAsiaTheme="minorEastAsia"/>
        </w:rPr>
        <w:t xml:space="preserve">  市园林绿化部门会同规划自然资源、农业农村、水务等有关部门，每五年开展一次全市湿地资源专业调查，建立湿地资源档案。湿地资源专业调查结果应当向社会公布。</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湿地资源专业调查主要包括湿地面积、类型、分布及其生态功能，以及野生动植物种类、数量、生存状况等内容。</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第三十七条</w:t>
      </w:r>
      <w:r>
        <w:rPr>
          <w:rFonts w:cs="Tahoma" w:asciiTheme="minorEastAsia" w:hAnsiTheme="minorEastAsia" w:eastAsiaTheme="minorEastAsia"/>
        </w:rPr>
        <w:t xml:space="preserve">  湿地保护管理部门履行监督检查职责，可以采取现场检查、询问有关人员、查阅或者复制有关资料等方式。</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行政执法人员进行监督检查时，应当出示执法证件；有关单位和个人不得拒绝、阻挠、妨碍行政执法人员依法进行监督检查。</w:t>
      </w:r>
    </w:p>
    <w:p>
      <w:pPr>
        <w:pStyle w:val="63"/>
        <w:spacing w:before="218" w:after="218" w:line="412" w:lineRule="exact"/>
        <w:rPr>
          <w:kern w:val="0"/>
        </w:rPr>
      </w:pPr>
      <w:r>
        <w:rPr>
          <w:bCs w:val="0"/>
          <w:kern w:val="0"/>
        </w:rPr>
        <w:t>第五章  法律责任</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第三十八条</w:t>
      </w:r>
      <w:r>
        <w:rPr>
          <w:rFonts w:cs="Tahoma" w:asciiTheme="minorEastAsia" w:hAnsiTheme="minorEastAsia" w:eastAsiaTheme="minorEastAsia"/>
        </w:rPr>
        <w:t xml:space="preserve">  本市实行湿地保护管理责任追究制度。湿地保护管理部门或者其他有关部门及其工作人员违反本条例规定，违法履行、不履行或者不当履行湿地保护管理职责的，按照国家和本市有关规定给予行政问责和行政处分；构成犯罪的，依法追究刑事责任。</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第三十九条</w:t>
      </w:r>
      <w:r>
        <w:rPr>
          <w:rFonts w:cs="Tahoma" w:asciiTheme="minorEastAsia" w:hAnsiTheme="minorEastAsia" w:eastAsiaTheme="minorEastAsia"/>
        </w:rPr>
        <w:t xml:space="preserve">  违反本条例第二十条第二款规定，损毁、涂改、擅自移动湿地保护标志的，由湿地保护管理部门责令限期改正，可以处500元以上5000元以下罚款。</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第四十条</w:t>
      </w:r>
      <w:r>
        <w:rPr>
          <w:rFonts w:cs="Tahoma" w:asciiTheme="minorEastAsia" w:hAnsiTheme="minorEastAsia" w:eastAsiaTheme="minorEastAsia"/>
        </w:rPr>
        <w:t xml:space="preserve">  列入名录的湿地的管理机构或者责任单位违反本条例第二十四条规定不履行职责的，由湿地保护管理部门责令改正；其主要负责人、直接责任人属于国家工作人员的，按规定给予行政处分。</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第四十一条  </w:t>
      </w:r>
      <w:r>
        <w:rPr>
          <w:rFonts w:cs="Tahoma" w:asciiTheme="minorEastAsia" w:hAnsiTheme="minorEastAsia" w:eastAsiaTheme="minorEastAsia"/>
        </w:rPr>
        <w:t>违反本条例第二十五条规定，从事不符合湿地保护发展规划的活动，对湿地造成破坏的，由湿地保护管理部门责令停止违法行为，限期恢复原状；恢复原状前不得开展湿地保护以外的其他活动。</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第四十二条</w:t>
      </w:r>
      <w:r>
        <w:rPr>
          <w:rFonts w:cs="Tahoma" w:asciiTheme="minorEastAsia" w:hAnsiTheme="minorEastAsia" w:eastAsiaTheme="minorEastAsia"/>
        </w:rPr>
        <w:t xml:space="preserve">  违反本条例第二十七条第一款规定，未经批准擅自开垦、占用湿地或者改变湿地用途的，由湿地保护管理部门责令停止违法行为、限期恢复原状，并按照占用湿地或者改变湿地用途的面积，以每平方米2000元以上5000元以下的标准处以罚款。</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违反本条例第二十七条第三款规定，经批准占用湿地，未按照湿地恢复建设方案在指定地点补建的，由园林绿化部门责令限期补建；逾期不补建的，按照占用湿地的面积，以每平方米2000元以上5000元以下的标准处以罚款。</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当事人逾期不恢复原状或者逾期不补建的，湿地保护管理部门可以依法实施代履行。</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第四十三条 </w:t>
      </w:r>
      <w:r>
        <w:rPr>
          <w:rFonts w:cs="Tahoma" w:asciiTheme="minorEastAsia" w:hAnsiTheme="minorEastAsia" w:eastAsiaTheme="minorEastAsia"/>
        </w:rPr>
        <w:t xml:space="preserve"> 违反本条例第三十一条第一项规定的，由湿地保护管理部门责令改正或者恢复原状，处500元以上5000元以下罚款。</w:t>
      </w:r>
    </w:p>
    <w:p>
      <w:pPr>
        <w:pStyle w:val="25"/>
        <w:widowControl w:val="0"/>
        <w:shd w:val="clear" w:color="auto" w:fill="FFFFFF"/>
        <w:topLinePunct/>
        <w:spacing w:beforeAutospacing="0" w:afterAutospacing="0" w:line="412" w:lineRule="exact"/>
        <w:ind w:firstLine="480" w:firstLineChars="200"/>
        <w:jc w:val="both"/>
        <w:rPr>
          <w:rFonts w:cs="Tahoma" w:asciiTheme="minorEastAsia" w:hAnsiTheme="minorEastAsia" w:eastAsiaTheme="minorEastAsia"/>
        </w:rPr>
      </w:pPr>
      <w:r>
        <w:rPr>
          <w:rFonts w:cs="Tahoma" w:asciiTheme="minorEastAsia" w:hAnsiTheme="minorEastAsia" w:eastAsiaTheme="minorEastAsia"/>
        </w:rPr>
        <w:t>违反本条例第三十一条第二项至第七项规定的，由湿地保护管理部门责令改正或者恢复原状，处5000元以上5万元以下罚款；造成严重后果的，处5万元以上50万元以下罚款。</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第四十四条</w:t>
      </w:r>
      <w:r>
        <w:rPr>
          <w:rFonts w:cs="Tahoma" w:asciiTheme="minorEastAsia" w:hAnsiTheme="minorEastAsia" w:eastAsiaTheme="minorEastAsia"/>
        </w:rPr>
        <w:t xml:space="preserve">  违反本条例规定占用湿地、改变湿地用途、破坏湿地和保护标志的，湿地管理机构、责任单位或者湿地所有权人、使用人有权要求侵权人停止侵害、恢复原状或者赔偿损失。</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 xml:space="preserve">第四十五条 </w:t>
      </w:r>
      <w:r>
        <w:rPr>
          <w:rFonts w:cs="Tahoma" w:asciiTheme="minorEastAsia" w:hAnsiTheme="minorEastAsia" w:eastAsiaTheme="minorEastAsia"/>
        </w:rPr>
        <w:t xml:space="preserve"> 对违反本条例规定的行为，法律、法规已规定法律责任的，从其规定。</w:t>
      </w:r>
    </w:p>
    <w:p>
      <w:pPr>
        <w:pStyle w:val="63"/>
        <w:spacing w:before="218" w:after="218" w:line="412" w:lineRule="exact"/>
        <w:rPr>
          <w:kern w:val="0"/>
        </w:rPr>
      </w:pPr>
      <w:r>
        <w:rPr>
          <w:bCs w:val="0"/>
          <w:kern w:val="0"/>
        </w:rPr>
        <w:t>第六章  附  则</w:t>
      </w:r>
    </w:p>
    <w:p>
      <w:pPr>
        <w:pStyle w:val="25"/>
        <w:widowControl w:val="0"/>
        <w:shd w:val="clear" w:color="auto" w:fill="FFFFFF"/>
        <w:topLinePunct/>
        <w:spacing w:beforeAutospacing="0" w:afterAutospacing="0" w:line="412" w:lineRule="exact"/>
        <w:ind w:firstLine="482" w:firstLineChars="200"/>
        <w:jc w:val="both"/>
        <w:rPr>
          <w:rFonts w:cs="Tahoma" w:asciiTheme="minorEastAsia" w:hAnsiTheme="minorEastAsia" w:eastAsiaTheme="minorEastAsia"/>
        </w:rPr>
      </w:pPr>
      <w:r>
        <w:rPr>
          <w:rFonts w:cs="Tahoma" w:asciiTheme="minorEastAsia" w:hAnsiTheme="minorEastAsia" w:eastAsiaTheme="minorEastAsia"/>
          <w:b/>
        </w:rPr>
        <w:t>第四十六条</w:t>
      </w:r>
      <w:r>
        <w:rPr>
          <w:rFonts w:cs="Tahoma" w:asciiTheme="minorEastAsia" w:hAnsiTheme="minorEastAsia" w:eastAsiaTheme="minorEastAsia"/>
        </w:rPr>
        <w:t xml:space="preserve">  本条例自2013年5月1日起施行。</w:t>
      </w:r>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widowControl/>
        <w:spacing w:before="156" w:after="156"/>
        <w:ind w:firstLine="240"/>
        <w:rPr>
          <w:rFonts w:cs="Times New Roman" w:asciiTheme="minorEastAsia" w:hAnsiTheme="minorEastAsia"/>
          <w:sz w:val="24"/>
          <w:szCs w:val="24"/>
        </w:rPr>
        <w:sectPr>
          <w:headerReference r:id="rId17" w:type="default"/>
          <w:headerReference r:id="rId18" w:type="even"/>
          <w:pgSz w:w="12247" w:h="17180"/>
          <w:pgMar w:top="1814" w:right="1701" w:bottom="1701" w:left="1701" w:header="851" w:footer="1134" w:gutter="0"/>
          <w:cols w:space="425" w:num="1"/>
          <w:docGrid w:type="lines" w:linePitch="312" w:charSpace="0"/>
        </w:sectPr>
      </w:pPr>
      <w:bookmarkStart w:id="319" w:name="_Toc18942591"/>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320" w:name="_Toc25648181"/>
      <w:bookmarkStart w:id="321" w:name="_Toc25653676"/>
      <w:bookmarkStart w:id="322" w:name="_Toc28252162"/>
      <w:r>
        <w:t>三、农村合作经济</w:t>
      </w:r>
      <w:bookmarkEnd w:id="320"/>
      <w:bookmarkEnd w:id="321"/>
      <w:bookmarkEnd w:id="322"/>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b/>
          <w:bCs/>
          <w:sz w:val="24"/>
          <w:szCs w:val="24"/>
        </w:rPr>
      </w:pPr>
      <w:r>
        <w:rPr>
          <w:rFonts w:cs="Times New Roman" w:asciiTheme="minorEastAsia" w:hAnsiTheme="minorEastAsia"/>
          <w:sz w:val="24"/>
          <w:szCs w:val="24"/>
        </w:rPr>
        <w:br w:type="page"/>
      </w:r>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323" w:name="_Toc26347942"/>
      <w:bookmarkStart w:id="324" w:name="_Toc28250891"/>
      <w:bookmarkStart w:id="325" w:name="_Toc25648182"/>
      <w:bookmarkStart w:id="326" w:name="_Toc28156964"/>
      <w:bookmarkStart w:id="327" w:name="_Toc25653677"/>
      <w:bookmarkStart w:id="328" w:name="_Toc28252163"/>
      <w:r>
        <w:t>北京市农村集体资产管理条例</w:t>
      </w:r>
      <w:bookmarkEnd w:id="319"/>
      <w:bookmarkEnd w:id="323"/>
      <w:bookmarkEnd w:id="324"/>
      <w:bookmarkEnd w:id="325"/>
      <w:bookmarkEnd w:id="326"/>
      <w:bookmarkEnd w:id="327"/>
      <w:bookmarkEnd w:id="328"/>
    </w:p>
    <w:p>
      <w:pPr>
        <w:pStyle w:val="62"/>
      </w:pPr>
      <w:r>
        <w:t>（北京市第十届人民代表大会常务委员会公告〔1993〕1号公布，根据1998年11月5日北京市第十一届人民代表大会常务委员会第6次会议《关于修改〈北京市农村集体资产管理条例〉的决定》第一次修订，根据2010年12月23日北京市第十三届人民代表大会常务委员会第22次会议《关于修改部分地方性法规的决定》第二次修订）</w:t>
      </w:r>
    </w:p>
    <w:p>
      <w:pPr>
        <w:pStyle w:val="5"/>
        <w:keepNext w:val="0"/>
        <w:keepLines w:val="0"/>
        <w:topLinePunct/>
        <w:spacing w:line="416" w:lineRule="exact"/>
        <w:ind w:firstLine="482" w:firstLineChars="200"/>
        <w:rPr>
          <w:rFonts w:asciiTheme="minorEastAsia" w:hAnsiTheme="minorEastAsia" w:eastAsiaTheme="minorEastAsia"/>
          <w:sz w:val="24"/>
          <w:szCs w:val="24"/>
        </w:rPr>
      </w:pPr>
    </w:p>
    <w:p>
      <w:pPr>
        <w:pStyle w:val="63"/>
        <w:spacing w:before="218" w:after="218" w:line="412" w:lineRule="exact"/>
      </w:pPr>
      <w:r>
        <w:t xml:space="preserve">第一章 </w:t>
      </w:r>
      <w:r>
        <w:rPr>
          <w:rFonts w:hint="eastAsia"/>
        </w:rPr>
        <w:t xml:space="preserve"> </w:t>
      </w:r>
      <w:r>
        <w:t>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为了加强农村集体资产管理，保护集体资产所有者、经营者的合法权益，促进农村社会主义市场经济健康发展，根据国家有关法律规定，结合本市实际情况，制定本条例。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本条例适用于本市乡（镇）合作经济联合社和村经济合作社（以下简称乡联社、村合作社）集体所有的资产的管理。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农村集体资产受法律保护，禁止任何组织或者个人侵占、哄抢、私分、破坏、平调或者非法查封、扣押、冻结、没收。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乡联社、村合作社应当加强集体资产管理。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任何组织和个人都应当爱护集体资产。乡联社、村合作社及其成员有保护集体资产的权利和义务。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农村集体资产可以按照所有权和经营权分离的原则，采取多种经营方式，实行有偿使用。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各级人民政府农村合作经济管理部门负责农村集体资产管理工作的指导，对本条例的实施进行监督。</w:t>
      </w:r>
    </w:p>
    <w:p>
      <w:pPr>
        <w:pStyle w:val="63"/>
        <w:spacing w:before="218" w:after="218" w:line="412" w:lineRule="exact"/>
      </w:pPr>
      <w:r>
        <w:t xml:space="preserve">第二章 </w:t>
      </w:r>
      <w:r>
        <w:rPr>
          <w:rFonts w:hint="eastAsia"/>
        </w:rPr>
        <w:t xml:space="preserve"> </w:t>
      </w:r>
      <w:r>
        <w:t>农村集体资产所有权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乡联社、村合作社的集体资产属于该合作社劳动群众集体所有。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社员大会或者社员代表大会选举产生的乡联社、村合作社管理委员会依法行使集体资产所有权。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乡联社、村合作社的集体资产包括：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（一）乡联社、村合作社集体所有的土地、山场、森林、草原、水面等自然资源；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（二）乡联社、村合作社投资形成的建筑物、构筑物、机械、设备、产畜、役畜、林木和农田水利设施等；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（三）乡联社、村合作社投资兴办的企业资产；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（四）在股份制企业、联营企业和中外合资、合作企业中，乡联社、村合作社按照协议占有的资产份额；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（五）乡联社、村合作社出资兼并的企业资产；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（六）国家无偿资助形成的资产；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（七）国家对乡联社、村合作社及其所属企业减免税形成的资产；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（八）乡联社、村合作社拥有的著作权、专利权、商标专用权等无形资产；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（九）乡联社、村合作社出资购买的股票、债券等有价证券；</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（十）依法属于乡联社、村合作社所有的货币资产和其它资产。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乡联社、村合作社的土地、企业和其它资产实行承包经营或者租赁经营的，资产的所有权不变。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集体资产所有权争议，除法律、法规另有规定的以外，当事人可以协商解决，也可以直接向人民法院起诉。</w:t>
      </w:r>
    </w:p>
    <w:p>
      <w:pPr>
        <w:pStyle w:val="63"/>
        <w:spacing w:before="218" w:after="218" w:line="412" w:lineRule="exact"/>
      </w:pPr>
      <w:r>
        <w:t>第三章</w:t>
      </w:r>
      <w:r>
        <w:rPr>
          <w:rFonts w:hint="eastAsia"/>
        </w:rPr>
        <w:t xml:space="preserve"> </w:t>
      </w:r>
      <w:r>
        <w:t xml:space="preserve"> 农村集体资产经营权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乡联社、村合作社依法决定集体资产的经营方式。可以实行承包经营、租赁经营；可以以集体资产参股、联营；也可以实行股份合作经营。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集体资产实行承包经营或者租赁经营的，应当依法签订承包合同或者租赁合同。经营者的债务责任，按照合同规定承担；合同没有规定的，个人经营的，以个人财产承担，家庭经营的，以家庭财产承担。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集体资产经营者的合法权益受法律保护。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经营集体资产的集体或者个人，享有合同规定的经营权和收益权，有管理、保护和按照合同规定的用途合理利用集体资产的权利和义务。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集体资产实行承包经营的，应当合理确定承包款；实行租赁经营的，应当合理确定租金。承包经营或者租赁经营集体资产的集体或者个人必须按照合同规定及时交纳承包款或者租金。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实行承包经营或者租赁经营，应当进行资产评估，把资产保值增值纳入承包合同，建立固定资产折旧制度。经营者必须按照规定提取折旧费。折旧费归集体所有。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用集体资产参股、联营、合资经营，应当清查资产，清查债权债务，由会计事务所或者审计事务所进行资产评估。</w:t>
      </w:r>
    </w:p>
    <w:p>
      <w:pPr>
        <w:pStyle w:val="3"/>
        <w:topLinePunct/>
        <w:spacing w:line="412" w:lineRule="exact"/>
        <w:ind w:firstLine="482"/>
        <w:rPr>
          <w:rFonts w:ascii="黑体" w:hAnsi="黑体" w:eastAsia="黑体"/>
          <w:bCs/>
          <w:sz w:val="28"/>
          <w:szCs w:val="28"/>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集体资产评估结果，报县（区）农村合作经济管理部门备案。</w:t>
      </w:r>
      <w:r>
        <w:br w:type="page"/>
      </w:r>
    </w:p>
    <w:p>
      <w:pPr>
        <w:pStyle w:val="63"/>
        <w:spacing w:before="218" w:after="218" w:line="412" w:lineRule="exact"/>
      </w:pPr>
      <w:r>
        <w:t xml:space="preserve">第四章 </w:t>
      </w:r>
      <w:r>
        <w:rPr>
          <w:rFonts w:hint="eastAsia"/>
        </w:rPr>
        <w:t xml:space="preserve"> </w:t>
      </w:r>
      <w:r>
        <w:t>农村集体资产管理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乡联社、村合作社管理委员会负责集体资产的管理工作，主要职责是：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（一）组织实施社员大会或者社员代表大会关于集体资产管理的决定，保障集体资产保值增值；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（二）依法制定、执行集体资产管理制度；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（三）检查所属经营单位的经营管理工作；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（四）派员参加联营企业、股份制企业、合资企业董事会；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（五）集体资产管理的日常工作。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农村集体资产实行民主管理，定期公布账目，接受社员监督。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下列事项必须经同级社员大会或者社员代表大会讨论通过：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（一）乡联社、村合作社年度财务预算、决算；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（二）集体资产经营方式的确定和重大变更；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（三）重大项目投资；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（四）年度收益分配方案；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（五）主要资产处置和其它重大事项。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乡联社、村合作社监察委员会对本社集体资产管理进行监督，重点对财务计划、收益分配方案、专项基金的提取和使用、承包合同和其它经济合同的执行情况进行检查。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乡联社、村合作社要建立健全固定资产登记和保管使用制度。对资产存量、增减变动情况要及时准确如实登记；建立固定资产明细账，定期盘点，做到账实相符。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乡联社、村合作社及其经营单位生产经营的农工副产品、半成品、种子、化肥、农药、燃料、原材料、机械零配件和未列入固定资产的低值易耗品等，应当明确专人保管，建立健全产品物资入库、出库、保管、领用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乡联社、村合作社及其经营单位必须严格执行国家财务制度和现金管理制度，建立健全开支审批制度，严格审批手续，保障货币资产的安全完整。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会计人员必须及时准确地核算收入、支出和结存，对违反国家财政制度、财务制度规定的收支，不予办理。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乡联社、村合作社年终收益分配，应当结清全年的收入和支出，清理财务和债权、债务，兑现承包合同。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乡联社、村合作社的土地被国家全部征收、征用、行政建制被撤销的，其集体资产处置办法由市人民政府规定。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建立农村集体资产报告制度。乡联社、村合作社应当按照规定填报统计报表，定期向乡（镇）农村合作经济管理部门报告。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乡联社、村合作社及其经营单位主要干部离任、年终收益分配、社员代表大会提出要求或者乡（镇）人民政府认为需要时，应当对集体资产进行审计。</w:t>
      </w:r>
    </w:p>
    <w:p>
      <w:pPr>
        <w:pStyle w:val="63"/>
        <w:spacing w:before="218" w:after="218" w:line="412" w:lineRule="exact"/>
      </w:pPr>
      <w:r>
        <w:t>第五章</w:t>
      </w:r>
      <w:r>
        <w:rPr>
          <w:rFonts w:hint="eastAsia"/>
        </w:rPr>
        <w:t xml:space="preserve"> </w:t>
      </w:r>
      <w:r>
        <w:t xml:space="preserve">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违反本条例规定侵占集体资产的，应当返还财产，不能返还财产的，应当折价赔偿。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损坏集体资产的，应当恢复原状或者折价赔偿。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受害人因此遭受其他重大损失的，侵害人并应当赔偿损失。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违反本条例规定，侵犯乡联社、村合作社合法权益，造成集体资产损害的，应当依法赔偿或者承担其它民事责任。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承包经营或者租赁经营农村集体资产，不按规定提取折旧费，或者不按时交纳承包款、租金的，应当依照合同约定或者法律规定承担违约责任。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集体资产管理人员失职，造成集体资产损失、损坏的，由乡联社、村合作社追究责任。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违反本条例规定，依法应当由行政主管部门给予行政处罚的，由行政主管机关依法处理。情节严重构成犯罪的，依法追究刑事责任。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当事人对承担本章规定的民事责任有争议的，可以向乡（镇）人民政府申请调解。有关承包、租赁经营集体资产引起的民事责任纠纷，可以向县（区）承包合同仲裁委员会申请仲裁，仲裁委员会应当在接到仲裁申请书二个月内作出裁决。当事人对裁决不服的，可以在收到仲裁决定书三十日内向人民法院起诉。当事人也可以直接向人民法院起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仲裁机构的仲裁决定发生法律效力后，一方当事人不履行，他方当事人可以向人民法院申请执行。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市、县（区）农村合作经济管理部门对损害农村集体资产的行为，可以支持受损害的乡联社、村合作社向人民法院起诉。</w:t>
      </w:r>
    </w:p>
    <w:p>
      <w:pPr>
        <w:pStyle w:val="63"/>
        <w:spacing w:before="218" w:after="218" w:line="412" w:lineRule="exact"/>
      </w:pPr>
      <w:r>
        <w:t xml:space="preserve">第六章 </w:t>
      </w:r>
      <w:r>
        <w:rPr>
          <w:rFonts w:hint="eastAsia"/>
        </w:rPr>
        <w:t xml:space="preserve"> </w:t>
      </w:r>
      <w:r>
        <w:t xml:space="preserve">附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本条例具体应用中的问题，由市人民政府农村工作主管部门负责解释。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本条例自1993年7月1日起施行。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329" w:name="_Toc18942592"/>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330" w:name="_Toc25648183"/>
      <w:bookmarkStart w:id="331" w:name="_Toc28250892"/>
      <w:bookmarkStart w:id="332" w:name="_Toc26347943"/>
      <w:bookmarkStart w:id="333" w:name="_Toc28252164"/>
      <w:bookmarkStart w:id="334" w:name="_Toc25653678"/>
      <w:bookmarkStart w:id="335" w:name="_Toc28156965"/>
      <w:r>
        <w:t>北京市农村集体经济审计条例</w:t>
      </w:r>
      <w:bookmarkEnd w:id="329"/>
      <w:bookmarkEnd w:id="330"/>
      <w:bookmarkEnd w:id="331"/>
      <w:bookmarkEnd w:id="332"/>
      <w:bookmarkEnd w:id="333"/>
      <w:bookmarkEnd w:id="334"/>
      <w:bookmarkEnd w:id="335"/>
    </w:p>
    <w:p>
      <w:pPr>
        <w:pStyle w:val="62"/>
      </w:pPr>
      <w:r>
        <w:t>（</w:t>
      </w:r>
      <w:r>
        <w:rPr>
          <w:rFonts w:hint="eastAsia"/>
        </w:rPr>
        <w:t>1997年1月16日北京市第十届人民代表大会常务委员会第三十五次会议通过，根据2010年12月23日北京市第十三届人民代表大会常务委员会第二十二次会议通过的《关于修改部分地方性法规的决定》修正，根据2016年11月25日北京市第十四届人民代表大会常务委员会第三十一次会议通过的《关于修改部分地方性法规的决定》修正</w:t>
      </w:r>
      <w:r>
        <w:rPr>
          <w:spacing w:val="-4"/>
        </w:rPr>
        <w:t>）</w:t>
      </w:r>
    </w:p>
    <w:p>
      <w:pPr>
        <w:pStyle w:val="63"/>
        <w:spacing w:before="218" w:after="218" w:line="412" w:lineRule="exact"/>
        <w:rPr>
          <w:kern w:val="0"/>
        </w:rPr>
      </w:pPr>
      <w:r>
        <w:rPr>
          <w:rFonts w:hint="eastAsia"/>
          <w:kern w:val="0"/>
        </w:rPr>
        <w:t>第一章  总  则</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第一条 </w:t>
      </w:r>
      <w:r>
        <w:rPr>
          <w:rFonts w:hint="eastAsia" w:cs="宋体" w:asciiTheme="minorEastAsia" w:hAnsiTheme="minorEastAsia"/>
          <w:kern w:val="0"/>
          <w:sz w:val="24"/>
          <w:szCs w:val="24"/>
        </w:rPr>
        <w:t xml:space="preserve"> 为为了加强农村集体经济的审计监督，巩固、发展农村集体经济，保护农民合法权益，根据有关法律、法规的规定，结合本市实际情况，制定本条例。</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第二条</w:t>
      </w:r>
      <w:r>
        <w:rPr>
          <w:rFonts w:hint="eastAsia" w:cs="宋体" w:asciiTheme="minorEastAsia" w:hAnsiTheme="minorEastAsia"/>
          <w:kern w:val="0"/>
          <w:sz w:val="24"/>
          <w:szCs w:val="24"/>
        </w:rPr>
        <w:t xml:space="preserve">  本条例适用于本市农村集体经济组织（即乡镇合作经济联合社、村经济合作社以及其他农村合作经济组织，以下简称合作社）及其所属企业事业单位的财务收支等有关经济活动的审计监督。</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第三条</w:t>
      </w:r>
      <w:r>
        <w:rPr>
          <w:rFonts w:hint="eastAsia" w:cs="宋体" w:asciiTheme="minorEastAsia" w:hAnsiTheme="minorEastAsia"/>
          <w:kern w:val="0"/>
          <w:sz w:val="24"/>
          <w:szCs w:val="24"/>
        </w:rPr>
        <w:t xml:space="preserve">  市和区人民政府农村工作主管部门是本行政区域内农村集体经济审计工作的主管机关（以下简称主管机关），日常工作由同级农村合作经济管理部门负责。</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农村集体经济审计工作接受国家审计机关的指导和监督。</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第四条</w:t>
      </w:r>
      <w:r>
        <w:rPr>
          <w:rFonts w:hint="eastAsia" w:cs="宋体" w:asciiTheme="minorEastAsia" w:hAnsiTheme="minorEastAsia"/>
          <w:kern w:val="0"/>
          <w:sz w:val="24"/>
          <w:szCs w:val="24"/>
        </w:rPr>
        <w:t xml:space="preserve">  农村集体经济组织设立的审计机构依照本条例规定，独立行使审计监督权，并向本级集体经济组织社员大会、职工大会或者其代表大会报告工作。</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第五条</w:t>
      </w:r>
      <w:r>
        <w:rPr>
          <w:rFonts w:hint="eastAsia" w:cs="宋体" w:asciiTheme="minorEastAsia" w:hAnsiTheme="minorEastAsia"/>
          <w:kern w:val="0"/>
          <w:sz w:val="24"/>
          <w:szCs w:val="24"/>
        </w:rPr>
        <w:t xml:space="preserve">  审计人员依法行使职权，受法律保护，任何人不得打击报复。</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审计机构和审计人员办理审计事项，应当客观公正，实事求是，廉洁奉公，保守秘密。</w:t>
      </w:r>
    </w:p>
    <w:p>
      <w:pPr>
        <w:pStyle w:val="63"/>
        <w:spacing w:before="218" w:after="218" w:line="412" w:lineRule="exact"/>
        <w:rPr>
          <w:kern w:val="0"/>
        </w:rPr>
      </w:pPr>
      <w:r>
        <w:rPr>
          <w:rFonts w:hint="eastAsia"/>
          <w:kern w:val="0"/>
        </w:rPr>
        <w:t>第二章  审计机构</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第六条</w:t>
      </w:r>
      <w:r>
        <w:rPr>
          <w:rFonts w:hint="eastAsia" w:cs="宋体" w:asciiTheme="minorEastAsia" w:hAnsiTheme="minorEastAsia"/>
          <w:kern w:val="0"/>
          <w:sz w:val="24"/>
          <w:szCs w:val="24"/>
        </w:rPr>
        <w:t xml:space="preserve">  合作社应当设立审计机构，但经济规模较小的村经济合作社及其他农村合作经济组织可以不设，其审计工作由乡镇合作经济联合社审计机构负责。</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第七条</w:t>
      </w:r>
      <w:r>
        <w:rPr>
          <w:rFonts w:hint="eastAsia" w:cs="宋体" w:asciiTheme="minorEastAsia" w:hAnsiTheme="minorEastAsia"/>
          <w:kern w:val="0"/>
          <w:sz w:val="24"/>
          <w:szCs w:val="24"/>
        </w:rPr>
        <w:t xml:space="preserve">  规模较大的集体企业和事业单位应当设立审计机构，但规模较小的集体企业和事业单位经合作社管委会同意可以不设，其审计工作由合作社审计机构负责。</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第八条</w:t>
      </w:r>
      <w:r>
        <w:rPr>
          <w:rFonts w:hint="eastAsia" w:cs="宋体" w:asciiTheme="minorEastAsia" w:hAnsiTheme="minorEastAsia"/>
          <w:kern w:val="0"/>
          <w:sz w:val="24"/>
          <w:szCs w:val="24"/>
        </w:rPr>
        <w:t xml:space="preserve">  审计机构应当配备相应的专职或者兼职审计人员。</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审计人员应当具备与其从事的审计工作相适应的专业知识和业务能力，经考核合格，持证上岗。</w:t>
      </w:r>
    </w:p>
    <w:p>
      <w:pPr>
        <w:pStyle w:val="63"/>
        <w:spacing w:before="218" w:after="218" w:line="412" w:lineRule="exact"/>
        <w:rPr>
          <w:kern w:val="0"/>
        </w:rPr>
      </w:pPr>
      <w:r>
        <w:rPr>
          <w:rFonts w:hint="eastAsia"/>
          <w:kern w:val="0"/>
        </w:rPr>
        <w:t>第三章  审计机构的任务和职权</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第九条 </w:t>
      </w:r>
      <w:r>
        <w:rPr>
          <w:rFonts w:hint="eastAsia" w:cs="宋体" w:asciiTheme="minorEastAsia" w:hAnsiTheme="minorEastAsia"/>
          <w:kern w:val="0"/>
          <w:sz w:val="24"/>
          <w:szCs w:val="24"/>
        </w:rPr>
        <w:t xml:space="preserve"> 审计机构对合作社按以下内容进行审计：</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（一）财务管理等内部控制制度；</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（二）财务收支计划执行情况；</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（三）财务会计报表、凭证、账簿的完整性、真实性和合法性；</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（四）集体资产、负债、损益；</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（五）建设项目的预算、决算及投资效益；</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（六）承包费、租金、土地征收、征用补偿费、公积金、公益金及其他收入的收支情况；</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（七）决算及收益分配；</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（八）其他需要审计的事项。</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第十条 </w:t>
      </w:r>
      <w:r>
        <w:rPr>
          <w:rFonts w:hint="eastAsia" w:cs="宋体" w:asciiTheme="minorEastAsia" w:hAnsiTheme="minorEastAsia"/>
          <w:kern w:val="0"/>
          <w:sz w:val="24"/>
          <w:szCs w:val="24"/>
        </w:rPr>
        <w:t xml:space="preserve"> 审计机构对乡镇、村集体企业事业单位按以下内容进行审计：</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（一）本条例第九条第（一）、（二）、（三）、（四）、（五）、（七）项规定的审计事项；</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（二）经济指标完成情况和经济效益；</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（三）承包合同履行情况；</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（四）其他需要审计的事项。</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第十一条</w:t>
      </w:r>
      <w:r>
        <w:rPr>
          <w:rFonts w:hint="eastAsia" w:cs="宋体" w:asciiTheme="minorEastAsia" w:hAnsiTheme="minorEastAsia"/>
          <w:kern w:val="0"/>
          <w:sz w:val="24"/>
          <w:szCs w:val="24"/>
        </w:rPr>
        <w:t xml:space="preserve">  审计机构对即将离任的合作社主要负责人和集体企业厂长、经理应当按下列内容进行任期内的经济责任审计：</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（一）财务收支的合法性；</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（二）经济指标、经营成果等任期目标完成情况的真实性；</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（三）集体资产、负债、损益；</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（四）其他需要审计的事项。</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第十二条</w:t>
      </w:r>
      <w:r>
        <w:rPr>
          <w:rFonts w:hint="eastAsia" w:cs="宋体" w:asciiTheme="minorEastAsia" w:hAnsiTheme="minorEastAsia"/>
          <w:kern w:val="0"/>
          <w:sz w:val="24"/>
          <w:szCs w:val="24"/>
        </w:rPr>
        <w:t xml:space="preserve">  审计机构应当对合作社及其所属企业事业单位的下列事项进行年度审计：</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（一）经营成果；</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（二）农民负担；</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（三）年度审计计划列入的其他事项。</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第十三条</w:t>
      </w:r>
      <w:r>
        <w:rPr>
          <w:rFonts w:hint="eastAsia" w:cs="宋体" w:asciiTheme="minorEastAsia" w:hAnsiTheme="minorEastAsia"/>
          <w:kern w:val="0"/>
          <w:sz w:val="24"/>
          <w:szCs w:val="24"/>
        </w:rPr>
        <w:t xml:space="preserve">  合作社审计机构对本合作社及其所属企业事业单位和合作社占控股地位的农村股份合作企业进行审计。</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乡镇合作经济联合社审计机构可以对村经济合作社及其所属企业事业单位进行审计。</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第十四条</w:t>
      </w:r>
      <w:r>
        <w:rPr>
          <w:rFonts w:hint="eastAsia" w:cs="宋体" w:asciiTheme="minorEastAsia" w:hAnsiTheme="minorEastAsia"/>
          <w:kern w:val="0"/>
          <w:sz w:val="24"/>
          <w:szCs w:val="24"/>
        </w:rPr>
        <w:t xml:space="preserve">  根据法律、法规的规定或者必要时，农村合作经济管理部门可以对合作社及其所属企业事业单位进行审计。</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第十五条</w:t>
      </w:r>
      <w:r>
        <w:rPr>
          <w:rFonts w:hint="eastAsia" w:cs="宋体" w:asciiTheme="minorEastAsia" w:hAnsiTheme="minorEastAsia"/>
          <w:kern w:val="0"/>
          <w:sz w:val="24"/>
          <w:szCs w:val="24"/>
        </w:rPr>
        <w:t xml:space="preserve">  合作社及其所属企业事业单位可以委托会计（审计）师事务所进行审计。</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第十六条</w:t>
      </w:r>
      <w:r>
        <w:rPr>
          <w:rFonts w:hint="eastAsia" w:cs="宋体" w:asciiTheme="minorEastAsia" w:hAnsiTheme="minorEastAsia"/>
          <w:kern w:val="0"/>
          <w:sz w:val="24"/>
          <w:szCs w:val="24"/>
        </w:rPr>
        <w:t xml:space="preserve">  审计机构在审计过程中有下列职权：</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（一）要求被审计单位提供财务收支计划、预算执行情况、决算、财务报告、经济合同以及其他与财务收支有关的资料，被审计单位不得拒绝、拖延、谎报；</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（二）检查被审计单位的会计报表、凭证、账簿以及其他与财务收支有关的资料和资产，被审计单位不得拒绝、阻挠；</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（三）就审计事项的有关问题向有关单位和个人进行调查，被调查的单位和个人应当如实提供有关资料和证明材料；</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（四）有权制止正在进行的损害集体经济组织利益、违反财经纪律的行为；</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（五）对转移、隐匿、篡改、毁弃会计报表、凭证、账簿等有关资料的，有权予以制止。</w:t>
      </w:r>
    </w:p>
    <w:p>
      <w:pPr>
        <w:pStyle w:val="63"/>
        <w:spacing w:before="218" w:after="218" w:line="412" w:lineRule="exact"/>
        <w:rPr>
          <w:kern w:val="0"/>
        </w:rPr>
      </w:pPr>
      <w:r>
        <w:rPr>
          <w:rFonts w:hint="eastAsia"/>
          <w:kern w:val="0"/>
        </w:rPr>
        <w:t>第四章  审计程序</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第十七条</w:t>
      </w:r>
      <w:r>
        <w:rPr>
          <w:rFonts w:hint="eastAsia" w:cs="宋体" w:asciiTheme="minorEastAsia" w:hAnsiTheme="minorEastAsia"/>
          <w:kern w:val="0"/>
          <w:sz w:val="24"/>
          <w:szCs w:val="24"/>
        </w:rPr>
        <w:t xml:space="preserve">  审计机构应当编制年度审计计划，报其主管领导批准后执行。</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审计机构应当根据审计事项组成不少于二人的审计组，于实施审计三日前向被审计单位送达审计通知书。</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第十八条</w:t>
      </w:r>
      <w:r>
        <w:rPr>
          <w:rFonts w:hint="eastAsia" w:cs="宋体" w:asciiTheme="minorEastAsia" w:hAnsiTheme="minorEastAsia"/>
          <w:kern w:val="0"/>
          <w:sz w:val="24"/>
          <w:szCs w:val="24"/>
        </w:rPr>
        <w:t xml:space="preserve">  审计组根据审计项目工作方案审查会计报表、凭证、账簿，查阅有关文件资料，检查现金、实物，向有关单位和个人进行调查并取得证明材料。证明人提供的书面材料应当由其本人签名或者盖章。</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审计人员向有关单位和个人进行调查时，应当出示有关证明文件。</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第十九条 </w:t>
      </w:r>
      <w:r>
        <w:rPr>
          <w:rFonts w:hint="eastAsia" w:cs="宋体" w:asciiTheme="minorEastAsia" w:hAnsiTheme="minorEastAsia"/>
          <w:kern w:val="0"/>
          <w:sz w:val="24"/>
          <w:szCs w:val="24"/>
        </w:rPr>
        <w:t xml:space="preserve"> 审计组在审计过程中，应当听取社员或者职工的意见。</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第二十条 </w:t>
      </w:r>
      <w:r>
        <w:rPr>
          <w:rFonts w:hint="eastAsia" w:cs="宋体" w:asciiTheme="minorEastAsia" w:hAnsiTheme="minorEastAsia"/>
          <w:kern w:val="0"/>
          <w:sz w:val="24"/>
          <w:szCs w:val="24"/>
        </w:rPr>
        <w:t xml:space="preserve"> 审计组对审计事项审计后，应当向审计机构提出审计报告。审计报告在报送前，应当征求被审计单位的意见。被审计单位在收到审计报告之日起十日内提出书面意见送交审计组。</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审计机构审定审计报告后，出具审计意见书，报其领导机构批准后，通知被审计单位。</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审计意见书自送达之日起生效，被审计单位必须执行。</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审计意见书应当报上一级审计机构备案。</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第二十一条 </w:t>
      </w:r>
      <w:r>
        <w:rPr>
          <w:rFonts w:hint="eastAsia" w:cs="宋体" w:asciiTheme="minorEastAsia" w:hAnsiTheme="minorEastAsia"/>
          <w:kern w:val="0"/>
          <w:sz w:val="24"/>
          <w:szCs w:val="24"/>
        </w:rPr>
        <w:t xml:space="preserve"> 对同一审计对象进行审计，上级审计机构与下级审计机构的审计意见不一致时，以上级审计机构的审计意见为准。</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第二十二条 </w:t>
      </w:r>
      <w:r>
        <w:rPr>
          <w:rFonts w:hint="eastAsia" w:cs="宋体" w:asciiTheme="minorEastAsia" w:hAnsiTheme="minorEastAsia"/>
          <w:kern w:val="0"/>
          <w:sz w:val="24"/>
          <w:szCs w:val="24"/>
        </w:rPr>
        <w:t xml:space="preserve"> 审计机构应当对办理的审计事项建立统一的审计档案。</w:t>
      </w:r>
    </w:p>
    <w:p>
      <w:pPr>
        <w:pStyle w:val="63"/>
        <w:spacing w:before="218" w:after="218" w:line="412" w:lineRule="exact"/>
        <w:rPr>
          <w:kern w:val="0"/>
        </w:rPr>
      </w:pPr>
      <w:r>
        <w:rPr>
          <w:rFonts w:hint="eastAsia"/>
          <w:kern w:val="0"/>
        </w:rPr>
        <w:t>第五章  法律责任</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第二十三条 </w:t>
      </w:r>
      <w:r>
        <w:rPr>
          <w:rFonts w:hint="eastAsia" w:cs="宋体" w:asciiTheme="minorEastAsia" w:hAnsiTheme="minorEastAsia"/>
          <w:kern w:val="0"/>
          <w:sz w:val="24"/>
          <w:szCs w:val="24"/>
        </w:rPr>
        <w:t xml:space="preserve"> 违反本条例规定，拒绝、拖延提供与审计事项有关资料的，或者拒绝、阻挠审计工作的，由审计机构责令限期改正；逾期不改的，由审计机构建议其上级主管部门或者有关部门对直接责任人员给予处分。</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第二十四条 </w:t>
      </w:r>
      <w:r>
        <w:rPr>
          <w:rFonts w:hint="eastAsia" w:cs="宋体" w:asciiTheme="minorEastAsia" w:hAnsiTheme="minorEastAsia"/>
          <w:kern w:val="0"/>
          <w:sz w:val="24"/>
          <w:szCs w:val="24"/>
        </w:rPr>
        <w:t xml:space="preserve"> 违反本条例规定，转移、隐匿、篡改、毁弃会计报表、凭证、账簿及有关资料的，由审计机构建议其上级主管部门或者有关部门对直接责任人员给予处分；构成犯罪的，依法追究刑事责任。</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第二十五条</w:t>
      </w:r>
      <w:r>
        <w:rPr>
          <w:rFonts w:hint="eastAsia" w:cs="宋体" w:asciiTheme="minorEastAsia" w:hAnsiTheme="minorEastAsia"/>
          <w:kern w:val="0"/>
          <w:sz w:val="24"/>
          <w:szCs w:val="24"/>
        </w:rPr>
        <w:t xml:space="preserve">  转移、隐匿违法取得的资产的，由审计机构建议其上级主管部门或者有关部门责令退还财产或者赔偿损失，并对直接责任人员给予处分；构成犯罪的，依法追究刑事责任。</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第二十六条 </w:t>
      </w:r>
      <w:r>
        <w:rPr>
          <w:rFonts w:hint="eastAsia" w:cs="宋体" w:asciiTheme="minorEastAsia" w:hAnsiTheme="minorEastAsia"/>
          <w:kern w:val="0"/>
          <w:sz w:val="24"/>
          <w:szCs w:val="24"/>
        </w:rPr>
        <w:t xml:space="preserve"> 侵占、侵吞集体资产或者因失职、渎职造成集体资产损失的，由审计机构建议其上级主管部门或者有关部门责令退还财产或者赔偿损失，并对直接责任人员给予处分；构成犯罪的，依法追究刑事责任。</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第二十七条 </w:t>
      </w:r>
      <w:r>
        <w:rPr>
          <w:rFonts w:hint="eastAsia" w:cs="宋体" w:asciiTheme="minorEastAsia" w:hAnsiTheme="minorEastAsia"/>
          <w:kern w:val="0"/>
          <w:sz w:val="24"/>
          <w:szCs w:val="24"/>
        </w:rPr>
        <w:t xml:space="preserve"> 违反财务会计管理规定的，由审计机构责令改正；情节严重的，由审计机构建议其上级主管部门或者有关部门对直接责任人员给予处分。</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第二十八条</w:t>
      </w:r>
      <w:r>
        <w:rPr>
          <w:rFonts w:hint="eastAsia" w:cs="宋体" w:asciiTheme="minorEastAsia" w:hAnsiTheme="minorEastAsia"/>
          <w:kern w:val="0"/>
          <w:sz w:val="24"/>
          <w:szCs w:val="24"/>
        </w:rPr>
        <w:t xml:space="preserve">  打击报复审计人员，构成犯罪的，依法追究刑事责任；不构成犯罪的，给予行政处分。</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第二十九条</w:t>
      </w:r>
      <w:r>
        <w:rPr>
          <w:rFonts w:hint="eastAsia" w:cs="宋体" w:asciiTheme="minorEastAsia" w:hAnsiTheme="minorEastAsia"/>
          <w:kern w:val="0"/>
          <w:sz w:val="24"/>
          <w:szCs w:val="24"/>
        </w:rPr>
        <w:t xml:space="preserve">  审计人员滥用职权、徇私舞弊、玩忽职守、泄露秘密的，由其上级主管</w:t>
      </w:r>
    </w:p>
    <w:p>
      <w:pPr>
        <w:topLinePunct/>
        <w:autoSpaceDE w:val="0"/>
        <w:autoSpaceDN w:val="0"/>
        <w:adjustRightInd w:val="0"/>
        <w:spacing w:beforeLines="0" w:afterLines="0" w:line="412"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部门或者有关部门给予处分；构成犯罪的，依法追究刑事责任。</w:t>
      </w:r>
    </w:p>
    <w:p>
      <w:pPr>
        <w:topLinePunct/>
        <w:autoSpaceDE w:val="0"/>
        <w:autoSpaceDN w:val="0"/>
        <w:adjustRightInd w:val="0"/>
        <w:spacing w:beforeLines="0" w:afterLines="0" w:line="412"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第三十条  </w:t>
      </w:r>
      <w:r>
        <w:rPr>
          <w:rFonts w:hint="eastAsia" w:cs="宋体" w:asciiTheme="minorEastAsia" w:hAnsiTheme="minorEastAsia"/>
          <w:kern w:val="0"/>
          <w:sz w:val="24"/>
          <w:szCs w:val="24"/>
        </w:rPr>
        <w:t>对审计机构提出的审计意见书，其领导机构不作出决定的，审计机构可以提请上一级主管部门责令改正；拒不改正的，按照法定程序对直接责任人员给予处分。</w:t>
      </w:r>
    </w:p>
    <w:p>
      <w:pPr>
        <w:pStyle w:val="63"/>
        <w:spacing w:before="218" w:after="218" w:line="412" w:lineRule="exact"/>
        <w:rPr>
          <w:kern w:val="0"/>
        </w:rPr>
      </w:pPr>
      <w:r>
        <w:rPr>
          <w:rFonts w:hint="eastAsia"/>
          <w:kern w:val="0"/>
        </w:rPr>
        <w:t>第六章  附  则</w:t>
      </w:r>
    </w:p>
    <w:p>
      <w:pPr>
        <w:pStyle w:val="5"/>
        <w:keepNext w:val="0"/>
        <w:keepLines w:val="0"/>
        <w:topLinePunct/>
        <w:spacing w:line="412" w:lineRule="exact"/>
        <w:ind w:firstLine="482" w:firstLineChars="200"/>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第三十一条</w:t>
      </w:r>
      <w:r>
        <w:rPr>
          <w:rFonts w:hint="eastAsia" w:cs="宋体" w:asciiTheme="minorEastAsia" w:hAnsiTheme="minorEastAsia"/>
          <w:kern w:val="0"/>
          <w:sz w:val="24"/>
          <w:szCs w:val="24"/>
        </w:rPr>
        <w:t xml:space="preserve">  </w:t>
      </w:r>
      <w:r>
        <w:rPr>
          <w:rFonts w:hint="eastAsia" w:cs="宋体" w:asciiTheme="minorEastAsia" w:hAnsiTheme="minorEastAsia" w:eastAsiaTheme="minorEastAsia"/>
          <w:b w:val="0"/>
          <w:kern w:val="0"/>
          <w:sz w:val="24"/>
          <w:szCs w:val="24"/>
        </w:rPr>
        <w:t>本条例自</w:t>
      </w:r>
      <w:r>
        <w:rPr>
          <w:rFonts w:cs="宋体" w:asciiTheme="minorEastAsia" w:hAnsiTheme="minorEastAsia" w:eastAsiaTheme="minorEastAsia"/>
          <w:b w:val="0"/>
          <w:kern w:val="0"/>
          <w:sz w:val="24"/>
          <w:szCs w:val="24"/>
        </w:rPr>
        <w:t xml:space="preserve">1997 </w:t>
      </w:r>
      <w:r>
        <w:rPr>
          <w:rFonts w:hint="eastAsia" w:cs="宋体" w:asciiTheme="minorEastAsia" w:hAnsiTheme="minorEastAsia" w:eastAsiaTheme="minorEastAsia"/>
          <w:b w:val="0"/>
          <w:kern w:val="0"/>
          <w:sz w:val="24"/>
          <w:szCs w:val="24"/>
        </w:rPr>
        <w:t>年</w:t>
      </w:r>
      <w:r>
        <w:rPr>
          <w:rFonts w:cs="宋体" w:asciiTheme="minorEastAsia" w:hAnsiTheme="minorEastAsia" w:eastAsiaTheme="minorEastAsia"/>
          <w:b w:val="0"/>
          <w:kern w:val="0"/>
          <w:sz w:val="24"/>
          <w:szCs w:val="24"/>
        </w:rPr>
        <w:t xml:space="preserve">4 </w:t>
      </w:r>
      <w:r>
        <w:rPr>
          <w:rFonts w:hint="eastAsia" w:cs="宋体" w:asciiTheme="minorEastAsia" w:hAnsiTheme="minorEastAsia" w:eastAsiaTheme="minorEastAsia"/>
          <w:b w:val="0"/>
          <w:kern w:val="0"/>
          <w:sz w:val="24"/>
          <w:szCs w:val="24"/>
        </w:rPr>
        <w:t>月</w:t>
      </w:r>
      <w:r>
        <w:rPr>
          <w:rFonts w:cs="宋体" w:asciiTheme="minorEastAsia" w:hAnsiTheme="minorEastAsia" w:eastAsiaTheme="minorEastAsia"/>
          <w:b w:val="0"/>
          <w:kern w:val="0"/>
          <w:sz w:val="24"/>
          <w:szCs w:val="24"/>
        </w:rPr>
        <w:t xml:space="preserve">1 </w:t>
      </w:r>
      <w:r>
        <w:rPr>
          <w:rFonts w:hint="eastAsia" w:cs="宋体" w:asciiTheme="minorEastAsia" w:hAnsiTheme="minorEastAsia" w:eastAsiaTheme="minorEastAsia"/>
          <w:b w:val="0"/>
          <w:kern w:val="0"/>
          <w:sz w:val="24"/>
          <w:szCs w:val="24"/>
        </w:rPr>
        <w:t>日起施行。</w:t>
      </w:r>
      <w:r>
        <w:rPr>
          <w:rFonts w:asciiTheme="minorEastAsia" w:hAnsiTheme="minorEastAsia" w:eastAsiaTheme="minorEastAsia"/>
          <w:sz w:val="24"/>
          <w:szCs w:val="24"/>
        </w:rPr>
        <w:br w:type="page"/>
      </w:r>
      <w:bookmarkStart w:id="336" w:name="_Toc18942593"/>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337" w:name="_Toc26347944"/>
      <w:bookmarkStart w:id="338" w:name="_Toc25653679"/>
      <w:bookmarkStart w:id="339" w:name="_Toc28250893"/>
      <w:bookmarkStart w:id="340" w:name="_Toc28252165"/>
      <w:bookmarkStart w:id="341" w:name="_Toc25648184"/>
      <w:bookmarkStart w:id="342" w:name="_Toc28156966"/>
      <w:r>
        <w:t>农村集体经济组织审计规定</w:t>
      </w:r>
      <w:bookmarkEnd w:id="336"/>
      <w:bookmarkEnd w:id="337"/>
      <w:bookmarkEnd w:id="338"/>
      <w:bookmarkEnd w:id="339"/>
      <w:bookmarkEnd w:id="340"/>
      <w:bookmarkEnd w:id="341"/>
      <w:bookmarkEnd w:id="342"/>
    </w:p>
    <w:p>
      <w:pPr>
        <w:pStyle w:val="62"/>
      </w:pPr>
      <w:r>
        <w:t>（1992年5月12日农业部令第11号公布，根据2007年11月8日中华人民共和国农业部令第6号改名为《农村集体经济组织审计规定》）</w:t>
      </w:r>
    </w:p>
    <w:p>
      <w:pPr>
        <w:pStyle w:val="63"/>
        <w:spacing w:before="218" w:after="218" w:line="412" w:lineRule="exact"/>
      </w:pPr>
      <w:r>
        <w:t>第一章  总  则</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bCs/>
          <w:sz w:val="24"/>
          <w:szCs w:val="24"/>
        </w:rPr>
        <w:t>为了加强农村集体经济组织的审计监督，严肃财经法纪，提高经济效益，保护农村集体经济组织的合法权益，促进农村经济的发展，根据《中华人民共和国审计法》、《农民承担费用和劳务管理条例》、《审计署关于内部审计工作的规定》和有关法律、法规、政策，结合农村集体经济组织发展的具体情况，制定本规定。</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第二条  </w:t>
      </w:r>
      <w:r>
        <w:rPr>
          <w:rFonts w:asciiTheme="minorEastAsia" w:hAnsiTheme="minorEastAsia" w:eastAsiaTheme="minorEastAsia"/>
          <w:bCs/>
          <w:sz w:val="24"/>
          <w:szCs w:val="24"/>
        </w:rPr>
        <w:t>农业部负责全国农村集体经济组织的审计工作。</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审计业务接受国家审计机关和上级主管部门内审机构的指导。</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第三条  </w:t>
      </w:r>
      <w:r>
        <w:rPr>
          <w:rFonts w:asciiTheme="minorEastAsia" w:hAnsiTheme="minorEastAsia" w:eastAsiaTheme="minorEastAsia"/>
          <w:bCs/>
          <w:sz w:val="24"/>
          <w:szCs w:val="24"/>
        </w:rPr>
        <w:t>县级以上地方人民政府农村经营管理部门负责指导农村集体经济组织的审计工作，乡级农村经营管理部门负责农村集体经济组织的审计工作。</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第四条  </w:t>
      </w:r>
      <w:r>
        <w:rPr>
          <w:rFonts w:asciiTheme="minorEastAsia" w:hAnsiTheme="minorEastAsia" w:eastAsiaTheme="minorEastAsia"/>
          <w:bCs/>
          <w:sz w:val="24"/>
          <w:szCs w:val="24"/>
        </w:rPr>
        <w:t>凡建立农村集体经济组织审计机构的，都应配备相应的审计人员。</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审计人员应当经过考核，发给审计证，凭证开展审计工作。</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第五条  </w:t>
      </w:r>
      <w:r>
        <w:rPr>
          <w:rFonts w:asciiTheme="minorEastAsia" w:hAnsiTheme="minorEastAsia" w:eastAsiaTheme="minorEastAsia"/>
          <w:bCs/>
          <w:sz w:val="24"/>
          <w:szCs w:val="24"/>
        </w:rPr>
        <w:t>农村集体经济组织审计机构工作人员应当依法审计，忠于职守，坚持原则，客观公正，廉洁奉公，保守秘密。</w:t>
      </w:r>
    </w:p>
    <w:p>
      <w:pPr>
        <w:pStyle w:val="63"/>
        <w:spacing w:before="218" w:after="218" w:line="412" w:lineRule="exact"/>
      </w:pPr>
      <w:r>
        <w:t>第二章  审计范围和任务</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bCs/>
          <w:sz w:val="24"/>
          <w:szCs w:val="24"/>
        </w:rPr>
        <w:t>农村集体经济组织审计机构的审计监督范围为村、组集体经济组织。</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第七条  </w:t>
      </w:r>
      <w:r>
        <w:rPr>
          <w:rFonts w:asciiTheme="minorEastAsia" w:hAnsiTheme="minorEastAsia" w:eastAsiaTheme="minorEastAsia"/>
          <w:bCs/>
          <w:sz w:val="24"/>
          <w:szCs w:val="24"/>
        </w:rPr>
        <w:t>农村集体经济组织审计机构对前条所列单位的下列事项进行审计监督：</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（一）资金、财产的验证和使用管理情况；</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（二）财务收支和有关的经济活动及其经济效益；</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（三）财务管理制度的制定和执行情况；</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（四）承包合同的签订和履行情况；</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（五）收益（利润）分配情况；</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（六）承包费等集体专项资金的预算、提取和使用情况；</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（七）村集体公益事业建设筹资筹劳情况；</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（八）村集体经济组织负责人任期目标和离任经济责任；</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（九）侵占集体财产等损害农村集体经济组织利益的行为；</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（十）乡经营管理站代管的集体资金管理情况；</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（十一）当地人民政府、国家审计机关和上级业务主管部门等委托的其它审计事项。</w:t>
      </w:r>
    </w:p>
    <w:p>
      <w:pPr>
        <w:pStyle w:val="63"/>
        <w:spacing w:before="218" w:after="218" w:line="412" w:lineRule="exact"/>
      </w:pPr>
      <w:r>
        <w:t>第三章  审计职权</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bCs/>
          <w:sz w:val="24"/>
          <w:szCs w:val="24"/>
        </w:rPr>
        <w:t>农村集体经济组织审计机构在审计过程中有下列职权：</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（一）要求被审计单位报送和提供财务计划、会计报表及有关资料；</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（二）检查被审计单位的有关帐目、资产，查阅有关文件资料，参加被审计单位的有关会议；</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（三）向有关单位和人员进行调查，被调查的单位和人员应当如实提供有关资料及证明材料；</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（四）对正在进行的损害农村集体经济组织利益、违反财经法纪的行为，有权制止；</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（五）对阻挠、破坏审计工作的被审计单位，有权采取封存有关帐册、资产等临时措施。</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第九条  </w:t>
      </w:r>
      <w:r>
        <w:rPr>
          <w:rFonts w:asciiTheme="minorEastAsia" w:hAnsiTheme="minorEastAsia" w:eastAsiaTheme="minorEastAsia"/>
          <w:bCs/>
          <w:sz w:val="24"/>
          <w:szCs w:val="24"/>
        </w:rPr>
        <w:t>农村集体经济组织审计工作人员依法行使职权，受法律保护，任何人不得打击报复。</w:t>
      </w:r>
    </w:p>
    <w:p>
      <w:pPr>
        <w:pStyle w:val="63"/>
        <w:spacing w:before="218" w:after="218" w:line="412" w:lineRule="exact"/>
      </w:pPr>
      <w:r>
        <w:t>第四章  审计程序</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bCs/>
          <w:sz w:val="24"/>
          <w:szCs w:val="24"/>
        </w:rPr>
        <w:t>农村集体经济组织审计机构根据同级人民政府和上级业务主管部门的要求，结合本地实际，确定审计工作的重点，编制审计项目计划和工作方案。</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农村集体经济组织审计机构确定审计事项后，应当通知被审计单位。</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第十一条  </w:t>
      </w:r>
      <w:r>
        <w:rPr>
          <w:rFonts w:asciiTheme="minorEastAsia" w:hAnsiTheme="minorEastAsia" w:eastAsiaTheme="minorEastAsia"/>
          <w:bCs/>
          <w:sz w:val="24"/>
          <w:szCs w:val="24"/>
        </w:rPr>
        <w:t>农村集体经济组织审计人员根据审计项目，审查凭证、帐表，查阅文件、资料，检查现金、实物，向有关单位和人员进行调查，并取得证明材料。</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证明人提供的书面证明材料应当由提供者签名或盖章。</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第十二条  </w:t>
      </w:r>
      <w:r>
        <w:rPr>
          <w:rFonts w:asciiTheme="minorEastAsia" w:hAnsiTheme="minorEastAsia" w:eastAsiaTheme="minorEastAsia"/>
          <w:bCs/>
          <w:sz w:val="24"/>
          <w:szCs w:val="24"/>
        </w:rPr>
        <w:t>农村集体经济组织审计人员，在审计过程中，应当主动听取农民群众和民主理财组织的意见。</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第十三条  </w:t>
      </w:r>
      <w:r>
        <w:rPr>
          <w:rFonts w:asciiTheme="minorEastAsia" w:hAnsiTheme="minorEastAsia" w:eastAsiaTheme="minorEastAsia"/>
          <w:bCs/>
          <w:sz w:val="24"/>
          <w:szCs w:val="24"/>
        </w:rPr>
        <w:t>农村集体经济组织审计人员对审计事项进行审计后，向委派其进行审计的农村集体经济组织审计机构提出审计报告。重大审计事项的审计报告，应当分别报送同级人民政府、上级农村集体经济组织审计机构和有关主管部门。</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审计报告在报送之前，应当征求被审计单位的意见。被审计单位应当在收到审计报告之日起十日内提出书面意见。</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第十四条  </w:t>
      </w:r>
      <w:r>
        <w:rPr>
          <w:rFonts w:asciiTheme="minorEastAsia" w:hAnsiTheme="minorEastAsia" w:eastAsiaTheme="minorEastAsia"/>
          <w:bCs/>
          <w:sz w:val="24"/>
          <w:szCs w:val="24"/>
        </w:rPr>
        <w:t>农村集体经济组织审计机构审定审计报告，作出审计结论和决定，通知被审计单位和有关单位执行，并向农民群众公布。</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第十五条  </w:t>
      </w:r>
      <w:r>
        <w:rPr>
          <w:rFonts w:asciiTheme="minorEastAsia" w:hAnsiTheme="minorEastAsia" w:eastAsiaTheme="minorEastAsia"/>
          <w:bCs/>
          <w:sz w:val="24"/>
          <w:szCs w:val="24"/>
        </w:rPr>
        <w:t>被审计单位对农村集体经济组织审计机构作出的审计结论和决定如有异议，可在收到审计结论和决定之日起十五日内，向上一级农村集体经济组织审计机构申请复审。上一级农村集体经济组织审计机构应当在收到复审申请之日起三十日内，作出复审结论和决定。特殊情况下，作出复审结论和决定的期限，可适当延长。</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复审期间，不停止原审计结论和决定的执行。</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第十六条  </w:t>
      </w:r>
      <w:r>
        <w:rPr>
          <w:rFonts w:asciiTheme="minorEastAsia" w:hAnsiTheme="minorEastAsia" w:eastAsiaTheme="minorEastAsia"/>
          <w:bCs/>
          <w:sz w:val="24"/>
          <w:szCs w:val="24"/>
        </w:rPr>
        <w:t>农村集体经济组织审计机构应当检查审计结论和决定的执行情况。</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第十七条  </w:t>
      </w:r>
      <w:r>
        <w:rPr>
          <w:rFonts w:asciiTheme="minorEastAsia" w:hAnsiTheme="minorEastAsia" w:eastAsiaTheme="minorEastAsia"/>
          <w:bCs/>
          <w:sz w:val="24"/>
          <w:szCs w:val="24"/>
        </w:rPr>
        <w:t>农村集体经济组织审计机构对办理的审计事项必须建立审计档案，加强档案管理。</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第十八条  </w:t>
      </w:r>
      <w:r>
        <w:rPr>
          <w:rFonts w:asciiTheme="minorEastAsia" w:hAnsiTheme="minorEastAsia" w:eastAsiaTheme="minorEastAsia"/>
          <w:bCs/>
          <w:sz w:val="24"/>
          <w:szCs w:val="24"/>
        </w:rPr>
        <w:t>农村集体经济组织审计机构应当对农村集体经济组织财务收支按月或按季进行经常、全面的审计监督。</w:t>
      </w:r>
    </w:p>
    <w:p>
      <w:pPr>
        <w:pStyle w:val="63"/>
        <w:spacing w:before="218" w:after="218" w:line="412" w:lineRule="exact"/>
      </w:pPr>
      <w:r>
        <w:t>第五章  奖  惩</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bCs/>
          <w:sz w:val="24"/>
          <w:szCs w:val="24"/>
        </w:rPr>
        <w:t>对遵守和维护财经法纪成绩显著的单位和个人，提出通报表扬和奖励。</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第二十条  </w:t>
      </w:r>
      <w:r>
        <w:rPr>
          <w:rFonts w:asciiTheme="minorEastAsia" w:hAnsiTheme="minorEastAsia" w:eastAsiaTheme="minorEastAsia"/>
          <w:bCs/>
          <w:sz w:val="24"/>
          <w:szCs w:val="24"/>
        </w:rPr>
        <w:t>农村集体经济组织审计机构对被审计单位违反规定的收支、用工和非法所得的收入，应当在审计结论和决定中明确，分别按规定上缴国家，或退还农村集体经济组织和农户。</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第二十一条  </w:t>
      </w:r>
      <w:r>
        <w:rPr>
          <w:rFonts w:asciiTheme="minorEastAsia" w:hAnsiTheme="minorEastAsia" w:eastAsiaTheme="minorEastAsia"/>
          <w:bCs/>
          <w:sz w:val="24"/>
          <w:szCs w:val="24"/>
        </w:rPr>
        <w:t>违反本规定，有下列行为之一的单位负责人、直接责任人员及其他有关人员，应当给予行政处分的，由农村集体经济组织审计机构建议当地人民政府或有关主管部门处理：</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（一）拒绝提供帐簿、凭证、会计报表、资料和证明材料的；</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（二）阻挠审计工作人员依法行使审计职权，抗拒、破坏监督检查的；</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（三）弄虚作假，隐瞒事实真相的；</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（四）拒不执行审计结论和决定的；</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（五）打击报复审计工作人员和检举人的。</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第二十二条  </w:t>
      </w:r>
      <w:r>
        <w:rPr>
          <w:rFonts w:asciiTheme="minorEastAsia" w:hAnsiTheme="minorEastAsia" w:eastAsiaTheme="minorEastAsia"/>
          <w:bCs/>
          <w:sz w:val="24"/>
          <w:szCs w:val="24"/>
        </w:rPr>
        <w:t>违反本规定，有下列行为之一的农村集体经济组织审计人员，可由农村集体经济组织审计机构给予处分，或向同级人民政府和有关部门提出给予行政处分的建议：</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（一）利用职权，谋取私利的；</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（二）弄虚作假，徇私舞弊的；</w:t>
      </w:r>
    </w:p>
    <w:p>
      <w:pPr>
        <w:pStyle w:val="3"/>
        <w:topLinePunct/>
        <w:spacing w:line="412" w:lineRule="exact"/>
        <w:ind w:firstLine="480"/>
        <w:rPr>
          <w:rFonts w:asciiTheme="minorEastAsia" w:hAnsiTheme="minorEastAsia" w:eastAsiaTheme="minorEastAsia"/>
          <w:bCs/>
          <w:sz w:val="24"/>
          <w:szCs w:val="24"/>
        </w:rPr>
      </w:pPr>
      <w:r>
        <w:rPr>
          <w:rFonts w:asciiTheme="minorEastAsia" w:hAnsiTheme="minorEastAsia" w:eastAsiaTheme="minorEastAsia"/>
          <w:bCs/>
          <w:sz w:val="24"/>
          <w:szCs w:val="24"/>
        </w:rPr>
        <w:t>（三）玩忽职守，给被审计单位和个人造成损失的；</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bCs/>
          <w:sz w:val="24"/>
          <w:szCs w:val="24"/>
        </w:rPr>
        <w:t>（四）泄露秘密的。</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第二十三条  </w:t>
      </w:r>
      <w:r>
        <w:rPr>
          <w:rFonts w:asciiTheme="minorEastAsia" w:hAnsiTheme="minorEastAsia" w:eastAsiaTheme="minorEastAsia"/>
          <w:bCs/>
          <w:sz w:val="24"/>
          <w:szCs w:val="24"/>
        </w:rPr>
        <w:t>对经济处理决定不服的单位和个人，可向作出处理决定机构的上一级机构提出申诉。</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第二十四条  </w:t>
      </w:r>
      <w:r>
        <w:rPr>
          <w:rFonts w:asciiTheme="minorEastAsia" w:hAnsiTheme="minorEastAsia" w:eastAsiaTheme="minorEastAsia"/>
          <w:bCs/>
          <w:sz w:val="24"/>
          <w:szCs w:val="24"/>
        </w:rPr>
        <w:t>对有本规定第二十一条、第二十二条所列行为，情节严重，构成犯罪的，提请司法机关依法追究刑事责任。</w:t>
      </w:r>
    </w:p>
    <w:p>
      <w:pPr>
        <w:pStyle w:val="63"/>
        <w:spacing w:before="218" w:after="218" w:line="412" w:lineRule="exact"/>
      </w:pPr>
      <w:r>
        <w:t>第六章  附  则</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bCs/>
          <w:sz w:val="24"/>
          <w:szCs w:val="24"/>
        </w:rPr>
        <w:t>农村集体经济组织审计机构可接受委托向农村集体经济组织以外的单位提供审计服务，其收费标准，由省、自治区、直辖市农业行政主管部门会同同级财政、物价主管部门制定。</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第二十六条  </w:t>
      </w:r>
      <w:r>
        <w:rPr>
          <w:rFonts w:asciiTheme="minorEastAsia" w:hAnsiTheme="minorEastAsia" w:eastAsiaTheme="minorEastAsia"/>
          <w:bCs/>
          <w:sz w:val="24"/>
          <w:szCs w:val="24"/>
        </w:rPr>
        <w:t>各省、自治区、直辖市可根据本规定制定实施办法。</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第二十七条  </w:t>
      </w:r>
      <w:r>
        <w:rPr>
          <w:rFonts w:asciiTheme="minorEastAsia" w:hAnsiTheme="minorEastAsia" w:eastAsiaTheme="minorEastAsia"/>
          <w:bCs/>
          <w:sz w:val="24"/>
          <w:szCs w:val="24"/>
        </w:rPr>
        <w:t>本规定由农业部负责解释。</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bCs/>
          <w:sz w:val="24"/>
          <w:szCs w:val="24"/>
        </w:rPr>
        <w:t xml:space="preserve">第二十八条  </w:t>
      </w:r>
      <w:r>
        <w:rPr>
          <w:rFonts w:asciiTheme="minorEastAsia" w:hAnsiTheme="minorEastAsia" w:eastAsiaTheme="minorEastAsia"/>
          <w:bCs/>
          <w:sz w:val="24"/>
          <w:szCs w:val="24"/>
        </w:rPr>
        <w:t>本规定自发布之日起施行。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sz w:val="24"/>
          <w:szCs w:val="24"/>
          <w:shd w:val="clear" w:color="auto" w:fill="FFFFFF"/>
        </w:rPr>
      </w:pPr>
    </w:p>
    <w:p>
      <w:pPr>
        <w:pStyle w:val="61"/>
        <w:rPr>
          <w:shd w:val="clear" w:color="auto" w:fill="FFFFFF"/>
        </w:rPr>
      </w:pPr>
      <w:bookmarkStart w:id="343" w:name="_Toc26347945"/>
      <w:bookmarkStart w:id="344" w:name="_Toc28252166"/>
      <w:bookmarkStart w:id="345" w:name="_Toc25648185"/>
      <w:bookmarkStart w:id="346" w:name="_Toc28250894"/>
      <w:bookmarkStart w:id="347" w:name="_Toc28156967"/>
      <w:bookmarkStart w:id="348" w:name="_Toc25653680"/>
      <w:r>
        <w:rPr>
          <w:shd w:val="clear" w:color="auto" w:fill="FFFFFF"/>
        </w:rPr>
        <w:t>农村集体经济组织财务公开规定</w:t>
      </w:r>
      <w:bookmarkEnd w:id="343"/>
      <w:bookmarkEnd w:id="344"/>
      <w:bookmarkEnd w:id="345"/>
      <w:bookmarkEnd w:id="346"/>
      <w:bookmarkEnd w:id="347"/>
      <w:bookmarkEnd w:id="348"/>
    </w:p>
    <w:p>
      <w:pPr>
        <w:pStyle w:val="62"/>
        <w:topLinePunct w:val="0"/>
        <w:ind w:firstLine="0" w:firstLineChars="0"/>
        <w:jc w:val="center"/>
      </w:pPr>
      <w:r>
        <w:rPr>
          <w:rFonts w:hint="eastAsia"/>
        </w:rPr>
        <w:t>（农经发〔2011〕13号）</w:t>
      </w:r>
    </w:p>
    <w:p>
      <w:pPr>
        <w:pStyle w:val="3"/>
        <w:topLinePunct/>
        <w:spacing w:line="412" w:lineRule="exact"/>
        <w:ind w:firstLine="482"/>
        <w:rPr>
          <w:b/>
          <w:kern w:val="0"/>
          <w:sz w:val="24"/>
          <w:szCs w:val="24"/>
        </w:rPr>
      </w:pPr>
    </w:p>
    <w:p>
      <w:pPr>
        <w:pStyle w:val="3"/>
        <w:topLinePunct/>
        <w:spacing w:line="412" w:lineRule="exact"/>
        <w:ind w:firstLine="482"/>
        <w:rPr>
          <w:kern w:val="0"/>
          <w:sz w:val="24"/>
          <w:szCs w:val="24"/>
        </w:rPr>
      </w:pPr>
      <w:r>
        <w:rPr>
          <w:b/>
          <w:kern w:val="0"/>
          <w:sz w:val="24"/>
          <w:szCs w:val="24"/>
        </w:rPr>
        <w:t>第一条</w:t>
      </w:r>
      <w:r>
        <w:rPr>
          <w:kern w:val="0"/>
          <w:sz w:val="24"/>
          <w:szCs w:val="24"/>
        </w:rPr>
        <w:t xml:space="preserve"> </w:t>
      </w:r>
      <w:r>
        <w:rPr>
          <w:rFonts w:hint="eastAsia"/>
          <w:kern w:val="0"/>
          <w:sz w:val="24"/>
          <w:szCs w:val="24"/>
        </w:rPr>
        <w:t xml:space="preserve"> </w:t>
      </w:r>
      <w:r>
        <w:rPr>
          <w:kern w:val="0"/>
          <w:sz w:val="24"/>
          <w:szCs w:val="24"/>
        </w:rPr>
        <w:t>为了加强对农村集体经济组织财务活动的管理和民主监督，促进农村经济发展和农村社会稳定，根据国家有关法律、法规和政策，制定本规定。</w:t>
      </w:r>
    </w:p>
    <w:p>
      <w:pPr>
        <w:pStyle w:val="3"/>
        <w:topLinePunct/>
        <w:spacing w:line="412" w:lineRule="exact"/>
        <w:ind w:firstLine="482"/>
        <w:rPr>
          <w:kern w:val="0"/>
          <w:sz w:val="24"/>
          <w:szCs w:val="24"/>
        </w:rPr>
      </w:pPr>
      <w:r>
        <w:rPr>
          <w:b/>
          <w:kern w:val="0"/>
          <w:sz w:val="24"/>
          <w:szCs w:val="24"/>
        </w:rPr>
        <w:t>第二条</w:t>
      </w:r>
      <w:r>
        <w:rPr>
          <w:kern w:val="0"/>
          <w:sz w:val="24"/>
          <w:szCs w:val="24"/>
        </w:rPr>
        <w:t xml:space="preserve"> </w:t>
      </w:r>
      <w:r>
        <w:rPr>
          <w:rFonts w:hint="eastAsia"/>
          <w:kern w:val="0"/>
          <w:sz w:val="24"/>
          <w:szCs w:val="24"/>
        </w:rPr>
        <w:t xml:space="preserve"> </w:t>
      </w:r>
      <w:r>
        <w:rPr>
          <w:kern w:val="0"/>
          <w:sz w:val="24"/>
          <w:szCs w:val="24"/>
        </w:rPr>
        <w:t>本规定适用于按村或村民小组设置的集体经济组织（以下称村集体经济组织）。代行村集体经济组织职能的村民委员会（村民小组）、撤村后代行原村集体经济组织职能的农村社区（居委会）、村集体经济组织产权制度改革后成立的股份合作经济组织，适用本规定。</w:t>
      </w:r>
    </w:p>
    <w:p>
      <w:pPr>
        <w:pStyle w:val="3"/>
        <w:topLinePunct/>
        <w:spacing w:line="412" w:lineRule="exact"/>
        <w:ind w:firstLine="482"/>
        <w:rPr>
          <w:kern w:val="0"/>
          <w:sz w:val="24"/>
          <w:szCs w:val="24"/>
        </w:rPr>
      </w:pPr>
      <w:r>
        <w:rPr>
          <w:b/>
          <w:kern w:val="0"/>
          <w:sz w:val="24"/>
          <w:szCs w:val="24"/>
        </w:rPr>
        <w:t>第三条</w:t>
      </w:r>
      <w:r>
        <w:rPr>
          <w:kern w:val="0"/>
          <w:sz w:val="24"/>
          <w:szCs w:val="24"/>
        </w:rPr>
        <w:t xml:space="preserve"> </w:t>
      </w:r>
      <w:r>
        <w:rPr>
          <w:rFonts w:hint="eastAsia"/>
          <w:kern w:val="0"/>
          <w:sz w:val="24"/>
          <w:szCs w:val="24"/>
        </w:rPr>
        <w:t xml:space="preserve"> </w:t>
      </w:r>
      <w:r>
        <w:rPr>
          <w:kern w:val="0"/>
          <w:sz w:val="24"/>
          <w:szCs w:val="24"/>
        </w:rPr>
        <w:t>村集体经济组织实行财务公开制度。村集体经济组织应当将其财务活动情况及其有关账目，以便于群众理解和接受的形式如实向全体成员公开，接受成员监督。实行村级会计委托代理服务的，代理机构应当按规定及时提供相应的财务公开资料，并指导、帮助、督促村集体经济组织进行财务公开。</w:t>
      </w:r>
    </w:p>
    <w:p>
      <w:pPr>
        <w:pStyle w:val="3"/>
        <w:topLinePunct/>
        <w:spacing w:line="412" w:lineRule="exact"/>
        <w:ind w:firstLine="482"/>
        <w:rPr>
          <w:kern w:val="0"/>
          <w:sz w:val="24"/>
          <w:szCs w:val="24"/>
        </w:rPr>
      </w:pPr>
      <w:r>
        <w:rPr>
          <w:b/>
          <w:kern w:val="0"/>
          <w:sz w:val="24"/>
          <w:szCs w:val="24"/>
        </w:rPr>
        <w:t>第四条</w:t>
      </w:r>
      <w:r>
        <w:rPr>
          <w:kern w:val="0"/>
          <w:sz w:val="24"/>
          <w:szCs w:val="24"/>
        </w:rPr>
        <w:t xml:space="preserve"> </w:t>
      </w:r>
      <w:r>
        <w:rPr>
          <w:rFonts w:hint="eastAsia"/>
          <w:kern w:val="0"/>
          <w:sz w:val="24"/>
          <w:szCs w:val="24"/>
        </w:rPr>
        <w:t xml:space="preserve"> </w:t>
      </w:r>
      <w:r>
        <w:rPr>
          <w:kern w:val="0"/>
          <w:sz w:val="24"/>
          <w:szCs w:val="24"/>
        </w:rPr>
        <w:t>村集体经济组织应当建立以群众代表为主组成的民主理财小组，对财务公开活动进行监督。民主理财小组成员由村集体经济组织成员会议或成员代表会议从村务监督机构成员中推选产生，其成员数依村规模和理财工作量大小确定，一般为3至5人；村干部、财会人员及其近亲属不得担任民主理财小组成员。</w:t>
      </w:r>
    </w:p>
    <w:p>
      <w:pPr>
        <w:pStyle w:val="3"/>
        <w:topLinePunct/>
        <w:spacing w:line="412" w:lineRule="exact"/>
        <w:ind w:firstLine="482"/>
        <w:rPr>
          <w:kern w:val="0"/>
          <w:sz w:val="24"/>
          <w:szCs w:val="24"/>
        </w:rPr>
      </w:pPr>
      <w:r>
        <w:rPr>
          <w:b/>
          <w:kern w:val="0"/>
          <w:sz w:val="24"/>
          <w:szCs w:val="24"/>
        </w:rPr>
        <w:t>第五条</w:t>
      </w:r>
      <w:r>
        <w:rPr>
          <w:kern w:val="0"/>
          <w:sz w:val="24"/>
          <w:szCs w:val="24"/>
        </w:rPr>
        <w:t xml:space="preserve"> </w:t>
      </w:r>
      <w:r>
        <w:rPr>
          <w:rFonts w:hint="eastAsia"/>
          <w:kern w:val="0"/>
          <w:sz w:val="24"/>
          <w:szCs w:val="24"/>
        </w:rPr>
        <w:t xml:space="preserve"> </w:t>
      </w:r>
      <w:r>
        <w:rPr>
          <w:kern w:val="0"/>
          <w:sz w:val="24"/>
          <w:szCs w:val="24"/>
        </w:rPr>
        <w:t>村集体经济组织财务公开的内容包括：</w:t>
      </w:r>
    </w:p>
    <w:p>
      <w:pPr>
        <w:pStyle w:val="3"/>
        <w:topLinePunct/>
        <w:spacing w:line="412" w:lineRule="exact"/>
        <w:ind w:firstLine="480"/>
        <w:rPr>
          <w:kern w:val="0"/>
          <w:sz w:val="24"/>
          <w:szCs w:val="24"/>
        </w:rPr>
      </w:pPr>
      <w:r>
        <w:rPr>
          <w:kern w:val="0"/>
          <w:sz w:val="24"/>
          <w:szCs w:val="24"/>
        </w:rPr>
        <w:t>（一）财务计划</w:t>
      </w:r>
    </w:p>
    <w:p>
      <w:pPr>
        <w:pStyle w:val="3"/>
        <w:topLinePunct/>
        <w:spacing w:line="412" w:lineRule="exact"/>
        <w:ind w:firstLine="480"/>
        <w:rPr>
          <w:kern w:val="0"/>
          <w:sz w:val="24"/>
          <w:szCs w:val="24"/>
        </w:rPr>
      </w:pPr>
      <w:r>
        <w:rPr>
          <w:kern w:val="0"/>
          <w:sz w:val="24"/>
          <w:szCs w:val="24"/>
        </w:rPr>
        <w:t>1.财务收支计划；</w:t>
      </w:r>
    </w:p>
    <w:p>
      <w:pPr>
        <w:pStyle w:val="3"/>
        <w:topLinePunct/>
        <w:spacing w:line="412" w:lineRule="exact"/>
        <w:ind w:firstLine="480"/>
        <w:rPr>
          <w:kern w:val="0"/>
          <w:sz w:val="24"/>
          <w:szCs w:val="24"/>
        </w:rPr>
      </w:pPr>
      <w:r>
        <w:rPr>
          <w:kern w:val="0"/>
          <w:sz w:val="24"/>
          <w:szCs w:val="24"/>
        </w:rPr>
        <w:t>2.固定资产购建计划；</w:t>
      </w:r>
    </w:p>
    <w:p>
      <w:pPr>
        <w:pStyle w:val="3"/>
        <w:topLinePunct/>
        <w:spacing w:line="412" w:lineRule="exact"/>
        <w:ind w:firstLine="480"/>
        <w:rPr>
          <w:kern w:val="0"/>
          <w:sz w:val="24"/>
          <w:szCs w:val="24"/>
        </w:rPr>
      </w:pPr>
      <w:r>
        <w:rPr>
          <w:kern w:val="0"/>
          <w:sz w:val="24"/>
          <w:szCs w:val="24"/>
        </w:rPr>
        <w:t>3.农业基本建设计划；</w:t>
      </w:r>
    </w:p>
    <w:p>
      <w:pPr>
        <w:pStyle w:val="3"/>
        <w:topLinePunct/>
        <w:spacing w:line="412" w:lineRule="exact"/>
        <w:ind w:firstLine="480"/>
        <w:rPr>
          <w:kern w:val="0"/>
          <w:sz w:val="24"/>
          <w:szCs w:val="24"/>
        </w:rPr>
      </w:pPr>
      <w:r>
        <w:rPr>
          <w:kern w:val="0"/>
          <w:sz w:val="24"/>
          <w:szCs w:val="24"/>
        </w:rPr>
        <w:t>4.公益事业建设及“一事一议”筹资筹劳计划；</w:t>
      </w:r>
    </w:p>
    <w:p>
      <w:pPr>
        <w:pStyle w:val="3"/>
        <w:topLinePunct/>
        <w:spacing w:line="412" w:lineRule="exact"/>
        <w:ind w:firstLine="480"/>
        <w:rPr>
          <w:kern w:val="0"/>
          <w:sz w:val="24"/>
          <w:szCs w:val="24"/>
        </w:rPr>
      </w:pPr>
      <w:r>
        <w:rPr>
          <w:kern w:val="0"/>
          <w:sz w:val="24"/>
          <w:szCs w:val="24"/>
        </w:rPr>
        <w:t>5.集体资产经营与处置、资源开发利用、对外投资等计划；</w:t>
      </w:r>
    </w:p>
    <w:p>
      <w:pPr>
        <w:pStyle w:val="3"/>
        <w:topLinePunct/>
        <w:spacing w:line="412" w:lineRule="exact"/>
        <w:ind w:firstLine="480"/>
        <w:rPr>
          <w:kern w:val="0"/>
          <w:sz w:val="24"/>
          <w:szCs w:val="24"/>
        </w:rPr>
      </w:pPr>
      <w:r>
        <w:rPr>
          <w:kern w:val="0"/>
          <w:sz w:val="24"/>
          <w:szCs w:val="24"/>
        </w:rPr>
        <w:t>6.收益分配计划；</w:t>
      </w:r>
    </w:p>
    <w:p>
      <w:pPr>
        <w:pStyle w:val="3"/>
        <w:topLinePunct/>
        <w:spacing w:line="412" w:lineRule="exact"/>
        <w:ind w:firstLine="480"/>
        <w:rPr>
          <w:kern w:val="0"/>
          <w:sz w:val="24"/>
          <w:szCs w:val="24"/>
        </w:rPr>
      </w:pPr>
      <w:r>
        <w:rPr>
          <w:kern w:val="0"/>
          <w:sz w:val="24"/>
          <w:szCs w:val="24"/>
        </w:rPr>
        <w:t>7.经村集体经济组织成员会议或成员代表会议讨论确定的其他财务计划。</w:t>
      </w:r>
    </w:p>
    <w:p>
      <w:pPr>
        <w:pStyle w:val="3"/>
        <w:topLinePunct/>
        <w:spacing w:line="412" w:lineRule="exact"/>
        <w:ind w:firstLine="480"/>
        <w:rPr>
          <w:kern w:val="0"/>
          <w:sz w:val="24"/>
          <w:szCs w:val="24"/>
        </w:rPr>
      </w:pPr>
      <w:r>
        <w:rPr>
          <w:kern w:val="0"/>
          <w:sz w:val="24"/>
          <w:szCs w:val="24"/>
        </w:rPr>
        <w:t>（二）各项收入</w:t>
      </w:r>
    </w:p>
    <w:p>
      <w:pPr>
        <w:pStyle w:val="3"/>
        <w:topLinePunct/>
        <w:spacing w:line="412" w:lineRule="exact"/>
        <w:ind w:firstLine="480"/>
        <w:rPr>
          <w:kern w:val="0"/>
          <w:sz w:val="24"/>
          <w:szCs w:val="24"/>
        </w:rPr>
      </w:pPr>
      <w:r>
        <w:rPr>
          <w:kern w:val="0"/>
          <w:sz w:val="24"/>
          <w:szCs w:val="24"/>
        </w:rPr>
        <w:t>1.产品销售收入、租赁收入、服务收入等集体经营收入；</w:t>
      </w:r>
    </w:p>
    <w:p>
      <w:pPr>
        <w:pStyle w:val="3"/>
        <w:topLinePunct/>
        <w:spacing w:line="412" w:lineRule="exact"/>
        <w:ind w:firstLine="480"/>
        <w:rPr>
          <w:kern w:val="0"/>
          <w:sz w:val="24"/>
          <w:szCs w:val="24"/>
        </w:rPr>
      </w:pPr>
      <w:r>
        <w:rPr>
          <w:kern w:val="0"/>
          <w:sz w:val="24"/>
          <w:szCs w:val="24"/>
        </w:rPr>
        <w:t>2.发包及上交收入；</w:t>
      </w:r>
    </w:p>
    <w:p>
      <w:pPr>
        <w:pStyle w:val="3"/>
        <w:topLinePunct/>
        <w:spacing w:line="412" w:lineRule="exact"/>
        <w:ind w:firstLine="480"/>
        <w:rPr>
          <w:kern w:val="0"/>
          <w:sz w:val="24"/>
          <w:szCs w:val="24"/>
        </w:rPr>
      </w:pPr>
      <w:r>
        <w:rPr>
          <w:kern w:val="0"/>
          <w:sz w:val="24"/>
          <w:szCs w:val="24"/>
        </w:rPr>
        <w:t>3.投资收入；</w:t>
      </w:r>
    </w:p>
    <w:p>
      <w:pPr>
        <w:pStyle w:val="3"/>
        <w:topLinePunct/>
        <w:spacing w:line="412" w:lineRule="exact"/>
        <w:ind w:firstLine="480"/>
        <w:rPr>
          <w:kern w:val="0"/>
          <w:sz w:val="24"/>
          <w:szCs w:val="24"/>
        </w:rPr>
      </w:pPr>
      <w:r>
        <w:rPr>
          <w:kern w:val="0"/>
          <w:sz w:val="24"/>
          <w:szCs w:val="24"/>
        </w:rPr>
        <w:t>4.“一事一议”筹资及以资代劳款项；</w:t>
      </w:r>
    </w:p>
    <w:p>
      <w:pPr>
        <w:pStyle w:val="3"/>
        <w:topLinePunct/>
        <w:spacing w:line="412" w:lineRule="exact"/>
        <w:ind w:firstLine="480"/>
        <w:rPr>
          <w:kern w:val="0"/>
          <w:sz w:val="24"/>
          <w:szCs w:val="24"/>
        </w:rPr>
      </w:pPr>
      <w:r>
        <w:rPr>
          <w:kern w:val="0"/>
          <w:sz w:val="24"/>
          <w:szCs w:val="24"/>
        </w:rPr>
        <w:t>5.村级组织运转经费财政补助款项；</w:t>
      </w:r>
    </w:p>
    <w:p>
      <w:pPr>
        <w:pStyle w:val="3"/>
        <w:topLinePunct/>
        <w:spacing w:line="412" w:lineRule="exact"/>
        <w:ind w:firstLine="480"/>
        <w:rPr>
          <w:kern w:val="0"/>
          <w:sz w:val="24"/>
          <w:szCs w:val="24"/>
        </w:rPr>
      </w:pPr>
      <w:r>
        <w:rPr>
          <w:kern w:val="0"/>
          <w:sz w:val="24"/>
          <w:szCs w:val="24"/>
        </w:rPr>
        <w:t>6.上级专项补助款项；</w:t>
      </w:r>
    </w:p>
    <w:p>
      <w:pPr>
        <w:pStyle w:val="3"/>
        <w:topLinePunct/>
        <w:spacing w:line="412" w:lineRule="exact"/>
        <w:ind w:firstLine="480"/>
        <w:rPr>
          <w:kern w:val="0"/>
          <w:sz w:val="24"/>
          <w:szCs w:val="24"/>
        </w:rPr>
      </w:pPr>
      <w:r>
        <w:rPr>
          <w:kern w:val="0"/>
          <w:sz w:val="24"/>
          <w:szCs w:val="24"/>
        </w:rPr>
        <w:t>7.征占土地补偿款项；</w:t>
      </w:r>
    </w:p>
    <w:p>
      <w:pPr>
        <w:pStyle w:val="3"/>
        <w:topLinePunct/>
        <w:spacing w:line="412" w:lineRule="exact"/>
        <w:ind w:firstLine="480"/>
        <w:rPr>
          <w:kern w:val="0"/>
          <w:sz w:val="24"/>
          <w:szCs w:val="24"/>
        </w:rPr>
      </w:pPr>
      <w:r>
        <w:rPr>
          <w:kern w:val="0"/>
          <w:sz w:val="24"/>
          <w:szCs w:val="24"/>
        </w:rPr>
        <w:t>8.救济扶贫款项；</w:t>
      </w:r>
    </w:p>
    <w:p>
      <w:pPr>
        <w:pStyle w:val="3"/>
        <w:topLinePunct/>
        <w:spacing w:line="412" w:lineRule="exact"/>
        <w:ind w:firstLine="480"/>
        <w:rPr>
          <w:kern w:val="0"/>
          <w:sz w:val="24"/>
          <w:szCs w:val="24"/>
        </w:rPr>
      </w:pPr>
      <w:r>
        <w:rPr>
          <w:kern w:val="0"/>
          <w:sz w:val="24"/>
          <w:szCs w:val="24"/>
        </w:rPr>
        <w:t>9．社会捐赠款项；</w:t>
      </w:r>
    </w:p>
    <w:p>
      <w:pPr>
        <w:pStyle w:val="3"/>
        <w:topLinePunct/>
        <w:spacing w:line="412" w:lineRule="exact"/>
        <w:ind w:firstLine="480"/>
        <w:rPr>
          <w:kern w:val="0"/>
          <w:sz w:val="24"/>
          <w:szCs w:val="24"/>
        </w:rPr>
      </w:pPr>
      <w:r>
        <w:rPr>
          <w:kern w:val="0"/>
          <w:sz w:val="24"/>
          <w:szCs w:val="24"/>
        </w:rPr>
        <w:t>10．资产处置收入；</w:t>
      </w:r>
    </w:p>
    <w:p>
      <w:pPr>
        <w:pStyle w:val="3"/>
        <w:topLinePunct/>
        <w:spacing w:line="412" w:lineRule="exact"/>
        <w:ind w:firstLine="480"/>
        <w:rPr>
          <w:kern w:val="0"/>
          <w:sz w:val="24"/>
          <w:szCs w:val="24"/>
        </w:rPr>
      </w:pPr>
      <w:r>
        <w:rPr>
          <w:kern w:val="0"/>
          <w:sz w:val="24"/>
          <w:szCs w:val="24"/>
        </w:rPr>
        <w:t>11.其他收入。</w:t>
      </w:r>
    </w:p>
    <w:p>
      <w:pPr>
        <w:pStyle w:val="3"/>
        <w:topLinePunct/>
        <w:spacing w:line="412" w:lineRule="exact"/>
        <w:ind w:firstLine="480"/>
        <w:rPr>
          <w:kern w:val="0"/>
          <w:sz w:val="24"/>
          <w:szCs w:val="24"/>
        </w:rPr>
      </w:pPr>
      <w:r>
        <w:rPr>
          <w:kern w:val="0"/>
          <w:sz w:val="24"/>
          <w:szCs w:val="24"/>
        </w:rPr>
        <w:t>（三）各项支出</w:t>
      </w:r>
    </w:p>
    <w:p>
      <w:pPr>
        <w:pStyle w:val="3"/>
        <w:topLinePunct/>
        <w:spacing w:line="412" w:lineRule="exact"/>
        <w:ind w:firstLine="480"/>
        <w:rPr>
          <w:kern w:val="0"/>
          <w:sz w:val="24"/>
          <w:szCs w:val="24"/>
        </w:rPr>
      </w:pPr>
      <w:r>
        <w:rPr>
          <w:kern w:val="0"/>
          <w:sz w:val="24"/>
          <w:szCs w:val="24"/>
        </w:rPr>
        <w:t>1.集体经营支出；</w:t>
      </w:r>
    </w:p>
    <w:p>
      <w:pPr>
        <w:pStyle w:val="3"/>
        <w:topLinePunct/>
        <w:spacing w:line="412" w:lineRule="exact"/>
        <w:ind w:firstLine="480"/>
        <w:rPr>
          <w:kern w:val="0"/>
          <w:sz w:val="24"/>
          <w:szCs w:val="24"/>
        </w:rPr>
      </w:pPr>
      <w:r>
        <w:rPr>
          <w:kern w:val="0"/>
          <w:sz w:val="24"/>
          <w:szCs w:val="24"/>
        </w:rPr>
        <w:t>2.村组（社）干部报酬；</w:t>
      </w:r>
    </w:p>
    <w:p>
      <w:pPr>
        <w:pStyle w:val="3"/>
        <w:topLinePunct/>
        <w:spacing w:line="412" w:lineRule="exact"/>
        <w:ind w:firstLine="480"/>
        <w:rPr>
          <w:kern w:val="0"/>
          <w:sz w:val="24"/>
          <w:szCs w:val="24"/>
        </w:rPr>
      </w:pPr>
      <w:r>
        <w:rPr>
          <w:kern w:val="0"/>
          <w:sz w:val="24"/>
          <w:szCs w:val="24"/>
        </w:rPr>
        <w:t>3.报刊费支出；</w:t>
      </w:r>
    </w:p>
    <w:p>
      <w:pPr>
        <w:pStyle w:val="3"/>
        <w:topLinePunct/>
        <w:spacing w:line="412" w:lineRule="exact"/>
        <w:ind w:firstLine="480"/>
        <w:rPr>
          <w:kern w:val="0"/>
          <w:sz w:val="24"/>
          <w:szCs w:val="24"/>
        </w:rPr>
      </w:pPr>
      <w:r>
        <w:rPr>
          <w:kern w:val="0"/>
          <w:sz w:val="24"/>
          <w:szCs w:val="24"/>
        </w:rPr>
        <w:t>4.办公费、差旅费、会议费、卫生费、治安费等管理费支出；</w:t>
      </w:r>
    </w:p>
    <w:p>
      <w:pPr>
        <w:pStyle w:val="3"/>
        <w:topLinePunct/>
        <w:spacing w:line="412" w:lineRule="exact"/>
        <w:ind w:firstLine="480"/>
        <w:rPr>
          <w:kern w:val="0"/>
          <w:sz w:val="24"/>
          <w:szCs w:val="24"/>
        </w:rPr>
      </w:pPr>
      <w:r>
        <w:rPr>
          <w:kern w:val="0"/>
          <w:sz w:val="24"/>
          <w:szCs w:val="24"/>
        </w:rPr>
        <w:t>5.集体公益福利支出；</w:t>
      </w:r>
    </w:p>
    <w:p>
      <w:pPr>
        <w:pStyle w:val="3"/>
        <w:topLinePunct/>
        <w:spacing w:line="412" w:lineRule="exact"/>
        <w:ind w:firstLine="480"/>
        <w:rPr>
          <w:kern w:val="0"/>
          <w:sz w:val="24"/>
          <w:szCs w:val="24"/>
        </w:rPr>
      </w:pPr>
      <w:r>
        <w:rPr>
          <w:kern w:val="0"/>
          <w:sz w:val="24"/>
          <w:szCs w:val="24"/>
        </w:rPr>
        <w:t>6.固定资产购建支出；</w:t>
      </w:r>
    </w:p>
    <w:p>
      <w:pPr>
        <w:pStyle w:val="3"/>
        <w:topLinePunct/>
        <w:spacing w:line="412" w:lineRule="exact"/>
        <w:ind w:firstLine="480"/>
        <w:rPr>
          <w:kern w:val="0"/>
          <w:sz w:val="24"/>
          <w:szCs w:val="24"/>
        </w:rPr>
      </w:pPr>
      <w:r>
        <w:rPr>
          <w:kern w:val="0"/>
          <w:sz w:val="24"/>
          <w:szCs w:val="24"/>
        </w:rPr>
        <w:t>7.征占土地补偿支出；</w:t>
      </w:r>
    </w:p>
    <w:p>
      <w:pPr>
        <w:pStyle w:val="3"/>
        <w:topLinePunct/>
        <w:spacing w:line="412" w:lineRule="exact"/>
        <w:ind w:firstLine="480"/>
        <w:rPr>
          <w:kern w:val="0"/>
          <w:sz w:val="24"/>
          <w:szCs w:val="24"/>
        </w:rPr>
      </w:pPr>
      <w:r>
        <w:rPr>
          <w:kern w:val="0"/>
          <w:sz w:val="24"/>
          <w:szCs w:val="24"/>
        </w:rPr>
        <w:t>8.救济扶贫专项支出；</w:t>
      </w:r>
    </w:p>
    <w:p>
      <w:pPr>
        <w:pStyle w:val="3"/>
        <w:topLinePunct/>
        <w:spacing w:line="412" w:lineRule="exact"/>
        <w:ind w:firstLine="480"/>
        <w:rPr>
          <w:kern w:val="0"/>
          <w:sz w:val="24"/>
          <w:szCs w:val="24"/>
        </w:rPr>
      </w:pPr>
      <w:r>
        <w:rPr>
          <w:kern w:val="0"/>
          <w:sz w:val="24"/>
          <w:szCs w:val="24"/>
        </w:rPr>
        <w:t>9．社会捐赠支出；</w:t>
      </w:r>
    </w:p>
    <w:p>
      <w:pPr>
        <w:pStyle w:val="3"/>
        <w:topLinePunct/>
        <w:spacing w:line="412" w:lineRule="exact"/>
        <w:ind w:firstLine="480"/>
        <w:rPr>
          <w:kern w:val="0"/>
          <w:sz w:val="24"/>
          <w:szCs w:val="24"/>
        </w:rPr>
      </w:pPr>
      <w:r>
        <w:rPr>
          <w:kern w:val="0"/>
          <w:sz w:val="24"/>
          <w:szCs w:val="24"/>
        </w:rPr>
        <w:t>10．其他支出。</w:t>
      </w:r>
    </w:p>
    <w:p>
      <w:pPr>
        <w:pStyle w:val="3"/>
        <w:topLinePunct/>
        <w:spacing w:line="412" w:lineRule="exact"/>
        <w:ind w:firstLine="480"/>
        <w:rPr>
          <w:kern w:val="0"/>
          <w:sz w:val="24"/>
          <w:szCs w:val="24"/>
        </w:rPr>
      </w:pPr>
      <w:r>
        <w:rPr>
          <w:kern w:val="0"/>
          <w:sz w:val="24"/>
          <w:szCs w:val="24"/>
        </w:rPr>
        <w:t>（四）各项资产</w:t>
      </w:r>
    </w:p>
    <w:p>
      <w:pPr>
        <w:pStyle w:val="3"/>
        <w:topLinePunct/>
        <w:spacing w:line="412" w:lineRule="exact"/>
        <w:ind w:firstLine="480"/>
        <w:rPr>
          <w:kern w:val="0"/>
          <w:sz w:val="24"/>
          <w:szCs w:val="24"/>
        </w:rPr>
      </w:pPr>
      <w:r>
        <w:rPr>
          <w:kern w:val="0"/>
          <w:sz w:val="24"/>
          <w:szCs w:val="24"/>
        </w:rPr>
        <w:t>1.现金及银行存款；</w:t>
      </w:r>
    </w:p>
    <w:p>
      <w:pPr>
        <w:pStyle w:val="3"/>
        <w:topLinePunct/>
        <w:spacing w:line="412" w:lineRule="exact"/>
        <w:ind w:firstLine="480"/>
        <w:rPr>
          <w:kern w:val="0"/>
          <w:sz w:val="24"/>
          <w:szCs w:val="24"/>
        </w:rPr>
      </w:pPr>
      <w:r>
        <w:rPr>
          <w:kern w:val="0"/>
          <w:sz w:val="24"/>
          <w:szCs w:val="24"/>
        </w:rPr>
        <w:t>2.产品物资；</w:t>
      </w:r>
    </w:p>
    <w:p>
      <w:pPr>
        <w:pStyle w:val="3"/>
        <w:topLinePunct/>
        <w:spacing w:line="412" w:lineRule="exact"/>
        <w:ind w:firstLine="480"/>
        <w:rPr>
          <w:kern w:val="0"/>
          <w:sz w:val="24"/>
          <w:szCs w:val="24"/>
        </w:rPr>
      </w:pPr>
      <w:r>
        <w:rPr>
          <w:kern w:val="0"/>
          <w:sz w:val="24"/>
          <w:szCs w:val="24"/>
        </w:rPr>
        <w:t>3.固定资产；</w:t>
      </w:r>
    </w:p>
    <w:p>
      <w:pPr>
        <w:pStyle w:val="3"/>
        <w:topLinePunct/>
        <w:spacing w:line="412" w:lineRule="exact"/>
        <w:ind w:firstLine="480"/>
        <w:rPr>
          <w:kern w:val="0"/>
          <w:sz w:val="24"/>
          <w:szCs w:val="24"/>
        </w:rPr>
      </w:pPr>
      <w:r>
        <w:rPr>
          <w:kern w:val="0"/>
          <w:sz w:val="24"/>
          <w:szCs w:val="24"/>
        </w:rPr>
        <w:t>4.农业资产；</w:t>
      </w:r>
    </w:p>
    <w:p>
      <w:pPr>
        <w:pStyle w:val="3"/>
        <w:topLinePunct/>
        <w:spacing w:line="412" w:lineRule="exact"/>
        <w:ind w:firstLine="480"/>
        <w:rPr>
          <w:kern w:val="0"/>
          <w:sz w:val="24"/>
          <w:szCs w:val="24"/>
        </w:rPr>
      </w:pPr>
      <w:r>
        <w:rPr>
          <w:kern w:val="0"/>
          <w:sz w:val="24"/>
          <w:szCs w:val="24"/>
        </w:rPr>
        <w:t>5.对外投资；</w:t>
      </w:r>
    </w:p>
    <w:p>
      <w:pPr>
        <w:pStyle w:val="3"/>
        <w:topLinePunct/>
        <w:spacing w:line="412" w:lineRule="exact"/>
        <w:ind w:firstLine="480"/>
        <w:rPr>
          <w:kern w:val="0"/>
          <w:sz w:val="24"/>
          <w:szCs w:val="24"/>
        </w:rPr>
      </w:pPr>
      <w:r>
        <w:rPr>
          <w:kern w:val="0"/>
          <w:sz w:val="24"/>
          <w:szCs w:val="24"/>
        </w:rPr>
        <w:t>6.其他资产。</w:t>
      </w:r>
    </w:p>
    <w:p>
      <w:pPr>
        <w:pStyle w:val="3"/>
        <w:topLinePunct/>
        <w:spacing w:line="412" w:lineRule="exact"/>
        <w:ind w:firstLine="480"/>
        <w:rPr>
          <w:kern w:val="0"/>
          <w:sz w:val="24"/>
          <w:szCs w:val="24"/>
        </w:rPr>
      </w:pPr>
      <w:r>
        <w:rPr>
          <w:kern w:val="0"/>
          <w:sz w:val="24"/>
          <w:szCs w:val="24"/>
        </w:rPr>
        <w:t>（五）各类资源。包括集体所有的耕地、林地、草地、园地、滩涂、水面、“四荒地”、集体建设用地等。</w:t>
      </w:r>
    </w:p>
    <w:p>
      <w:pPr>
        <w:pStyle w:val="3"/>
        <w:topLinePunct/>
        <w:spacing w:line="412" w:lineRule="exact"/>
        <w:ind w:firstLine="480"/>
        <w:rPr>
          <w:kern w:val="0"/>
          <w:sz w:val="24"/>
          <w:szCs w:val="24"/>
        </w:rPr>
      </w:pPr>
      <w:r>
        <w:rPr>
          <w:kern w:val="0"/>
          <w:sz w:val="24"/>
          <w:szCs w:val="24"/>
        </w:rPr>
        <w:t>（六）债权债务</w:t>
      </w:r>
    </w:p>
    <w:p>
      <w:pPr>
        <w:pStyle w:val="3"/>
        <w:topLinePunct/>
        <w:spacing w:line="412" w:lineRule="exact"/>
        <w:ind w:firstLine="480"/>
        <w:rPr>
          <w:kern w:val="0"/>
          <w:sz w:val="24"/>
          <w:szCs w:val="24"/>
        </w:rPr>
      </w:pPr>
      <w:r>
        <w:rPr>
          <w:kern w:val="0"/>
          <w:sz w:val="24"/>
          <w:szCs w:val="24"/>
        </w:rPr>
        <w:t>1.应收单位和个人欠款；</w:t>
      </w:r>
    </w:p>
    <w:p>
      <w:pPr>
        <w:pStyle w:val="3"/>
        <w:topLinePunct/>
        <w:spacing w:line="412" w:lineRule="exact"/>
        <w:ind w:firstLine="480"/>
        <w:rPr>
          <w:kern w:val="0"/>
          <w:sz w:val="24"/>
          <w:szCs w:val="24"/>
        </w:rPr>
      </w:pPr>
      <w:r>
        <w:rPr>
          <w:kern w:val="0"/>
          <w:sz w:val="24"/>
          <w:szCs w:val="24"/>
        </w:rPr>
        <w:t>2.银行（信用社）贷款；</w:t>
      </w:r>
    </w:p>
    <w:p>
      <w:pPr>
        <w:pStyle w:val="3"/>
        <w:topLinePunct/>
        <w:spacing w:line="412" w:lineRule="exact"/>
        <w:ind w:firstLine="480"/>
        <w:rPr>
          <w:kern w:val="0"/>
          <w:sz w:val="24"/>
          <w:szCs w:val="24"/>
        </w:rPr>
      </w:pPr>
      <w:r>
        <w:rPr>
          <w:kern w:val="0"/>
          <w:sz w:val="24"/>
          <w:szCs w:val="24"/>
        </w:rPr>
        <w:t>3.欠单位和个人款；</w:t>
      </w:r>
    </w:p>
    <w:p>
      <w:pPr>
        <w:pStyle w:val="3"/>
        <w:topLinePunct/>
        <w:spacing w:line="412" w:lineRule="exact"/>
        <w:ind w:firstLine="480"/>
        <w:rPr>
          <w:kern w:val="0"/>
          <w:sz w:val="24"/>
          <w:szCs w:val="24"/>
        </w:rPr>
      </w:pPr>
      <w:r>
        <w:rPr>
          <w:kern w:val="0"/>
          <w:sz w:val="24"/>
          <w:szCs w:val="24"/>
        </w:rPr>
        <w:t>4.其他债权债务。</w:t>
      </w:r>
    </w:p>
    <w:p>
      <w:pPr>
        <w:pStyle w:val="3"/>
        <w:topLinePunct/>
        <w:spacing w:line="412" w:lineRule="exact"/>
        <w:ind w:firstLine="480"/>
        <w:rPr>
          <w:kern w:val="0"/>
          <w:sz w:val="24"/>
          <w:szCs w:val="24"/>
        </w:rPr>
      </w:pPr>
      <w:r>
        <w:rPr>
          <w:kern w:val="0"/>
          <w:sz w:val="24"/>
          <w:szCs w:val="24"/>
        </w:rPr>
        <w:t>（七）收益分配</w:t>
      </w:r>
    </w:p>
    <w:p>
      <w:pPr>
        <w:pStyle w:val="3"/>
        <w:topLinePunct/>
        <w:spacing w:line="412" w:lineRule="exact"/>
        <w:ind w:firstLine="480"/>
        <w:rPr>
          <w:kern w:val="0"/>
          <w:sz w:val="24"/>
          <w:szCs w:val="24"/>
        </w:rPr>
      </w:pPr>
      <w:r>
        <w:rPr>
          <w:kern w:val="0"/>
          <w:sz w:val="24"/>
          <w:szCs w:val="24"/>
        </w:rPr>
        <w:t>1.收益总额；</w:t>
      </w:r>
    </w:p>
    <w:p>
      <w:pPr>
        <w:pStyle w:val="3"/>
        <w:topLinePunct/>
        <w:spacing w:line="412" w:lineRule="exact"/>
        <w:ind w:firstLine="480"/>
        <w:rPr>
          <w:kern w:val="0"/>
          <w:sz w:val="24"/>
          <w:szCs w:val="24"/>
        </w:rPr>
      </w:pPr>
      <w:r>
        <w:rPr>
          <w:kern w:val="0"/>
          <w:sz w:val="24"/>
          <w:szCs w:val="24"/>
        </w:rPr>
        <w:t>2.提取公积公益金数额;</w:t>
      </w:r>
    </w:p>
    <w:p>
      <w:pPr>
        <w:pStyle w:val="3"/>
        <w:topLinePunct/>
        <w:spacing w:line="412" w:lineRule="exact"/>
        <w:ind w:firstLine="480"/>
        <w:rPr>
          <w:kern w:val="0"/>
          <w:sz w:val="24"/>
          <w:szCs w:val="24"/>
        </w:rPr>
      </w:pPr>
      <w:r>
        <w:rPr>
          <w:kern w:val="0"/>
          <w:sz w:val="24"/>
          <w:szCs w:val="24"/>
        </w:rPr>
        <w:t>3.提取福利费数额；</w:t>
      </w:r>
    </w:p>
    <w:p>
      <w:pPr>
        <w:pStyle w:val="3"/>
        <w:topLinePunct/>
        <w:spacing w:line="412" w:lineRule="exact"/>
        <w:ind w:firstLine="480"/>
        <w:rPr>
          <w:kern w:val="0"/>
          <w:sz w:val="24"/>
          <w:szCs w:val="24"/>
        </w:rPr>
      </w:pPr>
      <w:r>
        <w:rPr>
          <w:kern w:val="0"/>
          <w:sz w:val="24"/>
          <w:szCs w:val="24"/>
        </w:rPr>
        <w:t>4.外来投资分利数额；</w:t>
      </w:r>
    </w:p>
    <w:p>
      <w:pPr>
        <w:pStyle w:val="3"/>
        <w:topLinePunct/>
        <w:spacing w:line="412" w:lineRule="exact"/>
        <w:ind w:firstLine="480"/>
        <w:rPr>
          <w:kern w:val="0"/>
          <w:sz w:val="24"/>
          <w:szCs w:val="24"/>
        </w:rPr>
      </w:pPr>
      <w:r>
        <w:rPr>
          <w:kern w:val="0"/>
          <w:sz w:val="24"/>
          <w:szCs w:val="24"/>
        </w:rPr>
        <w:t>5.成员分配数额;</w:t>
      </w:r>
    </w:p>
    <w:p>
      <w:pPr>
        <w:pStyle w:val="3"/>
        <w:topLinePunct/>
        <w:spacing w:line="412" w:lineRule="exact"/>
        <w:ind w:firstLine="480"/>
        <w:rPr>
          <w:kern w:val="0"/>
          <w:sz w:val="24"/>
          <w:szCs w:val="24"/>
        </w:rPr>
      </w:pPr>
      <w:r>
        <w:rPr>
          <w:kern w:val="0"/>
          <w:sz w:val="24"/>
          <w:szCs w:val="24"/>
        </w:rPr>
        <w:t>6.其他分配数额。</w:t>
      </w:r>
    </w:p>
    <w:p>
      <w:pPr>
        <w:pStyle w:val="3"/>
        <w:topLinePunct/>
        <w:spacing w:line="412" w:lineRule="exact"/>
        <w:ind w:firstLine="480"/>
        <w:rPr>
          <w:kern w:val="0"/>
          <w:sz w:val="24"/>
          <w:szCs w:val="24"/>
        </w:rPr>
      </w:pPr>
      <w:r>
        <w:rPr>
          <w:kern w:val="0"/>
          <w:sz w:val="24"/>
          <w:szCs w:val="24"/>
        </w:rPr>
        <w:t>（八）其他需要公开的事项</w:t>
      </w:r>
    </w:p>
    <w:p>
      <w:pPr>
        <w:pStyle w:val="3"/>
        <w:topLinePunct/>
        <w:spacing w:line="412" w:lineRule="exact"/>
        <w:ind w:firstLine="482"/>
        <w:rPr>
          <w:kern w:val="0"/>
          <w:sz w:val="24"/>
          <w:szCs w:val="24"/>
        </w:rPr>
      </w:pPr>
      <w:r>
        <w:rPr>
          <w:b/>
          <w:kern w:val="0"/>
          <w:sz w:val="24"/>
          <w:szCs w:val="24"/>
        </w:rPr>
        <w:t>第六条</w:t>
      </w:r>
      <w:r>
        <w:rPr>
          <w:kern w:val="0"/>
          <w:sz w:val="24"/>
          <w:szCs w:val="24"/>
        </w:rPr>
        <w:t xml:space="preserve"> </w:t>
      </w:r>
      <w:r>
        <w:rPr>
          <w:rFonts w:hint="eastAsia"/>
          <w:kern w:val="0"/>
          <w:sz w:val="24"/>
          <w:szCs w:val="24"/>
        </w:rPr>
        <w:t xml:space="preserve"> </w:t>
      </w:r>
      <w:r>
        <w:rPr>
          <w:kern w:val="0"/>
          <w:sz w:val="24"/>
          <w:szCs w:val="24"/>
        </w:rPr>
        <w:t>村集体经济组织应当按规定的公开内容进行逐项逐笔公开。下列事项，应当专项公开：</w:t>
      </w:r>
    </w:p>
    <w:p>
      <w:pPr>
        <w:pStyle w:val="3"/>
        <w:topLinePunct/>
        <w:spacing w:line="412" w:lineRule="exact"/>
        <w:ind w:firstLine="480"/>
        <w:rPr>
          <w:kern w:val="0"/>
          <w:sz w:val="24"/>
          <w:szCs w:val="24"/>
        </w:rPr>
      </w:pPr>
      <w:r>
        <w:rPr>
          <w:kern w:val="0"/>
          <w:sz w:val="24"/>
          <w:szCs w:val="24"/>
        </w:rPr>
        <w:t>（一）集体土地征占补偿及分配情况；</w:t>
      </w:r>
    </w:p>
    <w:p>
      <w:pPr>
        <w:pStyle w:val="3"/>
        <w:topLinePunct/>
        <w:spacing w:line="412" w:lineRule="exact"/>
        <w:ind w:firstLine="480"/>
        <w:rPr>
          <w:kern w:val="0"/>
          <w:sz w:val="24"/>
          <w:szCs w:val="24"/>
        </w:rPr>
      </w:pPr>
      <w:r>
        <w:rPr>
          <w:kern w:val="0"/>
          <w:sz w:val="24"/>
          <w:szCs w:val="24"/>
        </w:rPr>
        <w:t>（二）集体资产资源发包、租赁、出让、投资及收益（亏损）情况；</w:t>
      </w:r>
    </w:p>
    <w:p>
      <w:pPr>
        <w:pStyle w:val="3"/>
        <w:topLinePunct/>
        <w:spacing w:line="412" w:lineRule="exact"/>
        <w:ind w:firstLine="480"/>
        <w:rPr>
          <w:kern w:val="0"/>
          <w:sz w:val="24"/>
          <w:szCs w:val="24"/>
        </w:rPr>
      </w:pPr>
      <w:r>
        <w:rPr>
          <w:kern w:val="0"/>
          <w:sz w:val="24"/>
          <w:szCs w:val="24"/>
        </w:rPr>
        <w:t>（三）集体工程招投标及预决算情况；</w:t>
      </w:r>
    </w:p>
    <w:p>
      <w:pPr>
        <w:pStyle w:val="3"/>
        <w:topLinePunct/>
        <w:spacing w:line="412" w:lineRule="exact"/>
        <w:ind w:firstLine="480"/>
        <w:rPr>
          <w:kern w:val="0"/>
          <w:sz w:val="24"/>
          <w:szCs w:val="24"/>
        </w:rPr>
      </w:pPr>
      <w:r>
        <w:rPr>
          <w:kern w:val="0"/>
          <w:sz w:val="24"/>
          <w:szCs w:val="24"/>
        </w:rPr>
        <w:t>（四）“一事一议”筹资筹劳及使用情况；</w:t>
      </w:r>
    </w:p>
    <w:p>
      <w:pPr>
        <w:pStyle w:val="3"/>
        <w:topLinePunct/>
        <w:spacing w:line="412" w:lineRule="exact"/>
        <w:ind w:firstLine="480"/>
        <w:rPr>
          <w:kern w:val="0"/>
          <w:sz w:val="24"/>
          <w:szCs w:val="24"/>
        </w:rPr>
      </w:pPr>
      <w:r>
        <w:rPr>
          <w:kern w:val="0"/>
          <w:sz w:val="24"/>
          <w:szCs w:val="24"/>
        </w:rPr>
        <w:t>（五）其他需要进行专项公开的事项。</w:t>
      </w:r>
    </w:p>
    <w:p>
      <w:pPr>
        <w:pStyle w:val="3"/>
        <w:topLinePunct/>
        <w:spacing w:line="412" w:lineRule="exact"/>
        <w:ind w:firstLine="482"/>
        <w:rPr>
          <w:kern w:val="0"/>
          <w:sz w:val="24"/>
          <w:szCs w:val="24"/>
        </w:rPr>
      </w:pPr>
      <w:r>
        <w:rPr>
          <w:b/>
          <w:kern w:val="0"/>
          <w:sz w:val="24"/>
          <w:szCs w:val="24"/>
        </w:rPr>
        <w:t>第七条</w:t>
      </w:r>
      <w:r>
        <w:rPr>
          <w:rFonts w:hint="eastAsia"/>
          <w:b/>
          <w:kern w:val="0"/>
          <w:sz w:val="24"/>
          <w:szCs w:val="24"/>
        </w:rPr>
        <w:t xml:space="preserve"> </w:t>
      </w:r>
      <w:r>
        <w:rPr>
          <w:kern w:val="0"/>
          <w:sz w:val="24"/>
          <w:szCs w:val="24"/>
        </w:rPr>
        <w:t xml:space="preserve"> 村集体经济组织财务至少每季度公开一次；财务往来较多的，收支情况应当每月公开一次，具体公开时间由所在地县级以上农村经营管理部门统一确定。对于多数成员或民主理财小组要求公开的内容，应当及时单独进行公开。涉及集体经济组织及其成员利益的重大事项应当随时公开。</w:t>
      </w:r>
    </w:p>
    <w:p>
      <w:pPr>
        <w:pStyle w:val="3"/>
        <w:topLinePunct/>
        <w:spacing w:line="412" w:lineRule="exact"/>
        <w:ind w:firstLine="482"/>
        <w:rPr>
          <w:kern w:val="0"/>
          <w:sz w:val="24"/>
          <w:szCs w:val="24"/>
        </w:rPr>
      </w:pPr>
      <w:r>
        <w:rPr>
          <w:b/>
          <w:kern w:val="0"/>
          <w:sz w:val="24"/>
          <w:szCs w:val="24"/>
        </w:rPr>
        <w:t>第八条</w:t>
      </w:r>
      <w:r>
        <w:rPr>
          <w:rFonts w:hint="eastAsia"/>
          <w:b/>
          <w:kern w:val="0"/>
          <w:sz w:val="24"/>
          <w:szCs w:val="24"/>
        </w:rPr>
        <w:t xml:space="preserve"> </w:t>
      </w:r>
      <w:r>
        <w:rPr>
          <w:kern w:val="0"/>
          <w:sz w:val="24"/>
          <w:szCs w:val="24"/>
        </w:rPr>
        <w:t xml:space="preserve"> 村集体经济组织应当设置固定的公开栏进行财务公开。同时，也可以通过广播、网络、“明白纸”、会议、电子触摸屏等形式进行辅助公开。</w:t>
      </w:r>
    </w:p>
    <w:p>
      <w:pPr>
        <w:pStyle w:val="3"/>
        <w:topLinePunct/>
        <w:spacing w:line="412" w:lineRule="exact"/>
        <w:ind w:firstLine="482"/>
        <w:rPr>
          <w:kern w:val="0"/>
          <w:sz w:val="24"/>
          <w:szCs w:val="24"/>
        </w:rPr>
      </w:pPr>
      <w:r>
        <w:rPr>
          <w:b/>
          <w:kern w:val="0"/>
          <w:sz w:val="24"/>
          <w:szCs w:val="24"/>
        </w:rPr>
        <w:t>第九条</w:t>
      </w:r>
      <w:r>
        <w:rPr>
          <w:kern w:val="0"/>
          <w:sz w:val="24"/>
          <w:szCs w:val="24"/>
        </w:rPr>
        <w:t xml:space="preserve"> </w:t>
      </w:r>
      <w:r>
        <w:rPr>
          <w:rFonts w:hint="eastAsia"/>
          <w:kern w:val="0"/>
          <w:sz w:val="24"/>
          <w:szCs w:val="24"/>
        </w:rPr>
        <w:t xml:space="preserve"> </w:t>
      </w:r>
      <w:r>
        <w:rPr>
          <w:kern w:val="0"/>
          <w:sz w:val="24"/>
          <w:szCs w:val="24"/>
        </w:rPr>
        <w:t>村集体经济组织财务公开内容必须真实可靠。财务公开前，应当由民主理财小组对公开内容的真实性、完整性进行审核，提出审查意见。财务公开资料经村集体经济组织负责人、民主理财小组负责人和主管会计签字后公开，并报乡（镇）农村经营管理部门备案。</w:t>
      </w:r>
    </w:p>
    <w:p>
      <w:pPr>
        <w:pStyle w:val="3"/>
        <w:topLinePunct/>
        <w:spacing w:line="412" w:lineRule="exact"/>
        <w:ind w:firstLine="482"/>
        <w:rPr>
          <w:kern w:val="0"/>
          <w:sz w:val="24"/>
          <w:szCs w:val="24"/>
        </w:rPr>
      </w:pPr>
      <w:r>
        <w:rPr>
          <w:b/>
          <w:kern w:val="0"/>
          <w:sz w:val="24"/>
          <w:szCs w:val="24"/>
        </w:rPr>
        <w:t>第十条</w:t>
      </w:r>
      <w:r>
        <w:rPr>
          <w:kern w:val="0"/>
          <w:sz w:val="24"/>
          <w:szCs w:val="24"/>
        </w:rPr>
        <w:t xml:space="preserve"> </w:t>
      </w:r>
      <w:r>
        <w:rPr>
          <w:rFonts w:hint="eastAsia"/>
          <w:kern w:val="0"/>
          <w:sz w:val="24"/>
          <w:szCs w:val="24"/>
        </w:rPr>
        <w:t xml:space="preserve"> </w:t>
      </w:r>
      <w:r>
        <w:rPr>
          <w:kern w:val="0"/>
          <w:sz w:val="24"/>
          <w:szCs w:val="24"/>
        </w:rPr>
        <w:t>村集体经济组织财务公开后，主要负责人应当及时安排专门时间，解答群众提出的质疑和问题，听取群众的意见和建议。对群众反映的问题要及时答复解决；一时难以答复解决的，要作出解释。不得对提出和反映问题的群众进行压制或打击报复。</w:t>
      </w:r>
    </w:p>
    <w:p>
      <w:pPr>
        <w:pStyle w:val="3"/>
        <w:topLinePunct/>
        <w:spacing w:line="412" w:lineRule="exact"/>
        <w:ind w:firstLine="482"/>
        <w:rPr>
          <w:kern w:val="0"/>
          <w:sz w:val="24"/>
          <w:szCs w:val="24"/>
        </w:rPr>
      </w:pPr>
      <w:r>
        <w:rPr>
          <w:b/>
          <w:kern w:val="0"/>
          <w:sz w:val="24"/>
          <w:szCs w:val="24"/>
        </w:rPr>
        <w:t>第十一条</w:t>
      </w:r>
      <w:r>
        <w:rPr>
          <w:kern w:val="0"/>
          <w:sz w:val="24"/>
          <w:szCs w:val="24"/>
        </w:rPr>
        <w:t xml:space="preserve"> </w:t>
      </w:r>
      <w:r>
        <w:rPr>
          <w:rFonts w:hint="eastAsia"/>
          <w:kern w:val="0"/>
          <w:sz w:val="24"/>
          <w:szCs w:val="24"/>
        </w:rPr>
        <w:t xml:space="preserve"> </w:t>
      </w:r>
      <w:r>
        <w:rPr>
          <w:kern w:val="0"/>
          <w:sz w:val="24"/>
          <w:szCs w:val="24"/>
        </w:rPr>
        <w:t>乡（镇）、村两级要建立村集体经济组织财务公开档案管理制度，及时搜集、整理财务公开档案，并妥善保存。财务公开档案应当包括财务公开内容及审查、审核资料，成员意见、建议及处理情况记录等。</w:t>
      </w:r>
    </w:p>
    <w:p>
      <w:pPr>
        <w:pStyle w:val="3"/>
        <w:topLinePunct/>
        <w:spacing w:line="412" w:lineRule="exact"/>
        <w:ind w:firstLine="482"/>
        <w:rPr>
          <w:kern w:val="0"/>
          <w:sz w:val="24"/>
          <w:szCs w:val="24"/>
        </w:rPr>
      </w:pPr>
      <w:r>
        <w:rPr>
          <w:b/>
          <w:kern w:val="0"/>
          <w:sz w:val="24"/>
          <w:szCs w:val="24"/>
        </w:rPr>
        <w:t>第十二条</w:t>
      </w:r>
      <w:r>
        <w:rPr>
          <w:kern w:val="0"/>
          <w:sz w:val="24"/>
          <w:szCs w:val="24"/>
        </w:rPr>
        <w:t xml:space="preserve"> </w:t>
      </w:r>
      <w:r>
        <w:rPr>
          <w:rFonts w:hint="eastAsia"/>
          <w:kern w:val="0"/>
          <w:sz w:val="24"/>
          <w:szCs w:val="24"/>
        </w:rPr>
        <w:t xml:space="preserve"> </w:t>
      </w:r>
      <w:r>
        <w:rPr>
          <w:kern w:val="0"/>
          <w:sz w:val="24"/>
          <w:szCs w:val="24"/>
        </w:rPr>
        <w:t>村集体经济组织成员享有下列监督权：</w:t>
      </w:r>
    </w:p>
    <w:p>
      <w:pPr>
        <w:pStyle w:val="3"/>
        <w:topLinePunct/>
        <w:spacing w:line="412" w:lineRule="exact"/>
        <w:ind w:firstLine="480"/>
        <w:rPr>
          <w:kern w:val="0"/>
          <w:sz w:val="24"/>
          <w:szCs w:val="24"/>
        </w:rPr>
      </w:pPr>
      <w:r>
        <w:rPr>
          <w:kern w:val="0"/>
          <w:sz w:val="24"/>
          <w:szCs w:val="24"/>
        </w:rPr>
        <w:t>（一）有权对公开的内容提出质疑；</w:t>
      </w:r>
    </w:p>
    <w:p>
      <w:pPr>
        <w:pStyle w:val="3"/>
        <w:topLinePunct/>
        <w:spacing w:line="412" w:lineRule="exact"/>
        <w:ind w:firstLine="480"/>
        <w:rPr>
          <w:kern w:val="0"/>
          <w:sz w:val="24"/>
          <w:szCs w:val="24"/>
        </w:rPr>
      </w:pPr>
      <w:r>
        <w:rPr>
          <w:kern w:val="0"/>
          <w:sz w:val="24"/>
          <w:szCs w:val="24"/>
        </w:rPr>
        <w:t>（二）有权委托民主理财小组查阅审核有关财务账目；</w:t>
      </w:r>
    </w:p>
    <w:p>
      <w:pPr>
        <w:pStyle w:val="3"/>
        <w:topLinePunct/>
        <w:spacing w:line="412" w:lineRule="exact"/>
        <w:ind w:firstLine="480"/>
        <w:rPr>
          <w:kern w:val="0"/>
          <w:sz w:val="24"/>
          <w:szCs w:val="24"/>
        </w:rPr>
      </w:pPr>
      <w:r>
        <w:rPr>
          <w:kern w:val="0"/>
          <w:sz w:val="24"/>
          <w:szCs w:val="24"/>
        </w:rPr>
        <w:t>（三）有权要求有关当事人对财务问题进行解释或解答；</w:t>
      </w:r>
    </w:p>
    <w:p>
      <w:pPr>
        <w:pStyle w:val="3"/>
        <w:topLinePunct/>
        <w:spacing w:line="412" w:lineRule="exact"/>
        <w:ind w:firstLine="480"/>
        <w:rPr>
          <w:kern w:val="0"/>
          <w:sz w:val="24"/>
          <w:szCs w:val="24"/>
        </w:rPr>
      </w:pPr>
      <w:r>
        <w:rPr>
          <w:kern w:val="0"/>
          <w:sz w:val="24"/>
          <w:szCs w:val="24"/>
        </w:rPr>
        <w:t>（四）有权逐级反映财务公开中存在的问题，提出意见和建议。</w:t>
      </w:r>
    </w:p>
    <w:p>
      <w:pPr>
        <w:pStyle w:val="3"/>
        <w:topLinePunct/>
        <w:spacing w:line="412" w:lineRule="exact"/>
        <w:ind w:firstLine="482"/>
        <w:rPr>
          <w:kern w:val="0"/>
          <w:sz w:val="24"/>
          <w:szCs w:val="24"/>
        </w:rPr>
      </w:pPr>
      <w:r>
        <w:rPr>
          <w:b/>
          <w:kern w:val="0"/>
          <w:sz w:val="24"/>
          <w:szCs w:val="24"/>
        </w:rPr>
        <w:t>第十三条</w:t>
      </w:r>
      <w:r>
        <w:rPr>
          <w:rFonts w:hint="eastAsia"/>
          <w:kern w:val="0"/>
          <w:sz w:val="24"/>
          <w:szCs w:val="24"/>
        </w:rPr>
        <w:t xml:space="preserve">  </w:t>
      </w:r>
      <w:r>
        <w:rPr>
          <w:kern w:val="0"/>
          <w:sz w:val="24"/>
          <w:szCs w:val="24"/>
        </w:rPr>
        <w:t>村集体经济组织民主理财小组行使下列监督权：</w:t>
      </w:r>
    </w:p>
    <w:p>
      <w:pPr>
        <w:pStyle w:val="3"/>
        <w:topLinePunct/>
        <w:spacing w:line="412" w:lineRule="exact"/>
        <w:ind w:firstLine="480"/>
        <w:rPr>
          <w:kern w:val="0"/>
          <w:sz w:val="24"/>
          <w:szCs w:val="24"/>
        </w:rPr>
      </w:pPr>
      <w:r>
        <w:rPr>
          <w:kern w:val="0"/>
          <w:sz w:val="24"/>
          <w:szCs w:val="24"/>
        </w:rPr>
        <w:t>（一）参与制定本村集体的财务计划和各项财务管理制度；</w:t>
      </w:r>
    </w:p>
    <w:p>
      <w:pPr>
        <w:pStyle w:val="3"/>
        <w:topLinePunct/>
        <w:spacing w:line="412" w:lineRule="exact"/>
        <w:ind w:firstLine="480"/>
        <w:rPr>
          <w:kern w:val="0"/>
          <w:sz w:val="24"/>
          <w:szCs w:val="24"/>
        </w:rPr>
      </w:pPr>
      <w:r>
        <w:rPr>
          <w:kern w:val="0"/>
          <w:sz w:val="24"/>
          <w:szCs w:val="24"/>
        </w:rPr>
        <w:t>（二）审核原始凭证，查阅有关财务账目及相关的经济活动事项，否决不合规开支。对否决有异议的，可提交村集体经济组织成员会议或成员代表会议讨论决定；</w:t>
      </w:r>
    </w:p>
    <w:p>
      <w:pPr>
        <w:pStyle w:val="3"/>
        <w:topLinePunct/>
        <w:spacing w:line="412" w:lineRule="exact"/>
        <w:ind w:firstLine="480"/>
        <w:rPr>
          <w:kern w:val="0"/>
          <w:sz w:val="24"/>
          <w:szCs w:val="24"/>
        </w:rPr>
      </w:pPr>
      <w:r>
        <w:rPr>
          <w:kern w:val="0"/>
          <w:sz w:val="24"/>
          <w:szCs w:val="24"/>
        </w:rPr>
        <w:t>（三）对财务公开情况进行检查和监督，对公开中有关问题提出处理建议；</w:t>
      </w:r>
    </w:p>
    <w:p>
      <w:pPr>
        <w:pStyle w:val="3"/>
        <w:topLinePunct/>
        <w:spacing w:line="412" w:lineRule="exact"/>
        <w:ind w:firstLine="480"/>
        <w:rPr>
          <w:kern w:val="0"/>
          <w:sz w:val="24"/>
          <w:szCs w:val="24"/>
        </w:rPr>
      </w:pPr>
      <w:r>
        <w:rPr>
          <w:kern w:val="0"/>
          <w:sz w:val="24"/>
          <w:szCs w:val="24"/>
        </w:rPr>
        <w:t>（四）向上一级部门反映有关财务和公开中的问题。</w:t>
      </w:r>
    </w:p>
    <w:p>
      <w:pPr>
        <w:pStyle w:val="3"/>
        <w:topLinePunct/>
        <w:spacing w:line="412" w:lineRule="exact"/>
        <w:ind w:firstLine="482"/>
        <w:rPr>
          <w:kern w:val="0"/>
          <w:sz w:val="24"/>
          <w:szCs w:val="24"/>
        </w:rPr>
      </w:pPr>
      <w:r>
        <w:rPr>
          <w:b/>
          <w:kern w:val="0"/>
          <w:sz w:val="24"/>
          <w:szCs w:val="24"/>
        </w:rPr>
        <w:t>第十四条</w:t>
      </w:r>
      <w:r>
        <w:rPr>
          <w:kern w:val="0"/>
          <w:sz w:val="24"/>
          <w:szCs w:val="24"/>
        </w:rPr>
        <w:t xml:space="preserve"> </w:t>
      </w:r>
      <w:r>
        <w:rPr>
          <w:rFonts w:hint="eastAsia"/>
          <w:kern w:val="0"/>
          <w:sz w:val="24"/>
          <w:szCs w:val="24"/>
        </w:rPr>
        <w:t xml:space="preserve"> </w:t>
      </w:r>
      <w:r>
        <w:rPr>
          <w:kern w:val="0"/>
          <w:sz w:val="24"/>
          <w:szCs w:val="24"/>
        </w:rPr>
        <w:t>村集体经济组织民主理财小组应当自觉接受村党支部和村务监督机构的工作指导，依法依规履行监督职责，定期向成员会议或成员代表会议汇报民主理财和财务公开监督工作情况，不得徇私舞弊、滥用职权。理财小组成员监督不力、怠于履行职责的，成员会议或成员代表会议应当终止其职务。</w:t>
      </w:r>
    </w:p>
    <w:p>
      <w:pPr>
        <w:pStyle w:val="3"/>
        <w:topLinePunct/>
        <w:spacing w:line="412" w:lineRule="exact"/>
        <w:ind w:firstLine="482"/>
        <w:rPr>
          <w:kern w:val="0"/>
          <w:sz w:val="24"/>
          <w:szCs w:val="24"/>
        </w:rPr>
      </w:pPr>
      <w:r>
        <w:rPr>
          <w:b/>
          <w:kern w:val="0"/>
          <w:sz w:val="24"/>
          <w:szCs w:val="24"/>
        </w:rPr>
        <w:t>第十五条</w:t>
      </w:r>
      <w:r>
        <w:rPr>
          <w:kern w:val="0"/>
          <w:sz w:val="24"/>
          <w:szCs w:val="24"/>
        </w:rPr>
        <w:t xml:space="preserve"> </w:t>
      </w:r>
      <w:r>
        <w:rPr>
          <w:rFonts w:hint="eastAsia"/>
          <w:kern w:val="0"/>
          <w:sz w:val="24"/>
          <w:szCs w:val="24"/>
        </w:rPr>
        <w:t xml:space="preserve"> </w:t>
      </w:r>
      <w:r>
        <w:rPr>
          <w:kern w:val="0"/>
          <w:sz w:val="24"/>
          <w:szCs w:val="24"/>
        </w:rPr>
        <w:t>县级以上农村经营管理部门和乡（镇）党委、政府行使下列指导和监督职责：</w:t>
      </w:r>
    </w:p>
    <w:p>
      <w:pPr>
        <w:pStyle w:val="3"/>
        <w:topLinePunct/>
        <w:spacing w:line="412" w:lineRule="exact"/>
        <w:ind w:firstLine="480"/>
        <w:rPr>
          <w:kern w:val="0"/>
          <w:sz w:val="24"/>
          <w:szCs w:val="24"/>
        </w:rPr>
      </w:pPr>
      <w:r>
        <w:rPr>
          <w:kern w:val="0"/>
          <w:sz w:val="24"/>
          <w:szCs w:val="24"/>
        </w:rPr>
        <w:t>（一）指导和监督村集体经济组织依照本规定实行财务公开；</w:t>
      </w:r>
    </w:p>
    <w:p>
      <w:pPr>
        <w:pStyle w:val="3"/>
        <w:topLinePunct/>
        <w:spacing w:line="412" w:lineRule="exact"/>
        <w:ind w:firstLine="480"/>
        <w:rPr>
          <w:kern w:val="0"/>
          <w:sz w:val="24"/>
          <w:szCs w:val="24"/>
        </w:rPr>
      </w:pPr>
      <w:r>
        <w:rPr>
          <w:kern w:val="0"/>
          <w:sz w:val="24"/>
          <w:szCs w:val="24"/>
        </w:rPr>
        <w:t>（二）指导和监督村集体经济组织建立健全财务公开制度；</w:t>
      </w:r>
    </w:p>
    <w:p>
      <w:pPr>
        <w:pStyle w:val="3"/>
        <w:topLinePunct/>
        <w:spacing w:line="412" w:lineRule="exact"/>
        <w:ind w:firstLine="480"/>
        <w:rPr>
          <w:kern w:val="0"/>
          <w:sz w:val="24"/>
          <w:szCs w:val="24"/>
        </w:rPr>
      </w:pPr>
      <w:r>
        <w:rPr>
          <w:kern w:val="0"/>
          <w:sz w:val="24"/>
          <w:szCs w:val="24"/>
        </w:rPr>
        <w:t>（三）对财务公开中存在的问题进行查处。</w:t>
      </w:r>
    </w:p>
    <w:p>
      <w:pPr>
        <w:pStyle w:val="3"/>
        <w:topLinePunct/>
        <w:spacing w:line="412" w:lineRule="exact"/>
        <w:ind w:firstLine="482"/>
        <w:rPr>
          <w:kern w:val="0"/>
          <w:sz w:val="24"/>
          <w:szCs w:val="24"/>
        </w:rPr>
      </w:pPr>
      <w:r>
        <w:rPr>
          <w:b/>
          <w:kern w:val="0"/>
          <w:sz w:val="24"/>
          <w:szCs w:val="24"/>
        </w:rPr>
        <w:t>第十六条</w:t>
      </w:r>
      <w:r>
        <w:rPr>
          <w:rFonts w:hint="eastAsia"/>
          <w:b/>
          <w:kern w:val="0"/>
          <w:sz w:val="24"/>
          <w:szCs w:val="24"/>
        </w:rPr>
        <w:t xml:space="preserve"> </w:t>
      </w:r>
      <w:r>
        <w:rPr>
          <w:kern w:val="0"/>
          <w:sz w:val="24"/>
          <w:szCs w:val="24"/>
        </w:rPr>
        <w:t xml:space="preserve"> 对违反本规定的村集体经济组织和会计委托代理服务机构，由县级以上农村经营管理部门和乡（镇）党委或政府责令限期纠正；仍不纠正的，由县级纪检监察机关和乡（镇）党委或政府依照有关规定给予相关责任人相应处分。</w:t>
      </w:r>
    </w:p>
    <w:p>
      <w:pPr>
        <w:pStyle w:val="3"/>
        <w:topLinePunct/>
        <w:spacing w:line="412" w:lineRule="exact"/>
        <w:ind w:firstLine="482"/>
        <w:rPr>
          <w:kern w:val="0"/>
          <w:sz w:val="24"/>
          <w:szCs w:val="24"/>
        </w:rPr>
      </w:pPr>
      <w:r>
        <w:rPr>
          <w:b/>
          <w:kern w:val="0"/>
          <w:sz w:val="24"/>
          <w:szCs w:val="24"/>
        </w:rPr>
        <w:t>第十七条</w:t>
      </w:r>
      <w:r>
        <w:rPr>
          <w:kern w:val="0"/>
          <w:sz w:val="24"/>
          <w:szCs w:val="24"/>
        </w:rPr>
        <w:t xml:space="preserve"> </w:t>
      </w:r>
      <w:r>
        <w:rPr>
          <w:rFonts w:hint="eastAsia"/>
          <w:kern w:val="0"/>
          <w:sz w:val="24"/>
          <w:szCs w:val="24"/>
        </w:rPr>
        <w:t xml:space="preserve"> </w:t>
      </w:r>
      <w:r>
        <w:rPr>
          <w:kern w:val="0"/>
          <w:sz w:val="24"/>
          <w:szCs w:val="24"/>
        </w:rPr>
        <w:t>县、乡（镇）两级应将执行本规定纳入党委和政府工作的目标管理，作为考核乡（镇）村两级干部的重要内容，定期检查和监督。</w:t>
      </w:r>
    </w:p>
    <w:p>
      <w:pPr>
        <w:pStyle w:val="3"/>
        <w:topLinePunct/>
        <w:spacing w:line="412" w:lineRule="exact"/>
        <w:ind w:firstLine="482"/>
        <w:rPr>
          <w:kern w:val="0"/>
          <w:sz w:val="24"/>
          <w:szCs w:val="24"/>
        </w:rPr>
      </w:pPr>
      <w:r>
        <w:rPr>
          <w:b/>
          <w:kern w:val="0"/>
          <w:sz w:val="24"/>
          <w:szCs w:val="24"/>
        </w:rPr>
        <w:t>第十八条</w:t>
      </w:r>
      <w:r>
        <w:rPr>
          <w:kern w:val="0"/>
          <w:sz w:val="24"/>
          <w:szCs w:val="24"/>
        </w:rPr>
        <w:t xml:space="preserve"> </w:t>
      </w:r>
      <w:r>
        <w:rPr>
          <w:rFonts w:hint="eastAsia"/>
          <w:kern w:val="0"/>
          <w:sz w:val="24"/>
          <w:szCs w:val="24"/>
        </w:rPr>
        <w:t xml:space="preserve"> </w:t>
      </w:r>
      <w:r>
        <w:rPr>
          <w:kern w:val="0"/>
          <w:sz w:val="24"/>
          <w:szCs w:val="24"/>
        </w:rPr>
        <w:t>各省、自治区、直辖市农业、监察部门可以根据本规定，结合当地实际情况制定具体实施细则或办法，并报农业部、监察部备案。</w:t>
      </w:r>
    </w:p>
    <w:p>
      <w:pPr>
        <w:pStyle w:val="3"/>
        <w:topLinePunct/>
        <w:spacing w:line="412" w:lineRule="exact"/>
        <w:ind w:firstLine="482"/>
        <w:rPr>
          <w:kern w:val="0"/>
          <w:sz w:val="24"/>
          <w:szCs w:val="24"/>
        </w:rPr>
      </w:pPr>
      <w:r>
        <w:rPr>
          <w:b/>
          <w:kern w:val="0"/>
          <w:sz w:val="24"/>
          <w:szCs w:val="24"/>
        </w:rPr>
        <w:t>第十九条</w:t>
      </w:r>
      <w:r>
        <w:rPr>
          <w:kern w:val="0"/>
          <w:sz w:val="24"/>
          <w:szCs w:val="24"/>
        </w:rPr>
        <w:t xml:space="preserve"> </w:t>
      </w:r>
      <w:r>
        <w:rPr>
          <w:rFonts w:hint="eastAsia"/>
          <w:kern w:val="0"/>
          <w:sz w:val="24"/>
          <w:szCs w:val="24"/>
        </w:rPr>
        <w:t xml:space="preserve"> </w:t>
      </w:r>
      <w:r>
        <w:rPr>
          <w:kern w:val="0"/>
          <w:sz w:val="24"/>
          <w:szCs w:val="24"/>
        </w:rPr>
        <w:t>本规定自2012年1月1日起施行</w:t>
      </w:r>
      <w:r>
        <w:rPr>
          <w:rFonts w:hint="eastAsia"/>
          <w:kern w:val="0"/>
          <w:sz w:val="24"/>
          <w:szCs w:val="24"/>
        </w:rPr>
        <w:t>。</w:t>
      </w:r>
    </w:p>
    <w:p>
      <w:pPr>
        <w:topLinePunct/>
        <w:spacing w:beforeLines="0" w:afterLines="0" w:line="416" w:lineRule="exact"/>
        <w:ind w:firstLine="480" w:firstLineChars="200"/>
        <w:rPr>
          <w:rFonts w:cs="Times New Roman" w:asciiTheme="minorEastAsia" w:hAnsiTheme="minorEastAsia"/>
          <w:sz w:val="24"/>
          <w:szCs w:val="24"/>
        </w:rPr>
      </w:pPr>
      <w:r>
        <w:rPr>
          <w:kern w:val="0"/>
          <w:sz w:val="24"/>
          <w:szCs w:val="24"/>
        </w:rPr>
        <w:br w:type="page"/>
      </w:r>
    </w:p>
    <w:p>
      <w:pPr>
        <w:pStyle w:val="4"/>
        <w:keepNext w:val="0"/>
        <w:keepLines w:val="0"/>
        <w:topLinePunct/>
        <w:spacing w:line="416" w:lineRule="exact"/>
        <w:ind w:firstLine="482" w:firstLineChars="200"/>
        <w:rPr>
          <w:rFonts w:asciiTheme="minorEastAsia" w:hAnsiTheme="minorEastAsia" w:eastAsiaTheme="minorEastAsia"/>
          <w:sz w:val="24"/>
          <w:szCs w:val="24"/>
          <w:shd w:val="clear" w:color="auto" w:fill="FFFFFF"/>
        </w:rPr>
      </w:pPr>
      <w:bookmarkStart w:id="349" w:name="_Toc18942594"/>
    </w:p>
    <w:p>
      <w:pPr>
        <w:pStyle w:val="61"/>
      </w:pPr>
      <w:bookmarkStart w:id="350" w:name="_Toc25653681"/>
      <w:bookmarkStart w:id="351" w:name="_Toc28156968"/>
      <w:bookmarkStart w:id="352" w:name="_Toc28252167"/>
      <w:bookmarkStart w:id="353" w:name="_Toc25648186"/>
      <w:bookmarkStart w:id="354" w:name="_Toc26347946"/>
      <w:bookmarkStart w:id="355" w:name="_Toc28250895"/>
      <w:r>
        <w:rPr>
          <w:shd w:val="clear" w:color="auto" w:fill="FFFFFF"/>
        </w:rPr>
        <w:t>中华人民共和国农民专业合作社法</w:t>
      </w:r>
      <w:bookmarkEnd w:id="349"/>
      <w:bookmarkEnd w:id="350"/>
      <w:bookmarkEnd w:id="351"/>
      <w:bookmarkEnd w:id="352"/>
      <w:bookmarkEnd w:id="353"/>
      <w:bookmarkEnd w:id="354"/>
      <w:bookmarkEnd w:id="355"/>
    </w:p>
    <w:p>
      <w:pPr>
        <w:pStyle w:val="62"/>
      </w:pPr>
      <w:r>
        <w:t>（2006年10月31日第十届全国人民代表大会常务委员会第二十四次会议通过，根据2017年12月27日第十二届全国人民代表大会常务委员会第三十一次会议修订）。</w:t>
      </w:r>
    </w:p>
    <w:p>
      <w:pPr>
        <w:pStyle w:val="63"/>
        <w:spacing w:before="218" w:after="218" w:line="412" w:lineRule="exact"/>
      </w:pPr>
      <w:r>
        <w:t xml:space="preserve">第一章 </w:t>
      </w:r>
      <w:r>
        <w:rPr>
          <w:rFonts w:hint="eastAsia"/>
        </w:rPr>
        <w:t xml:space="preserve"> </w:t>
      </w:r>
      <w:r>
        <w:t>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kern w:val="0"/>
          <w:sz w:val="24"/>
          <w:szCs w:val="24"/>
        </w:rPr>
        <w:t>为了规范农民专业合作社的组织和行为，鼓励、支持、引导农民专业合作社的发展，保护农民专业合作社及其成员的合法权益，推进农业农村现代化，制定本法。</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第二条  </w:t>
      </w:r>
      <w:r>
        <w:rPr>
          <w:rFonts w:asciiTheme="minorEastAsia" w:hAnsiTheme="minorEastAsia" w:eastAsiaTheme="minorEastAsia"/>
          <w:kern w:val="0"/>
          <w:sz w:val="24"/>
          <w:szCs w:val="24"/>
        </w:rPr>
        <w:t>本法所称农民专业合作社，是指在农村家庭承包经营基础上，农产品的生产经营者或者农业生产经营服务的提供者、利用者，自愿联合、民主管理的互助性经济组织。</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第三条  </w:t>
      </w:r>
      <w:r>
        <w:rPr>
          <w:rFonts w:asciiTheme="minorEastAsia" w:hAnsiTheme="minorEastAsia" w:eastAsiaTheme="minorEastAsia"/>
          <w:kern w:val="0"/>
          <w:sz w:val="24"/>
          <w:szCs w:val="24"/>
        </w:rPr>
        <w:t>农民专业合作社以其成员为主要服务对象，开展以下一种或者多种业务：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（一）农业生产资料的购买、使用；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（二）农产品的生产、销售、加工、运输、贮藏及其他相关服务；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（三）农村民间工艺及制品、休闲农业和乡村旅游资源的开发经营等；</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（四）与农业生产经营有关的技术、信息、设施建设运营等服务。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第四条  </w:t>
      </w:r>
      <w:r>
        <w:rPr>
          <w:rFonts w:asciiTheme="minorEastAsia" w:hAnsiTheme="minorEastAsia" w:eastAsiaTheme="minorEastAsia"/>
          <w:kern w:val="0"/>
          <w:sz w:val="24"/>
          <w:szCs w:val="24"/>
        </w:rPr>
        <w:t>农民专业合作社应当遵循下列原则：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（一）成员以农民为主体；</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（二）以服务成员为宗旨，谋求全体成员的共同利益；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（三）入社自愿、退社自由；</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（四）成员地位平等，实行民主管理；</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（五）盈余主要按照成员与农民专业合作社的交易量（额）比例返还。</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第五条  </w:t>
      </w:r>
      <w:r>
        <w:rPr>
          <w:rFonts w:asciiTheme="minorEastAsia" w:hAnsiTheme="minorEastAsia" w:eastAsiaTheme="minorEastAsia"/>
          <w:kern w:val="0"/>
          <w:sz w:val="24"/>
          <w:szCs w:val="24"/>
        </w:rPr>
        <w:t>农民专业合作社依照本法登记，取得法人资格。</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农民专业合作社对由成员出资、公积金、国家财政直接补助、他人捐赠以及合法取得的其他资产所形成的财产，享有占有、使用和处分的权利，并以上述财产对债务承担责任。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第六条  </w:t>
      </w:r>
      <w:r>
        <w:rPr>
          <w:rFonts w:asciiTheme="minorEastAsia" w:hAnsiTheme="minorEastAsia" w:eastAsiaTheme="minorEastAsia"/>
          <w:kern w:val="0"/>
          <w:sz w:val="24"/>
          <w:szCs w:val="24"/>
        </w:rPr>
        <w:t>农民专业合作社成员以其账户内记载的出资额和公积金份额为限对农民专业合作社承担责任。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第七条  </w:t>
      </w:r>
      <w:r>
        <w:rPr>
          <w:rFonts w:asciiTheme="minorEastAsia" w:hAnsiTheme="minorEastAsia" w:eastAsiaTheme="minorEastAsia"/>
          <w:kern w:val="0"/>
          <w:sz w:val="24"/>
          <w:szCs w:val="24"/>
        </w:rPr>
        <w:t>国家保障农民专业合作社享有与其他市场主体平等的法律地位。</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国家保护农民专业合作社及其成员的合法权益，任何单位和个人不得侵犯。</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第八条  </w:t>
      </w:r>
      <w:r>
        <w:rPr>
          <w:rFonts w:asciiTheme="minorEastAsia" w:hAnsiTheme="minorEastAsia" w:eastAsiaTheme="minorEastAsia"/>
          <w:kern w:val="0"/>
          <w:sz w:val="24"/>
          <w:szCs w:val="24"/>
        </w:rPr>
        <w:t>农民专业合作社从事生产经营活动，应当遵守法律，遵守社会公德、商业道德，诚实守信，不得从事与章程规定无关的活动。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第九条  </w:t>
      </w:r>
      <w:r>
        <w:rPr>
          <w:rFonts w:asciiTheme="minorEastAsia" w:hAnsiTheme="minorEastAsia" w:eastAsiaTheme="minorEastAsia"/>
          <w:kern w:val="0"/>
          <w:sz w:val="24"/>
          <w:szCs w:val="24"/>
        </w:rPr>
        <w:t>农民专业合作社为扩大生产经营和服务的规模，发展产业化经营，提高市场竞争力，可以依法自愿设立或者加入农民专业合作社联合社。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第十条  </w:t>
      </w:r>
      <w:r>
        <w:rPr>
          <w:rFonts w:asciiTheme="minorEastAsia" w:hAnsiTheme="minorEastAsia" w:eastAsiaTheme="minorEastAsia"/>
          <w:kern w:val="0"/>
          <w:sz w:val="24"/>
          <w:szCs w:val="24"/>
        </w:rPr>
        <w:t>国家通过财政支持、税收优惠和金融、科技、人才的扶持以及产业政策引导等措施，促进农民专业合作社的发展。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国家鼓励和支持公民、法人和其他组织为农民专业合作社提供帮助和服务。</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对发展农民专业合作社事业做出突出贡献的单位和个人，按照国家有关规定予以表彰和奖励。</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第十一条  </w:t>
      </w:r>
      <w:r>
        <w:rPr>
          <w:rFonts w:asciiTheme="minorEastAsia" w:hAnsiTheme="minorEastAsia" w:eastAsiaTheme="minorEastAsia"/>
          <w:kern w:val="0"/>
          <w:sz w:val="24"/>
          <w:szCs w:val="24"/>
        </w:rPr>
        <w:t>县级以上人民政府应当建立农民专业合作社工作的综合协调机制，统筹指导、协调、推动农民专业合作社的建设和发展。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县级以上人民政府农业主管部门、其他有关部门和组织应当依据各自职责，对农民专业合作社的建设和发展给予指导、扶持和服务。</w:t>
      </w:r>
    </w:p>
    <w:p>
      <w:pPr>
        <w:pStyle w:val="63"/>
        <w:spacing w:before="218" w:after="218" w:line="412" w:lineRule="exact"/>
      </w:pPr>
      <w:r>
        <w:t xml:space="preserve">第二章 </w:t>
      </w:r>
      <w:r>
        <w:rPr>
          <w:rFonts w:hint="eastAsia"/>
        </w:rPr>
        <w:t xml:space="preserve"> </w:t>
      </w:r>
      <w:r>
        <w:t>设立和登记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kern w:val="0"/>
          <w:sz w:val="24"/>
          <w:szCs w:val="24"/>
        </w:rPr>
        <w:t>设立农民专业合作社，应当具备下列条件：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（一）有五名以上符合本法第十九条、第二十条规定的成员；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（二）有符合本法规定的章程；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（三）有符合本法规定的组织机构；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（四）有符合法律、行政法规规定的名称和章程确定的住所；</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（五）有符合章程规定的成员出资。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第十三条  </w:t>
      </w:r>
      <w:r>
        <w:rPr>
          <w:rFonts w:asciiTheme="minorEastAsia" w:hAnsiTheme="minorEastAsia" w:eastAsiaTheme="minorEastAsia"/>
          <w:kern w:val="0"/>
          <w:sz w:val="24"/>
          <w:szCs w:val="24"/>
        </w:rPr>
        <w:t>农民专业合作社成员可以用货币出资，也可以用实物、知识产权、土地经营权、林权等可以用货币估价并可以依法转让的非货币财产，以及章程规定的其他方式作价出资；但是，法律、行政法规规定不得作为出资的财产除外。</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农民专业合作社成员不得以对该社或者其他成员的债权，充抵出资；不得以缴纳的出资，抵销对该社或者其他成员的债务。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第十四条  </w:t>
      </w:r>
      <w:r>
        <w:rPr>
          <w:rFonts w:asciiTheme="minorEastAsia" w:hAnsiTheme="minorEastAsia" w:eastAsiaTheme="minorEastAsia"/>
          <w:kern w:val="0"/>
          <w:sz w:val="24"/>
          <w:szCs w:val="24"/>
        </w:rPr>
        <w:t>设立农民专业合作社，应当召开由全体设立人参加的设立大会。设立时自愿成为该社成员的人为设立人。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设立大会行使下列职权：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（一）通过本社章程，章程应当由全体设立人一致通过；</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（二）选举产生理事长、理事、执行监事或者监事会成员；</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（三）审议其他重大事项。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第十五条  </w:t>
      </w:r>
      <w:r>
        <w:rPr>
          <w:rFonts w:asciiTheme="minorEastAsia" w:hAnsiTheme="minorEastAsia" w:eastAsiaTheme="minorEastAsia"/>
          <w:kern w:val="0"/>
          <w:sz w:val="24"/>
          <w:szCs w:val="24"/>
        </w:rPr>
        <w:t>农民专业合作社章程应当载明下列事项：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（一）名称和住所；</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（二）业务范围；</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（三）成员资格及入社、退社和除名；</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（四）成员的权利和义务；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（五）组织机构及其产生办法、职权、任期、议事规则；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（六）成员的出资方式、出资额，成员出资的转让、继承、担保；</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（七）财务管理和盈余分配、亏损处理；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（八）章程修改程序；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（九）解散事由和清算办法；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（十）公告事项及发布方式；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（十一）附加表决权的设立、行使方式和行使范围；</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（十二）需要载明的其他事项。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第十六条  </w:t>
      </w:r>
      <w:r>
        <w:rPr>
          <w:rFonts w:asciiTheme="minorEastAsia" w:hAnsiTheme="minorEastAsia" w:eastAsiaTheme="minorEastAsia"/>
          <w:kern w:val="0"/>
          <w:sz w:val="24"/>
          <w:szCs w:val="24"/>
        </w:rPr>
        <w:t>设立农民专业合作社，应当向工商行政管理部门提交下列文件，申请设立登记：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（一）登记申请书；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（二）全体设立人签名、盖章的设立大会纪要；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（三）全体设立人签名、盖章的章程；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（四）法定代表人、理事的任职文件及身份证明；</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（五）出资成员签名、盖章的出资清单；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（六）住所使用证明；</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（七）法律、行政法规规定的其他文件。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登记机关应当自受理登记申请之日起二十日内办理完毕，向符合登记条件的申请者颁发营业执照，登记类型为农民专业合作社。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农民专业合作社法定登记事项变更的，应当申请变更登记。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登记机关应当将农民专业合作社的登记信息通报同级农业等有关部门。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农民专业合作社登记办法由国务院规定。办理登记不得收取费用。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第十七条  </w:t>
      </w:r>
      <w:r>
        <w:rPr>
          <w:rFonts w:asciiTheme="minorEastAsia" w:hAnsiTheme="minorEastAsia" w:eastAsiaTheme="minorEastAsia"/>
          <w:kern w:val="0"/>
          <w:sz w:val="24"/>
          <w:szCs w:val="24"/>
        </w:rPr>
        <w:t>农民专业合作社应当按照国家有关规定，向登记机关报送年度报告，并向社会公示。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第十八条  </w:t>
      </w:r>
      <w:r>
        <w:rPr>
          <w:rFonts w:asciiTheme="minorEastAsia" w:hAnsiTheme="minorEastAsia" w:eastAsiaTheme="minorEastAsia"/>
          <w:kern w:val="0"/>
          <w:sz w:val="24"/>
          <w:szCs w:val="24"/>
        </w:rPr>
        <w:t>农民专业合作社可以依法向公司等企业投资，以其出资额为限对所投资企业承担责任。</w:t>
      </w:r>
    </w:p>
    <w:p>
      <w:pPr>
        <w:pStyle w:val="63"/>
        <w:spacing w:before="218" w:after="218" w:line="412" w:lineRule="exact"/>
      </w:pPr>
      <w:r>
        <w:t xml:space="preserve">第三章 </w:t>
      </w:r>
      <w:r>
        <w:rPr>
          <w:rFonts w:hint="eastAsia"/>
        </w:rPr>
        <w:t xml:space="preserve"> </w:t>
      </w:r>
      <w:r>
        <w:t>成</w:t>
      </w:r>
      <w:r>
        <w:rPr>
          <w:rFonts w:hint="eastAsia"/>
        </w:rPr>
        <w:t xml:space="preserve"> </w:t>
      </w:r>
      <w:r>
        <w:t xml:space="preserve"> 员</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kern w:val="0"/>
          <w:sz w:val="24"/>
          <w:szCs w:val="24"/>
        </w:rPr>
        <w:t>具有民事行为能力的公民，以及从事与农民专业合作社业务直接有关的生产经营活动的企业、事业单位或者社会组织，能够利用农民专业合作社提供的服务，承认并遵守农民专业合作社章程，履行章程规定的入社手续的，可以成为农民专业合作社的成员。但是，具有管理公共事务职能的单位不得加入农民专业合作社。</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农民专业合作社应当置备成员名册，并报登记机关。</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第二十条  </w:t>
      </w:r>
      <w:r>
        <w:rPr>
          <w:rFonts w:asciiTheme="minorEastAsia" w:hAnsiTheme="minorEastAsia" w:eastAsiaTheme="minorEastAsia"/>
          <w:kern w:val="0"/>
          <w:sz w:val="24"/>
          <w:szCs w:val="24"/>
        </w:rPr>
        <w:t>农民专业合作社的成员中，农民至少应当占成员总数的百分之八十。</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成员总数二十人以下的，可以有一个企业、事业单位或者社会组织成员；成员总数超过二十人的，企业、事业单位和社会组织成员不得超过成员总数的百分之五。</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第二十一条  </w:t>
      </w:r>
      <w:r>
        <w:rPr>
          <w:rFonts w:asciiTheme="minorEastAsia" w:hAnsiTheme="minorEastAsia" w:eastAsiaTheme="minorEastAsia"/>
          <w:kern w:val="0"/>
          <w:sz w:val="24"/>
          <w:szCs w:val="24"/>
        </w:rPr>
        <w:t>农民专业合作社成员享有下列权利：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（一）参加成员大会，并享有表决权、选举权和被选举权，按照章程规定对本社实行民主管理；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（二）利用本社提供的服务和生产经营设施；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（三）按照章程规定或者成员大会决议分享盈余；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（四）查阅本社的章程、成员名册、成员大会或者成员代表大会记录、理事会会议决议、监事会会议决议、财务会计报告、会计账簿和财务审计报告；</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（五）章程规定的其他权利。</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第二十二条  </w:t>
      </w:r>
      <w:r>
        <w:rPr>
          <w:rFonts w:asciiTheme="minorEastAsia" w:hAnsiTheme="minorEastAsia" w:eastAsiaTheme="minorEastAsia"/>
          <w:kern w:val="0"/>
          <w:sz w:val="24"/>
          <w:szCs w:val="24"/>
        </w:rPr>
        <w:t>农民专业合作社成员大会选举和表决，实行一人一票制，成员各享有一票的基本表决权。</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出资额或者与本社交易量（额）较大的成员按照章程规定，可以享有附加表决权。本社的附加表决权总票数，不得超过本社成员基本表决权总票数的百分之二十。享有附加表决权的成员及其享有的附加表决权数，应当在每次成员大会召开时告知出席会议的全体成员。</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第二十三条  </w:t>
      </w:r>
      <w:r>
        <w:rPr>
          <w:rFonts w:asciiTheme="minorEastAsia" w:hAnsiTheme="minorEastAsia" w:eastAsiaTheme="minorEastAsia"/>
          <w:kern w:val="0"/>
          <w:sz w:val="24"/>
          <w:szCs w:val="24"/>
        </w:rPr>
        <w:t>农民专业合作社成员承担下列义务：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（一）执行成员大会、成员代表大会和理事会的决议；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（二）按照章程规定向本社出资；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（三）按照章程规定与本社进行交易；</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（四）按照章程规定承担亏损；</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（五）章程规定的其他义务。</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第二十四条  </w:t>
      </w:r>
      <w:r>
        <w:rPr>
          <w:rFonts w:asciiTheme="minorEastAsia" w:hAnsiTheme="minorEastAsia" w:eastAsiaTheme="minorEastAsia"/>
          <w:kern w:val="0"/>
          <w:sz w:val="24"/>
          <w:szCs w:val="24"/>
        </w:rPr>
        <w:t>符合本法第十九条、第二十条规定的公民、企业、事业单位或者社会组织，要求加入已成立的农民专业合作社，应当向理事长或者理事会提出书面申请，经成员大会或者成员代表大会表决通过后，成为本社成员。</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第二十五条  </w:t>
      </w:r>
      <w:r>
        <w:rPr>
          <w:rFonts w:asciiTheme="minorEastAsia" w:hAnsiTheme="minorEastAsia" w:eastAsiaTheme="minorEastAsia"/>
          <w:kern w:val="0"/>
          <w:sz w:val="24"/>
          <w:szCs w:val="24"/>
        </w:rPr>
        <w:t>农民专业合作社成员要求退社的，应当在会计年度终了的三个月前向理事长或者理事会提出书面申请；其中，企业、事业单位或者社会组织成员退社，应当在会计年度终了的六个月前提出；章程另有规定的，从其规定。退社成员的成员资格自会计年度终了时终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第二十六条  </w:t>
      </w:r>
      <w:r>
        <w:rPr>
          <w:rFonts w:asciiTheme="minorEastAsia" w:hAnsiTheme="minorEastAsia" w:eastAsiaTheme="minorEastAsia"/>
          <w:kern w:val="0"/>
          <w:sz w:val="24"/>
          <w:szCs w:val="24"/>
        </w:rPr>
        <w:t>农民专业合作社成员不遵守农民专业合作社的章程、成员大会或者成员代表大会的决议，或者严重危害其他成员及农民专业合作社利益的，可以予以除名。</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成员的除名，应当经成员大会或者成员代表大会表决通过。</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在实施前款规定时，应当为该成员提供陈述意见的机会。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被除名成员的成员资格自会计年度终了时终止。</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第二十七条  </w:t>
      </w:r>
      <w:r>
        <w:rPr>
          <w:rFonts w:asciiTheme="minorEastAsia" w:hAnsiTheme="minorEastAsia" w:eastAsiaTheme="minorEastAsia"/>
          <w:kern w:val="0"/>
          <w:sz w:val="24"/>
          <w:szCs w:val="24"/>
        </w:rPr>
        <w:t>成员在其资格终止前与农民专业合作社已订立的合同，应当继续履行；章程另有规定或者与本社另有约定的除外。</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第二十八条  </w:t>
      </w:r>
      <w:r>
        <w:rPr>
          <w:rFonts w:asciiTheme="minorEastAsia" w:hAnsiTheme="minorEastAsia" w:eastAsiaTheme="minorEastAsia"/>
          <w:kern w:val="0"/>
          <w:sz w:val="24"/>
          <w:szCs w:val="24"/>
        </w:rPr>
        <w:t>成员资格终止的，农民专业合作社应当按照章程规定的方式和期限，退还记载在该成员账户内的出资额和公积金份额；对成员资格终止前的可分配盈余，依照本法第四十四条的规定向其返还。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资格终止的成员应当按照章程规定分摊资格终止前本社的亏损及债务。</w:t>
      </w:r>
    </w:p>
    <w:p>
      <w:pPr>
        <w:pStyle w:val="63"/>
        <w:spacing w:before="218" w:after="218" w:line="412" w:lineRule="exact"/>
      </w:pPr>
      <w:r>
        <w:t>第四章</w:t>
      </w:r>
      <w:r>
        <w:rPr>
          <w:rFonts w:hint="eastAsia"/>
        </w:rPr>
        <w:t xml:space="preserve"> </w:t>
      </w:r>
      <w:r>
        <w:t xml:space="preserve"> 组织机构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kern w:val="0"/>
          <w:sz w:val="24"/>
          <w:szCs w:val="24"/>
        </w:rPr>
        <w:t>农民专业合作社成员大会由全体成员组成，是本社的权力机构，行使下列职权：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（一）修改章程；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（二）选举和罢免理事长、理事、执行监事或者监事会成员；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（三）决定重大财产处置、对外投资、对外担保和生产经营活动中的其他重大事项；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（四）批准年度业务报告、盈余分配方案、亏损处理方案；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（五）对合并、分立、解散、清算，以及设立、加入联合社等作出决议；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（六）决定聘用经营管理人员和专业技术人员的数量、资格和任期；</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（七）听取理事长或者理事会关于成员变动情况的报告，对成员的入社、除名等作出决议；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（八）公积金的提取及使用；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（九）章程规定的其他职权。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第三十条  </w:t>
      </w:r>
      <w:r>
        <w:rPr>
          <w:rFonts w:asciiTheme="minorEastAsia" w:hAnsiTheme="minorEastAsia" w:eastAsiaTheme="minorEastAsia"/>
          <w:kern w:val="0"/>
          <w:sz w:val="24"/>
          <w:szCs w:val="24"/>
        </w:rPr>
        <w:t>农民专业合作社召开成员大会，出席人数应当达到成员总数三分之二以上。</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成员大会选举或者作出决议，应当由本社成员表决权总数过半数通过；作出修改章程或者合并、分立、解散，以及设立、加入联合社的决议应当由本社成员表决权总数的三分之二以上通过。章程对表决权数有较高规定的，从其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第三十一条  </w:t>
      </w:r>
      <w:r>
        <w:rPr>
          <w:rFonts w:asciiTheme="minorEastAsia" w:hAnsiTheme="minorEastAsia" w:eastAsiaTheme="minorEastAsia"/>
          <w:kern w:val="0"/>
          <w:sz w:val="24"/>
          <w:szCs w:val="24"/>
        </w:rPr>
        <w:t>农民专业合作社成员大会每年至少召开一次，会议的召集由章程规定。有下列情形之一的，应当在二十日内召开临时成员大会：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（一）百分之三十以上的成员提议；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（二）执行监事或者监事会提议；</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（三）章程规定的其他情形。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第三十二条  </w:t>
      </w:r>
      <w:r>
        <w:rPr>
          <w:rFonts w:asciiTheme="minorEastAsia" w:hAnsiTheme="minorEastAsia" w:eastAsiaTheme="minorEastAsia"/>
          <w:kern w:val="0"/>
          <w:sz w:val="24"/>
          <w:szCs w:val="24"/>
        </w:rPr>
        <w:t>农</w:t>
      </w:r>
      <w:r>
        <w:rPr>
          <w:rFonts w:asciiTheme="minorEastAsia" w:hAnsiTheme="minorEastAsia" w:eastAsiaTheme="minorEastAsia"/>
          <w:spacing w:val="-4"/>
          <w:kern w:val="0"/>
          <w:sz w:val="24"/>
          <w:szCs w:val="24"/>
        </w:rPr>
        <w:t>民专业合作社成员超过一百五十人的，可以按照章程规定设立成员代表大会。成员代表大会按照章程规定可以行使成员大会的部分或者全部职权。</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依法设立成员代表大会的，成员代表人数一般为成员总人数的百分之十，最低人数为五十一人。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第三十三条  </w:t>
      </w:r>
      <w:r>
        <w:rPr>
          <w:rFonts w:asciiTheme="minorEastAsia" w:hAnsiTheme="minorEastAsia" w:eastAsiaTheme="minorEastAsia"/>
          <w:kern w:val="0"/>
          <w:sz w:val="24"/>
          <w:szCs w:val="24"/>
        </w:rPr>
        <w:t>农民专业合作社设理事长一名，可以设理事会。理事长为本社的法定代表人。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农民专业合作社可以设执行监事或者监事会。理事长、理事、经理和财务会计人员不得兼任监事。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理事长、理事、执行监事或者监事会成员，由成员大会从本社成员中选举产生，依照本法和章程的规定行使职权，对成员大会负责。</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理事会会议、监事会会议的表决，实行一人一票。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第三十四条  </w:t>
      </w:r>
      <w:r>
        <w:rPr>
          <w:rFonts w:asciiTheme="minorEastAsia" w:hAnsiTheme="minorEastAsia" w:eastAsiaTheme="minorEastAsia"/>
          <w:kern w:val="0"/>
          <w:sz w:val="24"/>
          <w:szCs w:val="24"/>
        </w:rPr>
        <w:t>农民专业合作社的成员大会、成员代表大会、理事会、监事会，应当将所议事项的决定作成会议记录，出席会议的成员、成员代表、理事、监事应当在会议记录上签名。</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第三十五条  </w:t>
      </w:r>
      <w:r>
        <w:rPr>
          <w:rFonts w:asciiTheme="minorEastAsia" w:hAnsiTheme="minorEastAsia" w:eastAsiaTheme="minorEastAsia"/>
          <w:kern w:val="0"/>
          <w:sz w:val="24"/>
          <w:szCs w:val="24"/>
        </w:rPr>
        <w:t>农民专业合作社的理事长或者理事会可以按照成员大会的决定聘任经理和财务会计人员，理事长或者理事可以兼任经理。经理按照章程规定或者理事会的决定，可以聘任其他人员。</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经理按照章程规定和理事长或者理事会授权，负责具体生产经营活动。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第三十六条  </w:t>
      </w:r>
      <w:r>
        <w:rPr>
          <w:rFonts w:asciiTheme="minorEastAsia" w:hAnsiTheme="minorEastAsia" w:eastAsiaTheme="minorEastAsia"/>
          <w:kern w:val="0"/>
          <w:sz w:val="24"/>
          <w:szCs w:val="24"/>
        </w:rPr>
        <w:t>农民专业合作社的理事长、理事和管理人员不得有下列行为：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（一）侵占、挪用或者私分本社资产；</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（二）违反章程规定或者未经成员大会同意，将本社资金借贷给他人或者以本社资产为他人提供担保；</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（三）接受他人与本社交易的佣金归为己有；</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（四）从事损害本社经济利益的其他活动。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理事长、理事和管理人员违反前款规定所得的收入，应当归本社所有；给本社造成损失的，应当承担赔偿责任。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第三十七条  </w:t>
      </w:r>
      <w:r>
        <w:rPr>
          <w:rFonts w:asciiTheme="minorEastAsia" w:hAnsiTheme="minorEastAsia" w:eastAsiaTheme="minorEastAsia"/>
          <w:kern w:val="0"/>
          <w:sz w:val="24"/>
          <w:szCs w:val="24"/>
        </w:rPr>
        <w:t>农民专业合作社的理事长、理事、经理不得兼任业务性质相同的其他农民专业合作社的理事长、理事、监事、经理。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第三十八条  </w:t>
      </w:r>
      <w:r>
        <w:rPr>
          <w:rFonts w:asciiTheme="minorEastAsia" w:hAnsiTheme="minorEastAsia" w:eastAsiaTheme="minorEastAsia"/>
          <w:kern w:val="0"/>
          <w:sz w:val="24"/>
          <w:szCs w:val="24"/>
        </w:rPr>
        <w:t>执行与农民专业合作社业务有关公务的人员，不得担任农民专业合作社的理事长、理事、监事、经理或者财务会计人员。</w:t>
      </w:r>
    </w:p>
    <w:p>
      <w:pPr>
        <w:pStyle w:val="63"/>
        <w:spacing w:before="218" w:after="218" w:line="412" w:lineRule="exact"/>
      </w:pPr>
      <w:r>
        <w:t>第五章</w:t>
      </w:r>
      <w:r>
        <w:rPr>
          <w:rFonts w:hint="eastAsia"/>
        </w:rPr>
        <w:t xml:space="preserve"> </w:t>
      </w:r>
      <w:r>
        <w:t xml:space="preserve"> 财务管理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kern w:val="0"/>
          <w:sz w:val="24"/>
          <w:szCs w:val="24"/>
        </w:rPr>
        <w:t>农民专业合作社应当按照国务院财政部门制定的财务会计制度进行财务管理和会计核算。</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第四十条  </w:t>
      </w:r>
      <w:r>
        <w:rPr>
          <w:rFonts w:asciiTheme="minorEastAsia" w:hAnsiTheme="minorEastAsia" w:eastAsiaTheme="minorEastAsia"/>
          <w:kern w:val="0"/>
          <w:sz w:val="24"/>
          <w:szCs w:val="24"/>
        </w:rPr>
        <w:t>农民专业合作社的理事长或者理事会应当按照章程规定，组织编制年度业务报告、盈余分配方案、亏损处理方案以及财务会计报告，于成员大会召开的十五日前，置备于办公地点，供成员查阅。</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第四十一条  </w:t>
      </w:r>
      <w:r>
        <w:rPr>
          <w:rFonts w:asciiTheme="minorEastAsia" w:hAnsiTheme="minorEastAsia" w:eastAsiaTheme="minorEastAsia"/>
          <w:kern w:val="0"/>
          <w:sz w:val="24"/>
          <w:szCs w:val="24"/>
        </w:rPr>
        <w:t>农民专业合作社与其成员的交易、与利用其提供的服务的非成员的交易，应当分别核算。</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第四十二条  </w:t>
      </w:r>
      <w:r>
        <w:rPr>
          <w:rFonts w:asciiTheme="minorEastAsia" w:hAnsiTheme="minorEastAsia" w:eastAsiaTheme="minorEastAsia"/>
          <w:kern w:val="0"/>
          <w:sz w:val="24"/>
          <w:szCs w:val="24"/>
        </w:rPr>
        <w:t>农民专业合作社可以按照章程规定或者成员大会决议从当年盈余中提取公积金。公积金用于弥补亏损、扩大生产经营或者转为成员出资。</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每年提取的公积金按照章程规定量化为每个成员的份额。</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第四十三条  </w:t>
      </w:r>
      <w:r>
        <w:rPr>
          <w:rFonts w:asciiTheme="minorEastAsia" w:hAnsiTheme="minorEastAsia" w:eastAsiaTheme="minorEastAsia"/>
          <w:kern w:val="0"/>
          <w:sz w:val="24"/>
          <w:szCs w:val="24"/>
        </w:rPr>
        <w:t>农民专业合作社应当为每个成员设立成员账户，主要记载下列内容：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（一）该成员的出资额；</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（二）量化为该成员的公积金份额；</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（三）该成员与本社的交易量（额）。</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第四十四条  </w:t>
      </w:r>
      <w:r>
        <w:rPr>
          <w:rFonts w:asciiTheme="minorEastAsia" w:hAnsiTheme="minorEastAsia" w:eastAsiaTheme="minorEastAsia"/>
          <w:kern w:val="0"/>
          <w:sz w:val="24"/>
          <w:szCs w:val="24"/>
        </w:rPr>
        <w:t>在弥补亏损、提取公积金后的当年盈余，为农民专业合作社的可分配盈余。可分配盈余主要按照成员与本社的交易量（额）比例返还。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可分配盈余按成员与本社的交易量（额）比例返还的返还总额不得低于可分配盈余的百分之六十；返还后的剩余部分，以成员账户中记载的出资额和公积金份额，以及本社接受国家财政直接补助和他人捐赠形成的财产平均量化到成员的份额，按比例分配给本社成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经成员大会或者成员代表大会表决同意，可以将全部或者部分可分配盈余转为对农民专业合作社的出资，并记载在成员账户中。</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具体分配办法按照章程规定或者经成员大会决议确定。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第四十五条  </w:t>
      </w:r>
      <w:r>
        <w:rPr>
          <w:rFonts w:asciiTheme="minorEastAsia" w:hAnsiTheme="minorEastAsia" w:eastAsiaTheme="minorEastAsia"/>
          <w:kern w:val="0"/>
          <w:sz w:val="24"/>
          <w:szCs w:val="24"/>
        </w:rPr>
        <w:t>设立执行监事或者监事会的农民专业合作社，由执行监事或者监事会负责对本社的财务进行内部审计，审计结果应当向成员大会报告。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成员大会也可以委托社会中介机构对本社的财务进行审计。</w:t>
      </w:r>
    </w:p>
    <w:p>
      <w:pPr>
        <w:pStyle w:val="63"/>
        <w:spacing w:before="218" w:after="218" w:line="412" w:lineRule="exact"/>
      </w:pPr>
      <w:r>
        <w:t>第六章</w:t>
      </w:r>
      <w:r>
        <w:rPr>
          <w:rFonts w:hint="eastAsia"/>
        </w:rPr>
        <w:t xml:space="preserve"> </w:t>
      </w:r>
      <w:r>
        <w:t xml:space="preserve"> 合并、分立、解散和清算</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kern w:val="0"/>
          <w:sz w:val="24"/>
          <w:szCs w:val="24"/>
        </w:rPr>
        <w:t>农民专业合作社合并，应当自合并决议作出之日起十日内通知债权人。合并各方的债权、债务应当由合并后存续或者新设的组织承继。</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第四十七条  </w:t>
      </w:r>
      <w:r>
        <w:rPr>
          <w:rFonts w:asciiTheme="minorEastAsia" w:hAnsiTheme="minorEastAsia" w:eastAsiaTheme="minorEastAsia"/>
          <w:kern w:val="0"/>
          <w:sz w:val="24"/>
          <w:szCs w:val="24"/>
        </w:rPr>
        <w:t>农民专业合作社分立，其财产作相应的分割，并应当自分立决议作出之日起十日内通知债权人。分立前的债务由分立后的组织承担连带责任。但是，在分立前与债权人就债务清偿达成的书面协议另有约定的除外。</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第四十八条  </w:t>
      </w:r>
      <w:r>
        <w:rPr>
          <w:rFonts w:asciiTheme="minorEastAsia" w:hAnsiTheme="minorEastAsia" w:eastAsiaTheme="minorEastAsia"/>
          <w:kern w:val="0"/>
          <w:sz w:val="24"/>
          <w:szCs w:val="24"/>
        </w:rPr>
        <w:t>农民专业合作社因下列原因解散：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（一）章程规定的解散事由出现；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（二）成员大会决议解散；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（三）因合并或者分立需要解散；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（四）依法被吊销营业执照或者被撤销。</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因前款第一项、第二项、第四项原因解散的，应当在解散事由出现之日起十五日内由成员大会推举成员组成清算组，开始解散清算。逾期不能组成清算组的，成员、债权人可以向人民法院申请指定成员组成清算组进行清算，人民法院应当受理该申请，并及时指定成员组成清算组进行清算。</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第四十九条  </w:t>
      </w:r>
      <w:r>
        <w:rPr>
          <w:rFonts w:asciiTheme="minorEastAsia" w:hAnsiTheme="minorEastAsia" w:eastAsiaTheme="minorEastAsia"/>
          <w:kern w:val="0"/>
          <w:sz w:val="24"/>
          <w:szCs w:val="24"/>
        </w:rPr>
        <w:t>清算组自成立之日起接管农民专业合作社，负责处理与清算有关未了结业务，清理财产和债权、债务，分配清偿债务后的剩余财产，代表农民专业合作社参与诉讼、仲裁或者其他法律程序，并在清算结束时办理注销登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第五十条  </w:t>
      </w:r>
      <w:r>
        <w:rPr>
          <w:rFonts w:asciiTheme="minorEastAsia" w:hAnsiTheme="minorEastAsia" w:eastAsiaTheme="minorEastAsia"/>
          <w:kern w:val="0"/>
          <w:sz w:val="24"/>
          <w:szCs w:val="24"/>
        </w:rPr>
        <w:t>清算组应当自成立之日起十日内通知农民专业合作社成员和债权人，并于六十日内在报纸上公告。债权人应当自接到通知之日起三十日内，未接到通知的自公告之日起四十五日内，向清算组申报债权。如果在规定期间内全部成员、债权人均已收到通知，免除清算组的公告义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债权人申报债权，应当说明债权的有关事项，并提供证明材料。清算组应当对债权进行审查、登记。</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在申报债权期间，清算组不得对债权人进行清偿。</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第五十一条  </w:t>
      </w:r>
      <w:r>
        <w:rPr>
          <w:rFonts w:asciiTheme="minorEastAsia" w:hAnsiTheme="minorEastAsia" w:eastAsiaTheme="minorEastAsia"/>
          <w:kern w:val="0"/>
          <w:sz w:val="24"/>
          <w:szCs w:val="24"/>
        </w:rPr>
        <w:t>农民专业合作社因本法第四十八条第一款的原因解散，或者人民法院受理破产申请时，不能办理成员退社手续。</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第五十二条  </w:t>
      </w:r>
      <w:r>
        <w:rPr>
          <w:rFonts w:asciiTheme="minorEastAsia" w:hAnsiTheme="minorEastAsia" w:eastAsiaTheme="minorEastAsia"/>
          <w:kern w:val="0"/>
          <w:sz w:val="24"/>
          <w:szCs w:val="24"/>
        </w:rPr>
        <w:t>清算组负责制定包括清偿农民专业合作社员工的工资及社会保险费用，清偿所欠税款和其他各项债务，以及分配剩余财产在内的清算方案，经成员大会通过或者申请人民法院确认后实施。</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清算组发现农民专业合作社的财产不足以清偿债务的，应当依法向人民法院申请破产。</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第五十三条  </w:t>
      </w:r>
      <w:r>
        <w:rPr>
          <w:rFonts w:asciiTheme="minorEastAsia" w:hAnsiTheme="minorEastAsia" w:eastAsiaTheme="minorEastAsia"/>
          <w:kern w:val="0"/>
          <w:sz w:val="24"/>
          <w:szCs w:val="24"/>
        </w:rPr>
        <w:t>农民专业合作社接受国家财政直接补助形成的财产，在解散、破产清算时，不得作为可分配剩余资产分配给成员，具体按照国务院财政部门有关规定执行。</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第五十四条  </w:t>
      </w:r>
      <w:r>
        <w:rPr>
          <w:rFonts w:asciiTheme="minorEastAsia" w:hAnsiTheme="minorEastAsia" w:eastAsiaTheme="minorEastAsia"/>
          <w:kern w:val="0"/>
          <w:sz w:val="24"/>
          <w:szCs w:val="24"/>
        </w:rPr>
        <w:t>清算组成员应当忠于职守，依法履行清算义务，因故意或者重大过失给农民专业合作社成员及债权人造成损失的，应当承担赔偿责任。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第五十五条  </w:t>
      </w:r>
      <w:r>
        <w:rPr>
          <w:rFonts w:asciiTheme="minorEastAsia" w:hAnsiTheme="minorEastAsia" w:eastAsiaTheme="minorEastAsia"/>
          <w:kern w:val="0"/>
          <w:sz w:val="24"/>
          <w:szCs w:val="24"/>
        </w:rPr>
        <w:t>农民专业合作社破产适用企业破产法的有关规定。但是，破产财产在清偿破产费用和共益债务后，应当优先清偿破产前与农民成员已发生交易但尚未结清的款项。</w:t>
      </w:r>
    </w:p>
    <w:p>
      <w:pPr>
        <w:pStyle w:val="63"/>
        <w:spacing w:before="218" w:after="218" w:line="412" w:lineRule="exact"/>
      </w:pPr>
      <w:r>
        <w:t xml:space="preserve">第七章 </w:t>
      </w:r>
      <w:r>
        <w:rPr>
          <w:rFonts w:hint="eastAsia"/>
        </w:rPr>
        <w:t xml:space="preserve"> </w:t>
      </w:r>
      <w:r>
        <w:t>农民专业合作社联合社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kern w:val="0"/>
          <w:sz w:val="24"/>
          <w:szCs w:val="24"/>
        </w:rPr>
        <w:t>三个以上的农民专业合作社在自愿的基础上，可以出资设立农民专业合作社联合社。</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农民专业合作社联合社应当有自己的名称、组织机构和住所，由联合社全体成员制定并承认的章程，以及符合章程规定的成员出资。</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第五十七条  </w:t>
      </w:r>
      <w:r>
        <w:rPr>
          <w:rFonts w:asciiTheme="minorEastAsia" w:hAnsiTheme="minorEastAsia" w:eastAsiaTheme="minorEastAsia"/>
          <w:kern w:val="0"/>
          <w:sz w:val="24"/>
          <w:szCs w:val="24"/>
        </w:rPr>
        <w:t>农民专业合作社联合社依照本法登记，取得法人资格，领取营业执照，登记类型为农民专业合作社联合社。</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第五十八条  </w:t>
      </w:r>
      <w:r>
        <w:rPr>
          <w:rFonts w:asciiTheme="minorEastAsia" w:hAnsiTheme="minorEastAsia" w:eastAsiaTheme="minorEastAsia"/>
          <w:kern w:val="0"/>
          <w:sz w:val="24"/>
          <w:szCs w:val="24"/>
        </w:rPr>
        <w:t>农民专业合作社联合社以其全部财产对该社的债务承担责任；农民专业合作社联合社的成员以其出资额为限对农民专业合作社联合社承担责任。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第五十九条  </w:t>
      </w:r>
      <w:r>
        <w:rPr>
          <w:rFonts w:asciiTheme="minorEastAsia" w:hAnsiTheme="minorEastAsia" w:eastAsiaTheme="minorEastAsia"/>
          <w:kern w:val="0"/>
          <w:sz w:val="24"/>
          <w:szCs w:val="24"/>
        </w:rPr>
        <w:t>农民专业合作社联合社应当设立由全体成员参加的成员大会，其职权包括修改农民专业合作社联合社章程，选举和罢免农民专业合作社联合社理事长、理事和监事，决定农民专业合作社联合社的经营方案及盈余分配，决定对外投资和担保方案等重大事项。</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农民专业合作社联合社不设成员代表大会，可以根据需要设立理事会、监事会或者执行监事。理事长、理事应当由成员社选派的人员担任。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第六十条  </w:t>
      </w:r>
      <w:r>
        <w:rPr>
          <w:rFonts w:asciiTheme="minorEastAsia" w:hAnsiTheme="minorEastAsia" w:eastAsiaTheme="minorEastAsia"/>
          <w:kern w:val="0"/>
          <w:sz w:val="24"/>
          <w:szCs w:val="24"/>
        </w:rPr>
        <w:t>农民专业合作社联合社的成员大会选举和表决，实行一社一票。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第六十一条  </w:t>
      </w:r>
      <w:r>
        <w:rPr>
          <w:rFonts w:asciiTheme="minorEastAsia" w:hAnsiTheme="minorEastAsia" w:eastAsiaTheme="minorEastAsia"/>
          <w:kern w:val="0"/>
          <w:sz w:val="24"/>
          <w:szCs w:val="24"/>
        </w:rPr>
        <w:t>农民专业合作社联合社可分配盈余的分配办法，按照本法规定的原则由农民专业合作社联合社章程规定。</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第六十二条  </w:t>
      </w:r>
      <w:r>
        <w:rPr>
          <w:rFonts w:asciiTheme="minorEastAsia" w:hAnsiTheme="minorEastAsia" w:eastAsiaTheme="minorEastAsia"/>
          <w:kern w:val="0"/>
          <w:sz w:val="24"/>
          <w:szCs w:val="24"/>
        </w:rPr>
        <w:t>农民专业合作社联合社成员退社，应当在会计年度终了的六个月前以书面形式向理事会提出。退社成员的成员资格自会计年度终了时终止。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第六十三条  </w:t>
      </w:r>
      <w:r>
        <w:rPr>
          <w:rFonts w:asciiTheme="minorEastAsia" w:hAnsiTheme="minorEastAsia" w:eastAsiaTheme="minorEastAsia"/>
          <w:kern w:val="0"/>
          <w:sz w:val="24"/>
          <w:szCs w:val="24"/>
        </w:rPr>
        <w:t>本章对农民专业合作社联合社没有规定的，适用本法关于农民专业合作社的规定。</w:t>
      </w:r>
    </w:p>
    <w:p>
      <w:pPr>
        <w:pStyle w:val="63"/>
        <w:spacing w:before="218" w:after="218" w:line="412" w:lineRule="exact"/>
      </w:pPr>
      <w:r>
        <w:t>第八章</w:t>
      </w:r>
      <w:r>
        <w:rPr>
          <w:rFonts w:hint="eastAsia"/>
        </w:rPr>
        <w:t xml:space="preserve"> </w:t>
      </w:r>
      <w:r>
        <w:t xml:space="preserve"> 扶持措施</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kern w:val="0"/>
          <w:sz w:val="24"/>
          <w:szCs w:val="24"/>
        </w:rPr>
        <w:t>国家支持发展农业和农村经济的建设项目，可以委托和安排有条件的农民专业合作社实施。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第六十五条  </w:t>
      </w:r>
      <w:r>
        <w:rPr>
          <w:rFonts w:asciiTheme="minorEastAsia" w:hAnsiTheme="minorEastAsia" w:eastAsiaTheme="minorEastAsia"/>
          <w:kern w:val="0"/>
          <w:sz w:val="24"/>
          <w:szCs w:val="24"/>
        </w:rPr>
        <w:t>中央和地方财政应当分别安排资金，支持农民专业合作社开展信息、培训、农产品标准与认证、农业生产基础设施建设、市场营销和技术推广等服务。国家对革命老区、民族地区、边疆地区和贫困地区的农民专业合作社给予优先扶助。</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县级以上人民政府有关部门应当依法加强对财政补助资金使用情况的监督。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第六十六条  </w:t>
      </w:r>
      <w:r>
        <w:rPr>
          <w:rFonts w:asciiTheme="minorEastAsia" w:hAnsiTheme="minorEastAsia" w:eastAsiaTheme="minorEastAsia"/>
          <w:kern w:val="0"/>
          <w:sz w:val="24"/>
          <w:szCs w:val="24"/>
        </w:rPr>
        <w:t>国家政策性金融机构应当采取多种形式，为农民专业合作社提供多渠道的资金支持。具体支持政策由国务院规定。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国家鼓励商业性金融机构采取多种形式，为农民专业合作社及其成员提供金融服务。</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国家鼓励保险机构为农民专业合作社提供多种形式的农业保险服务。鼓励农民专业合作社依法开展互助保险。</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第六十七条  </w:t>
      </w:r>
      <w:r>
        <w:rPr>
          <w:rFonts w:asciiTheme="minorEastAsia" w:hAnsiTheme="minorEastAsia" w:eastAsiaTheme="minorEastAsia"/>
          <w:kern w:val="0"/>
          <w:sz w:val="24"/>
          <w:szCs w:val="24"/>
        </w:rPr>
        <w:t>农民专业合作社享受国家规定的对农业生产、加工、流通、服务和其他涉农经济活动相应的税收优惠。</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第六十八条  </w:t>
      </w:r>
      <w:r>
        <w:rPr>
          <w:rFonts w:asciiTheme="minorEastAsia" w:hAnsiTheme="minorEastAsia" w:eastAsiaTheme="minorEastAsia"/>
          <w:kern w:val="0"/>
          <w:sz w:val="24"/>
          <w:szCs w:val="24"/>
        </w:rPr>
        <w:t>农民专业合作社从事农产品初加工用电执行农业生产用电价格，农民专业合作社生产性配套辅助设施用地按农用地管理，具体办法由国务院有关部门规定。</w:t>
      </w:r>
    </w:p>
    <w:p>
      <w:pPr>
        <w:pStyle w:val="63"/>
        <w:spacing w:before="218" w:after="218" w:line="412" w:lineRule="exact"/>
      </w:pPr>
      <w:r>
        <w:t xml:space="preserve">第九章 </w:t>
      </w:r>
      <w:r>
        <w:rPr>
          <w:rFonts w:hint="eastAsia"/>
        </w:rPr>
        <w:t xml:space="preserve"> </w:t>
      </w:r>
      <w:r>
        <w:t>法律责任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kern w:val="0"/>
          <w:sz w:val="24"/>
          <w:szCs w:val="24"/>
        </w:rPr>
        <w:t>侵占、挪用、截留、私分或者以其他方式侵犯农民专业合作社及其成员的合法财产，非法干预农民专业合作社及其成员的生产经营活动，向农民专业合作社及其成员摊派，强迫农民专业合作社及其成员接受有偿服务，造成农民专业合作社经济损失的，依法追究法律责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第七十条  </w:t>
      </w:r>
      <w:r>
        <w:rPr>
          <w:rFonts w:asciiTheme="minorEastAsia" w:hAnsiTheme="minorEastAsia" w:eastAsiaTheme="minorEastAsia"/>
          <w:kern w:val="0"/>
          <w:sz w:val="24"/>
          <w:szCs w:val="24"/>
        </w:rPr>
        <w:t>农民专业合作社向登记机关提供虚假登记材料或者采取其他欺诈手段取得登记的，由登记机关责令改正，可以处五千元以下罚款；情节严重的，撤销登记或者吊销营业执照。</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第七十一条  </w:t>
      </w:r>
      <w:r>
        <w:rPr>
          <w:rFonts w:asciiTheme="minorEastAsia" w:hAnsiTheme="minorEastAsia" w:eastAsiaTheme="minorEastAsia"/>
          <w:kern w:val="0"/>
          <w:sz w:val="24"/>
          <w:szCs w:val="24"/>
        </w:rPr>
        <w:t>农民专业合作社连续两年未从事经营活动的，吊销其营业执照。</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第七十二条  </w:t>
      </w:r>
      <w:r>
        <w:rPr>
          <w:rFonts w:asciiTheme="minorEastAsia" w:hAnsiTheme="minorEastAsia" w:eastAsiaTheme="minorEastAsia"/>
          <w:kern w:val="0"/>
          <w:sz w:val="24"/>
          <w:szCs w:val="24"/>
        </w:rPr>
        <w:t>农民专业合作社在依法向有关主管部门提供的财务报告等材料中，作虚假记载或者隐瞒重要事实的，依法追究法律责任。</w:t>
      </w:r>
    </w:p>
    <w:p>
      <w:pPr>
        <w:pStyle w:val="63"/>
        <w:spacing w:before="218" w:after="218" w:line="412" w:lineRule="exact"/>
      </w:pPr>
      <w:r>
        <w:t>第十章</w:t>
      </w:r>
      <w:r>
        <w:rPr>
          <w:rFonts w:hint="eastAsia"/>
        </w:rPr>
        <w:t xml:space="preserve"> </w:t>
      </w:r>
      <w:r>
        <w:t xml:space="preserve"> 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kern w:val="0"/>
          <w:sz w:val="24"/>
          <w:szCs w:val="24"/>
        </w:rPr>
        <w:t>国有农场、林场、牧场、渔场等企业中实行承包租赁经营、从事农业生产经营或者服务的职工，兴办农民专业合作社适用本法。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第七十四条  </w:t>
      </w:r>
      <w:r>
        <w:rPr>
          <w:rFonts w:asciiTheme="minorEastAsia" w:hAnsiTheme="minorEastAsia" w:eastAsiaTheme="minorEastAsia"/>
          <w:kern w:val="0"/>
          <w:sz w:val="24"/>
          <w:szCs w:val="24"/>
        </w:rPr>
        <w:t>本法自2018年7月1日起施行。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356" w:name="_Toc18942595"/>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357" w:name="_Toc28156969"/>
      <w:bookmarkStart w:id="358" w:name="_Toc25648187"/>
      <w:bookmarkStart w:id="359" w:name="_Toc26347947"/>
      <w:bookmarkStart w:id="360" w:name="_Toc28252168"/>
      <w:bookmarkStart w:id="361" w:name="_Toc25653682"/>
      <w:bookmarkStart w:id="362" w:name="_Toc28250896"/>
      <w:r>
        <w:t>北京市实施《中华人民共和国农民</w:t>
      </w:r>
      <w:r>
        <w:rPr>
          <w:rFonts w:hint="eastAsia"/>
        </w:rPr>
        <w:br w:type="textWrapping"/>
      </w:r>
      <w:r>
        <w:t>专业合作社法》办法</w:t>
      </w:r>
      <w:bookmarkEnd w:id="356"/>
      <w:bookmarkEnd w:id="357"/>
      <w:bookmarkEnd w:id="358"/>
      <w:bookmarkEnd w:id="359"/>
      <w:bookmarkEnd w:id="360"/>
      <w:bookmarkEnd w:id="361"/>
      <w:bookmarkEnd w:id="362"/>
    </w:p>
    <w:p>
      <w:pPr>
        <w:pStyle w:val="62"/>
      </w:pPr>
      <w:r>
        <w:t>（2009年11月20日北京市第十三届人民代表大会常务委员会第十四次会议通过）</w:t>
      </w:r>
    </w:p>
    <w:p>
      <w:pPr>
        <w:pStyle w:val="63"/>
        <w:spacing w:before="218" w:after="218" w:line="412" w:lineRule="exact"/>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为了实施《中华人民共和国农民专业合作社法》，结合本市实际情况，制定本办法。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本办法适用于本市行政区域内农民专业合作社的设立、生产经营，以及相关的规范管理、指导、扶持和服务活动。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农民专业合作社是在农村家庭承包经营基础上，同类农产品的生产经营者或者同类农业生产经营服务的提供者、利用者，自愿联合、民主管理的互助性经济组织。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农民专业合作社以其成员为主要服务对象，提供农业生产资料的购买，农产品的销售、加工、运输、贮藏及与农业生产经营有关的技术、信息等服务。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农民专业合作社应当遵循下列原则：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（一）成员以农民为主体；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（二）以服务成员为宗旨，谋求全体成员的共同利益；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（三）入社自愿，退社自由；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（四）成员地位平等，实行民主管理；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（五）盈余主要按照成员与农民专业合作社的交易量（额）比例返还。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农民专业合作社应当依法从事生产经营活动，诚实守信，遵守社会公德和商业道德。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人民政府应当将促进农民专业合作社发展与本地区农业及相关产业发展相结合，加强统筹协调，创新工作机制，及时组织农业行政主管部门和其他有关部门、有关组织制定政策，加大财政、科技和人才支持，落实金融、税收优惠政策，完善农业社会化服务体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乡、镇人民政府和街道办事处应当支持当地农民专业合作社发展，宣传有关政策，制订落实措施，为农民专业合作社的设立和生产经营等活动提供服务。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村民委员会、村集体经济组织对农民专业合作社的设立和生产经营活动依法给予支持和帮助。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市和区、县人民政府对在促进农民专业合作社事业发展中做出显著成绩的单位和个人，予以表彰、奖励。</w:t>
      </w:r>
    </w:p>
    <w:p>
      <w:pPr>
        <w:pStyle w:val="63"/>
        <w:spacing w:before="218" w:after="218" w:line="412" w:lineRule="exact"/>
      </w:pPr>
      <w:r>
        <w:t>第二章</w:t>
      </w:r>
      <w:r>
        <w:rPr>
          <w:rFonts w:hint="eastAsia"/>
        </w:rPr>
        <w:t xml:space="preserve"> </w:t>
      </w:r>
      <w:r>
        <w:t xml:space="preserve"> 设立与运行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本市农村家庭承包经营基础上同类农产品的生产经营者或者同类农业生产经营服务的提供者、利用者，自愿联合，依法从事下列生产经营活动的，可以申请设立农民专业合作社：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（一）种植业、养殖业；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（二）农产品销售、加工、贮藏、运输；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（三）农业休闲观光和民俗旅游；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（四）农民家庭手工业；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（五）农业机械作业服务；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（六）农业技术服务；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（七）依法开展的其他互助性农业生产经营活动。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设立农民专业合作社的，应当向所在区、县工商行政管理部门提出设立登记申请，依法取得农民专业合作社法人营业执照。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农民专业合作社的业务范围有属于法律、行政法规或者国务院规定在登记前须经批准的项目的，应当提交有关批准文件。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设立农民专业合作社的，应当依法制定章程。章程的制定，可以参照本市农民专业合作社示范章程。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农民专业合作社应当健全内部管理制度，履行章程的约定。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农民专业合作社的成员中，农民至少应当占成员总数的80%。</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的成员为农民的，成员身份证明为本市农业人口户口簿；拥有本市农村土地承包经营权证的非农业户籍人员，凭本人居民身份证和本市农村土地承包经营权证或者村民委员会、居民委员会出具的身份证明，可以以农民成员身份申请办理入社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农民专业合作社自愿联合组成新的互助性经济组织，可以向工商行政管理部门提出设立登记申请，依法取得农民专业合作社法人营业执照。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农民专业合作社应当为每位成员设立成员账户。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农民专业合作社成员可以用货币出资，也可以用实物、知识产权及其他能够用货币估价并可以依法转让的非货币财产作价出资。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农民专业合作社章程应当对成员的出资方式、出资额进行规定；成员应当按照章程规定出资，出资额应当计入该成员账户。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农民专业合作社成员的出资方式、出资额及成员出资总额，应当在出资清单上载明，并经全体出资成员签名、盖章确认。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农民专业合作社成员大会由全体成员组成，是本社的权力机构，依法行使职权。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农民专业合作社成员超过150人的，可以依照章程设立成员代表大会。成员代表大会按照章程规定可以行使成员大会的部分或者全部职权。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设立的成员代表大会，成员代表人数不少于成员总数的30%；成员超过500人的，成员代表人数不少于成员总数的20%。成员代表大会代表的选举办法由章程规定。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设立理事会、执行监事或者监事会的，农民专业合作社成员在150人以下的，理事会成员一般不少于3人，至少设执行监事1人；成员151人至500人的，理事会成员一般不少于5人，监事会成员一般不少于3人；成员超过500人的，理事会成员一般不少于7人，监事会成员一般不少于5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农民专业合作社应当依法建立财务管理制度。财务管理制度应当明确规定成员大会、理事长、理事、经理的财务权限和职责，并经成员大会审议通过。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农民专业合作社应当建立财会人员的岗位责任制，明确相关岗位的职责权限。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农民专业合作社可以设置专职会计人员，也可以委托会计服务机构代理记账。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农民专业合作社应当按照农民专业合作社财务会计制度进行独立会计核算，并按时进行财务年度决算。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农民专业合作社在进行年终盈余分配或者返还前，应当准确核算全年的收入和支出；清理财产和债权、债务，将其真实完整地记入成员账户。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在弥补亏损、提取公积金后的当年盈余，为农民专业合作社的可分配盈余。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的可分配盈余按成员与本社交易量（额）比例返还，返还总额不得低于可分配盈余的60%；剩余部分以成员的出资额、公积金份额及本社接受国家财政直接补助和他人捐赠形成的财产平均量化到成员的份额，按比例分配给成员。可分配盈余的具体分配办法，按照章程规定或者经成员大会决议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年度盈余分配方案，应当经成员大会批准后实施。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成员资格终止的，农民专业合作社应当按照章程规定的方式和期限，退还记载在该成员账户内的出资额和公积金份额，并依法将该成员资格终止前的可分配盈余向其返还。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成员资格终止后，农民专业合作社应当在会计年度终了时，将该成员账户内记载的由国家财政直接补助形成的财产份额，重新平均量化到本社现有成员。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农民专业合作社应当向成员实行社务公开。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农民专业合作社的重大经营决策、国家财政对农民专业合作社的直接补助和他人捐赠形成财产的到账和使用情况，以及其他涉及成员切身利益的事项应当向成员公开。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农民专业合作社应当在会计年度终了时向成员公布经营和财务状况，接受成员的监督。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执行监事或者监事会负责对农民专业合作社财务的监督和内部审计工作，审计结果应当向成员大会报告。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成员大会可以委托有关审计机构对本社的财务进行年度审计、专项审计和换届、离任审计。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农民专业合作社应当接受并配合政府有关部门对国家财政直接补助资金开展的审计监督工作。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农民专业合作社应当按照国家和本市有关规定报送统计、财务报表。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农民专业合作社应当加强对成员的培训，帮助成员增强法律意识、合作意识、自律意识，提高生产技能和经营水平。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农民专业合作社与成员之间发生纠纷时，应当依照章程和有关约定协商解决；协商不成的，可以向农村合作经济经营管理机构申请调解，也可以直接向人民法院起诉。</w:t>
      </w:r>
    </w:p>
    <w:p>
      <w:pPr>
        <w:pStyle w:val="63"/>
        <w:spacing w:before="218" w:after="218" w:line="412" w:lineRule="exact"/>
      </w:pPr>
      <w:r>
        <w:t xml:space="preserve">第三章 </w:t>
      </w:r>
      <w:r>
        <w:rPr>
          <w:rFonts w:hint="eastAsia"/>
        </w:rPr>
        <w:t xml:space="preserve"> </w:t>
      </w:r>
      <w:r>
        <w:t>指导与服务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市和区、县人民政府应当建立由有关部门和机构参加的促进农民专业合作社发展的联席会议制度，研究和协调解决农民专业合作社发展中的重大问题。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市和区、县农业行政主管部门负责下列与农民专业合作社建设和发展有关的指导、扶持和服务工作：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（一）制定指导和扶持农民专业合作社发展的具体政策；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（二）提供有关政策咨询，收集发布相关信息；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（三）引导帮助农民专业合作社开展农业标准化、农产品质量安全、认证申报、品牌培育、产品营销、开拓市场等工作；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（四）开展农民专业合作社典型示范和推广交流活动；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（五）其他帮助农民专业合作社提高组织化程度，增强自我服务、抵御风险和市场竞争能力的工作。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市和区、县农村合作经济经营管理机构负责下列与农民专业合作社建设和发展有关的指导和服务工作：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（一）指导农民专业合作社制定章程、建立健全内部运行机制、财务会计等管理制度；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（二）指导农民专业合作社申报建设项目；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（三）开展对农民专业合作社的统计监测、人员培训等工作。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区、县农村合作经济经营管理机构可以为农民专业合作社的设立提供咨询、指导和登记代办服务。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工商行政管理、财政、发展改革、商务、税务、科学技术、国土资源、规划、环境保护、交通、园林绿化、水务、旅游、知识产权和质量技术监督等行政管理部门应当依据各自职责，对农民专业合作社建设和发展给予指导、扶持和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供销社、农产品行业协会、科学技术协会等有关单位或者组织应当对相关的农民专业合作社给予指导、扶持和服务。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工商行政管理部门应当将农民专业合作社信息纳入本市法人基础数据库，为相关部门及组织统一提供基础数据的共享交换服务。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农业和工商行政管理等部门应当加强沟通协调，建立、健全部门之间的信息交流与共享机制。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本市将农民专业合作社纳入企业信用信息系统，对农民专业合作社实施信用监管。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办理农民专业合作社工商、税务登记的，登记机关不收取登记费用。</w:t>
      </w:r>
    </w:p>
    <w:p>
      <w:pPr>
        <w:pStyle w:val="63"/>
        <w:spacing w:before="218" w:after="218" w:line="412" w:lineRule="exact"/>
      </w:pPr>
      <w:r>
        <w:t xml:space="preserve">第四章 </w:t>
      </w:r>
      <w:r>
        <w:rPr>
          <w:rFonts w:hint="eastAsia"/>
        </w:rPr>
        <w:t xml:space="preserve"> </w:t>
      </w:r>
      <w:r>
        <w:t>扶持与促进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市和区、县人民政府应当推进新型农业社会化服务体系建设，支持各类农业社会化服务组织为农民专业合作社发展提供市场营销、科技推广、人才引进、农资供应、农业信息、农村金融和保险等服务。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市和区、县人民政府应当安排资金，重点用于扶持农民专业合作社的下列项目：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（一）农业标准化生产基地建设；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（二）农产品加工、仓储、销售设施建设；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（三）农产品质量标准与认证、产品包装、品牌建设和市场营销；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（四）农业机械、农产品运输设备购置；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（五）信息服务、科技推广、人才引进和培训；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（六）其他重点扶持项目。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本市各级人民政府应当对扶持农民专业合作社的资金使用情况予以监督。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农民专业合作社有下列情形之一的，不列入国家和本市财政资金扶持范围：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（一）与本社成员的交易量（额）不足全部交易量（额）50%的；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（二）可分配盈余未依法按成员与本社的交易量（额）返还给成员的；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（三）未依法实行民主管理造成不良影响的。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农民专业合作社可以独立申报、承担农业建设项目、农业科技项目及其他政府支持发展农业和农村经济的建设项目。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有关部门应当对承担政府支持发展农业和农村经济建设项目的农民专业合作社加强指导和服务。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本市应当完善农产品市场流通体系，加强仓储、流通、信息等基础设施建设，改善农产品销售的市场环境。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市和区、县商务、农业行政主管部门应当采取措施，组织、引导、支持农民专业合作社与市场对接，为农民专业合作社生产的农产品进入市场销售提供便利和信息咨询服务。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鼓励农产品加工、销售和会展企业与农民专业合作社建立直接联系，对农民专业合作社生产的农产品进行加工、销售和展览展销。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农产品生产、加工、销售企业，以及其他有销售渠道、生产加工技术、开拓创新能力的企业，可以联合农民创办或者加入农民专业合作社，带动农民专业合作社发展。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引导农业产业化龙头企业和农民专业合作社通过资本、劳动等方面合作，建立稳定的利益联结机制，共享农产品生产、加工、仓储、销售等环节的利益。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鼓励农业产业化龙头企业为农民专业合作社及其成员提供技术、信息、农业生产资料等多种服务。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鼓励高等院校、中等职业学校和科研院所与本市农民专业合作社开展技术合作。依托农民专业合作社建立科研试验示范基地的，享受相关政策优惠。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第四十条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农民专业合作社享受国家规定的对农业生产、加工、流通、服务和其他涉农经济活动相应的税收优惠。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政策性金融机构应当采取多种形式为农民专业合作社提供信贷服务。鼓励商业性金融机构对农民专业合作社开展信贷服务，提供资金支持。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农民专业合作社申请的相关贷款，符合市财政、农业行政主管部门有关规定的，财政部门根据项目用途和实际需要给予贴息支持。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鼓励社会担保机构开展农民专业合作社贷款担保业务。政府扶持的政策性担保机构应当为农民专业合作社提供担保服务。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农民专业合作社可以组织成员依法开展内部资金互助服务，解决成员在农业生产经营活动中的资金困难。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政策性农业保险机构应当开发适合农民专业合作社特点的保险产品。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鼓励政策性、商业性保险机构通过农民专业合作社为农民提供农业保险服务。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本市各级人民政府应当采取措施鼓励各类人才到农民专业合作社工作。高等院校毕业生到农民专业合作社工作的，享受有关优惠待遇。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支持农业技术专家及其他各类优秀人才以咨询、培训等方式加强与农民专业合作社的合作。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鼓励各类科技人员为农民专业合作社提供技术服务。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农民专业合作社的农产品生产基地、农业机械服务场所、规模养殖场、设施农业，以及其他有关项目的建设，应当符合土地利用总体规划和城乡规划；前述项目相关用地，未使用建筑材料硬化地面或者虽使用建筑材料但未破坏土地并易于复垦的，按照设施农用地进行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社建设农产品加工、仓储、冷藏和人员培训及设施农业附属的管理和生活用房等永久性建筑物的用地，使用农村集体建设用地的，应当符合土地利用总体规划和城乡规划，按照乡镇集体企业用地办理用地手续；使用农用地的，应当依法办理农用地转用审批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农民专业合作社从事种植、养殖及本社成员农产品初加工、仓储、冷藏的用水用电，按照有关规定执行农业生产水电价格标准。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农民专业合作社申请认证无公害农产品、绿色食品、有机食品、原产地标记、地理标志和注册商标的，政府有关部门和相关组织应当给予指导、扶持和帮助。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本市将农民专业合作社信息平台建设纳入全市信息化体系，通过信息化手段为农民专业合作社及其成员提供相关生产经营信息服务。</w:t>
      </w:r>
    </w:p>
    <w:p>
      <w:pPr>
        <w:pStyle w:val="63"/>
        <w:spacing w:before="218" w:after="218" w:line="412" w:lineRule="exact"/>
      </w:pPr>
      <w:r>
        <w:t xml:space="preserve">第五章 </w:t>
      </w:r>
      <w:r>
        <w:rPr>
          <w:rFonts w:hint="eastAsia"/>
        </w:rPr>
        <w:t xml:space="preserve"> </w:t>
      </w:r>
      <w:r>
        <w:t>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国家行政机关和负有管理职责的机构及其工作人员有下列行为之一的，根据情节轻重对直接负责的主管人员和其他直接责任人员，依法给予相应行政处分：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（一）非法干预农民专业合作社及其成员生产经营活动的；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（二）侵占、挪用、截留农民专业合作社及其成员财产或者应当属于农民专业合作社及其成员财产的；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（三）非法向农民专业合作社及其成员收费或者摊派的；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（四）强迫农民专业合作社及其成员接受有偿服务的；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（五）其他玩忽职守、滥用职权、徇私舞弊侵害农民专业合作社及其成员合法权益的。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前款所列行为构成犯罪的，由司法机关依法追究刑事责任；给农民专业合作社造成损失的，依法承担民事责任。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农民专业合作社违法开展生产经营活动的，由农业、工商行政管理、质量技术监督等有关部门依法处理。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农民专业合作社管理人员侵占、挪用、私分农民专业合作社及其成员财产的，依法追究其法律责任。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农民专业合作社成员违反农民专业合作社章程及财务管理制度，造成本社或者其他成员财产损失的，应当依法承担民事责任。</w:t>
      </w:r>
    </w:p>
    <w:p>
      <w:pPr>
        <w:pStyle w:val="63"/>
        <w:spacing w:before="218" w:after="218" w:line="412" w:lineRule="exact"/>
      </w:pPr>
      <w:r>
        <w:t xml:space="preserve">第六章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本办法自2010年3月1日起施行。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b/>
          <w:bCs/>
          <w:sz w:val="24"/>
          <w:szCs w:val="24"/>
        </w:rPr>
      </w:pPr>
      <w:r>
        <w:rPr>
          <w:rFonts w:asciiTheme="minorEastAsia" w:hAnsiTheme="minorEastAsia"/>
          <w:sz w:val="24"/>
          <w:szCs w:val="24"/>
        </w:rPr>
        <w:br w:type="page"/>
      </w:r>
    </w:p>
    <w:p>
      <w:pPr>
        <w:widowControl/>
        <w:spacing w:before="156" w:after="156"/>
        <w:ind w:firstLine="240"/>
        <w:rPr>
          <w:rFonts w:ascii="Times New Roman" w:hAnsiTheme="minorEastAsia"/>
          <w:sz w:val="24"/>
          <w:szCs w:val="24"/>
        </w:rPr>
      </w:pPr>
      <w:bookmarkStart w:id="363" w:name="_Toc18942596"/>
    </w:p>
    <w:p>
      <w:pPr>
        <w:pStyle w:val="61"/>
        <w:rPr>
          <w:kern w:val="2"/>
        </w:rPr>
      </w:pPr>
      <w:bookmarkStart w:id="364" w:name="_Toc28250897"/>
      <w:bookmarkStart w:id="365" w:name="_Toc28252169"/>
      <w:r>
        <w:rPr>
          <w:kern w:val="2"/>
        </w:rPr>
        <w:t>农民专业合作社登记管理条例</w:t>
      </w:r>
      <w:bookmarkEnd w:id="364"/>
      <w:bookmarkEnd w:id="365"/>
    </w:p>
    <w:p>
      <w:pPr>
        <w:pStyle w:val="62"/>
        <w:rPr>
          <w:kern w:val="2"/>
        </w:rPr>
      </w:pPr>
      <w:r>
        <w:rPr>
          <w:rFonts w:hint="eastAsia"/>
          <w:kern w:val="2"/>
        </w:rPr>
        <w:t>（</w:t>
      </w:r>
      <w:r>
        <w:rPr>
          <w:kern w:val="2"/>
        </w:rPr>
        <w:t>2007</w:t>
      </w:r>
      <w:r>
        <w:rPr>
          <w:rFonts w:hint="eastAsia"/>
          <w:kern w:val="2"/>
        </w:rPr>
        <w:t>年</w:t>
      </w:r>
      <w:r>
        <w:rPr>
          <w:kern w:val="2"/>
        </w:rPr>
        <w:t>5</w:t>
      </w:r>
      <w:r>
        <w:rPr>
          <w:rFonts w:hint="eastAsia"/>
          <w:kern w:val="2"/>
        </w:rPr>
        <w:t>月</w:t>
      </w:r>
      <w:r>
        <w:rPr>
          <w:kern w:val="2"/>
        </w:rPr>
        <w:t>28</w:t>
      </w:r>
      <w:r>
        <w:rPr>
          <w:rFonts w:hint="eastAsia"/>
          <w:kern w:val="2"/>
        </w:rPr>
        <w:t>日国务院令第498号公布，根据</w:t>
      </w:r>
      <w:r>
        <w:rPr>
          <w:kern w:val="2"/>
        </w:rPr>
        <w:t>2014</w:t>
      </w:r>
      <w:r>
        <w:rPr>
          <w:rFonts w:hint="eastAsia"/>
          <w:kern w:val="2"/>
        </w:rPr>
        <w:t>年</w:t>
      </w:r>
      <w:r>
        <w:rPr>
          <w:kern w:val="2"/>
        </w:rPr>
        <w:t>2</w:t>
      </w:r>
      <w:r>
        <w:rPr>
          <w:rFonts w:hint="eastAsia"/>
          <w:kern w:val="2"/>
        </w:rPr>
        <w:t>月</w:t>
      </w:r>
      <w:r>
        <w:rPr>
          <w:kern w:val="2"/>
        </w:rPr>
        <w:t>19</w:t>
      </w:r>
      <w:r>
        <w:rPr>
          <w:rFonts w:hint="eastAsia"/>
          <w:kern w:val="2"/>
        </w:rPr>
        <w:t>日发布的国务院令第</w:t>
      </w:r>
      <w:r>
        <w:rPr>
          <w:kern w:val="2"/>
        </w:rPr>
        <w:t>648</w:t>
      </w:r>
      <w:r>
        <w:rPr>
          <w:rFonts w:hint="eastAsia"/>
          <w:kern w:val="2"/>
        </w:rPr>
        <w:t>号《国务院关于废止和修改部分行政法规的决定》修订）</w:t>
      </w:r>
    </w:p>
    <w:p>
      <w:pPr>
        <w:pStyle w:val="63"/>
        <w:spacing w:before="218" w:after="218"/>
      </w:pPr>
      <w:r>
        <w:rPr>
          <w:rFonts w:hint="eastAsia"/>
        </w:rPr>
        <w:t>第一章  总  则</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第一条</w:t>
      </w:r>
      <w:r>
        <w:rPr>
          <w:rFonts w:hint="eastAsia" w:asciiTheme="minorEastAsia" w:hAnsiTheme="minorEastAsia" w:eastAsiaTheme="minorEastAsia"/>
          <w:sz w:val="24"/>
          <w:szCs w:val="24"/>
        </w:rPr>
        <w:t xml:space="preserve">  </w:t>
      </w:r>
      <w:r>
        <w:rPr>
          <w:rFonts w:hint="eastAsia"/>
          <w:sz w:val="24"/>
          <w:szCs w:val="24"/>
        </w:rPr>
        <w:t>为了确认农民专业合作社的法人资格，规范农民专业合作社登记行为，依据《中华人民共和国农民专业合作社法》，制定本条例。</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第二条</w:t>
      </w:r>
      <w:r>
        <w:rPr>
          <w:rFonts w:hint="eastAsia" w:asciiTheme="minorEastAsia" w:hAnsiTheme="minorEastAsia" w:eastAsiaTheme="minorEastAsia"/>
          <w:sz w:val="24"/>
          <w:szCs w:val="24"/>
        </w:rPr>
        <w:t xml:space="preserve">  </w:t>
      </w:r>
      <w:r>
        <w:rPr>
          <w:rFonts w:hint="eastAsia"/>
          <w:sz w:val="24"/>
          <w:szCs w:val="24"/>
        </w:rPr>
        <w:t>农民专业合作社的设立、变更和注销，应当依照《中华人民共和国农民专业合作社法》和本条例的规定办理登记。</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申请办理农民专业合作社登记，申请人应当对申请材料的真实性负责。</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第三条</w:t>
      </w:r>
      <w:r>
        <w:rPr>
          <w:rFonts w:hint="eastAsia" w:asciiTheme="minorEastAsia" w:hAnsiTheme="minorEastAsia" w:eastAsiaTheme="minorEastAsia"/>
          <w:sz w:val="24"/>
          <w:szCs w:val="24"/>
        </w:rPr>
        <w:t xml:space="preserve">  </w:t>
      </w:r>
      <w:r>
        <w:rPr>
          <w:rFonts w:hint="eastAsia"/>
          <w:sz w:val="24"/>
          <w:szCs w:val="24"/>
        </w:rPr>
        <w:t>农民专业合作社经登记机关依法登记，领取农民专业合作社法人营业执照（以下简称营业执照），取得法人资格。未经依法登记，不得以农民专业合作社名义从事经营活动。</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第四条</w:t>
      </w:r>
      <w:r>
        <w:rPr>
          <w:rFonts w:hint="eastAsia" w:asciiTheme="minorEastAsia" w:hAnsiTheme="minorEastAsia" w:eastAsiaTheme="minorEastAsia"/>
          <w:sz w:val="24"/>
          <w:szCs w:val="24"/>
        </w:rPr>
        <w:t xml:space="preserve">  </w:t>
      </w:r>
      <w:r>
        <w:rPr>
          <w:rFonts w:hint="eastAsia"/>
          <w:sz w:val="24"/>
          <w:szCs w:val="24"/>
        </w:rPr>
        <w:t>工商行政管理部门是农民专业合作社登记机关。国务院工商行政管理部门负责全国的农民专业合作社登记管理工作。</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农民专业合作社由所在地的县（市）、区工商行政管理部门登记。</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国务院工商行政管理部门可以对规模较大或者跨地区的农民专业合作社的登记管辖做出特别规定。</w:t>
      </w:r>
    </w:p>
    <w:p>
      <w:pPr>
        <w:pStyle w:val="63"/>
        <w:spacing w:before="218" w:after="218"/>
      </w:pPr>
      <w:r>
        <w:rPr>
          <w:rFonts w:hint="eastAsia"/>
        </w:rPr>
        <w:t>第二章  登记事项</w:t>
      </w:r>
    </w:p>
    <w:p>
      <w:pPr>
        <w:pStyle w:val="3"/>
        <w:topLinePunct/>
        <w:spacing w:line="404" w:lineRule="exact"/>
        <w:ind w:firstLine="482"/>
        <w:rPr>
          <w:rFonts w:asciiTheme="minorEastAsia" w:hAnsiTheme="minorEastAsia" w:eastAsiaTheme="minorEastAsia"/>
          <w:sz w:val="24"/>
          <w:szCs w:val="24"/>
        </w:rPr>
      </w:pPr>
      <w:r>
        <w:rPr>
          <w:rFonts w:hint="eastAsia"/>
          <w:b/>
          <w:sz w:val="24"/>
          <w:szCs w:val="24"/>
        </w:rPr>
        <w:t>第五条</w:t>
      </w:r>
      <w:r>
        <w:rPr>
          <w:rFonts w:hint="eastAsia" w:asciiTheme="minorEastAsia" w:hAnsiTheme="minorEastAsia" w:eastAsiaTheme="minorEastAsia"/>
          <w:sz w:val="24"/>
          <w:szCs w:val="24"/>
        </w:rPr>
        <w:t xml:space="preserve">  </w:t>
      </w:r>
      <w:r>
        <w:rPr>
          <w:rFonts w:hint="eastAsia"/>
          <w:sz w:val="24"/>
          <w:szCs w:val="24"/>
        </w:rPr>
        <w:t>农民专业合作社的登记事项包括：</w:t>
      </w:r>
    </w:p>
    <w:p>
      <w:pPr>
        <w:pStyle w:val="3"/>
        <w:topLinePunct/>
        <w:spacing w:line="404" w:lineRule="exact"/>
        <w:ind w:firstLine="480"/>
        <w:rPr>
          <w:rFonts w:asciiTheme="minorEastAsia" w:hAnsiTheme="minorEastAsia" w:eastAsiaTheme="minorEastAsia"/>
          <w:sz w:val="24"/>
          <w:szCs w:val="24"/>
        </w:rPr>
      </w:pPr>
      <w:r>
        <w:rPr>
          <w:rFonts w:hint="eastAsia"/>
          <w:sz w:val="24"/>
          <w:szCs w:val="24"/>
        </w:rPr>
        <w:t>（一）名称；</w:t>
      </w:r>
    </w:p>
    <w:p>
      <w:pPr>
        <w:pStyle w:val="3"/>
        <w:topLinePunct/>
        <w:spacing w:line="404" w:lineRule="exact"/>
        <w:ind w:firstLine="480"/>
        <w:rPr>
          <w:rFonts w:asciiTheme="minorEastAsia" w:hAnsiTheme="minorEastAsia" w:eastAsiaTheme="minorEastAsia"/>
          <w:sz w:val="24"/>
          <w:szCs w:val="24"/>
        </w:rPr>
      </w:pPr>
      <w:r>
        <w:rPr>
          <w:rFonts w:hint="eastAsia"/>
          <w:sz w:val="24"/>
          <w:szCs w:val="24"/>
        </w:rPr>
        <w:t>（二）住所；</w:t>
      </w:r>
    </w:p>
    <w:p>
      <w:pPr>
        <w:pStyle w:val="3"/>
        <w:topLinePunct/>
        <w:spacing w:line="404" w:lineRule="exact"/>
        <w:ind w:firstLine="480"/>
        <w:rPr>
          <w:rFonts w:asciiTheme="minorEastAsia" w:hAnsiTheme="minorEastAsia" w:eastAsiaTheme="minorEastAsia"/>
          <w:sz w:val="24"/>
          <w:szCs w:val="24"/>
        </w:rPr>
      </w:pPr>
      <w:r>
        <w:rPr>
          <w:rFonts w:hint="eastAsia"/>
          <w:sz w:val="24"/>
          <w:szCs w:val="24"/>
        </w:rPr>
        <w:t>（三）成员出资总额；</w:t>
      </w:r>
    </w:p>
    <w:p>
      <w:pPr>
        <w:pStyle w:val="3"/>
        <w:topLinePunct/>
        <w:spacing w:line="404" w:lineRule="exact"/>
        <w:ind w:firstLine="480"/>
        <w:rPr>
          <w:rFonts w:asciiTheme="minorEastAsia" w:hAnsiTheme="minorEastAsia" w:eastAsiaTheme="minorEastAsia"/>
          <w:sz w:val="24"/>
          <w:szCs w:val="24"/>
        </w:rPr>
      </w:pPr>
      <w:r>
        <w:rPr>
          <w:rFonts w:hint="eastAsia"/>
          <w:sz w:val="24"/>
          <w:szCs w:val="24"/>
        </w:rPr>
        <w:t>（四）业务范围；</w:t>
      </w:r>
    </w:p>
    <w:p>
      <w:pPr>
        <w:pStyle w:val="3"/>
        <w:topLinePunct/>
        <w:spacing w:line="404" w:lineRule="exact"/>
        <w:ind w:firstLine="480"/>
        <w:rPr>
          <w:rFonts w:asciiTheme="minorEastAsia" w:hAnsiTheme="minorEastAsia" w:eastAsiaTheme="minorEastAsia"/>
          <w:sz w:val="24"/>
          <w:szCs w:val="24"/>
        </w:rPr>
      </w:pPr>
      <w:r>
        <w:rPr>
          <w:rFonts w:hint="eastAsia"/>
          <w:sz w:val="24"/>
          <w:szCs w:val="24"/>
        </w:rPr>
        <w:t>（五）法定代表人姓名。</w:t>
      </w:r>
    </w:p>
    <w:p>
      <w:pPr>
        <w:pStyle w:val="3"/>
        <w:topLinePunct/>
        <w:spacing w:line="404" w:lineRule="exact"/>
        <w:ind w:firstLine="482"/>
        <w:rPr>
          <w:rFonts w:asciiTheme="minorEastAsia" w:hAnsiTheme="minorEastAsia" w:eastAsiaTheme="minorEastAsia"/>
          <w:sz w:val="24"/>
          <w:szCs w:val="24"/>
        </w:rPr>
      </w:pPr>
      <w:r>
        <w:rPr>
          <w:rFonts w:hint="eastAsia"/>
          <w:b/>
          <w:sz w:val="24"/>
          <w:szCs w:val="24"/>
        </w:rPr>
        <w:t>第六条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农民专业合作社的名称应当含有“专业合作社”字样，并符合国家有关企业名称登记管理的规定。</w:t>
      </w:r>
    </w:p>
    <w:p>
      <w:pPr>
        <w:pStyle w:val="3"/>
        <w:topLinePunct/>
        <w:spacing w:line="404" w:lineRule="exact"/>
        <w:ind w:firstLine="482"/>
        <w:rPr>
          <w:rFonts w:asciiTheme="minorEastAsia" w:hAnsiTheme="minorEastAsia" w:eastAsiaTheme="minorEastAsia"/>
          <w:sz w:val="24"/>
          <w:szCs w:val="24"/>
        </w:rPr>
      </w:pPr>
      <w:r>
        <w:rPr>
          <w:rFonts w:hint="eastAsia"/>
          <w:b/>
          <w:sz w:val="24"/>
          <w:szCs w:val="24"/>
        </w:rPr>
        <w:t>第七条</w:t>
      </w:r>
      <w:r>
        <w:rPr>
          <w:rFonts w:hint="eastAsia" w:asciiTheme="minorEastAsia" w:hAnsiTheme="minorEastAsia" w:eastAsiaTheme="minorEastAsia"/>
          <w:sz w:val="24"/>
          <w:szCs w:val="24"/>
        </w:rPr>
        <w:t xml:space="preserve">  </w:t>
      </w:r>
      <w:r>
        <w:rPr>
          <w:rFonts w:hint="eastAsia"/>
          <w:sz w:val="24"/>
          <w:szCs w:val="24"/>
        </w:rPr>
        <w:t>农民专业合作社的住所是其主要办事机构所在地。</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第八条</w:t>
      </w:r>
      <w:r>
        <w:rPr>
          <w:rFonts w:hint="eastAsia" w:asciiTheme="minorEastAsia" w:hAnsiTheme="minorEastAsia" w:eastAsiaTheme="minorEastAsia"/>
          <w:sz w:val="24"/>
          <w:szCs w:val="24"/>
        </w:rPr>
        <w:t xml:space="preserve">  </w:t>
      </w:r>
      <w:r>
        <w:rPr>
          <w:rFonts w:hint="eastAsia"/>
          <w:sz w:val="24"/>
          <w:szCs w:val="24"/>
        </w:rPr>
        <w:t>农民专业合作社成员可以用货币出资，也可以用实物、知识产权等能够用货币估价并可以依法转让的非货币财产作价出资。成员以非货币财产出资的，由全体成员评估作价。成员不得以劳务、信用、自然人姓名、商誉、特许经营权或者设定担保的财产等作价出资。</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成员的出资额以及出资总额应当以人民币表示。成员出资额之和为成员出资总额。</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第九条</w:t>
      </w:r>
      <w:r>
        <w:rPr>
          <w:rFonts w:hint="eastAsia" w:asciiTheme="minorEastAsia" w:hAnsiTheme="minorEastAsia" w:eastAsiaTheme="minorEastAsia"/>
          <w:sz w:val="24"/>
          <w:szCs w:val="24"/>
        </w:rPr>
        <w:t xml:space="preserve">  </w:t>
      </w:r>
      <w:r>
        <w:rPr>
          <w:rFonts w:hint="eastAsia"/>
          <w:sz w:val="24"/>
          <w:szCs w:val="24"/>
        </w:rPr>
        <w:t>农民专业合作社以其成员为主要服务对象，业务范围可以有农业生产资料购买，农产品销售、加工、运输、贮藏以及与农业生产经营有关的技术、信息等服务。</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农民专业合作社的业务范围由其章程规定。</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第十条</w:t>
      </w:r>
      <w:r>
        <w:rPr>
          <w:rFonts w:hint="eastAsia" w:asciiTheme="minorEastAsia" w:hAnsiTheme="minorEastAsia" w:eastAsiaTheme="minorEastAsia"/>
          <w:sz w:val="24"/>
          <w:szCs w:val="24"/>
        </w:rPr>
        <w:t xml:space="preserve">  </w:t>
      </w:r>
      <w:r>
        <w:rPr>
          <w:rFonts w:hint="eastAsia"/>
          <w:sz w:val="24"/>
          <w:szCs w:val="24"/>
        </w:rPr>
        <w:t>农民专业合作社理事长为农民专业合作社的法定代表人。</w:t>
      </w:r>
    </w:p>
    <w:p>
      <w:pPr>
        <w:pStyle w:val="63"/>
        <w:spacing w:before="218" w:after="218"/>
      </w:pPr>
      <w:r>
        <w:rPr>
          <w:rFonts w:hint="eastAsia"/>
        </w:rPr>
        <w:t>第三章  设立登记</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第十一条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申请设立农民专业合作社，应当由全体设立人指定的代表或者委托的代理人向登记机关提交下列文件：</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（一）设立登记申请书；</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（二）全体设立人签名、盖章的设立大会纪要；</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（三）全体设立人签名、盖章的章程；</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（四）法定代表人、理事的任职文件和身份证明；</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（五）载明成员的姓名或者名称、出资方式、出资额以及成员出资总额，并经全体出资成员签名、盖章予以确认的出资清单；</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（六）载明成员的姓名或者名称、公民身份号码或者登记证书号码和住所的成员名册，以及成员身份证明；</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（七）能够证明农民专业合作社对其住所享有使用权的住所使用证明；</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（八）全体设立人指定代表或者委托代理人的证明。</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农民专业合作社的业务范围有属于法律、行政法规或者国务院规定在登记前须经批准的项目的，应当提交有关批准文件。</w:t>
      </w:r>
    </w:p>
    <w:p>
      <w:pPr>
        <w:pStyle w:val="3"/>
        <w:topLinePunct/>
        <w:spacing w:line="408" w:lineRule="exact"/>
        <w:ind w:firstLine="482"/>
        <w:rPr>
          <w:rFonts w:asciiTheme="minorEastAsia" w:hAnsiTheme="minorEastAsia" w:eastAsiaTheme="minorEastAsia"/>
          <w:sz w:val="24"/>
          <w:szCs w:val="24"/>
        </w:rPr>
      </w:pPr>
      <w:r>
        <w:rPr>
          <w:rFonts w:hint="eastAsia"/>
          <w:b/>
          <w:sz w:val="24"/>
          <w:szCs w:val="24"/>
        </w:rPr>
        <w:t>第十二条</w:t>
      </w:r>
      <w:r>
        <w:rPr>
          <w:rFonts w:hint="eastAsia" w:asciiTheme="minorEastAsia" w:hAnsiTheme="minorEastAsia" w:eastAsiaTheme="minorEastAsia"/>
          <w:sz w:val="24"/>
          <w:szCs w:val="24"/>
        </w:rPr>
        <w:t xml:space="preserve">  </w:t>
      </w:r>
      <w:r>
        <w:rPr>
          <w:rFonts w:hint="eastAsia"/>
          <w:sz w:val="24"/>
          <w:szCs w:val="24"/>
        </w:rPr>
        <w:t>农民专业合作社章程含有违反《中华人民共和国农民专业合作社法》以及有关法律、行政法规规定的内容的，登记机关应当要求农民专业合作社做相应修改。</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第十三条</w:t>
      </w:r>
      <w:r>
        <w:rPr>
          <w:rFonts w:hint="eastAsia" w:asciiTheme="minorEastAsia" w:hAnsiTheme="minorEastAsia" w:eastAsiaTheme="minorEastAsia"/>
          <w:sz w:val="24"/>
          <w:szCs w:val="24"/>
        </w:rPr>
        <w:t xml:space="preserve">  </w:t>
      </w:r>
      <w:r>
        <w:rPr>
          <w:rFonts w:hint="eastAsia"/>
          <w:sz w:val="24"/>
          <w:szCs w:val="24"/>
        </w:rPr>
        <w:t>具有民事行为能力的公民，以及从事与农民专业合作社业务直接有关的生产经营活动的企业、事业单位或者社会团体，能够利用农民专业合作社提供的服务，承认并遵守农民专业合作社章程，履行章程规定的入社手续的，可以成为农民专业合作社的成员。但是，具有管理公共事务职能的单位不得加入农民专业合作社。</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第十四条</w:t>
      </w:r>
      <w:r>
        <w:rPr>
          <w:rFonts w:hint="eastAsia" w:asciiTheme="minorEastAsia" w:hAnsiTheme="minorEastAsia" w:eastAsiaTheme="minorEastAsia"/>
          <w:sz w:val="24"/>
          <w:szCs w:val="24"/>
        </w:rPr>
        <w:t xml:space="preserve">  </w:t>
      </w:r>
      <w:r>
        <w:rPr>
          <w:rFonts w:hint="eastAsia"/>
          <w:sz w:val="24"/>
          <w:szCs w:val="24"/>
        </w:rPr>
        <w:t>农民专业合作社应当有5名以上的成员，其中农民至少应当占成员总数的</w:t>
      </w:r>
      <w:r>
        <w:rPr>
          <w:sz w:val="24"/>
          <w:szCs w:val="24"/>
        </w:rPr>
        <w:t>80%</w:t>
      </w:r>
      <w:r>
        <w:rPr>
          <w:rFonts w:hint="eastAsia"/>
          <w:sz w:val="24"/>
          <w:szCs w:val="24"/>
        </w:rPr>
        <w:t>。</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成员总数20人以下的，可以有</w:t>
      </w:r>
      <w:r>
        <w:rPr>
          <w:sz w:val="24"/>
          <w:szCs w:val="24"/>
        </w:rPr>
        <w:t>1</w:t>
      </w:r>
      <w:r>
        <w:rPr>
          <w:rFonts w:hint="eastAsia"/>
          <w:sz w:val="24"/>
          <w:szCs w:val="24"/>
        </w:rPr>
        <w:t>个企业、事业单位或者社会团体成员；成员总数超过</w:t>
      </w:r>
      <w:r>
        <w:rPr>
          <w:sz w:val="24"/>
          <w:szCs w:val="24"/>
        </w:rPr>
        <w:t>20</w:t>
      </w:r>
      <w:r>
        <w:rPr>
          <w:rFonts w:hint="eastAsia"/>
          <w:sz w:val="24"/>
          <w:szCs w:val="24"/>
        </w:rPr>
        <w:t>人的，企业、事业单位和社会团体成员不得超过成员总数的</w:t>
      </w:r>
      <w:r>
        <w:rPr>
          <w:sz w:val="24"/>
          <w:szCs w:val="24"/>
        </w:rPr>
        <w:t>5%</w:t>
      </w:r>
      <w:r>
        <w:rPr>
          <w:rFonts w:hint="eastAsia"/>
          <w:sz w:val="24"/>
          <w:szCs w:val="24"/>
        </w:rPr>
        <w:t>。</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第十五条</w:t>
      </w:r>
      <w:r>
        <w:rPr>
          <w:rFonts w:hint="eastAsia" w:asciiTheme="minorEastAsia" w:hAnsiTheme="minorEastAsia" w:eastAsiaTheme="minorEastAsia"/>
          <w:sz w:val="24"/>
          <w:szCs w:val="24"/>
        </w:rPr>
        <w:t xml:space="preserve">  </w:t>
      </w:r>
      <w:r>
        <w:rPr>
          <w:rFonts w:hint="eastAsia"/>
          <w:sz w:val="24"/>
          <w:szCs w:val="24"/>
        </w:rPr>
        <w:t>农民专业合作社的成员为农民的，成员身份证明为农业人口户口簿；无农业人口户口簿的，成员身份证明为居民身份证和土地承包经营权证或者村民委员会（居民委员会）出具的身份证明。</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农民专业合作社的成员不属于农民的，成员身份证明为居民身份证。</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农民专业合作社的成员为企业、事业单位或者社会团体的，成员身份证明为企业法人营业执照或者其他登记证书。</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第十六条</w:t>
      </w:r>
      <w:r>
        <w:rPr>
          <w:rFonts w:hint="eastAsia" w:asciiTheme="minorEastAsia" w:hAnsiTheme="minorEastAsia" w:eastAsiaTheme="minorEastAsia"/>
          <w:sz w:val="24"/>
          <w:szCs w:val="24"/>
        </w:rPr>
        <w:t xml:space="preserve">  </w:t>
      </w:r>
      <w:r>
        <w:rPr>
          <w:rFonts w:hint="eastAsia"/>
          <w:sz w:val="24"/>
          <w:szCs w:val="24"/>
        </w:rPr>
        <w:t>申请人提交的登记申请材料齐全、符合法定形式，登记机关能够当场登记的，应予当场登记，发给营业执照。</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除前款规定情形外，登记机关应当自受理申请之日起20日内，做出是否登记的决定。予以登记的，发给营业执照；不予登记的，应当给予书面答复，并说明理由。</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营业执照签发日期为农民专业合作社成立日期。</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第十七条</w:t>
      </w:r>
      <w:r>
        <w:rPr>
          <w:rFonts w:hint="eastAsia" w:asciiTheme="minorEastAsia" w:hAnsiTheme="minorEastAsia" w:eastAsiaTheme="minorEastAsia"/>
          <w:sz w:val="24"/>
          <w:szCs w:val="24"/>
        </w:rPr>
        <w:t xml:space="preserve">  </w:t>
      </w:r>
      <w:r>
        <w:rPr>
          <w:rFonts w:hint="eastAsia"/>
          <w:sz w:val="24"/>
          <w:szCs w:val="24"/>
        </w:rPr>
        <w:t>营业执照分为正本和副本，正本和副本具有同等法律效力。</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营业执照正本应当置于农民专业合作社住所的醒目位置。</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国家推行电子营业执照。电子营业执照与纸质营业执照具有同等法律效力。</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第十八条</w:t>
      </w:r>
      <w:r>
        <w:rPr>
          <w:rFonts w:hint="eastAsia" w:asciiTheme="minorEastAsia" w:hAnsiTheme="minorEastAsia" w:eastAsiaTheme="minorEastAsia"/>
          <w:sz w:val="24"/>
          <w:szCs w:val="24"/>
        </w:rPr>
        <w:t xml:space="preserve">  </w:t>
      </w:r>
      <w:r>
        <w:rPr>
          <w:rFonts w:hint="eastAsia"/>
          <w:sz w:val="24"/>
          <w:szCs w:val="24"/>
        </w:rPr>
        <w:t>营业执照遗失或者毁坏的，农民专业合作社应当申请补领。</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任何单位和个人不得伪造、变造、出租、出借、转让营业执照。</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第十九条</w:t>
      </w:r>
      <w:r>
        <w:rPr>
          <w:rFonts w:hint="eastAsia" w:asciiTheme="minorEastAsia" w:hAnsiTheme="minorEastAsia" w:eastAsiaTheme="minorEastAsia"/>
          <w:sz w:val="24"/>
          <w:szCs w:val="24"/>
        </w:rPr>
        <w:t xml:space="preserve">  </w:t>
      </w:r>
      <w:r>
        <w:rPr>
          <w:rFonts w:hint="eastAsia"/>
          <w:sz w:val="24"/>
          <w:szCs w:val="24"/>
        </w:rPr>
        <w:t>农民专业合作社的登记文书格式，营业执照的正本、副本样式以及电子营业执照标准，由国务院工商行政管理部门制定。</w:t>
      </w:r>
    </w:p>
    <w:p>
      <w:pPr>
        <w:pStyle w:val="63"/>
        <w:spacing w:before="218" w:after="218"/>
      </w:pPr>
      <w:r>
        <w:rPr>
          <w:rFonts w:hint="eastAsia"/>
        </w:rPr>
        <w:t>第四章  变更登记和注销登记</w:t>
      </w:r>
    </w:p>
    <w:p>
      <w:pPr>
        <w:pStyle w:val="3"/>
        <w:topLinePunct/>
        <w:spacing w:line="406" w:lineRule="exact"/>
        <w:ind w:firstLine="482"/>
        <w:rPr>
          <w:rFonts w:asciiTheme="minorEastAsia" w:hAnsiTheme="minorEastAsia" w:eastAsiaTheme="minorEastAsia"/>
          <w:sz w:val="24"/>
          <w:szCs w:val="24"/>
        </w:rPr>
      </w:pPr>
      <w:r>
        <w:rPr>
          <w:rFonts w:hint="eastAsia"/>
          <w:b/>
          <w:sz w:val="24"/>
          <w:szCs w:val="24"/>
        </w:rPr>
        <w:t>第二十条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农民专业合作社的名称、住所、成员出资总额、业务范围、法定代表人姓名发生变更的，应当自做出变更决定之日起30日内向原登记机关申请变更登记，并提交下列文件：</w:t>
      </w:r>
    </w:p>
    <w:p>
      <w:pPr>
        <w:pStyle w:val="3"/>
        <w:topLinePunct/>
        <w:spacing w:line="406" w:lineRule="exact"/>
        <w:ind w:firstLine="480"/>
        <w:rPr>
          <w:rFonts w:asciiTheme="minorEastAsia" w:hAnsiTheme="minorEastAsia" w:eastAsiaTheme="minorEastAsia"/>
          <w:sz w:val="24"/>
          <w:szCs w:val="24"/>
        </w:rPr>
      </w:pPr>
      <w:r>
        <w:rPr>
          <w:rFonts w:hint="eastAsia"/>
          <w:sz w:val="24"/>
          <w:szCs w:val="24"/>
        </w:rPr>
        <w:t>（一）法定代表人签署的变更登记申请书；</w:t>
      </w:r>
    </w:p>
    <w:p>
      <w:pPr>
        <w:pStyle w:val="3"/>
        <w:topLinePunct/>
        <w:spacing w:line="406" w:lineRule="exact"/>
        <w:ind w:firstLine="480"/>
        <w:rPr>
          <w:rFonts w:asciiTheme="minorEastAsia" w:hAnsiTheme="minorEastAsia" w:eastAsiaTheme="minorEastAsia"/>
          <w:sz w:val="24"/>
          <w:szCs w:val="24"/>
        </w:rPr>
      </w:pPr>
      <w:r>
        <w:rPr>
          <w:rFonts w:hint="eastAsia"/>
          <w:sz w:val="24"/>
          <w:szCs w:val="24"/>
        </w:rPr>
        <w:t>（二）成员大会或者成员代表大会做出的变更决议；</w:t>
      </w:r>
    </w:p>
    <w:p>
      <w:pPr>
        <w:pStyle w:val="3"/>
        <w:topLinePunct/>
        <w:spacing w:line="406" w:lineRule="exact"/>
        <w:ind w:firstLine="480"/>
        <w:rPr>
          <w:rFonts w:asciiTheme="minorEastAsia" w:hAnsiTheme="minorEastAsia" w:eastAsiaTheme="minorEastAsia"/>
          <w:sz w:val="24"/>
          <w:szCs w:val="24"/>
        </w:rPr>
      </w:pPr>
      <w:r>
        <w:rPr>
          <w:rFonts w:hint="eastAsia"/>
          <w:sz w:val="24"/>
          <w:szCs w:val="24"/>
        </w:rPr>
        <w:t>（三）法定代表人签署的修改后的章程或者章程修正案；</w:t>
      </w:r>
    </w:p>
    <w:p>
      <w:pPr>
        <w:pStyle w:val="3"/>
        <w:topLinePunct/>
        <w:spacing w:line="406" w:lineRule="exact"/>
        <w:ind w:firstLine="480"/>
        <w:rPr>
          <w:rFonts w:asciiTheme="minorEastAsia" w:hAnsiTheme="minorEastAsia" w:eastAsiaTheme="minorEastAsia"/>
          <w:sz w:val="24"/>
          <w:szCs w:val="24"/>
        </w:rPr>
      </w:pPr>
      <w:r>
        <w:rPr>
          <w:rFonts w:hint="eastAsia"/>
          <w:sz w:val="24"/>
          <w:szCs w:val="24"/>
        </w:rPr>
        <w:t>（四）法定代表人指定代表或者委托代理人的证明。</w:t>
      </w:r>
    </w:p>
    <w:p>
      <w:pPr>
        <w:pStyle w:val="3"/>
        <w:topLinePunct/>
        <w:spacing w:line="406" w:lineRule="exact"/>
        <w:ind w:firstLine="482"/>
        <w:rPr>
          <w:rFonts w:asciiTheme="minorEastAsia" w:hAnsiTheme="minorEastAsia" w:eastAsiaTheme="minorEastAsia"/>
          <w:sz w:val="24"/>
          <w:szCs w:val="24"/>
        </w:rPr>
      </w:pPr>
      <w:r>
        <w:rPr>
          <w:rFonts w:hint="eastAsia"/>
          <w:b/>
          <w:sz w:val="24"/>
          <w:szCs w:val="24"/>
        </w:rPr>
        <w:t>第二十一条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农民专业合作社变更业务范围涉及法律、行政法规或者国务院规定须经批准的项目的，应当自批准之日起30日内申请变更登记，并提交有关批准文件。</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农民专业合作社的业务范围属于法律、行政法规或者国务院规定在登记前须经批准的项目有下列情形之一的，应当自事由发生之日起30日内申请变更登记或者依照本条例的规定办理注销登记：</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（一）许可证或者其他批准文件被吊销、撤销的；</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（二）许可证或者其他批准文件有效期届满的。</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第二十二条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农民专业合作社成员发生变更的，应当自本财务年度终了之日起30日内，将法定代表人签署的修改后的成员名册报送登记机关备案。其中，新成员入社的还应当提交新成员的身份证明。</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农民专业合作社因成员发生变更，使农民成员低于法定比例的，应当自事由发生之日起6个月内采取吸收新的农民成员入社等方式使农民成员达到法定比例。</w:t>
      </w:r>
    </w:p>
    <w:p>
      <w:pPr>
        <w:pStyle w:val="3"/>
        <w:topLinePunct/>
        <w:spacing w:line="408" w:lineRule="exact"/>
        <w:ind w:firstLine="482"/>
        <w:rPr>
          <w:rFonts w:asciiTheme="minorEastAsia" w:hAnsiTheme="minorEastAsia" w:eastAsiaTheme="minorEastAsia"/>
          <w:sz w:val="24"/>
          <w:szCs w:val="24"/>
        </w:rPr>
      </w:pPr>
      <w:r>
        <w:rPr>
          <w:rFonts w:hint="eastAsia"/>
          <w:b/>
          <w:sz w:val="24"/>
          <w:szCs w:val="24"/>
        </w:rPr>
        <w:t>第二十三条</w:t>
      </w:r>
      <w:r>
        <w:rPr>
          <w:rFonts w:hint="eastAsia" w:asciiTheme="minorEastAsia" w:hAnsiTheme="minorEastAsia" w:eastAsiaTheme="minorEastAsia"/>
          <w:sz w:val="24"/>
          <w:szCs w:val="24"/>
        </w:rPr>
        <w:t xml:space="preserve">  </w:t>
      </w:r>
      <w:r>
        <w:rPr>
          <w:rFonts w:hint="eastAsia"/>
          <w:sz w:val="24"/>
          <w:szCs w:val="24"/>
        </w:rPr>
        <w:t>农民专业合作社修改章程未涉及登记事项的，应当自做出修改决定之日起30日内，将法定代表人签署的修改后的章程或者章程修正案报送登记机关备案。</w:t>
      </w:r>
    </w:p>
    <w:p>
      <w:pPr>
        <w:pStyle w:val="3"/>
        <w:topLinePunct/>
        <w:spacing w:line="408" w:lineRule="exact"/>
        <w:ind w:firstLine="482"/>
        <w:rPr>
          <w:rFonts w:asciiTheme="minorEastAsia" w:hAnsiTheme="minorEastAsia" w:eastAsiaTheme="minorEastAsia"/>
          <w:sz w:val="24"/>
          <w:szCs w:val="24"/>
        </w:rPr>
      </w:pPr>
      <w:r>
        <w:rPr>
          <w:rFonts w:hint="eastAsia"/>
          <w:b/>
          <w:sz w:val="24"/>
          <w:szCs w:val="24"/>
        </w:rPr>
        <w:t>第二十四条</w:t>
      </w:r>
      <w:r>
        <w:rPr>
          <w:rFonts w:hint="eastAsia" w:asciiTheme="minorEastAsia" w:hAnsiTheme="minorEastAsia" w:eastAsiaTheme="minorEastAsia"/>
          <w:sz w:val="24"/>
          <w:szCs w:val="24"/>
        </w:rPr>
        <w:t xml:space="preserve">  </w:t>
      </w:r>
      <w:r>
        <w:rPr>
          <w:rFonts w:hint="eastAsia"/>
          <w:sz w:val="24"/>
          <w:szCs w:val="24"/>
        </w:rPr>
        <w:t>变更登记事项涉及营业执照变更的，登记机关应当换发营业执照。</w:t>
      </w:r>
    </w:p>
    <w:p>
      <w:pPr>
        <w:pStyle w:val="3"/>
        <w:topLinePunct/>
        <w:spacing w:line="408" w:lineRule="exact"/>
        <w:ind w:firstLine="482"/>
        <w:rPr>
          <w:rFonts w:asciiTheme="minorEastAsia" w:hAnsiTheme="minorEastAsia" w:eastAsiaTheme="minorEastAsia"/>
          <w:sz w:val="24"/>
          <w:szCs w:val="24"/>
        </w:rPr>
      </w:pPr>
      <w:r>
        <w:rPr>
          <w:rFonts w:hint="eastAsia"/>
          <w:b/>
          <w:sz w:val="24"/>
          <w:szCs w:val="24"/>
        </w:rPr>
        <w:t>第二十五条</w:t>
      </w:r>
      <w:r>
        <w:rPr>
          <w:rFonts w:hint="eastAsia" w:asciiTheme="minorEastAsia" w:hAnsiTheme="minorEastAsia" w:eastAsiaTheme="minorEastAsia"/>
          <w:sz w:val="24"/>
          <w:szCs w:val="24"/>
        </w:rPr>
        <w:t xml:space="preserve">  </w:t>
      </w:r>
      <w:r>
        <w:rPr>
          <w:rFonts w:hint="eastAsia"/>
          <w:sz w:val="24"/>
          <w:szCs w:val="24"/>
        </w:rPr>
        <w:t>成立清算组的农民专业合作社应当自清算结束之日起30日内，由清算组全体成员指定的代表或者委托的代理人向原登记机关申请注销登记，并提交下列文件：</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（一）清算组负责人签署的注销登记申请书；</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（二）农民专业合作社依法做出的解散决议，农民专业合作社依法被吊销营业执照或者被撤销的文件，人民法院的破产裁定、解散裁判文书；</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（三）成员大会、成员代表大会或者人民法院确认的清算报告；</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（四）营业执照；</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（五）清算组全体成员指定代表或者委托代理人的证明。</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因合并、分立而解散的农民专业合作社，应当自做出解散决议之日起30日内，向原登记机关申请注销登记，并提交法定代表人签署的注销登记申请书、成员大会或者成员代表大会做出的解散决议以及债务清偿或者债务担保情况的说明、营业执照和法定代表人指定代表或者委托代理人的证明。</w:t>
      </w:r>
    </w:p>
    <w:p>
      <w:pPr>
        <w:pStyle w:val="3"/>
        <w:topLinePunct/>
        <w:spacing w:line="408" w:lineRule="exact"/>
        <w:ind w:firstLine="480"/>
        <w:rPr>
          <w:rFonts w:asciiTheme="minorEastAsia" w:hAnsiTheme="minorEastAsia" w:eastAsiaTheme="minorEastAsia"/>
          <w:sz w:val="24"/>
          <w:szCs w:val="24"/>
        </w:rPr>
      </w:pPr>
      <w:r>
        <w:rPr>
          <w:rFonts w:hint="eastAsia"/>
          <w:sz w:val="24"/>
          <w:szCs w:val="24"/>
        </w:rPr>
        <w:t>经登记机关注销登记，农民专业合作社终止。</w:t>
      </w:r>
    </w:p>
    <w:p>
      <w:pPr>
        <w:pStyle w:val="63"/>
        <w:spacing w:before="218" w:after="218"/>
      </w:pPr>
      <w:r>
        <w:rPr>
          <w:rFonts w:hint="eastAsia"/>
        </w:rPr>
        <w:t>第五章  法律责任</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第二十六条</w:t>
      </w:r>
      <w:r>
        <w:rPr>
          <w:rFonts w:hint="eastAsia" w:asciiTheme="minorEastAsia" w:hAnsiTheme="minorEastAsia" w:eastAsiaTheme="minorEastAsia"/>
          <w:sz w:val="24"/>
          <w:szCs w:val="24"/>
        </w:rPr>
        <w:t xml:space="preserve">  </w:t>
      </w:r>
      <w:r>
        <w:rPr>
          <w:rFonts w:hint="eastAsia"/>
          <w:sz w:val="24"/>
          <w:szCs w:val="24"/>
        </w:rPr>
        <w:t>提交虚假材料或者采取其他欺诈手段取得农民专业合作社登记的，由登记机关责令改正；情节严重的，撤销农民专业合作社登记。</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第二十七条</w:t>
      </w:r>
      <w:r>
        <w:rPr>
          <w:rFonts w:hint="eastAsia" w:asciiTheme="minorEastAsia" w:hAnsiTheme="minorEastAsia" w:eastAsiaTheme="minorEastAsia"/>
          <w:b/>
          <w:sz w:val="24"/>
          <w:szCs w:val="24"/>
        </w:rPr>
        <w:t xml:space="preserve">  </w:t>
      </w:r>
      <w:r>
        <w:rPr>
          <w:rFonts w:hint="eastAsia"/>
          <w:sz w:val="24"/>
          <w:szCs w:val="24"/>
        </w:rPr>
        <w:t>农民专业合作社有下列行为之一的，由登记机关责令改正；情节严重的，吊销营业执照：</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（一）登记事项发生变更，未申请变更登记的；</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（二）因成员发生变更，使农民成员低于法定比例满6个月的；</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（三）从事业务范围以外的经营活动的；</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（四）变造、出租、出借、转让营业执照的。</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第二十八条</w:t>
      </w:r>
      <w:r>
        <w:rPr>
          <w:rFonts w:hint="eastAsia" w:asciiTheme="minorEastAsia" w:hAnsiTheme="minorEastAsia" w:eastAsiaTheme="minorEastAsia"/>
          <w:sz w:val="24"/>
          <w:szCs w:val="24"/>
        </w:rPr>
        <w:t xml:space="preserve">  </w:t>
      </w:r>
      <w:r>
        <w:rPr>
          <w:rFonts w:hint="eastAsia"/>
          <w:sz w:val="24"/>
          <w:szCs w:val="24"/>
        </w:rPr>
        <w:t>农民专业合作社有下列行为之一的，由登记机关责令改正：</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（一）未依法将修改后的成员名册报送登记机关备案的；</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（二）未依法将修改后的章程或者章程修正案报送登记机关备案的。</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第二十九条</w:t>
      </w:r>
      <w:r>
        <w:rPr>
          <w:rFonts w:hint="eastAsia" w:asciiTheme="minorEastAsia" w:hAnsiTheme="minorEastAsia" w:eastAsiaTheme="minorEastAsia"/>
          <w:sz w:val="24"/>
          <w:szCs w:val="24"/>
        </w:rPr>
        <w:t xml:space="preserve"> </w:t>
      </w:r>
      <w:r>
        <w:rPr>
          <w:rFonts w:hint="eastAsia"/>
          <w:sz w:val="24"/>
          <w:szCs w:val="24"/>
        </w:rPr>
        <w:t>登记机关对不符合规定条件的农民专业合作社登记申请予以登记，或者对符合规定条件的登记申请不予登记的，对直接负责的主管人员和其他直接责任人员，依法给予处分。</w:t>
      </w:r>
    </w:p>
    <w:p>
      <w:pPr>
        <w:pStyle w:val="63"/>
        <w:spacing w:before="218" w:after="218"/>
      </w:pPr>
      <w:r>
        <w:rPr>
          <w:rFonts w:hint="eastAsia"/>
        </w:rPr>
        <w:t>第六章  附  则</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第三十条</w:t>
      </w:r>
      <w:r>
        <w:rPr>
          <w:rFonts w:hint="eastAsia" w:asciiTheme="minorEastAsia" w:hAnsiTheme="minorEastAsia" w:eastAsiaTheme="minorEastAsia"/>
          <w:sz w:val="24"/>
          <w:szCs w:val="24"/>
        </w:rPr>
        <w:t xml:space="preserve">  </w:t>
      </w:r>
      <w:r>
        <w:rPr>
          <w:rFonts w:hint="eastAsia"/>
          <w:sz w:val="24"/>
          <w:szCs w:val="24"/>
        </w:rPr>
        <w:t>农民专业合作社可以设立分支机构，并比照本条例有关农民专业合作社登记的规定，向分支机构所在地登记机关申请办理登记。农民专业合作社分支机构不具有法人资格。</w:t>
      </w:r>
    </w:p>
    <w:p>
      <w:pPr>
        <w:pStyle w:val="3"/>
        <w:topLinePunct/>
        <w:spacing w:line="416" w:lineRule="exact"/>
        <w:ind w:firstLine="480"/>
        <w:rPr>
          <w:rFonts w:asciiTheme="minorEastAsia" w:hAnsiTheme="minorEastAsia" w:eastAsiaTheme="minorEastAsia"/>
          <w:sz w:val="24"/>
          <w:szCs w:val="24"/>
        </w:rPr>
      </w:pPr>
      <w:r>
        <w:rPr>
          <w:rFonts w:hint="eastAsia"/>
          <w:sz w:val="24"/>
          <w:szCs w:val="24"/>
        </w:rPr>
        <w:t>农民专业合作社分支机构有违法行为的，适用本条例的规定进行处罚。</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第三十一条</w:t>
      </w:r>
      <w:r>
        <w:rPr>
          <w:rFonts w:hint="eastAsia" w:asciiTheme="minorEastAsia" w:hAnsiTheme="minorEastAsia" w:eastAsiaTheme="minorEastAsia"/>
          <w:sz w:val="24"/>
          <w:szCs w:val="24"/>
        </w:rPr>
        <w:t xml:space="preserve">  </w:t>
      </w:r>
      <w:r>
        <w:rPr>
          <w:rFonts w:hint="eastAsia"/>
          <w:sz w:val="24"/>
          <w:szCs w:val="24"/>
        </w:rPr>
        <w:t>登记机关办理农民专业合作社登记不得收费。</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第三十二条</w:t>
      </w:r>
      <w:r>
        <w:rPr>
          <w:rFonts w:hint="eastAsia" w:asciiTheme="minorEastAsia" w:hAnsiTheme="minorEastAsia" w:eastAsiaTheme="minorEastAsia"/>
          <w:sz w:val="24"/>
          <w:szCs w:val="24"/>
        </w:rPr>
        <w:t xml:space="preserve">  </w:t>
      </w:r>
      <w:r>
        <w:rPr>
          <w:rFonts w:hint="eastAsia"/>
          <w:sz w:val="24"/>
          <w:szCs w:val="24"/>
        </w:rPr>
        <w:t>建立农民专业合作社年度报告制度。农民专业合作社年度报告办法由国务院工商行政管理部门制定。</w:t>
      </w:r>
    </w:p>
    <w:p>
      <w:pPr>
        <w:pStyle w:val="3"/>
        <w:topLinePunct/>
        <w:spacing w:line="416" w:lineRule="exact"/>
        <w:ind w:firstLine="482"/>
        <w:rPr>
          <w:rFonts w:asciiTheme="minorEastAsia" w:hAnsiTheme="minorEastAsia" w:eastAsiaTheme="minorEastAsia"/>
          <w:sz w:val="24"/>
          <w:szCs w:val="24"/>
        </w:rPr>
      </w:pPr>
      <w:r>
        <w:rPr>
          <w:rFonts w:hint="eastAsia"/>
          <w:b/>
          <w:sz w:val="24"/>
          <w:szCs w:val="24"/>
        </w:rPr>
        <w:t>第三十三条</w:t>
      </w:r>
      <w:r>
        <w:rPr>
          <w:rFonts w:hint="eastAsia" w:asciiTheme="minorEastAsia" w:hAnsiTheme="minorEastAsia" w:eastAsiaTheme="minorEastAsia"/>
          <w:sz w:val="24"/>
          <w:szCs w:val="24"/>
        </w:rPr>
        <w:t xml:space="preserve">  </w:t>
      </w:r>
      <w:r>
        <w:rPr>
          <w:rFonts w:hint="eastAsia"/>
          <w:sz w:val="24"/>
          <w:szCs w:val="24"/>
        </w:rPr>
        <w:t>本条例施行前设立的农民专业合作社，应当自本条例施行之日起1年内依法办理登记。</w:t>
      </w:r>
    </w:p>
    <w:p>
      <w:pPr>
        <w:pStyle w:val="3"/>
        <w:topLinePunct/>
        <w:spacing w:line="416" w:lineRule="exact"/>
        <w:ind w:firstLine="482"/>
      </w:pPr>
      <w:r>
        <w:rPr>
          <w:rFonts w:hint="eastAsia"/>
          <w:b/>
          <w:sz w:val="24"/>
          <w:szCs w:val="24"/>
        </w:rPr>
        <w:t>第三十四条</w:t>
      </w:r>
      <w:r>
        <w:rPr>
          <w:rFonts w:hint="eastAsia" w:asciiTheme="minorEastAsia" w:hAnsiTheme="minorEastAsia" w:eastAsiaTheme="minorEastAsia"/>
          <w:sz w:val="24"/>
          <w:szCs w:val="24"/>
        </w:rPr>
        <w:t xml:space="preserve">  </w:t>
      </w:r>
      <w:r>
        <w:rPr>
          <w:rFonts w:hint="eastAsia"/>
          <w:sz w:val="24"/>
          <w:szCs w:val="24"/>
        </w:rPr>
        <w:t>本条例自2007年</w:t>
      </w:r>
      <w:r>
        <w:rPr>
          <w:sz w:val="24"/>
          <w:szCs w:val="24"/>
        </w:rPr>
        <w:t>7</w:t>
      </w:r>
      <w:r>
        <w:rPr>
          <w:rFonts w:hint="eastAsia"/>
          <w:sz w:val="24"/>
          <w:szCs w:val="24"/>
        </w:rPr>
        <w:t>月</w:t>
      </w:r>
      <w:r>
        <w:rPr>
          <w:sz w:val="24"/>
          <w:szCs w:val="24"/>
        </w:rPr>
        <w:t>1</w:t>
      </w:r>
      <w:r>
        <w:rPr>
          <w:rFonts w:hint="eastAsia"/>
          <w:sz w:val="24"/>
          <w:szCs w:val="24"/>
        </w:rPr>
        <w:t>日起施行。</w:t>
      </w:r>
    </w:p>
    <w:p>
      <w:pPr>
        <w:widowControl/>
        <w:spacing w:before="156" w:after="156"/>
        <w:ind w:firstLine="240"/>
        <w:rPr>
          <w:rFonts w:ascii="Times New Roman" w:hAnsiTheme="minorEastAsia"/>
          <w:sz w:val="24"/>
          <w:szCs w:val="24"/>
        </w:rPr>
      </w:pPr>
    </w:p>
    <w:p>
      <w:pPr>
        <w:widowControl/>
        <w:spacing w:before="156" w:after="156"/>
        <w:ind w:firstLine="240"/>
        <w:rPr>
          <w:rFonts w:ascii="Times New Roman" w:hAnsiTheme="minorEastAsia"/>
          <w:sz w:val="24"/>
          <w:szCs w:val="24"/>
        </w:rPr>
      </w:pPr>
    </w:p>
    <w:p>
      <w:pPr>
        <w:widowControl/>
        <w:spacing w:before="156" w:after="156"/>
        <w:ind w:firstLine="240"/>
        <w:rPr>
          <w:rFonts w:ascii="Times New Roman" w:cs="Times New Roman" w:hAnsiTheme="minorEastAsia"/>
          <w:b/>
          <w:bCs/>
          <w:sz w:val="24"/>
          <w:szCs w:val="24"/>
        </w:rPr>
      </w:pPr>
      <w:r>
        <w:rPr>
          <w:rFonts w:ascii="Times New Roman" w:hAnsiTheme="minorEastAsia"/>
          <w:sz w:val="24"/>
          <w:szCs w:val="24"/>
        </w:rPr>
        <w:br w:type="page"/>
      </w:r>
    </w:p>
    <w:p>
      <w:pPr>
        <w:pStyle w:val="4"/>
        <w:keepNext w:val="0"/>
        <w:keepLines w:val="0"/>
        <w:topLinePunct/>
        <w:spacing w:line="416" w:lineRule="exact"/>
        <w:ind w:firstLine="482" w:firstLineChars="200"/>
        <w:rPr>
          <w:rFonts w:ascii="Times New Roman" w:hAnsiTheme="minorEastAsia" w:eastAsiaTheme="minorEastAsia"/>
          <w:sz w:val="24"/>
          <w:szCs w:val="24"/>
        </w:rPr>
      </w:pPr>
    </w:p>
    <w:p>
      <w:pPr>
        <w:pStyle w:val="61"/>
        <w:rPr>
          <w:rFonts w:hAnsi="Times New Roman"/>
        </w:rPr>
      </w:pPr>
      <w:bookmarkStart w:id="366" w:name="_Toc25653683"/>
      <w:bookmarkStart w:id="367" w:name="_Toc28252170"/>
      <w:bookmarkStart w:id="368" w:name="_Toc28156970"/>
      <w:bookmarkStart w:id="369" w:name="_Toc25648188"/>
      <w:bookmarkStart w:id="370" w:name="_Toc26347948"/>
      <w:bookmarkStart w:id="371" w:name="_Toc28250898"/>
      <w:r>
        <w:t>中华人民共和国乡镇企业法</w:t>
      </w:r>
      <w:bookmarkEnd w:id="363"/>
      <w:bookmarkEnd w:id="366"/>
      <w:bookmarkEnd w:id="367"/>
      <w:bookmarkEnd w:id="368"/>
      <w:bookmarkEnd w:id="369"/>
      <w:bookmarkEnd w:id="370"/>
      <w:bookmarkEnd w:id="371"/>
    </w:p>
    <w:p>
      <w:pPr>
        <w:pStyle w:val="62"/>
        <w:rPr>
          <w:rFonts w:hAnsi="Times New Roman"/>
          <w:shd w:val="clear" w:color="auto" w:fill="FFFFFF"/>
        </w:rPr>
      </w:pPr>
      <w:r>
        <w:rPr>
          <w:shd w:val="clear" w:color="auto" w:fill="FFFFFF"/>
        </w:rPr>
        <w:t>（</w:t>
      </w:r>
      <w:r>
        <w:rPr>
          <w:rFonts w:hAnsi="Times New Roman"/>
          <w:shd w:val="clear" w:color="auto" w:fill="FFFFFF"/>
        </w:rPr>
        <w:t>1996</w:t>
      </w:r>
      <w:r>
        <w:rPr>
          <w:shd w:val="clear" w:color="auto" w:fill="FFFFFF"/>
        </w:rPr>
        <w:t>年</w:t>
      </w:r>
      <w:r>
        <w:rPr>
          <w:rFonts w:hAnsi="Times New Roman"/>
          <w:shd w:val="clear" w:color="auto" w:fill="FFFFFF"/>
        </w:rPr>
        <w:t>10</w:t>
      </w:r>
      <w:r>
        <w:rPr>
          <w:shd w:val="clear" w:color="auto" w:fill="FFFFFF"/>
        </w:rPr>
        <w:t>月</w:t>
      </w:r>
      <w:r>
        <w:rPr>
          <w:rFonts w:hAnsi="Times New Roman"/>
          <w:shd w:val="clear" w:color="auto" w:fill="FFFFFF"/>
        </w:rPr>
        <w:t>29</w:t>
      </w:r>
      <w:r>
        <w:rPr>
          <w:shd w:val="clear" w:color="auto" w:fill="FFFFFF"/>
        </w:rPr>
        <w:t>日第八届全国人民代表大会常务委员会第二十二次会议通过）</w:t>
      </w:r>
    </w:p>
    <w:p>
      <w:pPr>
        <w:pStyle w:val="3"/>
        <w:topLinePunct/>
        <w:spacing w:line="412" w:lineRule="exact"/>
        <w:ind w:firstLine="482"/>
        <w:rPr>
          <w:rFonts w:ascii="Times New Roman" w:hAnsiTheme="minorEastAsia" w:eastAsiaTheme="minorEastAsia"/>
          <w:b/>
          <w:kern w:val="0"/>
          <w:sz w:val="24"/>
          <w:szCs w:val="24"/>
        </w:rPr>
      </w:pPr>
    </w:p>
    <w:p>
      <w:pPr>
        <w:pStyle w:val="3"/>
        <w:topLinePunct/>
        <w:spacing w:line="412" w:lineRule="exact"/>
        <w:ind w:firstLine="482"/>
        <w:rPr>
          <w:kern w:val="0"/>
          <w:sz w:val="24"/>
          <w:szCs w:val="24"/>
        </w:rPr>
      </w:pPr>
      <w:r>
        <w:rPr>
          <w:b/>
          <w:kern w:val="0"/>
          <w:sz w:val="24"/>
          <w:szCs w:val="24"/>
        </w:rPr>
        <w:t>第一条</w:t>
      </w:r>
      <w:r>
        <w:rPr>
          <w:rFonts w:hint="eastAsia" w:asciiTheme="minorEastAsia" w:hAnsiTheme="minorEastAsia" w:eastAsiaTheme="minorEastAsia"/>
          <w:b/>
          <w:kern w:val="0"/>
          <w:sz w:val="24"/>
          <w:szCs w:val="24"/>
        </w:rPr>
        <w:t xml:space="preserve">  </w:t>
      </w:r>
      <w:r>
        <w:rPr>
          <w:kern w:val="0"/>
          <w:sz w:val="24"/>
          <w:szCs w:val="24"/>
        </w:rPr>
        <w:t>为了扶持和引导乡镇企业持续健康发展，保护乡镇企业的合法权益，规范乡镇企业的行为，繁荣农村经济，促进社会主义现代化建设，制定本法。</w:t>
      </w:r>
    </w:p>
    <w:p>
      <w:pPr>
        <w:pStyle w:val="3"/>
        <w:topLinePunct/>
        <w:spacing w:line="412" w:lineRule="exact"/>
        <w:ind w:firstLine="482"/>
        <w:rPr>
          <w:kern w:val="0"/>
          <w:sz w:val="24"/>
          <w:szCs w:val="24"/>
        </w:rPr>
      </w:pPr>
      <w:r>
        <w:rPr>
          <w:b/>
          <w:kern w:val="0"/>
          <w:sz w:val="24"/>
          <w:szCs w:val="24"/>
        </w:rPr>
        <w:t>第二条</w:t>
      </w:r>
      <w:r>
        <w:rPr>
          <w:rFonts w:hint="eastAsia" w:asciiTheme="minorEastAsia" w:hAnsiTheme="minorEastAsia" w:eastAsiaTheme="minorEastAsia"/>
          <w:b/>
          <w:kern w:val="0"/>
          <w:sz w:val="24"/>
          <w:szCs w:val="24"/>
        </w:rPr>
        <w:t xml:space="preserve">  </w:t>
      </w:r>
      <w:r>
        <w:rPr>
          <w:kern w:val="0"/>
          <w:sz w:val="24"/>
          <w:szCs w:val="24"/>
        </w:rPr>
        <w:t>本法所称乡镇企业，是指农村集体经济组织或者农民投资为主，在乡镇（包括所辖村）举办的承担支援农业义务的各类企业。</w:t>
      </w:r>
    </w:p>
    <w:p>
      <w:pPr>
        <w:pStyle w:val="3"/>
        <w:topLinePunct/>
        <w:spacing w:line="412" w:lineRule="exact"/>
        <w:ind w:firstLine="480"/>
        <w:rPr>
          <w:kern w:val="0"/>
          <w:sz w:val="24"/>
          <w:szCs w:val="24"/>
        </w:rPr>
      </w:pPr>
      <w:r>
        <w:rPr>
          <w:kern w:val="0"/>
          <w:sz w:val="24"/>
          <w:szCs w:val="24"/>
        </w:rPr>
        <w:t>前款所称投资为主，是指农村集体经济组织或者农民投资超过百分之五十，或者虽不足百分之五十，但能起到控股或者实际支配作用。</w:t>
      </w:r>
    </w:p>
    <w:p>
      <w:pPr>
        <w:pStyle w:val="3"/>
        <w:topLinePunct/>
        <w:spacing w:line="412" w:lineRule="exact"/>
        <w:ind w:firstLine="480"/>
        <w:rPr>
          <w:kern w:val="0"/>
          <w:sz w:val="24"/>
          <w:szCs w:val="24"/>
        </w:rPr>
      </w:pPr>
      <w:r>
        <w:rPr>
          <w:kern w:val="0"/>
          <w:sz w:val="24"/>
          <w:szCs w:val="24"/>
        </w:rPr>
        <w:t>乡镇企业符合企业法人条件的，依法取得企业法人资格。</w:t>
      </w:r>
    </w:p>
    <w:p>
      <w:pPr>
        <w:pStyle w:val="3"/>
        <w:topLinePunct/>
        <w:spacing w:line="412" w:lineRule="exact"/>
        <w:ind w:firstLine="482"/>
        <w:rPr>
          <w:kern w:val="0"/>
          <w:sz w:val="24"/>
          <w:szCs w:val="24"/>
        </w:rPr>
      </w:pPr>
      <w:r>
        <w:rPr>
          <w:b/>
          <w:kern w:val="0"/>
          <w:sz w:val="24"/>
          <w:szCs w:val="24"/>
        </w:rPr>
        <w:t>第三条</w:t>
      </w:r>
      <w:r>
        <w:rPr>
          <w:rFonts w:hint="eastAsia" w:asciiTheme="minorEastAsia" w:hAnsiTheme="minorEastAsia" w:eastAsiaTheme="minorEastAsia"/>
          <w:b/>
          <w:kern w:val="0"/>
          <w:sz w:val="24"/>
          <w:szCs w:val="24"/>
        </w:rPr>
        <w:t xml:space="preserve">  </w:t>
      </w:r>
      <w:r>
        <w:rPr>
          <w:kern w:val="0"/>
          <w:sz w:val="24"/>
          <w:szCs w:val="24"/>
        </w:rPr>
        <w:t>乡镇企业是农村经济的重要支柱和国民经济的重要组成部分。</w:t>
      </w:r>
    </w:p>
    <w:p>
      <w:pPr>
        <w:pStyle w:val="3"/>
        <w:topLinePunct/>
        <w:spacing w:line="412" w:lineRule="exact"/>
        <w:ind w:firstLine="480"/>
        <w:rPr>
          <w:kern w:val="0"/>
          <w:sz w:val="24"/>
          <w:szCs w:val="24"/>
        </w:rPr>
      </w:pPr>
      <w:r>
        <w:rPr>
          <w:kern w:val="0"/>
          <w:sz w:val="24"/>
          <w:szCs w:val="24"/>
        </w:rPr>
        <w:t>乡镇企业的主要任务是，根据市场需要发展商品生产，提供社会服务，增加社会有效供给，吸收农村剩余劳动力，提高农民收入，支援农业，推进农业和农村现代化，促进国民经济和社会事业发展。</w:t>
      </w:r>
    </w:p>
    <w:p>
      <w:pPr>
        <w:pStyle w:val="3"/>
        <w:topLinePunct/>
        <w:spacing w:line="412" w:lineRule="exact"/>
        <w:ind w:firstLine="482"/>
        <w:rPr>
          <w:kern w:val="0"/>
          <w:sz w:val="24"/>
          <w:szCs w:val="24"/>
        </w:rPr>
      </w:pPr>
      <w:r>
        <w:rPr>
          <w:b/>
          <w:kern w:val="0"/>
          <w:sz w:val="24"/>
          <w:szCs w:val="24"/>
        </w:rPr>
        <w:t>第四条</w:t>
      </w:r>
      <w:r>
        <w:rPr>
          <w:rFonts w:hint="eastAsia" w:asciiTheme="minorEastAsia" w:hAnsiTheme="minorEastAsia" w:eastAsiaTheme="minorEastAsia"/>
          <w:b/>
          <w:kern w:val="0"/>
          <w:sz w:val="24"/>
          <w:szCs w:val="24"/>
        </w:rPr>
        <w:t xml:space="preserve">  </w:t>
      </w:r>
      <w:r>
        <w:rPr>
          <w:kern w:val="0"/>
          <w:sz w:val="24"/>
          <w:szCs w:val="24"/>
        </w:rPr>
        <w:t>发展乡镇企业，坚持以农村集体经济为主导，多种经济成分共同发展的原则。</w:t>
      </w:r>
    </w:p>
    <w:p>
      <w:pPr>
        <w:pStyle w:val="3"/>
        <w:topLinePunct/>
        <w:spacing w:line="412" w:lineRule="exact"/>
        <w:ind w:firstLine="482"/>
        <w:rPr>
          <w:kern w:val="0"/>
          <w:sz w:val="24"/>
          <w:szCs w:val="24"/>
        </w:rPr>
      </w:pPr>
      <w:r>
        <w:rPr>
          <w:b/>
          <w:kern w:val="0"/>
          <w:sz w:val="24"/>
          <w:szCs w:val="24"/>
        </w:rPr>
        <w:t>第五条</w:t>
      </w:r>
      <w:r>
        <w:rPr>
          <w:rFonts w:hint="eastAsia" w:asciiTheme="minorEastAsia" w:hAnsiTheme="minorEastAsia" w:eastAsiaTheme="minorEastAsia"/>
          <w:b/>
          <w:kern w:val="0"/>
          <w:sz w:val="24"/>
          <w:szCs w:val="24"/>
        </w:rPr>
        <w:t xml:space="preserve">  </w:t>
      </w:r>
      <w:r>
        <w:rPr>
          <w:kern w:val="0"/>
          <w:sz w:val="24"/>
          <w:szCs w:val="24"/>
        </w:rPr>
        <w:t>国家对乡镇企业积极扶持、合理规划、分类指导、依法管理。</w:t>
      </w:r>
    </w:p>
    <w:p>
      <w:pPr>
        <w:pStyle w:val="3"/>
        <w:topLinePunct/>
        <w:spacing w:line="412" w:lineRule="exact"/>
        <w:ind w:firstLine="482"/>
        <w:rPr>
          <w:kern w:val="0"/>
          <w:sz w:val="24"/>
          <w:szCs w:val="24"/>
        </w:rPr>
      </w:pPr>
      <w:r>
        <w:rPr>
          <w:b/>
          <w:kern w:val="0"/>
          <w:sz w:val="24"/>
          <w:szCs w:val="24"/>
        </w:rPr>
        <w:t>第六条</w:t>
      </w:r>
      <w:r>
        <w:rPr>
          <w:rFonts w:hint="eastAsia" w:asciiTheme="minorEastAsia" w:hAnsiTheme="minorEastAsia" w:eastAsiaTheme="minorEastAsia"/>
          <w:b/>
          <w:kern w:val="0"/>
          <w:sz w:val="24"/>
          <w:szCs w:val="24"/>
        </w:rPr>
        <w:t xml:space="preserve">  </w:t>
      </w:r>
      <w:r>
        <w:rPr>
          <w:kern w:val="0"/>
          <w:sz w:val="24"/>
          <w:szCs w:val="24"/>
        </w:rPr>
        <w:t>国家鼓励和重点扶持经济欠发达地区、少数民族地区发展乡镇企业，鼓励经济发达地区的乡镇企业或者其他经济组织采取多种形式支持经济欠发达地区和少数民族地区举办乡镇企业。</w:t>
      </w:r>
    </w:p>
    <w:p>
      <w:pPr>
        <w:pStyle w:val="3"/>
        <w:topLinePunct/>
        <w:spacing w:line="412" w:lineRule="exact"/>
        <w:ind w:firstLine="482"/>
        <w:rPr>
          <w:kern w:val="0"/>
          <w:sz w:val="24"/>
          <w:szCs w:val="24"/>
        </w:rPr>
      </w:pPr>
      <w:r>
        <w:rPr>
          <w:b/>
          <w:kern w:val="0"/>
          <w:sz w:val="24"/>
          <w:szCs w:val="24"/>
        </w:rPr>
        <w:t>第七条</w:t>
      </w:r>
      <w:r>
        <w:rPr>
          <w:rFonts w:hint="eastAsia" w:asciiTheme="minorEastAsia" w:hAnsiTheme="minorEastAsia" w:eastAsiaTheme="minorEastAsia"/>
          <w:b/>
          <w:kern w:val="0"/>
          <w:sz w:val="24"/>
          <w:szCs w:val="24"/>
        </w:rPr>
        <w:t xml:space="preserve">  </w:t>
      </w:r>
      <w:r>
        <w:rPr>
          <w:kern w:val="0"/>
          <w:sz w:val="24"/>
          <w:szCs w:val="24"/>
        </w:rPr>
        <w:t>国务院乡镇企业行政管理部门和有关部门按照各自的职责对全国的乡镇企业进行规划、协调、监督、服务；县级以上地方各级人民政府乡镇企业行政管理部门和有关部门按照各自的职责对本行政区域内的乡镇企业进行规划、协调、监督、服务。</w:t>
      </w:r>
    </w:p>
    <w:p>
      <w:pPr>
        <w:pStyle w:val="3"/>
        <w:topLinePunct/>
        <w:spacing w:line="412" w:lineRule="exact"/>
        <w:ind w:firstLine="482"/>
        <w:rPr>
          <w:kern w:val="0"/>
          <w:sz w:val="24"/>
          <w:szCs w:val="24"/>
        </w:rPr>
      </w:pPr>
      <w:r>
        <w:rPr>
          <w:b/>
          <w:kern w:val="0"/>
          <w:sz w:val="24"/>
          <w:szCs w:val="24"/>
        </w:rPr>
        <w:t>第八条</w:t>
      </w:r>
      <w:r>
        <w:rPr>
          <w:rFonts w:hint="eastAsia" w:asciiTheme="minorEastAsia" w:hAnsiTheme="minorEastAsia" w:eastAsiaTheme="minorEastAsia"/>
          <w:b/>
          <w:kern w:val="0"/>
          <w:sz w:val="24"/>
          <w:szCs w:val="24"/>
        </w:rPr>
        <w:t xml:space="preserve">  </w:t>
      </w:r>
      <w:r>
        <w:rPr>
          <w:kern w:val="0"/>
          <w:sz w:val="24"/>
          <w:szCs w:val="24"/>
        </w:rPr>
        <w:t>经依法登记设立的乡镇企业，应当向当地乡镇企业行政管理部门办理登记备案手续。</w:t>
      </w:r>
    </w:p>
    <w:p>
      <w:pPr>
        <w:pStyle w:val="3"/>
        <w:topLinePunct/>
        <w:spacing w:line="412" w:lineRule="exact"/>
        <w:ind w:firstLine="480"/>
        <w:rPr>
          <w:kern w:val="0"/>
          <w:sz w:val="24"/>
          <w:szCs w:val="24"/>
        </w:rPr>
      </w:pPr>
      <w:r>
        <w:rPr>
          <w:kern w:val="0"/>
          <w:sz w:val="24"/>
          <w:szCs w:val="24"/>
        </w:rPr>
        <w:t>乡镇企业改变名称，住所或者分立、合并、停业、终止等，依法办理变更登记、设立登记或者注销登记后，应当报乡镇企业行政管理部门备案。</w:t>
      </w:r>
    </w:p>
    <w:p>
      <w:pPr>
        <w:pStyle w:val="3"/>
        <w:topLinePunct/>
        <w:spacing w:line="412" w:lineRule="exact"/>
        <w:ind w:firstLine="482"/>
        <w:rPr>
          <w:kern w:val="0"/>
          <w:sz w:val="24"/>
          <w:szCs w:val="24"/>
        </w:rPr>
      </w:pPr>
      <w:r>
        <w:rPr>
          <w:b/>
          <w:kern w:val="0"/>
          <w:sz w:val="24"/>
          <w:szCs w:val="24"/>
        </w:rPr>
        <w:t>第九条</w:t>
      </w:r>
      <w:r>
        <w:rPr>
          <w:rFonts w:hint="eastAsia" w:asciiTheme="minorEastAsia" w:hAnsiTheme="minorEastAsia" w:eastAsiaTheme="minorEastAsia"/>
          <w:b/>
          <w:kern w:val="0"/>
          <w:sz w:val="24"/>
          <w:szCs w:val="24"/>
        </w:rPr>
        <w:t xml:space="preserve">  </w:t>
      </w:r>
      <w:r>
        <w:rPr>
          <w:kern w:val="0"/>
          <w:sz w:val="24"/>
          <w:szCs w:val="24"/>
        </w:rPr>
        <w:t>乡镇企业在城市设立的分支机构，或者农村集体经济组织在城市开办的并承担支援农业义务的企业，按照乡镇企业对待。</w:t>
      </w:r>
    </w:p>
    <w:p>
      <w:pPr>
        <w:pStyle w:val="3"/>
        <w:topLinePunct/>
        <w:spacing w:line="412" w:lineRule="exact"/>
        <w:ind w:firstLine="482"/>
        <w:rPr>
          <w:kern w:val="0"/>
          <w:sz w:val="24"/>
          <w:szCs w:val="24"/>
        </w:rPr>
      </w:pPr>
      <w:r>
        <w:rPr>
          <w:b/>
          <w:kern w:val="0"/>
          <w:sz w:val="24"/>
          <w:szCs w:val="24"/>
        </w:rPr>
        <w:t>第十条</w:t>
      </w:r>
      <w:r>
        <w:rPr>
          <w:rFonts w:hint="eastAsia" w:asciiTheme="minorEastAsia" w:hAnsiTheme="minorEastAsia" w:eastAsiaTheme="minorEastAsia"/>
          <w:b/>
          <w:kern w:val="0"/>
          <w:sz w:val="24"/>
          <w:szCs w:val="24"/>
        </w:rPr>
        <w:t xml:space="preserve">  </w:t>
      </w:r>
      <w:r>
        <w:rPr>
          <w:kern w:val="0"/>
          <w:sz w:val="24"/>
          <w:szCs w:val="24"/>
        </w:rPr>
        <w:t>农村集体经济组织投资设立的乡镇企业，其企业财产权属于设立该企业的全体农民集体所有。</w:t>
      </w:r>
    </w:p>
    <w:p>
      <w:pPr>
        <w:pStyle w:val="3"/>
        <w:topLinePunct/>
        <w:spacing w:line="412" w:lineRule="exact"/>
        <w:ind w:firstLine="480"/>
        <w:rPr>
          <w:kern w:val="0"/>
          <w:sz w:val="24"/>
          <w:szCs w:val="24"/>
        </w:rPr>
      </w:pPr>
      <w:r>
        <w:rPr>
          <w:kern w:val="0"/>
          <w:sz w:val="24"/>
          <w:szCs w:val="24"/>
        </w:rPr>
        <w:t>农村集体经济组织与其他企业、组织或者个人共同投资设立的乡镇企业，其企业财产权按照出资份额属于投资者所有。</w:t>
      </w:r>
    </w:p>
    <w:p>
      <w:pPr>
        <w:pStyle w:val="3"/>
        <w:topLinePunct/>
        <w:spacing w:line="412" w:lineRule="exact"/>
        <w:ind w:firstLine="480"/>
        <w:rPr>
          <w:kern w:val="0"/>
          <w:sz w:val="24"/>
          <w:szCs w:val="24"/>
        </w:rPr>
      </w:pPr>
      <w:r>
        <w:rPr>
          <w:kern w:val="0"/>
          <w:sz w:val="24"/>
          <w:szCs w:val="24"/>
        </w:rPr>
        <w:t>农民合伙或者单独投资设立的乡镇企业，其企业财产权属于投资者所有。</w:t>
      </w:r>
    </w:p>
    <w:p>
      <w:pPr>
        <w:pStyle w:val="3"/>
        <w:topLinePunct/>
        <w:spacing w:line="412" w:lineRule="exact"/>
        <w:ind w:firstLine="482"/>
        <w:rPr>
          <w:kern w:val="0"/>
          <w:sz w:val="24"/>
          <w:szCs w:val="24"/>
        </w:rPr>
      </w:pPr>
      <w:r>
        <w:rPr>
          <w:b/>
          <w:kern w:val="0"/>
          <w:sz w:val="24"/>
          <w:szCs w:val="24"/>
        </w:rPr>
        <w:t>第十一条</w:t>
      </w:r>
      <w:r>
        <w:rPr>
          <w:rFonts w:hint="eastAsia" w:asciiTheme="minorEastAsia" w:hAnsiTheme="minorEastAsia" w:eastAsiaTheme="minorEastAsia"/>
          <w:b/>
          <w:kern w:val="0"/>
          <w:sz w:val="24"/>
          <w:szCs w:val="24"/>
        </w:rPr>
        <w:t xml:space="preserve">  </w:t>
      </w:r>
      <w:r>
        <w:rPr>
          <w:kern w:val="0"/>
          <w:sz w:val="24"/>
          <w:szCs w:val="24"/>
        </w:rPr>
        <w:t>乡镇企业依法实行独立核算，自主经营，自负盈亏。</w:t>
      </w:r>
    </w:p>
    <w:p>
      <w:pPr>
        <w:pStyle w:val="3"/>
        <w:topLinePunct/>
        <w:spacing w:line="412" w:lineRule="exact"/>
        <w:ind w:firstLine="480"/>
        <w:rPr>
          <w:kern w:val="0"/>
          <w:sz w:val="24"/>
          <w:szCs w:val="24"/>
        </w:rPr>
      </w:pPr>
      <w:r>
        <w:rPr>
          <w:kern w:val="0"/>
          <w:sz w:val="24"/>
          <w:szCs w:val="24"/>
        </w:rPr>
        <w:t>具有企业法人资格的乡镇企业，依法享有法人财产权。</w:t>
      </w:r>
    </w:p>
    <w:p>
      <w:pPr>
        <w:pStyle w:val="3"/>
        <w:topLinePunct/>
        <w:spacing w:line="412" w:lineRule="exact"/>
        <w:ind w:firstLine="482"/>
        <w:rPr>
          <w:kern w:val="0"/>
          <w:sz w:val="24"/>
          <w:szCs w:val="24"/>
        </w:rPr>
      </w:pPr>
      <w:r>
        <w:rPr>
          <w:b/>
          <w:kern w:val="0"/>
          <w:sz w:val="24"/>
          <w:szCs w:val="24"/>
        </w:rPr>
        <w:t>第十二条</w:t>
      </w:r>
      <w:r>
        <w:rPr>
          <w:rFonts w:hint="eastAsia" w:asciiTheme="minorEastAsia" w:hAnsiTheme="minorEastAsia" w:eastAsiaTheme="minorEastAsia"/>
          <w:b/>
          <w:kern w:val="0"/>
          <w:sz w:val="24"/>
          <w:szCs w:val="24"/>
        </w:rPr>
        <w:t xml:space="preserve">  </w:t>
      </w:r>
      <w:r>
        <w:rPr>
          <w:kern w:val="0"/>
          <w:sz w:val="24"/>
          <w:szCs w:val="24"/>
        </w:rPr>
        <w:t>国家保护乡镇企业的合法权益；乡镇企业的合法财产不受侵犯。</w:t>
      </w:r>
    </w:p>
    <w:p>
      <w:pPr>
        <w:pStyle w:val="3"/>
        <w:topLinePunct/>
        <w:spacing w:line="412" w:lineRule="exact"/>
        <w:ind w:firstLine="480"/>
        <w:rPr>
          <w:kern w:val="0"/>
          <w:sz w:val="24"/>
          <w:szCs w:val="24"/>
        </w:rPr>
      </w:pPr>
      <w:r>
        <w:rPr>
          <w:kern w:val="0"/>
          <w:sz w:val="24"/>
          <w:szCs w:val="24"/>
        </w:rPr>
        <w:t>任何组织或者个人不得违反法律、行政法规干预乡镇企业的生产经营，撤换企业负责人；不得非法占有或者无偿使用乡镇企业的财产。</w:t>
      </w:r>
    </w:p>
    <w:p>
      <w:pPr>
        <w:pStyle w:val="3"/>
        <w:topLinePunct/>
        <w:spacing w:line="412" w:lineRule="exact"/>
        <w:ind w:firstLine="482"/>
        <w:rPr>
          <w:kern w:val="0"/>
          <w:sz w:val="24"/>
          <w:szCs w:val="24"/>
        </w:rPr>
      </w:pPr>
      <w:r>
        <w:rPr>
          <w:b/>
          <w:kern w:val="0"/>
          <w:sz w:val="24"/>
          <w:szCs w:val="24"/>
        </w:rPr>
        <w:t>第十三条</w:t>
      </w:r>
      <w:r>
        <w:rPr>
          <w:rFonts w:hint="eastAsia" w:asciiTheme="minorEastAsia" w:hAnsiTheme="minorEastAsia" w:eastAsiaTheme="minorEastAsia"/>
          <w:b/>
          <w:kern w:val="0"/>
          <w:sz w:val="24"/>
          <w:szCs w:val="24"/>
        </w:rPr>
        <w:t xml:space="preserve">  </w:t>
      </w:r>
      <w:r>
        <w:rPr>
          <w:kern w:val="0"/>
          <w:sz w:val="24"/>
          <w:szCs w:val="24"/>
        </w:rPr>
        <w:t>乡镇企业按照法律、行政法规规定的企业形式设立，投资者依照有关法律、行政法规决定企业的重大事项，建立经营管理制度，依法享有权利和承担义务。</w:t>
      </w:r>
    </w:p>
    <w:p>
      <w:pPr>
        <w:pStyle w:val="3"/>
        <w:topLinePunct/>
        <w:spacing w:line="412" w:lineRule="exact"/>
        <w:ind w:firstLine="482"/>
        <w:rPr>
          <w:kern w:val="0"/>
          <w:sz w:val="24"/>
          <w:szCs w:val="24"/>
        </w:rPr>
      </w:pPr>
      <w:r>
        <w:rPr>
          <w:b/>
          <w:kern w:val="0"/>
          <w:sz w:val="24"/>
          <w:szCs w:val="24"/>
        </w:rPr>
        <w:t>第十四条</w:t>
      </w:r>
      <w:r>
        <w:rPr>
          <w:rFonts w:hint="eastAsia" w:asciiTheme="minorEastAsia" w:hAnsiTheme="minorEastAsia" w:eastAsiaTheme="minorEastAsia"/>
          <w:b/>
          <w:kern w:val="0"/>
          <w:sz w:val="24"/>
          <w:szCs w:val="24"/>
        </w:rPr>
        <w:t xml:space="preserve">  </w:t>
      </w:r>
      <w:r>
        <w:rPr>
          <w:kern w:val="0"/>
          <w:sz w:val="24"/>
          <w:szCs w:val="24"/>
        </w:rPr>
        <w:t>乡镇企业依法实行民主管理，投资者在确定企业经营管理制度和企业负责人，作出重大经营决策和决定职工工资、生活福利、劳动保护、劳动安全等重大问题时，应当听取本企业工会或者职工的意见，实施情况要定期向职工公布，接受职工监督。</w:t>
      </w:r>
    </w:p>
    <w:p>
      <w:pPr>
        <w:pStyle w:val="3"/>
        <w:topLinePunct/>
        <w:spacing w:line="412" w:lineRule="exact"/>
        <w:ind w:firstLine="482"/>
        <w:rPr>
          <w:kern w:val="0"/>
          <w:sz w:val="24"/>
          <w:szCs w:val="24"/>
        </w:rPr>
      </w:pPr>
      <w:r>
        <w:rPr>
          <w:b/>
          <w:kern w:val="0"/>
          <w:sz w:val="24"/>
          <w:szCs w:val="24"/>
        </w:rPr>
        <w:t>第十五条</w:t>
      </w:r>
      <w:r>
        <w:rPr>
          <w:rFonts w:hint="eastAsia" w:asciiTheme="minorEastAsia" w:hAnsiTheme="minorEastAsia" w:eastAsiaTheme="minorEastAsia"/>
          <w:b/>
          <w:kern w:val="0"/>
          <w:sz w:val="24"/>
          <w:szCs w:val="24"/>
        </w:rPr>
        <w:t xml:space="preserve">  </w:t>
      </w:r>
      <w:r>
        <w:rPr>
          <w:kern w:val="0"/>
          <w:sz w:val="24"/>
          <w:szCs w:val="24"/>
        </w:rPr>
        <w:t>国家鼓励有条件的地区建立、健全乡镇企业职工社会保险制度。</w:t>
      </w:r>
    </w:p>
    <w:p>
      <w:pPr>
        <w:pStyle w:val="3"/>
        <w:topLinePunct/>
        <w:spacing w:line="412" w:lineRule="exact"/>
        <w:ind w:firstLine="482"/>
        <w:rPr>
          <w:kern w:val="0"/>
          <w:sz w:val="24"/>
          <w:szCs w:val="24"/>
        </w:rPr>
      </w:pPr>
      <w:r>
        <w:rPr>
          <w:b/>
          <w:kern w:val="0"/>
          <w:sz w:val="24"/>
          <w:szCs w:val="24"/>
        </w:rPr>
        <w:t>第十六条</w:t>
      </w:r>
      <w:r>
        <w:rPr>
          <w:kern w:val="0"/>
          <w:sz w:val="24"/>
          <w:szCs w:val="24"/>
        </w:rPr>
        <w:t xml:space="preserve"> </w:t>
      </w:r>
      <w:r>
        <w:rPr>
          <w:rFonts w:hint="eastAsia" w:asciiTheme="minorEastAsia" w:hAnsiTheme="minorEastAsia" w:eastAsiaTheme="minorEastAsia"/>
          <w:kern w:val="0"/>
          <w:sz w:val="24"/>
          <w:szCs w:val="24"/>
        </w:rPr>
        <w:t xml:space="preserve"> </w:t>
      </w:r>
      <w:r>
        <w:rPr>
          <w:kern w:val="0"/>
          <w:sz w:val="24"/>
          <w:szCs w:val="24"/>
        </w:rPr>
        <w:t>乡镇企业停业、终止，已经建立社会保险制度的，按照有关规定安排职工；依法订立劳动合同的，按照合同的约定办理。原属于农村集体经济组织的职工有权返回农村集体经济组织从事生产，或者由职工自谋职业。</w:t>
      </w:r>
    </w:p>
    <w:p>
      <w:pPr>
        <w:pStyle w:val="3"/>
        <w:topLinePunct/>
        <w:spacing w:line="412" w:lineRule="exact"/>
        <w:ind w:firstLine="482"/>
        <w:rPr>
          <w:kern w:val="0"/>
          <w:sz w:val="24"/>
          <w:szCs w:val="24"/>
        </w:rPr>
      </w:pPr>
      <w:r>
        <w:rPr>
          <w:b/>
          <w:kern w:val="0"/>
          <w:sz w:val="24"/>
          <w:szCs w:val="24"/>
        </w:rPr>
        <w:t>第十七条</w:t>
      </w:r>
      <w:r>
        <w:rPr>
          <w:rFonts w:hint="eastAsia" w:asciiTheme="minorEastAsia" w:hAnsiTheme="minorEastAsia" w:eastAsiaTheme="minorEastAsia"/>
          <w:b/>
          <w:kern w:val="0"/>
          <w:sz w:val="24"/>
          <w:szCs w:val="24"/>
        </w:rPr>
        <w:t xml:space="preserve">  </w:t>
      </w:r>
      <w:r>
        <w:rPr>
          <w:kern w:val="0"/>
          <w:sz w:val="24"/>
          <w:szCs w:val="24"/>
        </w:rPr>
        <w:t>乡镇企业从税后利润中提取一定比例的资金用于支援农业和农村社会性支出，其比例和管理使用办法由省、自治区、直辖市人民政府规定。</w:t>
      </w:r>
    </w:p>
    <w:p>
      <w:pPr>
        <w:pStyle w:val="3"/>
        <w:topLinePunct/>
        <w:spacing w:line="412" w:lineRule="exact"/>
        <w:ind w:firstLine="480"/>
        <w:rPr>
          <w:kern w:val="0"/>
          <w:sz w:val="24"/>
          <w:szCs w:val="24"/>
        </w:rPr>
      </w:pPr>
      <w:r>
        <w:rPr>
          <w:kern w:val="0"/>
          <w:sz w:val="24"/>
          <w:szCs w:val="24"/>
        </w:rPr>
        <w:t>除法律、行政法规另有规定外，任何机关、组织或者个人不得以任何方式向乡镇企业收取费用，进行摊派。</w:t>
      </w:r>
    </w:p>
    <w:p>
      <w:pPr>
        <w:pStyle w:val="3"/>
        <w:topLinePunct/>
        <w:spacing w:line="412" w:lineRule="exact"/>
        <w:ind w:firstLine="482"/>
        <w:rPr>
          <w:kern w:val="0"/>
          <w:sz w:val="24"/>
          <w:szCs w:val="24"/>
        </w:rPr>
      </w:pPr>
      <w:r>
        <w:rPr>
          <w:b/>
          <w:kern w:val="0"/>
          <w:sz w:val="24"/>
          <w:szCs w:val="24"/>
        </w:rPr>
        <w:t>第十八条</w:t>
      </w:r>
      <w:r>
        <w:rPr>
          <w:rFonts w:hint="eastAsia" w:asciiTheme="minorEastAsia" w:hAnsiTheme="minorEastAsia" w:eastAsiaTheme="minorEastAsia"/>
          <w:b/>
          <w:kern w:val="0"/>
          <w:sz w:val="24"/>
          <w:szCs w:val="24"/>
        </w:rPr>
        <w:t xml:space="preserve">  </w:t>
      </w:r>
      <w:r>
        <w:rPr>
          <w:kern w:val="0"/>
          <w:sz w:val="24"/>
          <w:szCs w:val="24"/>
        </w:rPr>
        <w:t>国家根据乡镇企业发展的情况，在一定时期内对乡镇企业减征一定比例的税收。减征税收的税种、期限和比例由国务院规定。</w:t>
      </w:r>
    </w:p>
    <w:p>
      <w:pPr>
        <w:pStyle w:val="3"/>
        <w:topLinePunct/>
        <w:spacing w:line="412" w:lineRule="exact"/>
        <w:ind w:firstLine="482"/>
        <w:rPr>
          <w:kern w:val="0"/>
          <w:sz w:val="24"/>
          <w:szCs w:val="24"/>
        </w:rPr>
      </w:pPr>
      <w:r>
        <w:rPr>
          <w:b/>
          <w:kern w:val="0"/>
          <w:sz w:val="24"/>
          <w:szCs w:val="24"/>
        </w:rPr>
        <w:t>第十九条</w:t>
      </w:r>
      <w:r>
        <w:rPr>
          <w:rFonts w:hint="eastAsia" w:asciiTheme="minorEastAsia" w:hAnsiTheme="minorEastAsia" w:eastAsiaTheme="minorEastAsia"/>
          <w:b/>
          <w:kern w:val="0"/>
          <w:sz w:val="24"/>
          <w:szCs w:val="24"/>
        </w:rPr>
        <w:t xml:space="preserve">  </w:t>
      </w:r>
      <w:r>
        <w:rPr>
          <w:kern w:val="0"/>
          <w:sz w:val="24"/>
          <w:szCs w:val="24"/>
        </w:rPr>
        <w:t>国家对符合下列条件之一的中小型乡镇企业，根据不同情况实行一定期限的税收优惠：</w:t>
      </w:r>
    </w:p>
    <w:p>
      <w:pPr>
        <w:pStyle w:val="3"/>
        <w:topLinePunct/>
        <w:spacing w:line="412" w:lineRule="exact"/>
        <w:ind w:firstLine="480"/>
        <w:rPr>
          <w:kern w:val="0"/>
          <w:sz w:val="24"/>
          <w:szCs w:val="24"/>
        </w:rPr>
      </w:pPr>
      <w:r>
        <w:rPr>
          <w:kern w:val="0"/>
          <w:sz w:val="24"/>
          <w:szCs w:val="24"/>
        </w:rPr>
        <w:t>（一）集体所有制乡镇企业开办初期经营确有困难的；</w:t>
      </w:r>
    </w:p>
    <w:p>
      <w:pPr>
        <w:pStyle w:val="3"/>
        <w:topLinePunct/>
        <w:spacing w:line="412" w:lineRule="exact"/>
        <w:ind w:firstLine="480"/>
        <w:rPr>
          <w:kern w:val="0"/>
          <w:sz w:val="24"/>
          <w:szCs w:val="24"/>
        </w:rPr>
      </w:pPr>
      <w:r>
        <w:rPr>
          <w:kern w:val="0"/>
          <w:sz w:val="24"/>
          <w:szCs w:val="24"/>
        </w:rPr>
        <w:t>（二）设立在少数民族地区、边远地区和贫困地区的；</w:t>
      </w:r>
    </w:p>
    <w:p>
      <w:pPr>
        <w:pStyle w:val="3"/>
        <w:topLinePunct/>
        <w:spacing w:line="412" w:lineRule="exact"/>
        <w:ind w:firstLine="480"/>
        <w:rPr>
          <w:kern w:val="0"/>
          <w:sz w:val="24"/>
          <w:szCs w:val="24"/>
        </w:rPr>
      </w:pPr>
      <w:r>
        <w:rPr>
          <w:kern w:val="0"/>
          <w:sz w:val="24"/>
          <w:szCs w:val="24"/>
        </w:rPr>
        <w:t>（三）从事粮食、饲料、肉类的加工、贮存、运销经营的；</w:t>
      </w:r>
    </w:p>
    <w:p>
      <w:pPr>
        <w:pStyle w:val="3"/>
        <w:topLinePunct/>
        <w:spacing w:line="412" w:lineRule="exact"/>
        <w:ind w:firstLine="480"/>
        <w:rPr>
          <w:kern w:val="0"/>
          <w:sz w:val="24"/>
          <w:szCs w:val="24"/>
        </w:rPr>
      </w:pPr>
      <w:r>
        <w:rPr>
          <w:kern w:val="0"/>
          <w:sz w:val="24"/>
          <w:szCs w:val="24"/>
        </w:rPr>
        <w:t>（四）国家产业政策规定需要特殊扶持的。</w:t>
      </w:r>
    </w:p>
    <w:p>
      <w:pPr>
        <w:pStyle w:val="3"/>
        <w:topLinePunct/>
        <w:spacing w:line="412" w:lineRule="exact"/>
        <w:ind w:firstLine="480"/>
        <w:rPr>
          <w:kern w:val="0"/>
          <w:sz w:val="24"/>
          <w:szCs w:val="24"/>
        </w:rPr>
      </w:pPr>
      <w:r>
        <w:rPr>
          <w:kern w:val="0"/>
          <w:sz w:val="24"/>
          <w:szCs w:val="24"/>
        </w:rPr>
        <w:t>前款税收优惠的具体办法由国务院规定。</w:t>
      </w:r>
    </w:p>
    <w:p>
      <w:pPr>
        <w:pStyle w:val="3"/>
        <w:topLinePunct/>
        <w:spacing w:line="412" w:lineRule="exact"/>
        <w:ind w:firstLine="482"/>
        <w:rPr>
          <w:kern w:val="0"/>
          <w:sz w:val="24"/>
          <w:szCs w:val="24"/>
        </w:rPr>
      </w:pPr>
      <w:r>
        <w:rPr>
          <w:b/>
          <w:kern w:val="0"/>
          <w:sz w:val="24"/>
          <w:szCs w:val="24"/>
        </w:rPr>
        <w:t>第二十条</w:t>
      </w:r>
      <w:r>
        <w:rPr>
          <w:rFonts w:hint="eastAsia" w:asciiTheme="minorEastAsia" w:hAnsiTheme="minorEastAsia" w:eastAsiaTheme="minorEastAsia"/>
          <w:b/>
          <w:kern w:val="0"/>
          <w:sz w:val="24"/>
          <w:szCs w:val="24"/>
        </w:rPr>
        <w:t xml:space="preserve">  </w:t>
      </w:r>
      <w:r>
        <w:rPr>
          <w:kern w:val="0"/>
          <w:sz w:val="24"/>
          <w:szCs w:val="24"/>
        </w:rPr>
        <w:t>国家运用信贷手段，鼓励和扶持乡镇企业发展。对于符合前条规定条件之一并且符合贷款条件的乡镇企业，国家有关金融机构可以给予优先贷款，对其中生产资金困难且有发展前途的可以给予优惠贷款。</w:t>
      </w:r>
    </w:p>
    <w:p>
      <w:pPr>
        <w:pStyle w:val="3"/>
        <w:topLinePunct/>
        <w:spacing w:line="412" w:lineRule="exact"/>
        <w:ind w:firstLine="480"/>
        <w:rPr>
          <w:kern w:val="0"/>
          <w:sz w:val="24"/>
          <w:szCs w:val="24"/>
        </w:rPr>
      </w:pPr>
      <w:r>
        <w:rPr>
          <w:kern w:val="0"/>
          <w:sz w:val="24"/>
          <w:szCs w:val="24"/>
        </w:rPr>
        <w:t>前款优先贷款、优惠贷款的具体办法由国务院规定。</w:t>
      </w:r>
    </w:p>
    <w:p>
      <w:pPr>
        <w:pStyle w:val="3"/>
        <w:topLinePunct/>
        <w:spacing w:line="412" w:lineRule="exact"/>
        <w:ind w:firstLine="482"/>
        <w:rPr>
          <w:kern w:val="0"/>
          <w:sz w:val="24"/>
          <w:szCs w:val="24"/>
        </w:rPr>
      </w:pPr>
      <w:r>
        <w:rPr>
          <w:b/>
          <w:kern w:val="0"/>
          <w:sz w:val="24"/>
          <w:szCs w:val="24"/>
        </w:rPr>
        <w:t>第二十一条</w:t>
      </w:r>
      <w:r>
        <w:rPr>
          <w:rFonts w:hint="eastAsia" w:asciiTheme="minorEastAsia" w:hAnsiTheme="minorEastAsia" w:eastAsiaTheme="minorEastAsia"/>
          <w:b/>
          <w:kern w:val="0"/>
          <w:sz w:val="24"/>
          <w:szCs w:val="24"/>
        </w:rPr>
        <w:t xml:space="preserve">  </w:t>
      </w:r>
      <w:r>
        <w:rPr>
          <w:kern w:val="0"/>
          <w:sz w:val="24"/>
          <w:szCs w:val="24"/>
        </w:rPr>
        <w:t>县级以上人民政府依照国家有关规定，可以设立乡镇企业发展基金。基金由下列资金组成：</w:t>
      </w:r>
    </w:p>
    <w:p>
      <w:pPr>
        <w:pStyle w:val="3"/>
        <w:topLinePunct/>
        <w:spacing w:line="412" w:lineRule="exact"/>
        <w:ind w:firstLine="480"/>
        <w:rPr>
          <w:kern w:val="0"/>
          <w:sz w:val="24"/>
          <w:szCs w:val="24"/>
        </w:rPr>
      </w:pPr>
      <w:r>
        <w:rPr>
          <w:kern w:val="0"/>
          <w:sz w:val="24"/>
          <w:szCs w:val="24"/>
        </w:rPr>
        <w:t>（一）政府拨付的用于乡镇企业发展的周转金；</w:t>
      </w:r>
    </w:p>
    <w:p>
      <w:pPr>
        <w:pStyle w:val="3"/>
        <w:topLinePunct/>
        <w:spacing w:line="412" w:lineRule="exact"/>
        <w:ind w:firstLine="480"/>
        <w:rPr>
          <w:kern w:val="0"/>
          <w:sz w:val="24"/>
          <w:szCs w:val="24"/>
        </w:rPr>
      </w:pPr>
      <w:r>
        <w:rPr>
          <w:kern w:val="0"/>
          <w:sz w:val="24"/>
          <w:szCs w:val="24"/>
        </w:rPr>
        <w:t>（二）乡镇企业每年上缴地方税金增长部分中一定比例的资金；</w:t>
      </w:r>
    </w:p>
    <w:p>
      <w:pPr>
        <w:pStyle w:val="3"/>
        <w:topLinePunct/>
        <w:spacing w:line="412" w:lineRule="exact"/>
        <w:ind w:firstLine="480"/>
        <w:rPr>
          <w:kern w:val="0"/>
          <w:sz w:val="24"/>
          <w:szCs w:val="24"/>
        </w:rPr>
      </w:pPr>
      <w:r>
        <w:rPr>
          <w:kern w:val="0"/>
          <w:sz w:val="24"/>
          <w:szCs w:val="24"/>
        </w:rPr>
        <w:t>（三）基金运用产生的收益；</w:t>
      </w:r>
    </w:p>
    <w:p>
      <w:pPr>
        <w:pStyle w:val="3"/>
        <w:topLinePunct/>
        <w:spacing w:line="412" w:lineRule="exact"/>
        <w:ind w:firstLine="480"/>
        <w:rPr>
          <w:kern w:val="0"/>
          <w:sz w:val="24"/>
          <w:szCs w:val="24"/>
        </w:rPr>
      </w:pPr>
      <w:r>
        <w:rPr>
          <w:kern w:val="0"/>
          <w:sz w:val="24"/>
          <w:szCs w:val="24"/>
        </w:rPr>
        <w:t>（四）农村集体经济组织、乡镇企业、农民等自愿提供的资金。</w:t>
      </w:r>
    </w:p>
    <w:p>
      <w:pPr>
        <w:pStyle w:val="3"/>
        <w:topLinePunct/>
        <w:spacing w:line="412" w:lineRule="exact"/>
        <w:ind w:firstLine="482"/>
        <w:rPr>
          <w:kern w:val="0"/>
          <w:sz w:val="24"/>
          <w:szCs w:val="24"/>
        </w:rPr>
      </w:pPr>
      <w:r>
        <w:rPr>
          <w:b/>
          <w:kern w:val="0"/>
          <w:sz w:val="24"/>
          <w:szCs w:val="24"/>
        </w:rPr>
        <w:t>第二十二条</w:t>
      </w:r>
      <w:r>
        <w:rPr>
          <w:rFonts w:hint="eastAsia" w:asciiTheme="minorEastAsia" w:hAnsiTheme="minorEastAsia" w:eastAsiaTheme="minorEastAsia"/>
          <w:b/>
          <w:kern w:val="0"/>
          <w:sz w:val="24"/>
          <w:szCs w:val="24"/>
        </w:rPr>
        <w:t xml:space="preserve">  </w:t>
      </w:r>
      <w:r>
        <w:rPr>
          <w:kern w:val="0"/>
          <w:sz w:val="24"/>
          <w:szCs w:val="24"/>
        </w:rPr>
        <w:t>乡镇企业发展基金专门用于扶持乡镇企业发展，其使用范围如下：</w:t>
      </w:r>
    </w:p>
    <w:p>
      <w:pPr>
        <w:pStyle w:val="3"/>
        <w:topLinePunct/>
        <w:spacing w:line="412" w:lineRule="exact"/>
        <w:ind w:firstLine="480"/>
        <w:rPr>
          <w:kern w:val="0"/>
          <w:sz w:val="24"/>
          <w:szCs w:val="24"/>
        </w:rPr>
      </w:pPr>
      <w:r>
        <w:rPr>
          <w:kern w:val="0"/>
          <w:sz w:val="24"/>
          <w:szCs w:val="24"/>
        </w:rPr>
        <w:t>（一）支持少数民族地区、边远地区和贫困地区发展乡镇企业；</w:t>
      </w:r>
    </w:p>
    <w:p>
      <w:pPr>
        <w:pStyle w:val="3"/>
        <w:topLinePunct/>
        <w:spacing w:line="412" w:lineRule="exact"/>
        <w:ind w:firstLine="480"/>
        <w:rPr>
          <w:kern w:val="0"/>
          <w:sz w:val="24"/>
          <w:szCs w:val="24"/>
        </w:rPr>
      </w:pPr>
      <w:r>
        <w:rPr>
          <w:kern w:val="0"/>
          <w:sz w:val="24"/>
          <w:szCs w:val="24"/>
        </w:rPr>
        <w:t>（二）支持经济欠发达地区、少数民族地区与经济发达地区的乡镇企业之间进行经济技术合作和举办合资项目；</w:t>
      </w:r>
    </w:p>
    <w:p>
      <w:pPr>
        <w:pStyle w:val="3"/>
        <w:topLinePunct/>
        <w:spacing w:line="412" w:lineRule="exact"/>
        <w:ind w:firstLine="480"/>
        <w:rPr>
          <w:kern w:val="0"/>
          <w:sz w:val="24"/>
          <w:szCs w:val="24"/>
        </w:rPr>
      </w:pPr>
      <w:r>
        <w:rPr>
          <w:kern w:val="0"/>
          <w:sz w:val="24"/>
          <w:szCs w:val="24"/>
        </w:rPr>
        <w:t>（三）支持乡镇企业按照国家产业政策调整产业结构和产品结构；</w:t>
      </w:r>
    </w:p>
    <w:p>
      <w:pPr>
        <w:pStyle w:val="3"/>
        <w:topLinePunct/>
        <w:spacing w:line="412" w:lineRule="exact"/>
        <w:ind w:firstLine="480"/>
        <w:rPr>
          <w:kern w:val="0"/>
          <w:sz w:val="24"/>
          <w:szCs w:val="24"/>
        </w:rPr>
      </w:pPr>
      <w:r>
        <w:rPr>
          <w:kern w:val="0"/>
          <w:sz w:val="24"/>
          <w:szCs w:val="24"/>
        </w:rPr>
        <w:t>（四）支持乡镇企业进行技术改造，开发名特优新产品和生产传统手工艺产品；</w:t>
      </w:r>
    </w:p>
    <w:p>
      <w:pPr>
        <w:pStyle w:val="3"/>
        <w:topLinePunct/>
        <w:spacing w:line="412" w:lineRule="exact"/>
        <w:ind w:firstLine="480"/>
        <w:rPr>
          <w:kern w:val="0"/>
          <w:sz w:val="24"/>
          <w:szCs w:val="24"/>
        </w:rPr>
      </w:pPr>
      <w:r>
        <w:rPr>
          <w:kern w:val="0"/>
          <w:sz w:val="24"/>
          <w:szCs w:val="24"/>
        </w:rPr>
        <w:t>（五）发展生产农用生产资料或者直接为农业生产服务的乡镇企业；</w:t>
      </w:r>
    </w:p>
    <w:p>
      <w:pPr>
        <w:pStyle w:val="3"/>
        <w:topLinePunct/>
        <w:spacing w:line="412" w:lineRule="exact"/>
        <w:ind w:firstLine="480"/>
        <w:rPr>
          <w:kern w:val="0"/>
          <w:sz w:val="24"/>
          <w:szCs w:val="24"/>
        </w:rPr>
      </w:pPr>
      <w:r>
        <w:rPr>
          <w:kern w:val="0"/>
          <w:sz w:val="24"/>
          <w:szCs w:val="24"/>
        </w:rPr>
        <w:t>（六）发展从事粮食、饲料、肉类的加工、贮存、运销经营的乡镇企业；</w:t>
      </w:r>
    </w:p>
    <w:p>
      <w:pPr>
        <w:pStyle w:val="3"/>
        <w:topLinePunct/>
        <w:spacing w:line="412" w:lineRule="exact"/>
        <w:ind w:firstLine="480"/>
        <w:rPr>
          <w:kern w:val="0"/>
          <w:sz w:val="24"/>
          <w:szCs w:val="24"/>
        </w:rPr>
      </w:pPr>
      <w:r>
        <w:rPr>
          <w:kern w:val="0"/>
          <w:sz w:val="24"/>
          <w:szCs w:val="24"/>
        </w:rPr>
        <w:t>（七）支持乡镇企业职工的职业教育和技术培训；</w:t>
      </w:r>
    </w:p>
    <w:p>
      <w:pPr>
        <w:pStyle w:val="3"/>
        <w:topLinePunct/>
        <w:spacing w:line="412" w:lineRule="exact"/>
        <w:ind w:firstLine="480"/>
        <w:rPr>
          <w:kern w:val="0"/>
          <w:sz w:val="24"/>
          <w:szCs w:val="24"/>
        </w:rPr>
      </w:pPr>
      <w:r>
        <w:rPr>
          <w:kern w:val="0"/>
          <w:sz w:val="24"/>
          <w:szCs w:val="24"/>
        </w:rPr>
        <w:t>（八）其他需要扶持的项目。</w:t>
      </w:r>
    </w:p>
    <w:p>
      <w:pPr>
        <w:pStyle w:val="3"/>
        <w:topLinePunct/>
        <w:spacing w:line="412" w:lineRule="exact"/>
        <w:ind w:firstLine="480"/>
        <w:rPr>
          <w:kern w:val="0"/>
          <w:sz w:val="24"/>
          <w:szCs w:val="24"/>
        </w:rPr>
      </w:pPr>
      <w:r>
        <w:rPr>
          <w:kern w:val="0"/>
          <w:sz w:val="24"/>
          <w:szCs w:val="24"/>
        </w:rPr>
        <w:t>乡镇企业发展基金的设立和使用管理办法由国务院规定。</w:t>
      </w:r>
    </w:p>
    <w:p>
      <w:pPr>
        <w:pStyle w:val="3"/>
        <w:topLinePunct/>
        <w:spacing w:line="412" w:lineRule="exact"/>
        <w:ind w:firstLine="482"/>
        <w:rPr>
          <w:kern w:val="0"/>
          <w:sz w:val="24"/>
          <w:szCs w:val="24"/>
        </w:rPr>
      </w:pPr>
      <w:r>
        <w:rPr>
          <w:b/>
          <w:kern w:val="0"/>
          <w:sz w:val="24"/>
          <w:szCs w:val="24"/>
        </w:rPr>
        <w:t>第二十三条</w:t>
      </w:r>
      <w:r>
        <w:rPr>
          <w:rFonts w:hint="eastAsia" w:asciiTheme="minorEastAsia" w:hAnsiTheme="minorEastAsia" w:eastAsiaTheme="minorEastAsia"/>
          <w:b/>
          <w:kern w:val="0"/>
          <w:sz w:val="24"/>
          <w:szCs w:val="24"/>
        </w:rPr>
        <w:t xml:space="preserve">  </w:t>
      </w:r>
      <w:r>
        <w:rPr>
          <w:kern w:val="0"/>
          <w:sz w:val="24"/>
          <w:szCs w:val="24"/>
        </w:rPr>
        <w:t>国家积极培养乡镇企业人才，鼓励科技人员、经营管理人员及大中专毕业生到乡镇企业工作，通过多种方式为乡镇企业服务。</w:t>
      </w:r>
    </w:p>
    <w:p>
      <w:pPr>
        <w:pStyle w:val="3"/>
        <w:topLinePunct/>
        <w:spacing w:line="412" w:lineRule="exact"/>
        <w:ind w:firstLine="480"/>
        <w:rPr>
          <w:kern w:val="0"/>
          <w:sz w:val="24"/>
          <w:szCs w:val="24"/>
        </w:rPr>
      </w:pPr>
      <w:r>
        <w:rPr>
          <w:kern w:val="0"/>
          <w:sz w:val="24"/>
          <w:szCs w:val="24"/>
        </w:rPr>
        <w:t>乡镇企业通过多渠道、多形式培训技术人员、经营管理人员和生产人员，并采取优惠措施吸引人才。</w:t>
      </w:r>
    </w:p>
    <w:p>
      <w:pPr>
        <w:pStyle w:val="3"/>
        <w:topLinePunct/>
        <w:spacing w:line="412" w:lineRule="exact"/>
        <w:ind w:firstLine="482"/>
        <w:rPr>
          <w:kern w:val="0"/>
          <w:sz w:val="24"/>
          <w:szCs w:val="24"/>
        </w:rPr>
      </w:pPr>
      <w:r>
        <w:rPr>
          <w:b/>
          <w:kern w:val="0"/>
          <w:sz w:val="24"/>
          <w:szCs w:val="24"/>
        </w:rPr>
        <w:t>第二十四条</w:t>
      </w:r>
      <w:r>
        <w:rPr>
          <w:rFonts w:hint="eastAsia" w:asciiTheme="minorEastAsia" w:hAnsiTheme="minorEastAsia" w:eastAsiaTheme="minorEastAsia"/>
          <w:b/>
          <w:kern w:val="0"/>
          <w:sz w:val="24"/>
          <w:szCs w:val="24"/>
        </w:rPr>
        <w:t xml:space="preserve">  </w:t>
      </w:r>
      <w:r>
        <w:rPr>
          <w:kern w:val="0"/>
          <w:sz w:val="24"/>
          <w:szCs w:val="24"/>
        </w:rPr>
        <w:t>国家采取优惠措施，鼓励乡镇企业同科研机构、高等院校、国有企业及其他企业、组织之间开展各种形式的经济技术合作。</w:t>
      </w:r>
    </w:p>
    <w:p>
      <w:pPr>
        <w:pStyle w:val="3"/>
        <w:topLinePunct/>
        <w:spacing w:line="412" w:lineRule="exact"/>
        <w:ind w:firstLine="482"/>
        <w:rPr>
          <w:kern w:val="0"/>
          <w:sz w:val="24"/>
          <w:szCs w:val="24"/>
        </w:rPr>
      </w:pPr>
      <w:r>
        <w:rPr>
          <w:b/>
          <w:kern w:val="0"/>
          <w:sz w:val="24"/>
          <w:szCs w:val="24"/>
        </w:rPr>
        <w:t>第二十五条</w:t>
      </w:r>
      <w:r>
        <w:rPr>
          <w:rFonts w:hint="eastAsia" w:asciiTheme="minorEastAsia" w:hAnsiTheme="minorEastAsia" w:eastAsiaTheme="minorEastAsia"/>
          <w:b/>
          <w:kern w:val="0"/>
          <w:sz w:val="24"/>
          <w:szCs w:val="24"/>
        </w:rPr>
        <w:t xml:space="preserve">  </w:t>
      </w:r>
      <w:r>
        <w:rPr>
          <w:kern w:val="0"/>
          <w:sz w:val="24"/>
          <w:szCs w:val="24"/>
        </w:rPr>
        <w:t>国家鼓励乡镇企业开展对外经济技术合作与交流，建设出口商品生产基地，增加出口创汇。</w:t>
      </w:r>
    </w:p>
    <w:p>
      <w:pPr>
        <w:pStyle w:val="3"/>
        <w:topLinePunct/>
        <w:spacing w:line="412" w:lineRule="exact"/>
        <w:ind w:firstLine="480"/>
        <w:rPr>
          <w:kern w:val="0"/>
          <w:sz w:val="24"/>
          <w:szCs w:val="24"/>
        </w:rPr>
      </w:pPr>
      <w:r>
        <w:rPr>
          <w:kern w:val="0"/>
          <w:sz w:val="24"/>
          <w:szCs w:val="24"/>
        </w:rPr>
        <w:t>具备条件的乡镇企业依法经批准可以取得对外贸易经营权。</w:t>
      </w:r>
    </w:p>
    <w:p>
      <w:pPr>
        <w:pStyle w:val="3"/>
        <w:topLinePunct/>
        <w:spacing w:line="412" w:lineRule="exact"/>
        <w:ind w:firstLine="482"/>
        <w:rPr>
          <w:kern w:val="0"/>
          <w:sz w:val="24"/>
          <w:szCs w:val="24"/>
        </w:rPr>
      </w:pPr>
      <w:r>
        <w:rPr>
          <w:b/>
          <w:kern w:val="0"/>
          <w:sz w:val="24"/>
          <w:szCs w:val="24"/>
        </w:rPr>
        <w:t>第二十六条</w:t>
      </w:r>
      <w:r>
        <w:rPr>
          <w:rFonts w:hint="eastAsia" w:asciiTheme="minorEastAsia" w:hAnsiTheme="minorEastAsia" w:eastAsiaTheme="minorEastAsia"/>
          <w:b/>
          <w:kern w:val="0"/>
          <w:sz w:val="24"/>
          <w:szCs w:val="24"/>
        </w:rPr>
        <w:t xml:space="preserve">  </w:t>
      </w:r>
      <w:r>
        <w:rPr>
          <w:kern w:val="0"/>
          <w:sz w:val="24"/>
          <w:szCs w:val="24"/>
        </w:rPr>
        <w:t>地方各级人民政府按照统一规划、合理布局的原则，将发展乡镇企业同小城镇建设相结合，引导和促进乡镇企业适当集中发展，逐步加强基础设施和服务设施建设，以加快小城镇建设。</w:t>
      </w:r>
    </w:p>
    <w:p>
      <w:pPr>
        <w:pStyle w:val="3"/>
        <w:topLinePunct/>
        <w:spacing w:line="412" w:lineRule="exact"/>
        <w:ind w:firstLine="482"/>
        <w:rPr>
          <w:kern w:val="0"/>
          <w:sz w:val="24"/>
          <w:szCs w:val="24"/>
        </w:rPr>
      </w:pPr>
      <w:r>
        <w:rPr>
          <w:b/>
          <w:kern w:val="0"/>
          <w:sz w:val="24"/>
          <w:szCs w:val="24"/>
        </w:rPr>
        <w:t>第二十七条</w:t>
      </w:r>
      <w:r>
        <w:rPr>
          <w:rFonts w:hint="eastAsia" w:asciiTheme="minorEastAsia" w:hAnsiTheme="minorEastAsia" w:eastAsiaTheme="minorEastAsia"/>
          <w:b/>
          <w:kern w:val="0"/>
          <w:sz w:val="24"/>
          <w:szCs w:val="24"/>
        </w:rPr>
        <w:t xml:space="preserve">  </w:t>
      </w:r>
      <w:r>
        <w:rPr>
          <w:kern w:val="0"/>
          <w:sz w:val="24"/>
          <w:szCs w:val="24"/>
        </w:rPr>
        <w:t>乡镇企业应当按照市场需要和国家产业政策，合理调整产业结构和产品结构，加强技术改造，不断采用先进的技术、生产工艺和设备，提高企业经营管理水平。</w:t>
      </w:r>
    </w:p>
    <w:p>
      <w:pPr>
        <w:pStyle w:val="3"/>
        <w:topLinePunct/>
        <w:spacing w:line="412" w:lineRule="exact"/>
        <w:ind w:firstLine="482"/>
        <w:rPr>
          <w:kern w:val="0"/>
          <w:sz w:val="24"/>
          <w:szCs w:val="24"/>
        </w:rPr>
      </w:pPr>
      <w:r>
        <w:rPr>
          <w:b/>
          <w:kern w:val="0"/>
          <w:sz w:val="24"/>
          <w:szCs w:val="24"/>
        </w:rPr>
        <w:t>第二十八条</w:t>
      </w:r>
      <w:r>
        <w:rPr>
          <w:rFonts w:hint="eastAsia" w:asciiTheme="minorEastAsia" w:hAnsiTheme="minorEastAsia" w:eastAsiaTheme="minorEastAsia"/>
          <w:b/>
          <w:kern w:val="0"/>
          <w:sz w:val="24"/>
          <w:szCs w:val="24"/>
        </w:rPr>
        <w:t xml:space="preserve">  </w:t>
      </w:r>
      <w:r>
        <w:rPr>
          <w:kern w:val="0"/>
          <w:sz w:val="24"/>
          <w:szCs w:val="24"/>
        </w:rPr>
        <w:t>举办乡镇企业，其建设用地应当符合土地利用总体规划，严格控制、合理利用和节约使用土地，凡有荒地、劣地可以利用的，不得占用耕地、好地。</w:t>
      </w:r>
    </w:p>
    <w:p>
      <w:pPr>
        <w:pStyle w:val="3"/>
        <w:topLinePunct/>
        <w:spacing w:line="412" w:lineRule="exact"/>
        <w:ind w:firstLine="480"/>
        <w:rPr>
          <w:kern w:val="0"/>
          <w:sz w:val="24"/>
          <w:szCs w:val="24"/>
        </w:rPr>
      </w:pPr>
      <w:r>
        <w:rPr>
          <w:kern w:val="0"/>
          <w:sz w:val="24"/>
          <w:szCs w:val="24"/>
        </w:rPr>
        <w:t>举办乡镇企业使用农村集体所有的土地的，应当依照法律、法规的规定，办理有关用地批准手续和土地登记手续。</w:t>
      </w:r>
    </w:p>
    <w:p>
      <w:pPr>
        <w:pStyle w:val="3"/>
        <w:topLinePunct/>
        <w:spacing w:line="412" w:lineRule="exact"/>
        <w:ind w:firstLine="480"/>
        <w:rPr>
          <w:kern w:val="0"/>
          <w:sz w:val="24"/>
          <w:szCs w:val="24"/>
        </w:rPr>
      </w:pPr>
      <w:r>
        <w:rPr>
          <w:kern w:val="0"/>
          <w:sz w:val="24"/>
          <w:szCs w:val="24"/>
        </w:rPr>
        <w:t>乡镇企业使用农村集体所有的土地，连续闲置两年以上或者因停办闲置一年以上的，应当由原土地所有者收回该土地使用权，重新安排使用。</w:t>
      </w:r>
    </w:p>
    <w:p>
      <w:pPr>
        <w:pStyle w:val="3"/>
        <w:topLinePunct/>
        <w:spacing w:line="412" w:lineRule="exact"/>
        <w:ind w:firstLine="482"/>
        <w:rPr>
          <w:kern w:val="0"/>
          <w:sz w:val="24"/>
          <w:szCs w:val="24"/>
        </w:rPr>
      </w:pPr>
      <w:r>
        <w:rPr>
          <w:b/>
          <w:kern w:val="0"/>
          <w:sz w:val="24"/>
          <w:szCs w:val="24"/>
        </w:rPr>
        <w:t>第二十九条</w:t>
      </w:r>
      <w:r>
        <w:rPr>
          <w:rFonts w:hint="eastAsia" w:asciiTheme="minorEastAsia" w:hAnsiTheme="minorEastAsia" w:eastAsiaTheme="minorEastAsia"/>
          <w:b/>
          <w:kern w:val="0"/>
          <w:sz w:val="24"/>
          <w:szCs w:val="24"/>
        </w:rPr>
        <w:t xml:space="preserve">  </w:t>
      </w:r>
      <w:r>
        <w:rPr>
          <w:kern w:val="0"/>
          <w:sz w:val="24"/>
          <w:szCs w:val="24"/>
        </w:rPr>
        <w:t>乡镇企业应当依法合理开发和使用自然资源。</w:t>
      </w:r>
    </w:p>
    <w:p>
      <w:pPr>
        <w:pStyle w:val="3"/>
        <w:topLinePunct/>
        <w:spacing w:line="412" w:lineRule="exact"/>
        <w:ind w:firstLine="480"/>
        <w:rPr>
          <w:kern w:val="0"/>
          <w:sz w:val="24"/>
          <w:szCs w:val="24"/>
        </w:rPr>
      </w:pPr>
      <w:r>
        <w:rPr>
          <w:kern w:val="0"/>
          <w:sz w:val="24"/>
          <w:szCs w:val="24"/>
        </w:rPr>
        <w:t>乡镇企业从事矿产资源开采，必须依照有关法律规定，经有关部门批准，取得采矿许可证、生产许可证，实行正规作业，防止资源浪费，严禁破坏资源。</w:t>
      </w:r>
    </w:p>
    <w:p>
      <w:pPr>
        <w:pStyle w:val="3"/>
        <w:topLinePunct/>
        <w:spacing w:line="412" w:lineRule="exact"/>
        <w:ind w:firstLine="482"/>
        <w:rPr>
          <w:kern w:val="0"/>
          <w:sz w:val="24"/>
          <w:szCs w:val="24"/>
        </w:rPr>
      </w:pPr>
      <w:r>
        <w:rPr>
          <w:b/>
          <w:kern w:val="0"/>
          <w:sz w:val="24"/>
          <w:szCs w:val="24"/>
        </w:rPr>
        <w:t>第三十条</w:t>
      </w:r>
      <w:r>
        <w:rPr>
          <w:rFonts w:hint="eastAsia" w:asciiTheme="minorEastAsia" w:hAnsiTheme="minorEastAsia" w:eastAsiaTheme="minorEastAsia"/>
          <w:b/>
          <w:kern w:val="0"/>
          <w:sz w:val="24"/>
          <w:szCs w:val="24"/>
        </w:rPr>
        <w:t xml:space="preserve">  </w:t>
      </w:r>
      <w:r>
        <w:rPr>
          <w:kern w:val="0"/>
          <w:sz w:val="24"/>
          <w:szCs w:val="24"/>
        </w:rPr>
        <w:t>乡镇企业应当按照国家有关规定，建立财务会计制度，加强财务管理，依法设置会计帐册，如实记录财务活动。</w:t>
      </w:r>
    </w:p>
    <w:p>
      <w:pPr>
        <w:pStyle w:val="3"/>
        <w:topLinePunct/>
        <w:spacing w:line="412" w:lineRule="exact"/>
        <w:ind w:firstLine="482"/>
        <w:rPr>
          <w:kern w:val="0"/>
          <w:sz w:val="24"/>
          <w:szCs w:val="24"/>
        </w:rPr>
      </w:pPr>
      <w:r>
        <w:rPr>
          <w:b/>
          <w:kern w:val="0"/>
          <w:sz w:val="24"/>
          <w:szCs w:val="24"/>
        </w:rPr>
        <w:t>第三十一条</w:t>
      </w:r>
      <w:r>
        <w:rPr>
          <w:rFonts w:hint="eastAsia" w:asciiTheme="minorEastAsia" w:hAnsiTheme="minorEastAsia" w:eastAsiaTheme="minorEastAsia"/>
          <w:b/>
          <w:kern w:val="0"/>
          <w:sz w:val="24"/>
          <w:szCs w:val="24"/>
        </w:rPr>
        <w:t xml:space="preserve">  </w:t>
      </w:r>
      <w:r>
        <w:rPr>
          <w:kern w:val="0"/>
          <w:sz w:val="24"/>
          <w:szCs w:val="24"/>
        </w:rPr>
        <w:t>乡镇企业必须按照国家统计制度，如实报送统计资料。对于违反国家规定制发的统计调查报表，乡镇企业有权拒绝填报。</w:t>
      </w:r>
    </w:p>
    <w:p>
      <w:pPr>
        <w:pStyle w:val="3"/>
        <w:topLinePunct/>
        <w:spacing w:line="412" w:lineRule="exact"/>
        <w:ind w:firstLine="482"/>
        <w:rPr>
          <w:kern w:val="0"/>
          <w:sz w:val="24"/>
          <w:szCs w:val="24"/>
        </w:rPr>
      </w:pPr>
      <w:r>
        <w:rPr>
          <w:b/>
          <w:kern w:val="0"/>
          <w:sz w:val="24"/>
          <w:szCs w:val="24"/>
        </w:rPr>
        <w:t>第三十二条</w:t>
      </w:r>
      <w:r>
        <w:rPr>
          <w:rFonts w:hint="eastAsia" w:asciiTheme="minorEastAsia" w:hAnsiTheme="minorEastAsia" w:eastAsiaTheme="minorEastAsia"/>
          <w:b/>
          <w:kern w:val="0"/>
          <w:sz w:val="24"/>
          <w:szCs w:val="24"/>
        </w:rPr>
        <w:t xml:space="preserve">  </w:t>
      </w:r>
      <w:r>
        <w:rPr>
          <w:kern w:val="0"/>
          <w:sz w:val="24"/>
          <w:szCs w:val="24"/>
        </w:rPr>
        <w:t>乡镇企业应当依法办理税务登记，按期进行纳税申报，足额缴纳税款。</w:t>
      </w:r>
    </w:p>
    <w:p>
      <w:pPr>
        <w:pStyle w:val="3"/>
        <w:topLinePunct/>
        <w:spacing w:line="412" w:lineRule="exact"/>
        <w:ind w:firstLine="480"/>
        <w:rPr>
          <w:kern w:val="0"/>
          <w:sz w:val="24"/>
          <w:szCs w:val="24"/>
        </w:rPr>
      </w:pPr>
      <w:r>
        <w:rPr>
          <w:kern w:val="0"/>
          <w:sz w:val="24"/>
          <w:szCs w:val="24"/>
        </w:rPr>
        <w:t>各级人民政府应当依法加强乡镇企业的税收管理工作，有关管理部门不得超越管理权限对乡镇企业减免税。</w:t>
      </w:r>
    </w:p>
    <w:p>
      <w:pPr>
        <w:pStyle w:val="3"/>
        <w:topLinePunct/>
        <w:spacing w:line="412" w:lineRule="exact"/>
        <w:ind w:firstLine="482"/>
        <w:rPr>
          <w:kern w:val="0"/>
          <w:sz w:val="24"/>
          <w:szCs w:val="24"/>
        </w:rPr>
      </w:pPr>
      <w:r>
        <w:rPr>
          <w:b/>
          <w:kern w:val="0"/>
          <w:sz w:val="24"/>
          <w:szCs w:val="24"/>
        </w:rPr>
        <w:t>第三十三条</w:t>
      </w:r>
      <w:r>
        <w:rPr>
          <w:rFonts w:hint="eastAsia" w:asciiTheme="minorEastAsia" w:hAnsiTheme="minorEastAsia" w:eastAsiaTheme="minorEastAsia"/>
          <w:b/>
          <w:kern w:val="0"/>
          <w:sz w:val="24"/>
          <w:szCs w:val="24"/>
        </w:rPr>
        <w:t xml:space="preserve">  </w:t>
      </w:r>
      <w:r>
        <w:rPr>
          <w:kern w:val="0"/>
          <w:sz w:val="24"/>
          <w:szCs w:val="24"/>
        </w:rPr>
        <w:t>乡镇企业应当加强产品质量管理，努力提高产品质量；生产和销售的产品必须符合保障人体健康，人身、财产安全的国家标准和行业标准；不得生产、销售失效、变质产品和国家明令淘汰的产品；不得在产品中掺杂、掺假，以假充真，以次充好。</w:t>
      </w:r>
    </w:p>
    <w:p>
      <w:pPr>
        <w:pStyle w:val="3"/>
        <w:topLinePunct/>
        <w:spacing w:line="412" w:lineRule="exact"/>
        <w:ind w:firstLine="482"/>
        <w:rPr>
          <w:kern w:val="0"/>
          <w:sz w:val="24"/>
          <w:szCs w:val="24"/>
        </w:rPr>
      </w:pPr>
      <w:r>
        <w:rPr>
          <w:b/>
          <w:kern w:val="0"/>
          <w:sz w:val="24"/>
          <w:szCs w:val="24"/>
        </w:rPr>
        <w:t>第三十四条</w:t>
      </w:r>
      <w:r>
        <w:rPr>
          <w:rFonts w:hint="eastAsia" w:asciiTheme="minorEastAsia" w:hAnsiTheme="minorEastAsia" w:eastAsiaTheme="minorEastAsia"/>
          <w:b/>
          <w:kern w:val="0"/>
          <w:sz w:val="24"/>
          <w:szCs w:val="24"/>
        </w:rPr>
        <w:t xml:space="preserve">  </w:t>
      </w:r>
      <w:r>
        <w:rPr>
          <w:kern w:val="0"/>
          <w:sz w:val="24"/>
          <w:szCs w:val="24"/>
        </w:rPr>
        <w:t>乡镇企业应当依法使用商标，重视企业信誉；按照国家规定，制作所生产经营的商品标识，不得伪造产品的产地或者伪造、冒用他人厂名、厂址和认证标志、名优标志。</w:t>
      </w:r>
    </w:p>
    <w:p>
      <w:pPr>
        <w:pStyle w:val="3"/>
        <w:topLinePunct/>
        <w:spacing w:line="412" w:lineRule="exact"/>
        <w:ind w:firstLine="482"/>
        <w:rPr>
          <w:kern w:val="0"/>
          <w:sz w:val="24"/>
          <w:szCs w:val="24"/>
        </w:rPr>
      </w:pPr>
      <w:r>
        <w:rPr>
          <w:b/>
          <w:kern w:val="0"/>
          <w:sz w:val="24"/>
          <w:szCs w:val="24"/>
        </w:rPr>
        <w:t>第三十五条</w:t>
      </w:r>
      <w:r>
        <w:rPr>
          <w:rFonts w:hint="eastAsia" w:asciiTheme="minorEastAsia" w:hAnsiTheme="minorEastAsia" w:eastAsiaTheme="minorEastAsia"/>
          <w:b/>
          <w:kern w:val="0"/>
          <w:sz w:val="24"/>
          <w:szCs w:val="24"/>
        </w:rPr>
        <w:t xml:space="preserve">  </w:t>
      </w:r>
      <w:r>
        <w:rPr>
          <w:kern w:val="0"/>
          <w:sz w:val="24"/>
          <w:szCs w:val="24"/>
        </w:rPr>
        <w:t>乡镇企业必须遵守有关环境保护的法律、法规，按照国家产业政策，在当地人民政府的统一指导下，采取措施，积极发展无污染、少污染和低资源消耗的企业，切实防治环境污染和生态破坏，保护和改善环境。</w:t>
      </w:r>
    </w:p>
    <w:p>
      <w:pPr>
        <w:pStyle w:val="3"/>
        <w:topLinePunct/>
        <w:spacing w:line="412" w:lineRule="exact"/>
        <w:ind w:firstLine="480"/>
        <w:rPr>
          <w:kern w:val="0"/>
          <w:sz w:val="24"/>
          <w:szCs w:val="24"/>
        </w:rPr>
      </w:pPr>
      <w:r>
        <w:rPr>
          <w:kern w:val="0"/>
          <w:sz w:val="24"/>
          <w:szCs w:val="24"/>
        </w:rPr>
        <w:t>地方人民政府应当制定和实施乡镇企业环境保护规划，提高乡镇企业防治污染的能力。</w:t>
      </w:r>
    </w:p>
    <w:p>
      <w:pPr>
        <w:pStyle w:val="3"/>
        <w:topLinePunct/>
        <w:spacing w:line="412" w:lineRule="exact"/>
        <w:ind w:firstLine="482"/>
        <w:rPr>
          <w:kern w:val="0"/>
          <w:sz w:val="24"/>
          <w:szCs w:val="24"/>
        </w:rPr>
      </w:pPr>
      <w:r>
        <w:rPr>
          <w:b/>
          <w:kern w:val="0"/>
          <w:sz w:val="24"/>
          <w:szCs w:val="24"/>
        </w:rPr>
        <w:t>第三十六条</w:t>
      </w:r>
      <w:r>
        <w:rPr>
          <w:rFonts w:hint="eastAsia" w:asciiTheme="minorEastAsia" w:hAnsiTheme="minorEastAsia" w:eastAsiaTheme="minorEastAsia"/>
          <w:b/>
          <w:kern w:val="0"/>
          <w:sz w:val="24"/>
          <w:szCs w:val="24"/>
        </w:rPr>
        <w:t xml:space="preserve">  </w:t>
      </w:r>
      <w:r>
        <w:rPr>
          <w:kern w:val="0"/>
          <w:sz w:val="24"/>
          <w:szCs w:val="24"/>
        </w:rPr>
        <w:t>乡镇企业建设对环境有影响的项目，必须严格执行环境影响评价制度。</w:t>
      </w:r>
    </w:p>
    <w:p>
      <w:pPr>
        <w:pStyle w:val="3"/>
        <w:topLinePunct/>
        <w:spacing w:line="412" w:lineRule="exact"/>
        <w:ind w:firstLine="480"/>
        <w:rPr>
          <w:kern w:val="0"/>
          <w:sz w:val="24"/>
          <w:szCs w:val="24"/>
        </w:rPr>
      </w:pPr>
      <w:r>
        <w:rPr>
          <w:kern w:val="0"/>
          <w:sz w:val="24"/>
          <w:szCs w:val="24"/>
        </w:rPr>
        <w:t>乡镇企业建设项目中防治污染的设施，必须与主体工程同时设计、同时施工、同时投产使用。防治污染的设施必须经环境保护行政主管部门验收合格后，该建设项目方可投入生产或者使用。</w:t>
      </w:r>
    </w:p>
    <w:p>
      <w:pPr>
        <w:pStyle w:val="3"/>
        <w:topLinePunct/>
        <w:spacing w:line="412" w:lineRule="exact"/>
        <w:ind w:firstLine="480"/>
        <w:rPr>
          <w:kern w:val="0"/>
          <w:sz w:val="24"/>
          <w:szCs w:val="24"/>
        </w:rPr>
      </w:pPr>
      <w:r>
        <w:rPr>
          <w:kern w:val="0"/>
          <w:sz w:val="24"/>
          <w:szCs w:val="24"/>
        </w:rPr>
        <w:t>乡镇企业不得采用或者使用国家明令禁止的严重污染环境的生产工艺和设备；不得生产和经营国家明令禁止的严重污染环境的产品。排放污染物超过国家或者地方规定标准，严重污染环境的，必须限期治理，逾期未完成治理任务的，依法关闭、停产或者转产。</w:t>
      </w:r>
    </w:p>
    <w:p>
      <w:pPr>
        <w:pStyle w:val="3"/>
        <w:topLinePunct/>
        <w:spacing w:line="412" w:lineRule="exact"/>
        <w:ind w:firstLine="482"/>
        <w:rPr>
          <w:kern w:val="0"/>
          <w:sz w:val="24"/>
          <w:szCs w:val="24"/>
        </w:rPr>
      </w:pPr>
      <w:r>
        <w:rPr>
          <w:b/>
          <w:kern w:val="0"/>
          <w:sz w:val="24"/>
          <w:szCs w:val="24"/>
        </w:rPr>
        <w:t>第三十七条</w:t>
      </w:r>
      <w:r>
        <w:rPr>
          <w:rFonts w:hint="eastAsia" w:asciiTheme="minorEastAsia" w:hAnsiTheme="minorEastAsia" w:eastAsiaTheme="minorEastAsia"/>
          <w:b/>
          <w:kern w:val="0"/>
          <w:sz w:val="24"/>
          <w:szCs w:val="24"/>
        </w:rPr>
        <w:t xml:space="preserve">  </w:t>
      </w:r>
      <w:r>
        <w:rPr>
          <w:kern w:val="0"/>
          <w:sz w:val="24"/>
          <w:szCs w:val="24"/>
        </w:rPr>
        <w:t>乡镇企业必须遵守有关劳动保护、劳动安全的法律、法规，认真贯彻执行安全第一、预防为主的方针，采取有效的劳动卫生技术措施和管理措施，防止生产伤亡事故和职业病的发生；对危害职工安全的事故隐患，应当限期解决或者停产整顿。严禁管理者违章指挥，强令职工冒险作业。发生生产伤亡事故，应当采取积极抢救措施，依法妥善处理，并向有关部门报告。</w:t>
      </w:r>
    </w:p>
    <w:p>
      <w:pPr>
        <w:pStyle w:val="3"/>
        <w:topLinePunct/>
        <w:spacing w:line="412" w:lineRule="exact"/>
        <w:ind w:firstLine="482"/>
        <w:rPr>
          <w:kern w:val="0"/>
          <w:sz w:val="24"/>
          <w:szCs w:val="24"/>
        </w:rPr>
      </w:pPr>
      <w:r>
        <w:rPr>
          <w:b/>
          <w:kern w:val="0"/>
          <w:sz w:val="24"/>
          <w:szCs w:val="24"/>
        </w:rPr>
        <w:t>第三十八条</w:t>
      </w:r>
      <w:r>
        <w:rPr>
          <w:rFonts w:hint="eastAsia" w:asciiTheme="minorEastAsia" w:hAnsiTheme="minorEastAsia" w:eastAsiaTheme="minorEastAsia"/>
          <w:b/>
          <w:kern w:val="0"/>
          <w:sz w:val="24"/>
          <w:szCs w:val="24"/>
        </w:rPr>
        <w:t xml:space="preserve">  </w:t>
      </w:r>
      <w:r>
        <w:rPr>
          <w:kern w:val="0"/>
          <w:sz w:val="24"/>
          <w:szCs w:val="24"/>
        </w:rPr>
        <w:t>违反本法规定，有下列行为之一的，由县级以上人民政府乡镇企业行政管理部门责令改正：</w:t>
      </w:r>
    </w:p>
    <w:p>
      <w:pPr>
        <w:pStyle w:val="3"/>
        <w:topLinePunct/>
        <w:spacing w:line="412" w:lineRule="exact"/>
        <w:ind w:firstLine="480"/>
        <w:rPr>
          <w:kern w:val="0"/>
          <w:sz w:val="24"/>
          <w:szCs w:val="24"/>
        </w:rPr>
      </w:pPr>
      <w:r>
        <w:rPr>
          <w:kern w:val="0"/>
          <w:sz w:val="24"/>
          <w:szCs w:val="24"/>
        </w:rPr>
        <w:t>（一）非法改变乡镇企业所有权的；</w:t>
      </w:r>
    </w:p>
    <w:p>
      <w:pPr>
        <w:pStyle w:val="3"/>
        <w:topLinePunct/>
        <w:spacing w:line="412" w:lineRule="exact"/>
        <w:ind w:firstLine="480"/>
        <w:rPr>
          <w:kern w:val="0"/>
          <w:sz w:val="24"/>
          <w:szCs w:val="24"/>
        </w:rPr>
      </w:pPr>
      <w:r>
        <w:rPr>
          <w:kern w:val="0"/>
          <w:sz w:val="24"/>
          <w:szCs w:val="24"/>
        </w:rPr>
        <w:t>（二）非法占有或者无偿使用乡镇企业财产的；</w:t>
      </w:r>
    </w:p>
    <w:p>
      <w:pPr>
        <w:pStyle w:val="3"/>
        <w:topLinePunct/>
        <w:spacing w:line="412" w:lineRule="exact"/>
        <w:ind w:firstLine="480"/>
        <w:rPr>
          <w:kern w:val="0"/>
          <w:sz w:val="24"/>
          <w:szCs w:val="24"/>
        </w:rPr>
      </w:pPr>
      <w:r>
        <w:rPr>
          <w:kern w:val="0"/>
          <w:sz w:val="24"/>
          <w:szCs w:val="24"/>
        </w:rPr>
        <w:t>（三）非法撤换乡镇企业负责人的；</w:t>
      </w:r>
    </w:p>
    <w:p>
      <w:pPr>
        <w:pStyle w:val="3"/>
        <w:topLinePunct/>
        <w:spacing w:line="412" w:lineRule="exact"/>
        <w:ind w:firstLine="480"/>
        <w:rPr>
          <w:kern w:val="0"/>
          <w:sz w:val="24"/>
          <w:szCs w:val="24"/>
        </w:rPr>
      </w:pPr>
      <w:r>
        <w:rPr>
          <w:kern w:val="0"/>
          <w:sz w:val="24"/>
          <w:szCs w:val="24"/>
        </w:rPr>
        <w:t>（四）侵犯乡镇企业自主经营权的。</w:t>
      </w:r>
    </w:p>
    <w:p>
      <w:pPr>
        <w:pStyle w:val="3"/>
        <w:topLinePunct/>
        <w:spacing w:line="412" w:lineRule="exact"/>
        <w:ind w:firstLine="480"/>
        <w:rPr>
          <w:kern w:val="0"/>
          <w:sz w:val="24"/>
          <w:szCs w:val="24"/>
        </w:rPr>
      </w:pPr>
      <w:r>
        <w:rPr>
          <w:kern w:val="0"/>
          <w:sz w:val="24"/>
          <w:szCs w:val="24"/>
        </w:rPr>
        <w:t>前款行为给乡镇企业造成经济损失的，应当依法赔偿。</w:t>
      </w:r>
    </w:p>
    <w:p>
      <w:pPr>
        <w:pStyle w:val="3"/>
        <w:topLinePunct/>
        <w:spacing w:line="412" w:lineRule="exact"/>
        <w:ind w:firstLine="482"/>
        <w:rPr>
          <w:kern w:val="0"/>
          <w:sz w:val="24"/>
          <w:szCs w:val="24"/>
        </w:rPr>
      </w:pPr>
      <w:r>
        <w:rPr>
          <w:b/>
          <w:kern w:val="0"/>
          <w:sz w:val="24"/>
          <w:szCs w:val="24"/>
        </w:rPr>
        <w:t>第三十九条</w:t>
      </w:r>
      <w:r>
        <w:rPr>
          <w:rFonts w:hint="eastAsia" w:asciiTheme="minorEastAsia" w:hAnsiTheme="minorEastAsia" w:eastAsiaTheme="minorEastAsia"/>
          <w:b/>
          <w:kern w:val="0"/>
          <w:sz w:val="24"/>
          <w:szCs w:val="24"/>
        </w:rPr>
        <w:t xml:space="preserve">  </w:t>
      </w:r>
      <w:r>
        <w:rPr>
          <w:kern w:val="0"/>
          <w:sz w:val="24"/>
          <w:szCs w:val="24"/>
        </w:rPr>
        <w:t>乡镇企业有权向审计、监察、财政、物价和乡镇企业行政管理部门控告、检举向企业非法收费、摊派或者罚款的单位和个人。有关部门和上级机关应当责令责任人停止其行为，并限期归还有关财物。对直接责任人员，有关部门可以根据情节轻重，给予相应的处罚。</w:t>
      </w:r>
    </w:p>
    <w:p>
      <w:pPr>
        <w:pStyle w:val="3"/>
        <w:topLinePunct/>
        <w:spacing w:line="412" w:lineRule="exact"/>
        <w:ind w:firstLine="482"/>
        <w:rPr>
          <w:kern w:val="0"/>
          <w:sz w:val="24"/>
          <w:szCs w:val="24"/>
        </w:rPr>
      </w:pPr>
      <w:r>
        <w:rPr>
          <w:b/>
          <w:kern w:val="0"/>
          <w:sz w:val="24"/>
          <w:szCs w:val="24"/>
        </w:rPr>
        <w:t>第四十条</w:t>
      </w:r>
      <w:r>
        <w:rPr>
          <w:rFonts w:hint="eastAsia" w:asciiTheme="minorEastAsia" w:hAnsiTheme="minorEastAsia" w:eastAsiaTheme="minorEastAsia"/>
          <w:b/>
          <w:kern w:val="0"/>
          <w:sz w:val="24"/>
          <w:szCs w:val="24"/>
        </w:rPr>
        <w:t xml:space="preserve">  </w:t>
      </w:r>
      <w:r>
        <w:rPr>
          <w:kern w:val="0"/>
          <w:sz w:val="24"/>
          <w:szCs w:val="24"/>
        </w:rPr>
        <w:t>乡镇企业违反国家产品质量、环境保护、土地管理、自然资源开发、劳动安全、税收及其他有关法律、法规的，除依照有关法律、法规处理外，在其改正之前，应当根据情节轻重停止其享受本法规定的部分或者全部优惠。</w:t>
      </w:r>
    </w:p>
    <w:p>
      <w:pPr>
        <w:pStyle w:val="3"/>
        <w:topLinePunct/>
        <w:spacing w:line="412" w:lineRule="exact"/>
        <w:ind w:firstLine="482"/>
        <w:rPr>
          <w:kern w:val="0"/>
          <w:sz w:val="24"/>
          <w:szCs w:val="24"/>
        </w:rPr>
      </w:pPr>
      <w:r>
        <w:rPr>
          <w:b/>
          <w:kern w:val="0"/>
          <w:sz w:val="24"/>
          <w:szCs w:val="24"/>
        </w:rPr>
        <w:t>第四十一条</w:t>
      </w:r>
      <w:r>
        <w:rPr>
          <w:rFonts w:hint="eastAsia" w:asciiTheme="minorEastAsia" w:hAnsiTheme="minorEastAsia" w:eastAsiaTheme="minorEastAsia"/>
          <w:b/>
          <w:kern w:val="0"/>
          <w:sz w:val="24"/>
          <w:szCs w:val="24"/>
        </w:rPr>
        <w:t xml:space="preserve">  </w:t>
      </w:r>
      <w:r>
        <w:rPr>
          <w:kern w:val="0"/>
          <w:sz w:val="24"/>
          <w:szCs w:val="24"/>
        </w:rPr>
        <w:t>乡镇企业违反本法规定，不承担支援农业义务的，由乡镇企业行政主管部门责令改正，在其改正之前，可以停止其享受本法规定的部分或者全部优惠。</w:t>
      </w:r>
    </w:p>
    <w:p>
      <w:pPr>
        <w:pStyle w:val="3"/>
        <w:topLinePunct/>
        <w:spacing w:line="412" w:lineRule="exact"/>
        <w:ind w:firstLine="482"/>
        <w:rPr>
          <w:kern w:val="0"/>
          <w:sz w:val="24"/>
          <w:szCs w:val="24"/>
        </w:rPr>
      </w:pPr>
      <w:r>
        <w:rPr>
          <w:b/>
          <w:kern w:val="0"/>
          <w:sz w:val="24"/>
          <w:szCs w:val="24"/>
        </w:rPr>
        <w:t>第四十二条</w:t>
      </w:r>
      <w:r>
        <w:rPr>
          <w:rFonts w:hint="eastAsia" w:asciiTheme="minorEastAsia" w:hAnsiTheme="minorEastAsia" w:eastAsiaTheme="minorEastAsia"/>
          <w:b/>
          <w:kern w:val="0"/>
          <w:sz w:val="24"/>
          <w:szCs w:val="24"/>
        </w:rPr>
        <w:t xml:space="preserve">  </w:t>
      </w:r>
      <w:r>
        <w:rPr>
          <w:kern w:val="0"/>
          <w:sz w:val="24"/>
          <w:szCs w:val="24"/>
        </w:rPr>
        <w:t>对依照本法第三十八条至第四十一条规定所作处罚、处理决定不服的，当事人可以依法申请行政复议、提起诉讼。</w:t>
      </w:r>
    </w:p>
    <w:p>
      <w:pPr>
        <w:pStyle w:val="3"/>
        <w:topLinePunct/>
        <w:spacing w:line="412" w:lineRule="exact"/>
        <w:ind w:firstLine="482"/>
        <w:rPr>
          <w:rFonts w:ascii="Times New Roman" w:hAnsi="Times New Roman"/>
          <w:kern w:val="0"/>
          <w:sz w:val="24"/>
          <w:szCs w:val="24"/>
        </w:rPr>
      </w:pPr>
      <w:r>
        <w:rPr>
          <w:b/>
          <w:kern w:val="0"/>
          <w:sz w:val="24"/>
          <w:szCs w:val="24"/>
        </w:rPr>
        <w:t>第四十三条</w:t>
      </w:r>
      <w:r>
        <w:rPr>
          <w:rFonts w:hint="eastAsia" w:asciiTheme="minorEastAsia" w:hAnsiTheme="minorEastAsia" w:eastAsiaTheme="minorEastAsia"/>
          <w:b/>
          <w:kern w:val="0"/>
          <w:sz w:val="24"/>
          <w:szCs w:val="24"/>
        </w:rPr>
        <w:t xml:space="preserve">  </w:t>
      </w:r>
      <w:r>
        <w:rPr>
          <w:kern w:val="0"/>
          <w:sz w:val="24"/>
          <w:szCs w:val="24"/>
        </w:rPr>
        <w:t>本法自1997年1月1日起施行。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372" w:name="_Toc18942597"/>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373" w:name="_Toc25653684"/>
      <w:bookmarkStart w:id="374" w:name="_Toc25648189"/>
      <w:bookmarkStart w:id="375" w:name="_Toc28156971"/>
      <w:bookmarkStart w:id="376" w:name="_Toc26347949"/>
      <w:bookmarkStart w:id="377" w:name="_Toc28250899"/>
      <w:bookmarkStart w:id="378" w:name="_Toc28252171"/>
      <w:r>
        <w:t>中华人民共和国乡村集体所有制企业条例</w:t>
      </w:r>
      <w:bookmarkEnd w:id="372"/>
      <w:bookmarkEnd w:id="373"/>
      <w:bookmarkEnd w:id="374"/>
      <w:bookmarkEnd w:id="375"/>
      <w:bookmarkEnd w:id="376"/>
      <w:bookmarkEnd w:id="377"/>
      <w:bookmarkEnd w:id="378"/>
    </w:p>
    <w:p>
      <w:pPr>
        <w:pStyle w:val="62"/>
      </w:pPr>
      <w:r>
        <w:t>（</w:t>
      </w:r>
      <w:r>
        <w:rPr>
          <w:rFonts w:hint="eastAsia"/>
        </w:rPr>
        <w:t>1990</w:t>
      </w:r>
      <w:r>
        <w:t>年</w:t>
      </w:r>
      <w:r>
        <w:rPr>
          <w:rFonts w:hint="eastAsia"/>
        </w:rPr>
        <w:t>6</w:t>
      </w:r>
      <w:r>
        <w:t>月</w:t>
      </w:r>
      <w:r>
        <w:rPr>
          <w:rFonts w:hint="eastAsia"/>
        </w:rPr>
        <w:t>3</w:t>
      </w:r>
      <w:r>
        <w:t>日中华人民共和国国务院令第</w:t>
      </w:r>
      <w:r>
        <w:rPr>
          <w:rFonts w:hint="eastAsia"/>
        </w:rPr>
        <w:t>59</w:t>
      </w:r>
      <w:r>
        <w:t>号公布，根据2011年1月8日中华人民共和国国务院令第588号公布、自公布之日起施行的《国务院关于废止和修改部分行政法规的决定》修订）</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为了保障乡村集体所有制企业的合法权益，引导其健康发展，制定本条例。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本条例适用于由乡（含镇，下同）村（含村民小组，下同）农民集体举办的企业。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农业生产合作社、农村供销合作社、农村信用社不适用本条例。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乡村集体所有制企业是我国社会主义公有制经济的组成部分。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国家对乡村集体所有制企业实行积极扶持，合理规划，正确引导，加强管理的方针。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乡村集体所有制企业的主要任务是：发展商品生产和服务业，满足社会日益增长的物质和文化生活的需要；调整农村产业结构，合理利用农村劳动力；支援农业生产和农村建设，增加国家财政和农民的收入；积极发展出口创汇生产；为大工业配套和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国家保护乡村集体所有制企业的合法权益，禁止任何组织和个人侵犯其财产。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乡村集体所有制企业实行自主经营，独立核算，自负盈亏。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乡村集体所有制企业实行多种形式的经营责任制。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乡村集体所有制企业可以在不改变集体所有制性质的前提下，吸收投资入股。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国家鼓励和扶持乡村集体所有制企业采用先进适用的科学技术和经营管理方法，加速企业现代化。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国家鼓励和保护乡村集体所有制企业依照平等互利、自愿协商、等价有偿的原则，进行多种形式的经济技术合作。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国家鼓励和支持乡村集体所有制企业依法利用自然资源，因地制宜发展符合国家产业政策和市场需要的产业和产品，增加社会有效供给。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乡村集体所有制企业经依法审查，具备法人条件的，登记后取得法人资格，厂长（经理）为企业的法定代表人。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乡村集体所有制企业职工有返回其所属的农民集体经济组织从事农业生产的权利。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国务院乡镇企业行政主管部门主管全国乡村集体所有制企业。地方人民政府乡镇企业行政主管部门主管本行政区域内的乡村集体所有制企业（以下简称企业）。</w:t>
      </w:r>
    </w:p>
    <w:p>
      <w:pPr>
        <w:pStyle w:val="63"/>
        <w:spacing w:before="218" w:after="218" w:line="412" w:lineRule="exact"/>
      </w:pPr>
      <w:r>
        <w:t xml:space="preserve">第二章 </w:t>
      </w:r>
      <w:r>
        <w:rPr>
          <w:rFonts w:hint="eastAsia"/>
        </w:rPr>
        <w:t xml:space="preserve"> </w:t>
      </w:r>
      <w:r>
        <w:t>企业的设立、变更和终止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设立企业应当具备下列条件：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（一）产品和提供的服务为社会所需要，并符合国家法律、法规和政策规定；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（二）有自己的名称、组织机构和生产经营场所；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（三）有确定的经营范围；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（四）有与生产经营和服务规模相适应的资金、设备、从业人员和必要的原材料条件；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（五）有必要的劳动卫生、安全生产条件和环境保护措施；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（六）符合当地乡村建设规划，合理利用土地。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企业应当在核准登记的经营范围内从事生产经营活动。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企业分立、合并、迁移、停业、终止以及改变名称、经营范围等，须经原批准企业设立的机关核准，向当地工商行政管理机关和税务机关办理变更或者注销登记，并通知开户银行。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企业分立、合并、停业或者终止时，必须保护其财产，依法清理债权、债务。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企业破产应当进行破产清算，法人以企业的财产对企业债权人清偿债务。</w:t>
      </w:r>
    </w:p>
    <w:p>
      <w:pPr>
        <w:pStyle w:val="63"/>
        <w:spacing w:before="218" w:after="218" w:line="412" w:lineRule="exact"/>
      </w:pPr>
      <w:r>
        <w:t xml:space="preserve">第三章 </w:t>
      </w:r>
      <w:r>
        <w:rPr>
          <w:rFonts w:hint="eastAsia"/>
        </w:rPr>
        <w:t xml:space="preserve"> </w:t>
      </w:r>
      <w:r>
        <w:t>企业的所有者和经营者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企业财产属于举办该企业的乡或者村范围内的全体农民集体所有，由乡或者村的农民大会（农民代表会议）或者代表全体农民的集体经济组织行使企业财产的所有权。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企业实行承包、租赁制或者与其他所有制企业联营的，企业财产的所有权不变。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企业所有者依法决定企业的经营方向、经营形式、厂长（经理）人选或者选聘方式，依法决定企业税后利润在其与企业之间的具体分配比例，有权作出关于企业分立、合并、迁移、停业、终止、申请破产等决议。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企业所有者应当为企业的生产、供应、销售提供服务，并尊重企业的自主权。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实行承包或者租赁制的企业，企业所有者应当采取公开招标方式确定经营者，不具备条件的，也可以采取招聘、推荐等方式选用经营者。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招标可以在企业内部或者企业外部进行。投标者可以是经营集团或者个人。经营集团中标后，必须确定企业经营者。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企业所有者应当对投标者全面评审，择优选定。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实行承包或者租赁制的企业，企业经营者应当具备下列条件：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（一）坚持四项基本原则和改革开放，遵纪守法；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（二）必要的文化知识和专业技术知识；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（三）必要的企业经营管理能力；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（四）提供必要的财产担保或者保证人；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（五）企业所有者提供的其他合法条件。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企业经营者是企业的厂长（经理）。企业实行厂长（经理）负责制。厂长（经理）对企业全面负责，代表企业行使职权。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实行承包或者租赁制的企业，订立承包或者租赁合同时，应当坚持平等、自愿、协商的原则，兼顾国家、集体和个人的利益。</w:t>
      </w:r>
    </w:p>
    <w:p>
      <w:pPr>
        <w:pStyle w:val="63"/>
        <w:spacing w:before="218" w:after="218" w:line="412" w:lineRule="exact"/>
      </w:pPr>
      <w:r>
        <w:t>第四章</w:t>
      </w:r>
      <w:r>
        <w:rPr>
          <w:rFonts w:hint="eastAsia"/>
        </w:rPr>
        <w:t xml:space="preserve"> </w:t>
      </w:r>
      <w:r>
        <w:t xml:space="preserve"> 企业的权利和义务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企业在生产经营活动中享有下列权利：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（一）占有和使用企业资产，依照国家规定筹集资金；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（二）在核准登记的范围内自主安排生产经营活动；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（三）确定企业内部机构设置和人员配备；依法招聘、辞退职工，并确定工资形式和奖惩办法；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（四）有权自行销售本企业的产品，但国务院另有规定的除外；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（五）有权自行确定本企业的产品价格、劳务价格，但国务院规定由物价部门和有关主管部门控制价格的除外；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（六）自愿参加行业协会和产品评比；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（七）依照国家规定自愿参加各种招标、投标活动，申请产品定点生产，取得生产许可证；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（八）自主订立经济合同，开展经济技术合作；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（九）依法开发和利用自然资源；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（十）依法利用外资、引进先进技术和设备，开展进出口贸易等涉外经济活动，并依照国家规定提留企业的外汇收入；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（十一）拒绝摊派和非法罚款，但法律、法规规定应当提供财力、物力、人力的除外。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企业在生产经营活动中应当履行下列义务：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（一）依法缴纳税金；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（二）依照国家以及省、自治区、直辖市人民政府的规定，上交支农资金和管理费；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（三）依法建立健全财务会计、审计、统计等制度，按期编报财务、统计报表；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（四）保护自然资源和环境，防止和治理污染；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（五）努力降低原材料和能源消耗，发展符合国家产业政策的产品；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（六）做好劳动保护工作，实行安全生产；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（七）保证产品质量和服务质量；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（八）依法履行合同；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（九）对职工进行政治思想、科学文化、技术业务和职业道德等方面的教育；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（十）遵守法律、法规和政策的其他规定。</w:t>
      </w:r>
    </w:p>
    <w:p>
      <w:pPr>
        <w:pStyle w:val="63"/>
        <w:spacing w:before="218" w:after="218" w:line="412" w:lineRule="exact"/>
      </w:pPr>
      <w:r>
        <w:t xml:space="preserve">第五章 </w:t>
      </w:r>
      <w:r>
        <w:rPr>
          <w:rFonts w:hint="eastAsia"/>
        </w:rPr>
        <w:t xml:space="preserve"> </w:t>
      </w:r>
      <w:r>
        <w:t>企业的管理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企业职工有参加企业民主管理，对厂长（经理）和其他管理人员提出批评和控告的权利。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企业职工大会或者职工代表大会有权对企业经营管理中的问题提出意见和建议，评议、监督厂长（经理）和其他管理人员，维护职工的合法权益。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企业应当兼顾国家、集体和个人的利益，合理安排积累与消费的比例，对职工实行各尽所能、按劳分配的原则。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男工与女工应当同工同酬。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企业招用职工应当依法签订劳动合同，实行灵活的用工形式和办法。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对技术要求高的企业，应当逐步形成专业化的技术职工队伍。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企业不得招用未满十六周岁的童工。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企业对从事高度危险作业的职工，必须依照国家规定向保险公司投保。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有条件的企业，应当参照国家有关规定实行职工社会保险。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企业发生劳动争议，可以依照《中华人民共和国劳动争议调解仲裁法》处理。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企业税后利润，留给企业的部分不应低于６０％，由企业自主安排，主要用作增加生产发展基金，进行技术改造和扩大再生产，适当增加福利基金和奖励基金。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企业税后利润交给企业所有者的部分，主要用于扶持农业基本建设、农业技术服务、农村公益事业、企业更新改造或者发展新企业。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企业应当根据国家有关规定，加强本企业的各项基础管理和合同管理。</w:t>
      </w:r>
    </w:p>
    <w:p>
      <w:pPr>
        <w:pStyle w:val="63"/>
        <w:spacing w:before="218" w:after="218" w:line="412" w:lineRule="exact"/>
      </w:pPr>
      <w:r>
        <w:t xml:space="preserve">第六章 </w:t>
      </w:r>
      <w:r>
        <w:rPr>
          <w:rFonts w:hint="eastAsia"/>
        </w:rPr>
        <w:t xml:space="preserve"> </w:t>
      </w:r>
      <w:r>
        <w:t>企业与政府有关部门的关系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各级人民政府乡镇企业行政主管部门根据国家的法律、法规和政策，加强对企业的指导、管理、监督、协调和服务；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（一）监督检查企业执行国家法律、法规和政策；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（二）制订企业发展规划，协同有关部门制定农村剩余劳动力就业规划；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（三）会同有关部门指导企业的计划、统计、财务、审计、价格、物资、质量、设备、技术、劳动、安全生产、环境保护等管理工作；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（四）组织和指导企业的技术进步、职工教育和培训；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（五）向企业提供经济、技术咨询和信息服务；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（六）协调企业与有关方面的关系，帮助企业开展经济技术合作；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（七）总结推广企业发展的经验；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（八）组织和指导企业的思想政治工作，促进企业的社会主义精神文明建设。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各级人民政府有关行业管理部门应当根据国家的产业政策和行业发展规划，对企业的发展方向进行指导和监督；对企业开展技术指导、人才培训和经济、技术信息服务；指导、帮助和监督企业开展劳动保护、环境保护等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政府有关部门应当为符合国家产业政策，经济和社会效益好的企业创造发展条件：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（一）根据国家有关规定，对生产名、优产品和出口创汇产品的企业，应当在信贷、能源、原材料和运输等方面给予扶持；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（二）为企业培训、招用专业技术人才和引进先进技术创造条件。</w:t>
      </w:r>
    </w:p>
    <w:p>
      <w:pPr>
        <w:pStyle w:val="63"/>
        <w:spacing w:before="218" w:after="218" w:line="412" w:lineRule="exact"/>
      </w:pPr>
      <w:r>
        <w:t xml:space="preserve">第七章 </w:t>
      </w:r>
      <w:r>
        <w:rPr>
          <w:rFonts w:hint="eastAsia"/>
        </w:rPr>
        <w:t xml:space="preserve"> </w:t>
      </w:r>
      <w:r>
        <w:t>奖励与处罚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对在企业经营管理、科技进步、劳动保护、环境保护和思想政治工作等方面作出显著成绩的企业和个人，由人民政府给予奖励。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企业产品质量达不到国家规定标准的，企业所有者和企业主管部门应当责令其限期整顿，经整顿无效者，应当责令其停产或者转产，直至建议有关机关撤销生产许可证，吊销营业执照。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企业因生产、销售前款所指的产品，给用户和消费者造成财产损失、人身损害的，应当承担赔偿责任；构成犯罪的，依法追究刑事责任。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企业厂长（经理）侵犯职工合法权益，情节严重的，由企业所有者给予行政处分；构成犯罪的，依法追究刑事责任。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向企业摊派的单位和个人，企业可以向审计机关或者其他有关部门控告、检举。经审计机关确认是摊派行为的，由审计机关通知摊派单位停止摊派行为，限期退回摊派财物；对摊派单位的负责人和直接责任人员，监察机关或者有关主管部门可以根据情节轻重，给予行政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政府部门的工作人员玩忽职守、滥用职权，使企业合法权益遭受损害的，由其所在单位或者上级主管机关给予行政处分；构成犯罪的，依法追究刑事责任。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企业违反财政、税收、劳动、工商行政、价格、资源、环境保护等法律、法规的，依照有关法律、法规处理。</w:t>
      </w:r>
    </w:p>
    <w:p>
      <w:pPr>
        <w:pStyle w:val="63"/>
        <w:spacing w:before="218" w:after="218" w:line="412" w:lineRule="exact"/>
      </w:pPr>
      <w:r>
        <w:t>第八章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本条例由国务院乡镇企业行政主管部门负责解释，并组织实施。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省、自治区、直辖市人民政府可以根据本条例制定实施办法。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本条例自</w:t>
      </w:r>
      <w:r>
        <w:rPr>
          <w:rFonts w:hint="eastAsia" w:asciiTheme="minorEastAsia" w:hAnsiTheme="minorEastAsia" w:eastAsiaTheme="minorEastAsia"/>
          <w:sz w:val="24"/>
          <w:szCs w:val="24"/>
        </w:rPr>
        <w:t>1990</w:t>
      </w:r>
      <w:r>
        <w:rPr>
          <w:rFonts w:asciiTheme="minorEastAsia" w:hAnsiTheme="minorEastAsia" w:eastAsiaTheme="minorEastAsia"/>
          <w:sz w:val="24"/>
          <w:szCs w:val="24"/>
        </w:rPr>
        <w:t>年</w:t>
      </w:r>
      <w:r>
        <w:rPr>
          <w:rFonts w:hint="eastAsia" w:asciiTheme="minorEastAsia" w:hAnsiTheme="minorEastAsia" w:eastAsiaTheme="minorEastAsia"/>
          <w:sz w:val="24"/>
          <w:szCs w:val="24"/>
        </w:rPr>
        <w:t>7</w:t>
      </w:r>
      <w:r>
        <w:rPr>
          <w:rFonts w:asciiTheme="minorEastAsia" w:hAnsiTheme="minorEastAsia" w:eastAsiaTheme="minorEastAsia"/>
          <w:sz w:val="24"/>
          <w:szCs w:val="24"/>
        </w:rPr>
        <w:t>月</w:t>
      </w:r>
      <w:r>
        <w:rPr>
          <w:rFonts w:hint="eastAsia" w:asciiTheme="minorEastAsia" w:hAnsiTheme="minorEastAsia" w:eastAsiaTheme="minorEastAsia"/>
          <w:sz w:val="24"/>
          <w:szCs w:val="24"/>
        </w:rPr>
        <w:t>1</w:t>
      </w:r>
      <w:r>
        <w:rPr>
          <w:rFonts w:asciiTheme="minorEastAsia" w:hAnsiTheme="minorEastAsia" w:eastAsiaTheme="minorEastAsia"/>
          <w:sz w:val="24"/>
          <w:szCs w:val="24"/>
        </w:rPr>
        <w:t>日起施行。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379" w:name="_Toc18942598"/>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380" w:name="_Toc25648190"/>
      <w:bookmarkStart w:id="381" w:name="_Toc28250900"/>
      <w:bookmarkStart w:id="382" w:name="_Toc28156972"/>
      <w:bookmarkStart w:id="383" w:name="_Toc28252172"/>
      <w:bookmarkStart w:id="384" w:name="_Toc26347950"/>
      <w:bookmarkStart w:id="385" w:name="_Toc25653685"/>
      <w:r>
        <w:t>北京市农村股份合作企业暂行条例</w:t>
      </w:r>
      <w:bookmarkEnd w:id="379"/>
      <w:bookmarkEnd w:id="380"/>
      <w:bookmarkEnd w:id="381"/>
      <w:bookmarkEnd w:id="382"/>
      <w:bookmarkEnd w:id="383"/>
      <w:bookmarkEnd w:id="384"/>
      <w:bookmarkEnd w:id="385"/>
    </w:p>
    <w:p>
      <w:pPr>
        <w:pStyle w:val="62"/>
      </w:pPr>
      <w:r>
        <w:t>（</w:t>
      </w:r>
      <w:r>
        <w:rPr>
          <w:rFonts w:hint="eastAsia"/>
        </w:rPr>
        <w:t>1996年9月6日北京市第十届人民代表大会常务委员会第三十次会议通过，根据2016年11月25日北京市第十四届人民代表大会常务委员会第三十一次会议通过的《关于修改部分地方性法规的决定》修正</w:t>
      </w:r>
      <w:r>
        <w:t>）</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为了规范农村股份合作企业的组织和行为，保护企业、合作股东和债权人的合法权益，促进农村经济发展，根据国家有关法律、法规的规定，结合本市实际情况，制定本条例。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本条例适用于本市行政区域内乡、镇合作经济联合社或者村经济合作社及其社员共同投资，并可依法吸纳其他投资，按照本条例设立的农村股份合作企业。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农村股份合作企业是以合作制为基础，实行农民群众劳动合作和资金联合相结合的企业组织形式。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农村股份合作企业的投资者称合作股东。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农村股份合作企业实行以下原则：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（一）劳动合作与资金联合相结合，按劳分配与按股分红相结合；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（二）资金共筹、积累共有、利益共享、风险共担、同股同利；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（三）自主经营、独立核算、自负盈亏、民主管理。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农村股份合作企业是依法享有民事权利，以其全部资产独立承担民事责任的企业法人。合作股东以其所持股份为限为企业债务承担责任。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享有合作股东投资形成的全部法人财产权，其合法权益受法律保护。政府和任何组织及个人不得干预农村股份合作企业的合法经营活动，不得平调、侵占企业财产，不得要求企业承担法律、法规规定以外的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农村股份合作企业不得向负无限责任的经济组织投资。向其他经济组织投资的，其投资总额不得超过本企业净资产的百分之五十；在投资后，接受被投资经济组织以利润转增的资本，其增加额不包括在内。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农村股份合作企业向其他经济组织投资、为合作股东或者他人提供经济担保，必须由理事会决定。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农村股份合作企业享有和承担法律、法规对乡镇集体企业规定的权利和义务，享受国家对乡镇集体企业规定的待遇和优惠政策。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农村股份合作企业必须遵守国家法律、法规，接受政府依法进行的管理和监督。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农村股份合作企业经工商行政管理部门依法核准登记成立。</w:t>
      </w:r>
    </w:p>
    <w:p>
      <w:pPr>
        <w:pStyle w:val="63"/>
        <w:spacing w:before="218" w:after="218" w:line="412" w:lineRule="exact"/>
      </w:pPr>
      <w:r>
        <w:t xml:space="preserve">第二章 </w:t>
      </w:r>
      <w:r>
        <w:rPr>
          <w:rFonts w:hint="eastAsia"/>
        </w:rPr>
        <w:t xml:space="preserve"> </w:t>
      </w:r>
      <w:r>
        <w:t>设</w:t>
      </w:r>
      <w:r>
        <w:rPr>
          <w:rFonts w:hint="eastAsia"/>
        </w:rPr>
        <w:t xml:space="preserve">  </w:t>
      </w:r>
      <w:r>
        <w:t>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设立农村股份合作企业必须坚持自愿原则。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设立农村股份合作企业可以采取改建或者新建的方式：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（一）改建方式是指：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1.将乡、镇合作经济联合社或者村经济合作社（以下简称合作社）原有集体企业资产折成股份，并吸纳新的投资设立的股份合作企业；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2.将合作社原有集体企业资产部分出售，按产权折成股份，并吸纳新的投资设立的股份合作企业；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3.按照本条例规定的原则，采取其他方式将合作社原有集体企业改组设立的股份合作企业。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（二）新建方式是指合作社及其社员共同投资，并可吸纳其他投资设立的股份合作企业。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设立农村股份合作企业（以下简称企业），应当由合作社作为发起人。设立企业的方案，必须经合作社社员大会或者社员代表会议批准。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改建设立的，应当事先经企业职工大会或者职工代表大会讨论通过；有外部投资的，应当事先征得投资方同意；出售部分原有集体企业资产的，应当经合作社社员大会或者社员代表会议批准。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合作股东可以用货币入股，也可以用实物、工业产权、非专利技术和土地使用权作价入股。在农业企业工作的合作社社员，可以用其劳动积累作价入股。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以工业产权、非专利技术作价入股的金额不得超过企业注册资本总额的百分之二十，国家另有规定的从其规定。以土地使用权作价入股的，必须是经依法批准的建设用地。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除货币外，以其他资产入股的，必须出具产权证明，并办理产权转移手续。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集体资产的产权界定依照《北京市农村集体资产管理条例》的规定执行。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以实物、工业产权、非专利技术和土地使用权作价入股的，必须由具有资产评估资格的机构进行资产评估。集体资产评估结果应当经社员大会或者社员代表会议确认。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禁止将集体资产低价折股、低价出售。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农村合作经济管理部门要加强对集体资产评估工作的指导和监督。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企业的注册资本为合作股东实际缴纳的股本总额。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企业的注册资本不得少于3万元人民币。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企业应当制定章程。企业章程由合作股东大会讨论通过。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企业章程应当载明下列事项：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（一）企业的名称和住所；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（二）企业的宗旨和经营范围；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（三）企业的设立方式；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（四）合作股东的权利和义务；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（五）企业注册资本、股份种类、各类股金总额、每股金额；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（六）收益分配及亏损分担办法；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（七）企业组织机构及其产生办法、职权、议事规则；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（八）企业法定代表人；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（九）企业终止的条件和程序；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（十）企业章程修订程序；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（十一）企业章程设立日期；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（十二）法律、法规规定的其他事项。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设立企业的筹备工作结束后，由合作股东大会指定的代表或者共同委托的代理人向当地工商行政管理部门申请注册登记，领取营业执照，并报乡镇企业主管机关备案。</w:t>
      </w:r>
    </w:p>
    <w:p>
      <w:pPr>
        <w:pStyle w:val="63"/>
        <w:spacing w:before="218" w:after="218" w:line="412" w:lineRule="exact"/>
      </w:pPr>
      <w:r>
        <w:t xml:space="preserve">第三章 </w:t>
      </w:r>
      <w:r>
        <w:rPr>
          <w:rFonts w:hint="eastAsia"/>
        </w:rPr>
        <w:t xml:space="preserve"> </w:t>
      </w:r>
      <w:r>
        <w:t>股</w:t>
      </w:r>
      <w:r>
        <w:rPr>
          <w:rFonts w:hint="eastAsia"/>
        </w:rPr>
        <w:t xml:space="preserve">  </w:t>
      </w:r>
      <w:r>
        <w:t>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企业应当设置集体股、职工个人股。社员个人股、社会法人股和其他种类股份的设置由企业章程规定，但不得违反国家法律、法规的有关规定。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集体股是指合作社投资或者将集体资产折股后形成的由该合作社社员集体所有的股份，经社员大会或者社员代表会议同意，可以在本合作社内部转让，也可以向法人转让，但不得因转让股份而改变企业股份合作的性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职工个人股是指本企业职工投资购买或者投劳形成的股份，可以继承，可以在本合作社内部转让。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社员个人股是指在合作社内部募集的非本企业职工购买的股份，可以继承，可以在本合作社内部转让。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社会法人股是指法人向企业投资形成的股份，可以向其他法人或者合作股东转让。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企业办理工商登记手续后，所有合作股东都不得抽回出资，不得退股。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合作股东依法转让股份，须经理事会批准。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企业应当在登记注册后签发股权证书，作为合作股东享受权利和承担义务的书面凭证。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股权证书应当载明以下事项：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（一）企业的名称、住所；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（二）企业登记日期；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（四）合作股东名称或者姓名、住所及其股份种类、数额；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（五）合作股东缴纳的出资额和出资日期；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（六）核发日期；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（七）企业签章、理事长签名；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（八）其他需要载明的事项。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企业应当置备合作股东名册。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合作股东名册应当载明以下事项：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（一）合作股东姓名或者名称和住所；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（二）合作股东的出资额、股份种类和股份数额；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（三）股权证书编号；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（四）取得股份的日期。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合作股东转让股份应当变更股权证书和合作股东名册。</w:t>
      </w:r>
    </w:p>
    <w:p>
      <w:pPr>
        <w:pStyle w:val="63"/>
        <w:spacing w:before="218" w:after="218" w:line="412" w:lineRule="exact"/>
      </w:pPr>
      <w:r>
        <w:t>第四章</w:t>
      </w:r>
      <w:r>
        <w:rPr>
          <w:rFonts w:hint="eastAsia"/>
        </w:rPr>
        <w:t xml:space="preserve"> </w:t>
      </w:r>
      <w:r>
        <w:t xml:space="preserve"> 组织机构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企业设立合作股东大会、理事会、经理和监事会。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合作股东大会是企业权力机构，行使下列职权：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（一）决定或者罢免理事会、监事会成员；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（二）审议批准企业年度财务预算、决算方案；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（三）审议批准企业利润分配和亏损弥补方案；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（四）审议批准企业股份调整方案；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（五）审议批准企业增减注册资本方案；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（六）审议批准企业合并、分立、变更组织形式、解散和清算方案；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（七）决定修改企业章程；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（八）企业章程规定的其他职权。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合作股东大会实行一人一票制。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合作股东大会作出决议必须经全体合作股东半数以上通过。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企业成立理事会，组成人员一般不少于五人。理事会成员由各类合作股东代表理事组成，各类代表理事名额参照各自股份比例确定，代表理事人选分别由各类合作股东推荐。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理事任期由企业章程规定，任期届满可以连选连任。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理事会对合作股东大会负责，行使下列职权：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（一）审定企业的发展规划、年度生产经营计划；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（二）确定企业的经营方针和管理机构的设置；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（三）批准企业的规章制度；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（四）听取并审查经理的工作报告；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（五）审查企业年度财务预算、决算方案和利润分配方案；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（六）对企业增加或者减少注册资本，分立、合并或者清算等重大事项提出方案；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（七）聘任或者解聘企业经理，根据经理提名，聘任或者解聘副经理和财务主管；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（八）决定对企业经理、副经理和财务主管的奖惩；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（九）本条例和企业章程规定的其他职权。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理事会的决议须经全体理事半数以上同意方可通过。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理事长是企业的法定代表人，由理事会选举或者罢免。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理事长行使下列职权：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（一）召集和主持合作股东大会和理事会会议；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（二）检查合作股东大会决议和理事会决议的实施情况；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（三）企业章程规定的其他职权。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企业经理对理事会负责，行使下列职权：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（一）根据企业章程和理事会授权负责企业的日常经营管理；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（二）组织实施合作股东大会和理事会的决议；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（三）拟定企业的发展规划和年度生产经营计划草案；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（四）提出企业经营方针和管理机构设置及规章制度草案；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（五）提出企业年度财务预算、决算方案和利润分配方案；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（六）提请聘任或者解聘企业副经理及财务主管，任免企业其他管理人员；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（七）决定对企业副经理（不含副经理和财务主管）以下员工的录用、辞退和奖惩；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（八）列席理事会会议；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（九）企业章程或者理事会授予的其他职权。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企业设立监事会，组成人员不得少于三人。其中，半数以上成员应当由职工股东出任。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企业的理事、经理及财务主管等高级管理人员不得兼任监事。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监事会行使下列职权：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（一）列席理事会会议；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（二）监督理事、经理的工作；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（三）检查企业经营和财务状况；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（四）必要时，建议召开临时合作股东大会；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（五）企业章程规定的其他职权。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监事会的决议必须经全体监事半数以上同意方可通过。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企业的合作股东和理事、经理、监事等高级管理人员，不得从事与本企业竞争或者损害本企业利益的活动。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有下列情形之一的，不得担任企业的理事长、理事、监事、经理：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（一）无民事行为能力或者限制民事行为能力；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（二）因犯有贪污、贿赂、侵占财产、挪用财产罪或者破坏社会经济秩序罪，被判处刑罚，执行期满未逾五年，或者因犯罪被剥夺政治权利，执行期满未逾五年；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（三）担任因经营不善破产清算的公司、企业的董事或者厂长、经理，并对该公司、企业的破产负有个人责任的，自该公司、企业破产清算完结之日起未逾三年；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（四）担任因违法被吊销营业执照的公司、企业的法定代表人，并负有个人责任的，自该公司、企业被吊销营业执照之日起未逾三年；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（五）个人所负数额较大的债务到期尚未清偿。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企业违反前款规定选举、委派理事长、理事、监事或者聘任经理的，该选举、委派或者聘任无效。</w:t>
      </w:r>
    </w:p>
    <w:p>
      <w:pPr>
        <w:pStyle w:val="63"/>
        <w:spacing w:before="218" w:after="218" w:line="412" w:lineRule="exact"/>
      </w:pPr>
      <w:r>
        <w:t xml:space="preserve">第五章 </w:t>
      </w:r>
      <w:r>
        <w:rPr>
          <w:rFonts w:hint="eastAsia"/>
        </w:rPr>
        <w:t xml:space="preserve"> </w:t>
      </w:r>
      <w:r>
        <w:t>财务会计与收益分配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企业应当依照法律、法规和国家有关部门的规定，建立财务、会计制度，定期向合作股东公布帐目。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企业的税后利润，应当按照下列顺序分配：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（一）弥补被依法没收财物损失，支付各项税收的滞纳金和罚款；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（二）弥补亏损；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（三）提取公积金；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（四）提取公益金；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（五）按照企业章程规定的比例，提取职工积累基金；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（六）向合作股东分配股利。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企业当年没有利润时不得分配股利和提取职工积累基金。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公积金用于弥补亏损、增加股本、扩大生产经营和企业章程规定的其他用途。</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公益金用于本企业职工的集体福利。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职工积累基金按照按劳分配原则，划归职工个人名下。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企业应当建立内部审计制度，加强对企业财务及其他经济活动的审计监督。</w:t>
      </w:r>
    </w:p>
    <w:p>
      <w:pPr>
        <w:pStyle w:val="63"/>
        <w:spacing w:before="218" w:after="218" w:line="412" w:lineRule="exact"/>
      </w:pPr>
      <w:r>
        <w:t xml:space="preserve">第六章 </w:t>
      </w:r>
      <w:r>
        <w:rPr>
          <w:rFonts w:hint="eastAsia"/>
        </w:rPr>
        <w:t xml:space="preserve"> </w:t>
      </w:r>
      <w:r>
        <w:t>合并、分立与解散清算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企业合并或者分立，应当由理事会提出方案并编制资产负债表和财产清单。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企业合并或者分立的方案，应当由合作股东大会作出决议。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企业作出合并或者分立的决议后，应当通知债权人，签订清偿债务协议，达不成协议的，企业不得合并或者分立。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企业合并，应当由合并各方签订合并协议。企业合并时，合并各方的债权债务，应当由合并后的企业承继。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企业分立时，应当由分立各方签订分立协议，明确划分分立各方的财产、经营范围、债权债务。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企业的合并或者分立，应当由工商行政管理部门办理注册登记。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企业被依法撤销或者因其他原因解散的，应当成立清算组织，进行清算。清算时，应当由具有资产评估资格的机构对企业资产进行评估。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清算组织在清理企业财产、编制资产负债表和财产清单后，应当制定清算方案，并报合作股东大会确认。用土地使用权抵偿债务，必须符合土地管理法律、法规的规定。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清算组织在支付清算费用后，按照下列顺序清偿债务：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（一）欠付职工的工资和劳动保险费用；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（二）欠缴国家的各项税款；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（三）企业其他债务。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企业清偿后的剩余财产，按照合作股东的股份分配。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财产不足以清偿债务的，经债权人协商一致，由清算组织按照债权数额比例分割企业财产。企业财产不足以清偿同一顺序债务的，按照同一顺序偿还率清偿。债权人达不成协议的，由债权人或者企业向人民法院申请破产还债，人民法院裁定企业破产后，原清算程序终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清算结束，清算组织应当提出清算报告，经合作股东大会确认后，报送工商行政管理部门申请注销登记，公告企业终止。</w:t>
      </w:r>
    </w:p>
    <w:p>
      <w:pPr>
        <w:pStyle w:val="63"/>
        <w:spacing w:before="218" w:after="218" w:line="412" w:lineRule="exact"/>
      </w:pPr>
      <w:r>
        <w:t xml:space="preserve">第七章 </w:t>
      </w:r>
      <w:r>
        <w:rPr>
          <w:rFonts w:hint="eastAsia"/>
        </w:rPr>
        <w:t xml:space="preserve"> </w:t>
      </w:r>
      <w:r>
        <w:t>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违反本条例第六条规定的，由企业所在地乡、镇或者区、县人民政府责令改正和赔偿经济损失；企业也可以直接向人民法院起诉，要求侵权者承担法律责任；构成犯罪的，依法追究其刑事责任。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违反本条例第七条规定的，由企业所在地乡、镇或者区、县农村合作经济管理部门责令改正；给企业造成损失的，由法定代表人或者直接责任人承担赔偿责任。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违反本条例第十四条规定，合作股东未交付货币、实物或者未转移财产权、虚假出资，或者在企业成立后又抽逃出资的，由企业所在地乡、镇或者区、县农村合作经济管理部门责令改正；对拒不改正的，可以向人民法院起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违反本条例第十六条规定，将集体财产低价折股、低价出售的，由企业所在地乡、镇或者区、县农村合作经济管理部门责令改正。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违反本条例第三十八条规定的，由企业所在地乡、镇或者区、县农村合作经济管理部门责令其将获得的非法利益交归企业所有，给企业造成损失的，应当承担赔偿责任。对拒不承担责任的，企业可以向人民法院起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违反本条例第四十一条、第四十二条规定的，由企业所在地乡、镇或者区、县人民政府予以纠正。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利用分立、合并和解散、清算抽逃资产、隐匿财产、逃避债务的，由工商行政管理部门依法处理。</w:t>
      </w:r>
    </w:p>
    <w:p>
      <w:pPr>
        <w:pStyle w:val="63"/>
        <w:spacing w:before="218" w:after="218" w:line="412" w:lineRule="exact"/>
      </w:pPr>
      <w:r>
        <w:t xml:space="preserve">第八章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本条例自1997年1月1日起施行。</w:t>
      </w:r>
    </w:p>
    <w:p>
      <w:pPr>
        <w:pStyle w:val="4"/>
        <w:keepNext w:val="0"/>
        <w:keepLines w:val="0"/>
        <w:topLinePunct/>
        <w:spacing w:line="416" w:lineRule="exact"/>
        <w:ind w:firstLine="482"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386" w:name="_Toc18942599"/>
    </w:p>
    <w:p>
      <w:pPr>
        <w:pStyle w:val="4"/>
        <w:keepNext w:val="0"/>
        <w:keepLines w:val="0"/>
        <w:topLinePunct/>
        <w:spacing w:line="416" w:lineRule="exact"/>
        <w:ind w:firstLine="482" w:firstLineChars="200"/>
        <w:rPr>
          <w:rFonts w:asciiTheme="minorEastAsia" w:hAnsiTheme="minorEastAsia" w:eastAsiaTheme="minorEastAsia"/>
          <w:sz w:val="24"/>
          <w:szCs w:val="24"/>
        </w:rPr>
      </w:pPr>
    </w:p>
    <w:p>
      <w:pPr>
        <w:pStyle w:val="61"/>
      </w:pPr>
      <w:bookmarkStart w:id="387" w:name="_Toc25648191"/>
      <w:bookmarkStart w:id="388" w:name="_Toc28250901"/>
      <w:bookmarkStart w:id="389" w:name="_Toc25653686"/>
      <w:bookmarkStart w:id="390" w:name="_Toc28156973"/>
      <w:bookmarkStart w:id="391" w:name="_Toc26347951"/>
      <w:bookmarkStart w:id="392" w:name="_Toc28252173"/>
      <w:r>
        <w:t>农民承担费用和劳务管理条例</w:t>
      </w:r>
      <w:bookmarkEnd w:id="386"/>
      <w:bookmarkEnd w:id="387"/>
      <w:bookmarkEnd w:id="388"/>
      <w:bookmarkEnd w:id="389"/>
      <w:bookmarkEnd w:id="390"/>
      <w:bookmarkEnd w:id="391"/>
      <w:bookmarkEnd w:id="392"/>
    </w:p>
    <w:p>
      <w:pPr>
        <w:pStyle w:val="62"/>
        <w:topLinePunct w:val="0"/>
        <w:ind w:firstLine="0" w:firstLineChars="0"/>
        <w:jc w:val="center"/>
        <w:rPr>
          <w:shd w:val="clear" w:color="auto" w:fill="FFFFFF"/>
        </w:rPr>
      </w:pPr>
      <w:r>
        <w:rPr>
          <w:shd w:val="clear" w:color="auto" w:fill="FFFFFF"/>
        </w:rPr>
        <w:t>（</w:t>
      </w:r>
      <w:r>
        <w:rPr>
          <w:rFonts w:hint="eastAsia"/>
          <w:shd w:val="clear" w:color="auto" w:fill="FFFFFF"/>
        </w:rPr>
        <w:t>1991年12月7日国务院令1991年第92号公布</w:t>
      </w:r>
      <w:r>
        <w:rPr>
          <w:shd w:val="clear" w:color="auto" w:fill="FFFFFF"/>
        </w:rPr>
        <w:t>）</w:t>
      </w:r>
    </w:p>
    <w:p>
      <w:pPr>
        <w:pStyle w:val="63"/>
        <w:spacing w:before="218" w:after="218" w:line="412" w:lineRule="exact"/>
        <w:rPr>
          <w:b/>
          <w:kern w:val="0"/>
        </w:rPr>
      </w:pPr>
      <w:r>
        <w:t>第一章</w:t>
      </w:r>
      <w:r>
        <w:rPr>
          <w:rFonts w:hint="eastAsia"/>
        </w:rPr>
        <w:t xml:space="preserve">  </w:t>
      </w:r>
      <w:r>
        <w:rPr>
          <w:kern w:val="0"/>
        </w:rPr>
        <w:t>总</w:t>
      </w:r>
      <w:r>
        <w:rPr>
          <w:rFonts w:hint="eastAsia"/>
          <w:kern w:val="0"/>
        </w:rPr>
        <w:t xml:space="preserve"> </w:t>
      </w:r>
      <w:r>
        <w:rPr>
          <w:kern w:val="0"/>
        </w:rPr>
        <w:t xml:space="preserve"> 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第一条  </w:t>
      </w:r>
      <w:r>
        <w:rPr>
          <w:rFonts w:asciiTheme="minorEastAsia" w:hAnsiTheme="minorEastAsia" w:eastAsiaTheme="minorEastAsia"/>
          <w:kern w:val="0"/>
          <w:sz w:val="24"/>
          <w:szCs w:val="24"/>
        </w:rPr>
        <w:t>为了减轻农民负担，保护农民的合法权益，调动农民的生产积极性，保进农村经济持续稳定协调发展，制定本条例。</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第二条  </w:t>
      </w:r>
      <w:r>
        <w:rPr>
          <w:rFonts w:asciiTheme="minorEastAsia" w:hAnsiTheme="minorEastAsia" w:eastAsiaTheme="minorEastAsia"/>
          <w:kern w:val="0"/>
          <w:sz w:val="24"/>
          <w:szCs w:val="24"/>
        </w:rPr>
        <w:t>本条例所称农民承担的费用和劳务，是指农民除缴纳税金，完成国家农产品定购任务外，依照法律、法规所承担的村（包括村民小组，下同）提留、乡（包括镇，下同）统筹费、劳务（农村义务工和劳动积累工）以及其他费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向国家缴纳税金，完成国家农产品定购任务，承担前款规定的各项费用和劳务，是农民应尽的义务。除此以外要求农民无偿提供任何财力、物力和劳务的，均为非法行为，农民有权拒绝。</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第三条  </w:t>
      </w:r>
      <w:r>
        <w:rPr>
          <w:rFonts w:asciiTheme="minorEastAsia" w:hAnsiTheme="minorEastAsia" w:eastAsiaTheme="minorEastAsia"/>
          <w:kern w:val="0"/>
          <w:sz w:val="24"/>
          <w:szCs w:val="24"/>
        </w:rPr>
        <w:t>国务院农业行政主管部门主管全国农民承担费用和劳务（以下简称农民负担）的监督管理工作。县级以上地方人民政府农业行政主管部门主管本行政区域内的农民负担监督管理工作。</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乡人民政府主管本乡的农民负担监督管理工作，日常工作由乡农村经济经营管理部门负责。</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第四条  </w:t>
      </w:r>
      <w:r>
        <w:rPr>
          <w:rFonts w:asciiTheme="minorEastAsia" w:hAnsiTheme="minorEastAsia" w:eastAsiaTheme="minorEastAsia"/>
          <w:kern w:val="0"/>
          <w:sz w:val="24"/>
          <w:szCs w:val="24"/>
        </w:rPr>
        <w:t>各级农民负担监督管理部门负责检查有关农民负担管理的法律、法规和政策的执行情况；会同有关主管部门审核涉及农民负担的文件；协助有关机关处理涉及农民负担的案件；培训农民负担监督管理工作人员。</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第五条  </w:t>
      </w:r>
      <w:r>
        <w:rPr>
          <w:rFonts w:asciiTheme="minorEastAsia" w:hAnsiTheme="minorEastAsia" w:eastAsiaTheme="minorEastAsia"/>
          <w:kern w:val="0"/>
          <w:sz w:val="24"/>
          <w:szCs w:val="24"/>
        </w:rPr>
        <w:t>国家鼓励和支持发展农村集体经济，提倡主要依靠集体经营增加的收入，兴办农村社会主义物质文明和精神文明建设事业。</w:t>
      </w:r>
    </w:p>
    <w:p>
      <w:pPr>
        <w:pStyle w:val="63"/>
        <w:spacing w:before="218" w:after="218" w:line="412" w:lineRule="exact"/>
        <w:rPr>
          <w:b/>
          <w:kern w:val="0"/>
        </w:rPr>
      </w:pPr>
      <w:bookmarkStart w:id="393" w:name="2_2"/>
      <w:bookmarkEnd w:id="393"/>
      <w:bookmarkStart w:id="394" w:name="sub16007700_2_2"/>
      <w:bookmarkEnd w:id="394"/>
      <w:bookmarkStart w:id="395" w:name="第二章"/>
      <w:bookmarkEnd w:id="395"/>
      <w:bookmarkStart w:id="396" w:name="2-2"/>
      <w:bookmarkEnd w:id="396"/>
      <w:r>
        <w:t>第二章</w:t>
      </w:r>
      <w:r>
        <w:rPr>
          <w:rFonts w:hint="eastAsia"/>
        </w:rPr>
        <w:t xml:space="preserve">  </w:t>
      </w:r>
      <w:r>
        <w:rPr>
          <w:kern w:val="0"/>
        </w:rPr>
        <w:t>村提留、乡统筹费、劳务的标准和使用范围</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第六条  </w:t>
      </w:r>
      <w:r>
        <w:rPr>
          <w:rFonts w:asciiTheme="minorEastAsia" w:hAnsiTheme="minorEastAsia" w:eastAsiaTheme="minorEastAsia"/>
          <w:kern w:val="0"/>
          <w:sz w:val="24"/>
          <w:szCs w:val="24"/>
        </w:rPr>
        <w:t>农民直接向集体经济组织缴纳的村提留和乡统筹费（不含乡村集体所有制企业缴纳的利润），以乡为单位，以国家统计局批准、农业部制定的农村经济收益分配统计报表和计算方法统计的数字为依据，不得超过上一年农民人均纯收入的5%。对经济发达的地区，经省、自治区、直辖市批准，可以适当提高提取比例。乡统筹费的最高限额由省、自治区、直辖市确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第七条  </w:t>
      </w:r>
      <w:r>
        <w:rPr>
          <w:rFonts w:asciiTheme="minorEastAsia" w:hAnsiTheme="minorEastAsia" w:eastAsiaTheme="minorEastAsia"/>
          <w:kern w:val="0"/>
          <w:sz w:val="24"/>
          <w:szCs w:val="24"/>
        </w:rPr>
        <w:t>村提留包括公积金、公益金和管理费：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（一）公积金，用于农田水利基本建设、植树造林、购置生产性固定资产和兴办集体企业。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（二）公益金，用于五保户供养、特别困难户补助、合作医疗保健以及其他集体福利事业。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（三）管理费，用于村干部报酬和管理开支。</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村干部报酬实行定额补助和误工补贴两种形式。具体定额补助人数、标准和误工补贴办法，由乡人民政府根据村规模、经济发展水平和实际工作需要制定，报县级人民政府农民负担监督管理部门备案。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第八条  </w:t>
      </w:r>
      <w:r>
        <w:rPr>
          <w:rFonts w:asciiTheme="minorEastAsia" w:hAnsiTheme="minorEastAsia" w:eastAsiaTheme="minorEastAsia"/>
          <w:kern w:val="0"/>
          <w:sz w:val="24"/>
          <w:szCs w:val="24"/>
        </w:rPr>
        <w:t>乡统筹费用于安排乡村两级办学、计划生育、优抚、民兵训练、修建乡村道路等民办公助事业。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乡统筹费可以用于五保户供养。五保户供养从乡统筹费中列支的，不得在村提留中重复列支。</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第九条  </w:t>
      </w:r>
      <w:r>
        <w:rPr>
          <w:rFonts w:asciiTheme="minorEastAsia" w:hAnsiTheme="minorEastAsia" w:eastAsiaTheme="minorEastAsia"/>
          <w:kern w:val="0"/>
          <w:sz w:val="24"/>
          <w:szCs w:val="24"/>
        </w:rPr>
        <w:t>乡统筹费内的乡村两级办学经费（即农村教育事业费附加）用于本乡范围内乡村两级的民办教育事业。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乡村两级办学经费在乡统筹费内所占比例，由省、自治区、直辖市人民政府教育主管部门提出，经同级农民负担监督管理部门审核，报省、自治区、直辖市人民政府批准，并报国务院农业行政主管部门和教育主管部门备案。</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第十条  </w:t>
      </w:r>
      <w:r>
        <w:rPr>
          <w:rFonts w:asciiTheme="minorEastAsia" w:hAnsiTheme="minorEastAsia" w:eastAsiaTheme="minorEastAsia"/>
          <w:kern w:val="0"/>
          <w:sz w:val="24"/>
          <w:szCs w:val="24"/>
        </w:rPr>
        <w:t>农村义务工，主要用于植树造林、防汛、公路建勤、修缮校舍等。按标准工日计算，每个农民劳动力每年承担五至十个农村义务工。因抢险救灾，需要增加农村义务工的，由当地人民政府统筹安排。</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第十一条  </w:t>
      </w:r>
      <w:r>
        <w:rPr>
          <w:rFonts w:asciiTheme="minorEastAsia" w:hAnsiTheme="minorEastAsia" w:eastAsiaTheme="minorEastAsia"/>
          <w:kern w:val="0"/>
          <w:sz w:val="24"/>
          <w:szCs w:val="24"/>
        </w:rPr>
        <w:t>劳动积累工，主要用于农田水利基本建设和植树造林。按标准工日计算，每个农村劳动力每年承担10～20个劳动积累工。有条件的地方，经县级以上人民政府批准，可以适当增加。劳动积累工应当主要在农闲期间使用。</w:t>
      </w:r>
    </w:p>
    <w:p>
      <w:pPr>
        <w:pStyle w:val="63"/>
        <w:spacing w:before="218" w:after="218" w:line="412" w:lineRule="exact"/>
        <w:rPr>
          <w:b/>
          <w:kern w:val="0"/>
        </w:rPr>
      </w:pPr>
      <w:bookmarkStart w:id="397" w:name="第三章"/>
      <w:bookmarkEnd w:id="397"/>
      <w:bookmarkStart w:id="398" w:name="sub16007700_2_3"/>
      <w:bookmarkEnd w:id="398"/>
      <w:r>
        <w:t>第三章</w:t>
      </w:r>
      <w:r>
        <w:rPr>
          <w:rFonts w:hint="eastAsia"/>
        </w:rPr>
        <w:t xml:space="preserve">  </w:t>
      </w:r>
      <w:r>
        <w:rPr>
          <w:kern w:val="0"/>
        </w:rPr>
        <w:t>村提留、乡统筹费、劳务的提取和管理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第十二条  </w:t>
      </w:r>
      <w:r>
        <w:rPr>
          <w:rFonts w:asciiTheme="minorEastAsia" w:hAnsiTheme="minorEastAsia" w:eastAsiaTheme="minorEastAsia"/>
          <w:kern w:val="0"/>
          <w:sz w:val="24"/>
          <w:szCs w:val="24"/>
        </w:rPr>
        <w:t>村提留和乡统筹费主要按农民从事的产业和经济收入承担。承包耕地的农民按其承包的耕地面积或者劳动力向其所属的集体经济组织缴纳村提留和乡统筹费。</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经营个体工商业和私营企业的，应在税后按经营所在地规定的提取比例，缴纳村提留和乡统筹费，但不计算在本条例第六条规定的限额比例之内。</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第十三条  </w:t>
      </w:r>
      <w:r>
        <w:rPr>
          <w:rFonts w:asciiTheme="minorEastAsia" w:hAnsiTheme="minorEastAsia" w:eastAsiaTheme="minorEastAsia"/>
          <w:kern w:val="0"/>
          <w:sz w:val="24"/>
          <w:szCs w:val="24"/>
        </w:rPr>
        <w:t>对收入水平在本村平均线以下的革命军烈属、伤残军人、失去劳动能力的复员退伍军人和特别困难户，经村集体经济组织成员大会或者成员代表会讨论评定，适当减免村提留。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第十四条  </w:t>
      </w:r>
      <w:r>
        <w:rPr>
          <w:rFonts w:asciiTheme="minorEastAsia" w:hAnsiTheme="minorEastAsia" w:eastAsiaTheme="minorEastAsia"/>
          <w:kern w:val="0"/>
          <w:sz w:val="24"/>
          <w:szCs w:val="24"/>
        </w:rPr>
        <w:t>乡人民政府评定的贫困村，经村集体经济组织提出申请，乡农民负担监督管理部门审核、乡人民政府同意，报乡人民代表大会审议通过，可以适当核减乡统筹费。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第十五条  </w:t>
      </w:r>
      <w:r>
        <w:rPr>
          <w:rFonts w:asciiTheme="minorEastAsia" w:hAnsiTheme="minorEastAsia" w:eastAsiaTheme="minorEastAsia"/>
          <w:kern w:val="0"/>
          <w:sz w:val="24"/>
          <w:szCs w:val="24"/>
        </w:rPr>
        <w:t>农村义务工和劳动积累工以出劳为主，本人要求以资代劳的，须经村集体经济组织批准。</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对因病或者伤残不能承担农村义务工、劳动积累工的，经村集体经济组织成员大会或者成员代表会议讨论通过，可以减免。</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第十六条  </w:t>
      </w:r>
      <w:r>
        <w:rPr>
          <w:rFonts w:asciiTheme="minorEastAsia" w:hAnsiTheme="minorEastAsia" w:eastAsiaTheme="minorEastAsia"/>
          <w:kern w:val="0"/>
          <w:sz w:val="24"/>
          <w:szCs w:val="24"/>
        </w:rPr>
        <w:t>村提留和乡统筹费，实行全年统算统收制度，由村集体经济组织和乡人民政府组织收取。</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第十七条  </w:t>
      </w:r>
      <w:r>
        <w:rPr>
          <w:rFonts w:asciiTheme="minorEastAsia" w:hAnsiTheme="minorEastAsia" w:eastAsiaTheme="minorEastAsia"/>
          <w:kern w:val="0"/>
          <w:sz w:val="24"/>
          <w:szCs w:val="24"/>
        </w:rPr>
        <w:t>村提留，由村集体经济组织每年年底作出当年决算方案并提出下一年度预算方案，经村集体经济组织成员大会或者成员代表会议讨论通过，报乡人民政府备案。讨论通过的预、决算方案，应当张榜公布，接受群众监督。村民委员会应当对村提留的收取和使用实施监督。</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第十八条  </w:t>
      </w:r>
      <w:r>
        <w:rPr>
          <w:rFonts w:asciiTheme="minorEastAsia" w:hAnsiTheme="minorEastAsia" w:eastAsiaTheme="minorEastAsia"/>
          <w:kern w:val="0"/>
          <w:sz w:val="24"/>
          <w:szCs w:val="24"/>
        </w:rPr>
        <w:t>乡统筹费，由乡人民政府商乡集体经济组织每年年底做出当年决算方案并编制下一年度预算方案，经乡人民代表大会审议通过后，连同本乡范围内的村提留预算方案，一并报县级人民政府农民负担监督管理部门备案。讨论通过后的乡统筹费预、决算方案，应当张榜公布，接受群众监督。</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第十九条  </w:t>
      </w:r>
      <w:r>
        <w:rPr>
          <w:rFonts w:asciiTheme="minorEastAsia" w:hAnsiTheme="minorEastAsia" w:eastAsiaTheme="minorEastAsia"/>
          <w:kern w:val="0"/>
          <w:sz w:val="24"/>
          <w:szCs w:val="24"/>
        </w:rPr>
        <w:t>乡统筹费属于集体经济组织范围内全体农民所有，主要用于本乡民办公助事业，不得混淆和改变乡统筹费的集体资金性质和用途。</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第二十条  </w:t>
      </w:r>
      <w:r>
        <w:rPr>
          <w:rFonts w:asciiTheme="minorEastAsia" w:hAnsiTheme="minorEastAsia" w:eastAsiaTheme="minorEastAsia"/>
          <w:kern w:val="0"/>
          <w:sz w:val="24"/>
          <w:szCs w:val="24"/>
        </w:rPr>
        <w:t>对村提留和乡统筹费，应当实行严格的财务管理制度。集体经济组织应当对乡提留和乡统筹费的使用实行内部审计监督制度。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第二十一条  </w:t>
      </w:r>
      <w:r>
        <w:rPr>
          <w:rFonts w:asciiTheme="minorEastAsia" w:hAnsiTheme="minorEastAsia" w:eastAsiaTheme="minorEastAsia"/>
          <w:kern w:val="0"/>
          <w:sz w:val="24"/>
          <w:szCs w:val="24"/>
        </w:rPr>
        <w:t>农村义务工和劳动积累工，由乡人民政府商村集体经济组织提出用工计划，经乡人民代表大会审议通过后执行，年终由村集体经济组织张榜公布用工情况，接受群众监督。</w:t>
      </w:r>
    </w:p>
    <w:p>
      <w:pPr>
        <w:pStyle w:val="63"/>
        <w:spacing w:before="218" w:after="218" w:line="412" w:lineRule="exact"/>
        <w:rPr>
          <w:b/>
          <w:kern w:val="0"/>
        </w:rPr>
      </w:pPr>
      <w:bookmarkStart w:id="399" w:name="第四章"/>
      <w:bookmarkEnd w:id="399"/>
      <w:bookmarkStart w:id="400" w:name="sub16007700_2_4"/>
      <w:bookmarkEnd w:id="400"/>
      <w:r>
        <w:t>第四章</w:t>
      </w:r>
      <w:r>
        <w:rPr>
          <w:rFonts w:hint="eastAsia"/>
        </w:rPr>
        <w:t xml:space="preserve">  </w:t>
      </w:r>
      <w:r>
        <w:rPr>
          <w:kern w:val="0"/>
        </w:rPr>
        <w:t>其他项目的监督管理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第二十二条  </w:t>
      </w:r>
      <w:r>
        <w:rPr>
          <w:rFonts w:asciiTheme="minorEastAsia" w:hAnsiTheme="minorEastAsia" w:eastAsiaTheme="minorEastAsia"/>
          <w:kern w:val="0"/>
          <w:sz w:val="24"/>
          <w:szCs w:val="24"/>
        </w:rPr>
        <w:t>面向农民的行政事业性收费，其项目设置、标准的制定和调整，须经省、自治区、直辖市以上人民政府财政、物价主管部门会同农民负担监督管理部门批准，重要项目须经国务院或者省、自治区、直辖市人民政府批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第二十三条  </w:t>
      </w:r>
      <w:r>
        <w:rPr>
          <w:rFonts w:asciiTheme="minorEastAsia" w:hAnsiTheme="minorEastAsia" w:eastAsiaTheme="minorEastAsia"/>
          <w:kern w:val="0"/>
          <w:sz w:val="24"/>
          <w:szCs w:val="24"/>
        </w:rPr>
        <w:t>向农民集资，必须在法律、法规和国务院有关政策允许的范围内进行，并遵循自愿、适度、出资者受益、资金定向使用的原则。集资项目的设置和范围的确定，须经省、自治区、直辖市以上人民政府计划主管部门会同财政主管部门、农民负担监督管理部门批准，重要项目须经国务院或者省、自治区、直辖市人民政府批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第二十四条  </w:t>
      </w:r>
      <w:r>
        <w:rPr>
          <w:rFonts w:asciiTheme="minorEastAsia" w:hAnsiTheme="minorEastAsia" w:eastAsiaTheme="minorEastAsia"/>
          <w:kern w:val="0"/>
          <w:sz w:val="24"/>
          <w:szCs w:val="24"/>
        </w:rPr>
        <w:t>在农村建立各种基金，须经国务院财政主管部门会同农民负担监督管理部门和有关主管部门批准，重要项目须经国务院批准。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第二十五条  </w:t>
      </w:r>
      <w:r>
        <w:rPr>
          <w:rFonts w:asciiTheme="minorEastAsia" w:hAnsiTheme="minorEastAsia" w:eastAsiaTheme="minorEastAsia"/>
          <w:kern w:val="0"/>
          <w:sz w:val="24"/>
          <w:szCs w:val="24"/>
        </w:rPr>
        <w:t>向农民发放牌照、证件和簿册，必须依照法律、法规的规定或者经省、自治区、直辖市以上人民政府批准。向农民发放牌照、证件和簿册，只准收取工本费。</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第二十六条  </w:t>
      </w:r>
      <w:r>
        <w:rPr>
          <w:rFonts w:asciiTheme="minorEastAsia" w:hAnsiTheme="minorEastAsia" w:eastAsiaTheme="minorEastAsia"/>
          <w:kern w:val="0"/>
          <w:sz w:val="24"/>
          <w:szCs w:val="24"/>
        </w:rPr>
        <w:t>向农民发行有价证券、报刊和书籍，应当遵循自愿原则，任何单位不得摊派。</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第二十七条  </w:t>
      </w:r>
      <w:r>
        <w:rPr>
          <w:rFonts w:asciiTheme="minorEastAsia" w:hAnsiTheme="minorEastAsia" w:eastAsiaTheme="minorEastAsia"/>
          <w:kern w:val="0"/>
          <w:sz w:val="24"/>
          <w:szCs w:val="24"/>
        </w:rPr>
        <w:t>组织农民参加保险，应当遵守法律、法规的规定。</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第二十八条  </w:t>
      </w:r>
      <w:r>
        <w:rPr>
          <w:rFonts w:asciiTheme="minorEastAsia" w:hAnsiTheme="minorEastAsia" w:eastAsiaTheme="minorEastAsia"/>
          <w:kern w:val="0"/>
          <w:sz w:val="24"/>
          <w:szCs w:val="24"/>
        </w:rPr>
        <w:t>严禁非法对农民罚款和没收财物。</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第二十九条  </w:t>
      </w:r>
      <w:r>
        <w:rPr>
          <w:rFonts w:asciiTheme="minorEastAsia" w:hAnsiTheme="minorEastAsia" w:eastAsiaTheme="minorEastAsia"/>
          <w:kern w:val="0"/>
          <w:sz w:val="24"/>
          <w:szCs w:val="24"/>
        </w:rPr>
        <w:t>国家机关工作人员在农村执行公务，所需经费不得向农民和集体经济组织摊派。</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第三十条  </w:t>
      </w:r>
      <w:r>
        <w:rPr>
          <w:rFonts w:asciiTheme="minorEastAsia" w:hAnsiTheme="minorEastAsia" w:eastAsiaTheme="minorEastAsia"/>
          <w:kern w:val="0"/>
          <w:sz w:val="24"/>
          <w:szCs w:val="24"/>
        </w:rPr>
        <w:t>企业、事业单位为农民和集体经济组织提供经济、技术、劳务、信息等服务，应当遵循自愿原则。收取服务费用，应当按照国家有关规定执行。</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第三十一条  </w:t>
      </w:r>
      <w:r>
        <w:rPr>
          <w:rFonts w:asciiTheme="minorEastAsia" w:hAnsiTheme="minorEastAsia" w:eastAsiaTheme="minorEastAsia"/>
          <w:kern w:val="0"/>
          <w:sz w:val="24"/>
          <w:szCs w:val="24"/>
        </w:rPr>
        <w:t>任何行政机关、事业单位在农村设置机构或者配备人员，所需经费不得向农民和集体经济组织摊派。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第三十二条  </w:t>
      </w:r>
      <w:r>
        <w:rPr>
          <w:rFonts w:asciiTheme="minorEastAsia" w:hAnsiTheme="minorEastAsia" w:eastAsiaTheme="minorEastAsia"/>
          <w:kern w:val="0"/>
          <w:sz w:val="24"/>
          <w:szCs w:val="24"/>
        </w:rPr>
        <w:t>任何单位和个人都有权举报违反本条例的行为。农民负担监督管理部门和有关主管部门接到举报后，必须及时查处或者提请同级人民政府依法处理。</w:t>
      </w:r>
    </w:p>
    <w:p>
      <w:pPr>
        <w:pStyle w:val="63"/>
        <w:spacing w:before="218" w:after="218" w:line="412" w:lineRule="exact"/>
        <w:rPr>
          <w:b/>
          <w:kern w:val="0"/>
        </w:rPr>
      </w:pPr>
      <w:bookmarkStart w:id="401" w:name="第五章"/>
      <w:bookmarkEnd w:id="401"/>
      <w:bookmarkStart w:id="402" w:name="sub16007700_2_5"/>
      <w:bookmarkEnd w:id="402"/>
      <w:r>
        <w:t>第五章</w:t>
      </w:r>
      <w:r>
        <w:rPr>
          <w:rFonts w:hint="eastAsia"/>
        </w:rPr>
        <w:t xml:space="preserve">  </w:t>
      </w:r>
      <w:r>
        <w:rPr>
          <w:kern w:val="0"/>
        </w:rPr>
        <w:t>奖励与处罚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第三十三条  </w:t>
      </w:r>
      <w:r>
        <w:rPr>
          <w:rFonts w:asciiTheme="minorEastAsia" w:hAnsiTheme="minorEastAsia" w:eastAsiaTheme="minorEastAsia"/>
          <w:kern w:val="0"/>
          <w:sz w:val="24"/>
          <w:szCs w:val="24"/>
        </w:rPr>
        <w:t>有下列事迹之一的单位和个人，可以由人民政府给予表彰或者奖励：</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（一）严格执行本条例规定，切实减轻农民负担；</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（二）在农民负担监督管理工作中，认真履行本条例规定职责，成绩显著的；</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（三）检举、揭发向农民乱收费、乱集资、乱罚款和各种摊派行为，有突出贡献的。</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第三十四条  </w:t>
      </w:r>
      <w:r>
        <w:rPr>
          <w:rFonts w:asciiTheme="minorEastAsia" w:hAnsiTheme="minorEastAsia" w:eastAsiaTheme="minorEastAsia"/>
          <w:kern w:val="0"/>
          <w:sz w:val="24"/>
          <w:szCs w:val="24"/>
        </w:rPr>
        <w:t>违反本条例规定设置的收费、集资和基金项目，由农民负担监督管理部门或者有关部门报请同级人民政府予以撤销。</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第三十五条  </w:t>
      </w:r>
      <w:r>
        <w:rPr>
          <w:rFonts w:asciiTheme="minorEastAsia" w:hAnsiTheme="minorEastAsia" w:eastAsiaTheme="minorEastAsia"/>
          <w:kern w:val="0"/>
          <w:sz w:val="24"/>
          <w:szCs w:val="24"/>
        </w:rPr>
        <w:t>违反本条例规定向农民和集体经济组织收费、集资和进行各种摊派的，由农民负担监督管理部门或者有关部门报请同级人民政府责令如数退还非法收取的款物。</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第三十六条  </w:t>
      </w:r>
      <w:r>
        <w:rPr>
          <w:rFonts w:asciiTheme="minorEastAsia" w:hAnsiTheme="minorEastAsia" w:eastAsiaTheme="minorEastAsia"/>
          <w:kern w:val="0"/>
          <w:sz w:val="24"/>
          <w:szCs w:val="24"/>
        </w:rPr>
        <w:t>违反本条例和国务院有关规定增加的农村义务工和劳动积累工，经乡农民负担监督管理部门核实，由乡人民政府在下一年度用工计划中扣减，或者由用工单位按标准工日给予农民出工补贴。</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第三十七条  </w:t>
      </w:r>
      <w:r>
        <w:rPr>
          <w:rFonts w:asciiTheme="minorEastAsia" w:hAnsiTheme="minorEastAsia" w:eastAsiaTheme="minorEastAsia"/>
          <w:kern w:val="0"/>
          <w:sz w:val="24"/>
          <w:szCs w:val="24"/>
        </w:rPr>
        <w:t>对违反本条例规定的单位负责人和直接责任人员，由农民负担监督管理部门提请上述人员所在单位或者有关主管机关给予行政处分。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第三十八条  </w:t>
      </w:r>
      <w:r>
        <w:rPr>
          <w:rFonts w:asciiTheme="minorEastAsia" w:hAnsiTheme="minorEastAsia" w:eastAsiaTheme="minorEastAsia"/>
          <w:kern w:val="0"/>
          <w:sz w:val="24"/>
          <w:szCs w:val="24"/>
        </w:rPr>
        <w:t>对检举、揭发、控告和抵制向农民乱收费、乱集资、乱罚款和进行各种摊派的单位和人员打击报复，属于违反《中华人民共和国行政监察条例》的，由行政监察机关依法处理，属于违反《中华人民共和国治安管理处罚条例》的，由公安机关依法处罚；构成犯罪的，由司法机关依法追究刑事责任。</w:t>
      </w:r>
    </w:p>
    <w:p>
      <w:pPr>
        <w:pStyle w:val="63"/>
        <w:spacing w:before="218" w:after="218" w:line="412" w:lineRule="exact"/>
        <w:rPr>
          <w:b/>
          <w:kern w:val="0"/>
        </w:rPr>
      </w:pPr>
      <w:bookmarkStart w:id="403" w:name="sub16007700_2_6"/>
      <w:bookmarkEnd w:id="403"/>
      <w:bookmarkStart w:id="404" w:name="第六章"/>
      <w:bookmarkEnd w:id="404"/>
      <w:r>
        <w:t>第六章</w:t>
      </w:r>
      <w:r>
        <w:rPr>
          <w:rFonts w:hint="eastAsia"/>
        </w:rPr>
        <w:t xml:space="preserve">  </w:t>
      </w:r>
      <w:r>
        <w:rPr>
          <w:kern w:val="0"/>
        </w:rPr>
        <w:t>附</w:t>
      </w:r>
      <w:r>
        <w:rPr>
          <w:rFonts w:hint="eastAsia"/>
          <w:kern w:val="0"/>
        </w:rPr>
        <w:t xml:space="preserve"> </w:t>
      </w:r>
      <w:r>
        <w:rPr>
          <w:kern w:val="0"/>
        </w:rPr>
        <w:t xml:space="preserve"> 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第三十九条  </w:t>
      </w:r>
      <w:r>
        <w:rPr>
          <w:rFonts w:asciiTheme="minorEastAsia" w:hAnsiTheme="minorEastAsia" w:eastAsiaTheme="minorEastAsia"/>
          <w:kern w:val="0"/>
          <w:sz w:val="24"/>
          <w:szCs w:val="24"/>
        </w:rPr>
        <w:t>各省、自治区、直辖市可以根据本条例，结合本地的实际情况，制定实施细则。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第四十条  </w:t>
      </w:r>
      <w:r>
        <w:rPr>
          <w:rFonts w:asciiTheme="minorEastAsia" w:hAnsiTheme="minorEastAsia" w:eastAsiaTheme="minorEastAsia"/>
          <w:kern w:val="0"/>
          <w:sz w:val="24"/>
          <w:szCs w:val="24"/>
        </w:rPr>
        <w:t>本条例由国务院农业行政主管部门负责解释，并组织实施。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第四十一条  </w:t>
      </w:r>
      <w:r>
        <w:rPr>
          <w:rFonts w:asciiTheme="minorEastAsia" w:hAnsiTheme="minorEastAsia" w:eastAsiaTheme="minorEastAsia"/>
          <w:kern w:val="0"/>
          <w:sz w:val="24"/>
          <w:szCs w:val="24"/>
        </w:rPr>
        <w:t>本条例自发布之日起施行。</w:t>
      </w:r>
    </w:p>
    <w:p>
      <w:pPr>
        <w:widowControl/>
        <w:spacing w:before="156" w:after="156"/>
        <w:ind w:firstLine="240"/>
        <w:rPr>
          <w:rFonts w:cs="Times New Roman" w:asciiTheme="minorEastAsia" w:hAnsiTheme="minorEastAsia"/>
          <w:kern w:val="0"/>
          <w:sz w:val="24"/>
          <w:szCs w:val="24"/>
        </w:rPr>
      </w:pPr>
      <w:r>
        <w:rPr>
          <w:rFonts w:asciiTheme="minorEastAsia" w:hAnsiTheme="minorEastAsia"/>
          <w:kern w:val="0"/>
          <w:sz w:val="24"/>
          <w:szCs w:val="24"/>
        </w:rPr>
        <w:br w:type="page"/>
      </w:r>
    </w:p>
    <w:p>
      <w:pPr>
        <w:pStyle w:val="3"/>
        <w:topLinePunct/>
        <w:spacing w:line="416" w:lineRule="exact"/>
        <w:ind w:firstLine="480"/>
        <w:rPr>
          <w:rFonts w:asciiTheme="minorEastAsia" w:hAnsiTheme="minorEastAsia" w:eastAsiaTheme="minorEastAsia"/>
          <w:kern w:val="0"/>
          <w:sz w:val="24"/>
          <w:szCs w:val="24"/>
        </w:rPr>
      </w:pPr>
    </w:p>
    <w:p>
      <w:pPr>
        <w:pStyle w:val="3"/>
        <w:topLinePunct/>
        <w:spacing w:line="416" w:lineRule="exact"/>
        <w:ind w:firstLine="480"/>
        <w:rPr>
          <w:rFonts w:asciiTheme="minorEastAsia" w:hAnsiTheme="minorEastAsia" w:eastAsiaTheme="minorEastAsia"/>
          <w:kern w:val="0"/>
          <w:sz w:val="24"/>
          <w:szCs w:val="24"/>
        </w:rPr>
      </w:pPr>
    </w:p>
    <w:p>
      <w:pPr>
        <w:widowControl/>
        <w:spacing w:before="156" w:after="156"/>
        <w:ind w:firstLine="240"/>
        <w:rPr>
          <w:rFonts w:cs="Times New Roman" w:asciiTheme="minorEastAsia" w:hAnsiTheme="minorEastAsia"/>
          <w:sz w:val="24"/>
          <w:szCs w:val="24"/>
        </w:rPr>
        <w:sectPr>
          <w:headerReference r:id="rId19" w:type="default"/>
          <w:headerReference r:id="rId20" w:type="even"/>
          <w:pgSz w:w="12247" w:h="17180"/>
          <w:pgMar w:top="1814" w:right="1701" w:bottom="1701" w:left="1701" w:header="851" w:footer="1134" w:gutter="0"/>
          <w:cols w:space="425" w:num="1"/>
          <w:docGrid w:type="lines" w:linePitch="312" w:charSpace="0"/>
        </w:sectPr>
      </w:pPr>
    </w:p>
    <w:p>
      <w:pPr>
        <w:topLinePunct/>
        <w:spacing w:beforeLines="0" w:afterLines="0" w:line="416" w:lineRule="exact"/>
        <w:ind w:firstLine="480" w:firstLineChars="200"/>
        <w:rPr>
          <w:rFonts w:cs="Times New Roman" w:asciiTheme="minorEastAsia" w:hAnsiTheme="minorEastAsia"/>
          <w:sz w:val="24"/>
          <w:szCs w:val="24"/>
        </w:rPr>
      </w:pPr>
    </w:p>
    <w:p>
      <w:pPr>
        <w:pStyle w:val="3"/>
        <w:topLinePunct/>
        <w:spacing w:line="416" w:lineRule="exact"/>
        <w:ind w:firstLine="480"/>
        <w:rPr>
          <w:rFonts w:asciiTheme="minorEastAsia" w:hAnsiTheme="minorEastAsia" w:eastAsiaTheme="minorEastAsia"/>
          <w:sz w:val="24"/>
          <w:szCs w:val="24"/>
        </w:rPr>
      </w:pPr>
      <w:bookmarkStart w:id="405" w:name="_Toc18916288"/>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60"/>
      </w:pPr>
      <w:bookmarkStart w:id="406" w:name="_Toc25648192"/>
      <w:bookmarkStart w:id="407" w:name="_Toc25653687"/>
      <w:bookmarkStart w:id="408" w:name="_Toc28252174"/>
      <w:r>
        <w:t>四、农业综合</w:t>
      </w:r>
      <w:bookmarkEnd w:id="406"/>
      <w:bookmarkEnd w:id="407"/>
      <w:bookmarkEnd w:id="408"/>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409" w:name="_Toc25648193"/>
      <w:bookmarkStart w:id="410" w:name="_Toc28250902"/>
      <w:bookmarkStart w:id="411" w:name="_Toc26347952"/>
      <w:bookmarkStart w:id="412" w:name="_Toc28156974"/>
      <w:bookmarkStart w:id="413" w:name="_Toc25653688"/>
      <w:bookmarkStart w:id="414" w:name="_Toc28252175"/>
      <w:r>
        <w:t>中华人民共和国农业法</w:t>
      </w:r>
      <w:bookmarkEnd w:id="405"/>
      <w:bookmarkEnd w:id="409"/>
      <w:bookmarkEnd w:id="410"/>
      <w:bookmarkEnd w:id="411"/>
      <w:bookmarkEnd w:id="412"/>
      <w:bookmarkEnd w:id="413"/>
      <w:bookmarkEnd w:id="414"/>
    </w:p>
    <w:p>
      <w:pPr>
        <w:pStyle w:val="62"/>
      </w:pPr>
      <w:r>
        <w:t>（1993年7月2日中华人民共和国主席令第6号公布，根据2002年12月28日第九届全国人民代表大会常务委员会第三十一次会议第一次修订，根据2009年8月27日中华人民共和国主席令第18号公布、自公布之日起施行的《关于修改部分法律的决定》第二次修订，根据2012年12月28日第十一届全国人民代表大会常务委员会第三十次会议《关于修改〈中华人民共和国农业法〉的决定》第三次修订）</w:t>
      </w:r>
    </w:p>
    <w:p>
      <w:pPr>
        <w:pStyle w:val="63"/>
        <w:spacing w:before="218" w:after="218" w:line="412" w:lineRule="exact"/>
        <w:rPr>
          <w:b/>
        </w:rPr>
      </w:pPr>
      <w:r>
        <w:t>第一章  总则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巩固和加强农业在国民经济中的基础地位，深化农村改革，发展农业生产力，推进农业现代化，维护农民和农业生产经营组织的合法权益，增加农民收入，提高农民科学文化素质，促进农业和农村经济的持续、稳定、健康发展，实现全面建设小康社会的目标，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本法所称农业，是指种植业、林业、畜牧业和渔业等产业，包括与其直接相关的产前、产中、产后服务。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本法所称农业生产经营组织，是指农村集体经济组织、农民专业合作经济组织、农业企业和其他从事农业生产经营的组织。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国家把农业放在发展国民经济的首位。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和农村经济发展的基本目标是：建立适应发展社会主义市场经济要求的农村经济体制，不断解放和发展农村生产力，提高农业的整体素质和效益，确保农产品供应和质量，满足国民经济发展和人口增长、生活改善的需求，提高农民的收入和生活水平，促进农村富余劳动力向非农产业和城镇转移，缩小城乡差别和区域差别，建设富裕、民主、文明的社会主义新农村，逐步实现农业和农村现代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国家采取措施，保障农业更好地发挥在提供食物、工业原料和其他农产品，维护和改善生态环境，促进农村经济社会发展等多方面的作用。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国家坚持和完善公有制为主体、多种所有制经济共同发展的基本经济制度，振兴农村经济。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国家长期稳定农村以家庭承包经营为基础、统分结合的双层经营体制，发展社会化服务体系，壮大集体经济实力，引导农民走共同富裕的道路。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国家在农村坚持和完善以按劳分配为主体、多种分配方式并存的分配制度。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国家坚持科教兴农和农业可持续发展的方针。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国家采取措施加强农业和农村基础设施建设，调整、优化农业和农村经济结构，推进农业产业化经营，发展农业科技、教育事业，保护农业生态环境，促进农业机械化和信息化，提高农业综合生产能力。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国家保护农民和农业生产经营组织的财产及其他合法权益不受侵犯。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各级人民政府及其有关部门应当采取措施增加农民收入，切实减轻农民负担。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全社会应当高度重视农业，支持农业发展。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国家对发展农业和农村经济有显著成绩的单位和个人，给予奖励。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各级人民政府对农业和农村经济发展工作统一负责，组织各有关部门和全社会做好发展农业和为发展农业服务的各项工作。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国务院农业行政主管部门主管全国农业和农村经济发展工作，国务院林业行政主管部门和其他有关部门在各自的职责范围内，负责有关的农业和农村经济发展工作。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各农业行政主管部门负责本行政区域内的种植业、畜牧业、渔业等农业和农村经济发展工作，林业行政主管部门负责本行政区域内的林业工作。县级以上地方人民政府其他有关部门在各自的职责范围内，负责本行政区域内有关的为农业生产经营服务的工作。</w:t>
      </w:r>
    </w:p>
    <w:p>
      <w:pPr>
        <w:pStyle w:val="63"/>
        <w:spacing w:before="218" w:after="218" w:line="412" w:lineRule="exact"/>
        <w:rPr>
          <w:b/>
        </w:rPr>
      </w:pPr>
      <w:r>
        <w:t>第二章  农业生产经营体制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国家实行农村土地承包经营制度，依法保障农村土地承包关系的长期稳定，保护农民对承包土地的使用权。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农村土地承包经营的方式、期限、发包方和承包方的权利义务、土地承包经营权的保护和流转等，适用《中华人民共和国土地管理法》和《中华人民共和国农村土地承包法》。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农村集体经济组织应当在家庭承包经营的基础上，依法管理集体资产，为其成员提供生产、技术、信息等服务，组织合理开发、利用集体资源，壮大经济实力。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国家鼓励农民在家庭承包经营的基础上自愿组成各类专业合作经济组织。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农民专业合作经济组织应当坚持为成员服务的宗旨，按照加入自愿、退出自由、民主管理、盈余返还的原则，依法在其章程规定的范围内开展农业生产经营和服务活动。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农民专业合作经济组织可以有多种形式，依法成立、依法登记。任何组织和个人不得侵犯农民专业合作经济组织的财产和经营自主权。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农民和农业生产经营组织可以自愿按照民主管理、按劳分配和按股分红相结合的原则，以资金、技术、实物等入股，依法兴办各类企业。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国家采取措施发展多种形式的农业产业化经营，鼓励和支持农民和农业生产经营组织发展生产、加工、销售一体化经营。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引导和支持从事农产品生产、加工、流通服务的企业、科研单位和其他组织，通过与农民或者农民专业合作经济组织订立合同或者建立各类企业等形式，形成收益共享、风险共担的利益共同体，推进农业产业化经营，带动农业发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农民和农业生产经营组织可以按照法律、行政法规成立各种农产品行业协会，为成员提供生产、营销、信息、技术、培训等服务，发挥协调和自律作用，提出农产品贸易救济措施的申请，维护成员和行业的利益。</w:t>
      </w:r>
    </w:p>
    <w:p>
      <w:pPr>
        <w:pStyle w:val="63"/>
        <w:spacing w:before="218" w:after="218" w:line="412" w:lineRule="exact"/>
        <w:rPr>
          <w:b/>
        </w:rPr>
      </w:pPr>
      <w:r>
        <w:t>第三章  农业生产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县级以上人民政府根据国民经济和社会发展的中长期规划、农业和农村经济发展的基本目标和农业资源区划，制定农业发展规划。</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省级以上人民政府农业行政主管部门根据农业发展规划，采取措施发挥区域优势，促进形成合理的农业生产区域布局，指导和协调农业和农村经济结构调整。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国家引导和支持农民和农业生产经营组织结合本地实际按照市场需求，调整和优化农业生产结构，协调发展种植业、林业、畜牧业和渔业，发展优质、高产、高效益的农业，提高农产品国际竞争力。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种植业以优化品种、提高质量、增加效益为中心，调整作物结构、品种结构和品质结构。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加强林业生态建设，实施天然林保护、退耕还林和防沙治沙工程，加强防护林体系建设，加速营造速生丰产林、工业原料林和薪炭林。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加强草原保护和建设，加快发展畜牧业，推广圈养和舍饲，改良畜禽品种，积极发展饲料工业和畜禽产品加工业。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渔业生产应当保护和合理利用渔业资源，调整捕捞结构，积极发展水产养殖业、远洋渔业和水产品加工业。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县级以上人民政府应当制定政策，安排资金，引导和支持农业结构调整。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各级人民政府应当采取措施，加强农业综合开发和农田水利、农业生态环境保护、乡村道路、农村能源和电网、农产品仓储和流通、渔港、草原围栏、动植物原种良种基地等农业和农村基础设施建设，改善农业生产条件，保护和提高农业综合生产能力。</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国家扶持动植物品种的选育、生产、更新和良种的推广使用，鼓励品种选育和生产、经营相结合，实施种子工程和畜禽良种工程。国务院和省、自治区、直辖市人民政府设立专项资金，用于扶持动植物良种的选育和推广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各级人民政府和农业生产经营组织应当加强农田水利设施建设，建立健全农田水利设施的管理制度，节约用水，发展节水型农业，严格依法控制非农业建设占用灌溉水源，禁止任何组织和个人非法占用或者毁损农田水利设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国家对缺水地区发展节水型农业给予重点扶持。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国家鼓励和支持农民和农业生产经营组织使用先进、适用的农业机械，加强农业机械安全管理，提高农业机械化水平。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国家对农民和农业生产经营组织购买先进农业机械给予扶持。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各级人民政府应当支持为农业服务的气象事业的发展，提高对气象灾害的监测和预报水平。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国家采取措施提高农产品的质量，建立健全农产品质量标准体系和质量检验检测监督体系，按照有关技术规范、操作规程和质量卫生安全标准，组织农产品的生产经营，保障农产品质量安全。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国家支持依法建立健全优质农产品认证和标志制度。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国家鼓励和扶持发展优质农产品生产。县级以上地方人民政府应当结合本地情况，按照国家有关规定采取措施，发展优质农产品生产。</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符合国家规定标准的优质农产品可以依照法律或者行政法规的规定申请使用有关的标志。符合规定产地及生产规范要求的农产品可以依照有关法律或者行政法规的规定申请使用农产品地理标志。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国家实行动植物防疫、检疫制度，健全动植物防疫、检疫体系，加强对动物疫病和植物病、虫、杂草、鼠害的监测、预警、防治，建立重大动物疫情和植物病虫害的快速扑灭机制，建设动物无规定疫病区，实施植物保护工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农药、兽药、饲料和饲料添加剂、肥料、种子、农业机械等可能危害人畜安全的农业生产资料的生产经营，依照相关法律、行政法规的规定实行登记或者许可制度。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各级人民政府应当建立健全农业生产资料的安全使用制度，农民和农业生产经营组织不得使用国家明令淘汰和禁止使用的农药、兽药、饲料添加剂等农业生产资料和其他禁止使用的产品。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生产资料的生产者、销售者应当对其生产、销售的产品的质量负责，禁止以次充好、以假充真、以不合格的产品冒充合格的产品；禁止生产和销售国家明令淘汰的农药、兽药、饲料添加剂、农业机械等农业生产资料。</w:t>
      </w:r>
    </w:p>
    <w:p>
      <w:pPr>
        <w:pStyle w:val="63"/>
        <w:spacing w:before="218" w:after="218" w:line="412" w:lineRule="exact"/>
        <w:rPr>
          <w:b/>
        </w:rPr>
      </w:pPr>
      <w:r>
        <w:t>第四章  农产品流通与加工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农产品的购销实行市场调节。国家对关系国计民生的重要农产品的购销活动实行必要的宏观调控，建立中央和地方分级储备调节制度，完善仓储运输体系，做到保证供应，稳定市场。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国家逐步建立统一、开放、竞争、有序的农产品市场体系，制定农产品批发市场发展规划。对农村集体经济组织和农民专业合作经济组织建立农产品批发市场和农产品集贸市场，国家给予扶持。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县级以上人民政府工商行政管理部门和其他有关部门按照各自的职责，依法管理农产品批发市场，规范交易秩序，防止地方保护与不正当竞争。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国家鼓励和支持发展多种形式的农产品流通活动。支持农民和农民专业合作经济组织按照国家有关规定从事农产品收购、批发、贮藏、运输、零售和中介活动。鼓励供销合作社和其他从事农产品购销的农业生产经营组织提供市场信息，开拓农产品流通渠道，为农产品销售服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应当采取措施，督促有关部门保障农产品运输畅通，降低农产品流通成本。有关行政管理部门应当简化手续，方便鲜活农产品的运输，除法律、行政法规另有规定外，不得扣押鲜活农产品的运输工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国家支持发展农产品加工业和食品工业，增加农产品的附加值。县级以上人民政府应当制定农产品加工业和食品工业发展规划，引导农产品加工企业形成合理的区域布局和规模结构，扶持农民专业合作经济组织和乡镇企业从事农产品加工和综合开发利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国家建立健全农产品加工制品质量标准，完善检测手段，加强农产品加工过程中的质量安全管理和监督，保障食品安全。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国家鼓励发展农产品进出口贸易。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国家采取加强国际市场研究、提供信息和营销服务等措施，促进农产品出口。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为维护农产品产销秩序和公平贸易，建立农产品进口预警制度，当某些进口农产品已经或者可能对国内相关农产品的生产造成重大的不利影响时，国家可以采取必要的措施。</w:t>
      </w:r>
    </w:p>
    <w:p>
      <w:pPr>
        <w:pStyle w:val="63"/>
        <w:spacing w:before="218" w:after="218" w:line="412" w:lineRule="exact"/>
        <w:rPr>
          <w:b/>
        </w:rPr>
      </w:pPr>
      <w:r>
        <w:t>第五章  粮食安全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国家采取措施保护和提高粮食综合生产能力，稳步提高粮食生产水平，保障粮食安全。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国家建立耕地保护制度，对基本农田依法实行特殊保护。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国家在政策、资金、技术等方面对粮食主产区给予重点扶持，建设稳定的商品粮生产基地，改善粮食收贮及加工设施，提高粮食主产区的粮食生产、加工水平和经济效益。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国家支持粮食主产区与主销区建立稳定的购销合作关系。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在粮食的市场价格过低时，国务院可以决定对部分粮食品种实行保护价制度。保护价应当根据有利于保护农民利益、稳定粮食生产的原则确定。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农民按保护价制度出售粮食，国家委托的收购单位不得拒收。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县级以上人民政府应当组织财政、金融等部门以及国家委托的收购单位及时筹足粮食收购资金，任何部门、单位或者个人不得截留或者挪用。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国家建立粮食安全预警制度，采取措施保障粮食供给。国务院应当制定粮食安全保障目标与粮食储备数量指标，并根据需要组织有关主管部门进行耕地、粮食库存情况的核查。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国家对粮食实行中央和地方分级储备调节制度，建设仓储运输体系。承担国家粮食储备任务的企业应当按照国家规定保证储备粮的数量和质量。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国家建立粮食风险基金，用于支持粮食储备、稳定粮食市场和保护农民利益。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国家提倡珍惜和节约粮食，并采取措施改善人民的食物营养结构。</w:t>
      </w:r>
    </w:p>
    <w:p>
      <w:pPr>
        <w:pStyle w:val="63"/>
        <w:spacing w:before="218" w:after="218" w:line="412" w:lineRule="exact"/>
        <w:rPr>
          <w:b/>
        </w:rPr>
      </w:pPr>
      <w:r>
        <w:t>第六章  农业投入与支持保护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国家建立和完善农业支持保护体系，采取财政投入、税收优惠、金融支持等措施，从资金投入、科研与技术推广、教育培训、农业生产资料供应、市场信息、质量标准、检验检疫、社会化服务以及灾害救助等方面扶持农民和农业生产经营组织发展农业生产，提高农民的收入水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在不与我国缔结或加入的有关国际条约相抵触的情况下，国家对农民实施收入支持政策，具体办法由国务院制定。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国家逐步提高农业投入的总体水平。中央和县级以上地方财政每年对农业总投入的增长幅度应当高于其财政经常性收入的增长幅度。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级人民政府在财政预算内安排的各项用于农业的资金应当主要用于：加强农业基础设施建设；支持农业结构调整，促进农业产业化经营；保护粮食综合生产能力，保障国家粮食安全；健全动植物检疫、防疫体系，加强动物疫病和植物病、虫、杂草、鼠害防治；建立健全农产品质量标准和检验检测监督体系、农产品市场及信息服务体系；支持农业科研教育、农业技术推广和农民培训；加强农业生态环境保护建设；扶持贫困地区发展；保障农民收入水平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县级以上各级财政用于种植业、林业、畜牧业、渔业、农田水利的农业基本建设投入应当统筹安排，协调增长。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国家为加快西部开发，增加对西部地区农业发展和生态环境保护的投入。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县级以上人民政府每年财政预算内安排的各项用于农业的资金应当及时足额拨付。各级人民政府应当加强对国家各项农业资金分配、使用过程的监督管理，保证资金安全，提高资金的使用效率。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任何单位和个人不得截留、挪用用于农业的财政资金和信贷资金。审计机关应当依法加强对用于农业的财政和信贷等资金的审计监督。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国家运用税收、价格、信贷等手段，鼓励和引导农民和农业生产经营组织增加农业生产经营性投入和小型农田水利等基本建设投入。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国家鼓励和支持农民和农业生产经营组织在自愿的基础上依法采取多种形式，筹集农业资金。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国家鼓励社会资金投向农业，鼓励企业事业单位、社会团体和个人捐资设立各种农业建设和农业科技、教育基金。</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国家采取措施，促进农业扩大利用外资。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各级人民政府应当鼓励和支持企业事业单位及其他各类经济组织开展农业信息服务。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县级以上人民政府农业行政主管部门及其他有关部门应当建立农业信息搜集、整理和发布制度，及时向农民和农业生产经营组织提供市场信息等服务。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国家鼓励和扶持农用工业的发展。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国家采取税收、信贷等手段鼓励和扶持农业生产资料的生产和贸易，为农业生产稳定增长提供物质保障。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国家采取宏观调控措施，使化肥、农药、农用薄膜、农业机械和农用柴油等主要农业生产资料和农产品之间保持合理的比价。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国家鼓励供销合作社、农村集体经济组织、农民专业合作经济组织、其他组织和个人发展多种形式的农业生产产前、产中、产后的社会化服务事业。县级以上人民政府及其各有关部门应当采取措施对农业社会化服务事业给予支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对跨地区从事农业社会化服务的，农业、工商管理、交通运输、公安等有关部门应当采取措施给予支持。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国家建立健全农村金融体系，加强农村信用制度建设，加强农村金融监管。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有关金融机构应当采取措施增加信贷投入，改善农村金融服务，对农民和农业生产经营组织的农业生产经营活动提供信贷支持。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农村信用合作社应当坚持为农业、农民和农村经济发展服务的宗旨，优先为当地农民的生产经营活动提供信贷服务。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国家通过贴息等措施，鼓励金融机构向农民和农业生产经营组织的农业生产经营活动提供贷款。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国家建立和完善农业保险制度。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国家逐步建立和完善政策性农业保险制度。鼓励和扶持农民和农业生产经营组织建立为农业生产经营活动服务的互助合作保险组织，鼓励商业性保险公司开展农业保险业务。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农业保险实行自愿原则。任何组织和个人不得强制农民和农业生产经营组织参加农业保险。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各级人民政府应当采取措施，提高农业防御自然灾害的能力，做好防灾、抗灾和救灾工作，帮助灾民恢复生产，组织生产自救，开展社会互助互济；对没有基本生活保障的灾民给予救济和扶持。</w:t>
      </w:r>
    </w:p>
    <w:p>
      <w:pPr>
        <w:pStyle w:val="63"/>
        <w:spacing w:before="218" w:after="218" w:line="412" w:lineRule="exact"/>
        <w:rPr>
          <w:b/>
        </w:rPr>
      </w:pPr>
      <w:r>
        <w:t>第七章  农业科技与农业教育</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国务院和省级人民政府应当制定农业科技、农业教育发展规划，发展农业科技、教育事业。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县级以上人民政府应当按照国家有关规定逐步增加农业科技经费和农业教育经费。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国家鼓励、吸引企业等社会力量增加农业科技投入，鼓励农民、农业生产经营组织、企业事业单位等依法举办农业科技、教育事业。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国家保护植物新品种、农产品地理标志等知识产权，鼓励和引导农业科研、教育单位加强农业科学技术的基础研究和应用研究，传播和普及农业科学技术知识，加速科技成果转化与产业化，促进农业科学技术进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国务院有关部门应当组织农业重大关键技术的科技攻关。国家采取措施促进国际农业科技、教育合作与交流，鼓励引进国外先进技术。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国家扶持农业技术推广事业，建立政府扶持和市场引导相结合，有偿与无偿服务相结合，国家农业技术推广机构和社会力量相结合的农业技术推广体系，促使先进的农业技术尽快应用于农业生产。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国家设立的农业技术推广机构应当以农业技术试验示范基地为依托，承担公共所需的关键性技术的推广和示范等公益性职责，为农民和农业生产经营组织提供无偿农业技术服务。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县级以上人民政府应当根据农业生产发展需要，稳定和加强农业技术推广队伍，保障农业技术推广机构的工作经费。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各级人民政府应当采取措施，按照国家规定保障和改善从事农业技术推广工作的专业科技人员的工作条件、工资待遇和生活条件，鼓励他们为农业服务。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农业科研单位、有关学校、农民专业合作社、涉农企业、群众性科技组织及有关科技人员，根据农民和农业生产经营组织的需要，可以提供无偿服务，也可以通过技术转让、技术服务、技术承包、技术咨询和技术入股等形式，提供有偿服务，取得合法收益。农业科研单位、有关学校、农民专业合作社、涉农企业、群众性科技组织及有关科技人员应当提高服务水平，保证服务质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对农业科研单位、有关学校、农业技术推广机构举办的为农业服务的企业，国家在税收、信贷等方面给予优惠。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国家鼓励和支持农民、供销合作社、其他企业事业单位等参与农业技术推广工作。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国家建立农业专业技术人员继续教育制度。县级以上人民政府农业行政主管部门会同教育、人事等有关部门制定农业专业技术人员继续教育计划，并组织实施。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国家在农村依法实施义务教育，并保障义务教育经费。国家在农村举办的普通中小学校教职工工资由县级人民政府按照国家规定统一发放，校舍等教学设施的建设和维护经费由县级人民政府按照国家规定统一安排。</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国家发展农业职业教育。国务院有关部门按照国家职业资格证书制度的统一规定，开展农业行业的职业分类、职业技能鉴定工作，管理农业行业的职业资格证书。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国家采取措施鼓励农民采用先进的农业技术，支持农民举办各种科技组织，开展农业实用技术培训、农民绿色证书培训和其他就业培训，提高农民的文化技术素质。</w:t>
      </w:r>
    </w:p>
    <w:p>
      <w:pPr>
        <w:pStyle w:val="63"/>
        <w:spacing w:before="218" w:after="218" w:line="412" w:lineRule="exact"/>
        <w:rPr>
          <w:b/>
        </w:rPr>
      </w:pPr>
      <w:r>
        <w:t>第八章  农业资源与农业环境保护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发展农业和农村经济必须合理利用和保护土地、水、森林、草原、野生动植物等自然资源，合理开发和利用水能、沼气、太阳能、风能等可再生能源和清洁能源，发展生态农业，保护和改善生态环境。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县级以上人民政府应当制定农业资源区划或者农业资源合理利用和保护的区划，建立农业资源监测制度。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农民和农业生产经营组织应当保养耕地，合理使用化肥、农药、农用薄膜，增加使用有机肥料，采用先进技术，保护和提高地力，防止农用地的污染、破坏和地力衰退。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县级以上人民政府农业行政主管部门应当采取措施，支持农民和农业生产经营组织加强耕地质量建设，并对耕地质量进行定期监测。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各级人民政府应当采取措施，加强小流域综合治理，预防和治理水土流失。从事可能引起水土流失的生产建设活动的单位和个人，必须采取预防措施，并负责治理因生产建设活动造成的水土流失。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各级人民政府应当采取措施，预防土地沙化，治理沙化土地。国务院和沙化土地所在地区的县级以上地方人民政府应当按照法律规定制定防沙治沙规划，并组织实施。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国家实行全民义务植树制度。各级人民政府应当采取措施，组织群众植树造林，保护林地和林木，预防森林火灾，防治森林病虫害，制止滥伐、盗伐林木，提高森林覆盖率。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国家在天然林保护区域实行禁伐或者限伐制度，加强造林护林。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有关地方人民政府，应当加强草原的保护、建设和管理，指导、组织农（牧）民和农（牧）业生产经营组织建设人工草场、饲草饲料基地和改良天然草原，实行以草定畜，控制载畜量，推行划区轮牧、休牧和禁牧制度，保护草原植被，防止草原退化沙化和盐渍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禁止毁林毁草开垦、烧山开垦以及开垦国家禁止开垦的陡坡地，已经开垦的应当逐步退耕还林、还草。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禁止围湖造田以及围垦国家禁止围垦的湿地。已经围垦的，应当逐步退耕还湖、还湿地。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对在国务院批准规划范围内实施退耕的农民，应当按照国家规定予以补助。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各级人民政府应当采取措施，依法执行捕捞限额和禁渔、休渔制度，增殖渔业资源，保护渔业水域生态环境。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国家引导、支持从事捕捞业的农（渔）民和农（渔）业生产经营组织从事水产养殖业或者其他职业，对根据当地人民政府统一规划转产转业的农（渔）民，应当按照国家规定予以补助。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国家建立与农业生产有关的生物物种资源保护制度，保护生物多样性，对稀有、濒危、珍贵生物资源及其原生地实行重点保护。从境外引进生物物种资源应当依法进行登记或者审批，并采取相应安全控制措施。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农业转基因生物的研究、试验、生产、加工、经营及其他应用，必须依照国家规定严格实行各项安全控制措施。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各级农业行政主管部门应当引导农民和农业生产经营组织采取生物措施或者使用高效低毒低残留农药、兽药，防治动植物病、虫、杂草、鼠害。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农产品采收后的秸秆及其他剩余物质应当综合利用，妥善处理，防止造成环境污染和生态破坏。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从事畜禽等动物规模养殖的单位和个人应当对粪便、废水及其他废弃物进行无害化处理或者综合利用，从事水产养殖的单位和个人应当合理投饵、施肥、使用药物，防止造成环境污染和生态破坏。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县级以上人民政府应当采取措施，督促有关单位进行治理，防治废水、废气和固体废弃物对农业生态环境的污染。排放废水、废气和固体废弃物造成农业生态环境污染事故的，由环境保护行政主管部门或者农业行政主管部门依法调查处理；给农民和农业生产经营组织造成损失的，有关责任者应当依法赔偿。</w:t>
      </w:r>
    </w:p>
    <w:p>
      <w:pPr>
        <w:pStyle w:val="63"/>
        <w:spacing w:before="218" w:after="218" w:line="412" w:lineRule="exact"/>
        <w:rPr>
          <w:b/>
        </w:rPr>
      </w:pPr>
      <w:r>
        <w:t>第九章  农民权益保护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任何机关或者单位向农民或者农业生产经营组织收取行政、事业性费用必须依据法律、法规的规定。收费的项目、范围和标准应当公布。没有法律、法规依据的收费，农民和农业生产经营组织有权拒绝。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任何机关或者单位对农民或者农业生产经营组织进行罚款处罚必须依据法律、法规、规章的规定。没有法律、法规、规章依据的罚款，农民和农业生产经营组织有权拒绝。</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机关或者单位不得以任何方式向农民或者农业生产经营组织进行摊派。除法律、法规另有规定外，任何机关或者单位以任何方式要求农民或者农业生产经营组织提供人力、财力、物力的，属于摊派。农民和农业生产经营组织有权拒绝任何方式的摊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各级人民政府及其有关部门和所属单位不得以任何方式向农民或者农业生产经营组织集资。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没有法律、法规依据或者未经国务院批准，任何机关或者单位不得在农村进行任何形式的达标、升级、验收活动。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农民和农业生产经营组织依照法律、行政法规的规定承担纳税义务。税务机关及代扣、代收税款的单位应当依法征税，不得违法摊派税款及以其他违法方法征税。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农村义务教育除按国务院规定收取的费用外，不得向农民和学生收取其他费用。禁止任何机关或者单位通过农村中小学校向农民收费。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国家依法征收农民集体所有的土地，应当保护农民和农村集体经济组织的合法权益，依法给予农民和农村集体经济组织征地补偿，任何单位和个人不得截留、挪用征地补偿费用。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各级人民政府、农村集体经济组织或者村民委员会在农业和农村经济结构调整、农业产业化经营和土地承包经营权流转等过程中，不得侵犯农民的土地承包经营权，不得干涉农民自主安排的生产经营项目，不得强迫农民购买指定的生产资料或者按指定的渠道销售农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sz w:val="24"/>
          <w:szCs w:val="24"/>
        </w:rPr>
        <w:t>农村集体经济组织或者村民委员会为发展生产或者兴办公益事业，需要向其成员（村民）筹资筹劳的，应当经成员（村民）会议或者成员（村民）代表会议过半数通过后，方可进行。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农村集体经济组织或者村民委员会依照前款规定筹资筹劳的，不得超过省级以上人民政府规定的上限控制标准，禁止强行以资代劳。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农村集体经济组织和村民委员会对涉及农民利益的重要事项，应当向农民公开，并定期公布财务账目，接受农民的监督。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sz w:val="24"/>
          <w:szCs w:val="24"/>
        </w:rPr>
        <w:t>任何单位和个人向农民或者农业生产经营组织提供生产、技术、信息、文化、保险等有偿服务，必须坚持自愿原则，不得强迫农民和农业生产经营组织接受服务。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sz w:val="24"/>
          <w:szCs w:val="24"/>
        </w:rPr>
        <w:t>农产品收购单位在收购农产品时，不得压级压价，不得在支付的价款中扣缴任何费用。法律、行政法规规定代扣、代收税款的，依照法律、行政法规的规定办理。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农产品收购单位与农产品销售者因农产品的质量等级发生争议的，可以委托具有法定资质的农产品质量检验机构检验。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sz w:val="24"/>
          <w:szCs w:val="24"/>
        </w:rPr>
        <w:t>农业生产资料使用者因生产资料质量问题遭受损失的，出售该生产资料的经营者应当予以赔偿，赔偿额包括购货价款、有关费用和可得利益损失。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第七十七条  </w:t>
      </w:r>
      <w:r>
        <w:rPr>
          <w:rFonts w:asciiTheme="minorEastAsia" w:hAnsiTheme="minorEastAsia" w:eastAsiaTheme="minorEastAsia"/>
          <w:sz w:val="24"/>
          <w:szCs w:val="24"/>
        </w:rPr>
        <w:t>农民或者农业生产经营组织为维护自身的合法权益，有向各级人民政府及其有关部门反映情况和提出合法要求的权利，人民政府及其有关部门对农民或者农业生产经营组织提出的合理要求，应当按照国家规定及时给予答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第七十八条  </w:t>
      </w:r>
      <w:r>
        <w:rPr>
          <w:rFonts w:asciiTheme="minorEastAsia" w:hAnsiTheme="minorEastAsia" w:eastAsiaTheme="minorEastAsia"/>
          <w:sz w:val="24"/>
          <w:szCs w:val="24"/>
        </w:rPr>
        <w:t>违反法律规定，侵犯农民权益的，农民或者农业生产经营组织可以依法申请行政复议或者向人民法院提起诉讼，有关人民政府及其有关部门或者人民法院应当依法受理。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人民法院和司法行政主管机关应当依照有关规定为农民提供法律援助。</w:t>
      </w:r>
    </w:p>
    <w:p>
      <w:pPr>
        <w:pStyle w:val="63"/>
        <w:spacing w:before="218" w:after="218" w:line="412" w:lineRule="exact"/>
        <w:rPr>
          <w:b/>
        </w:rPr>
      </w:pPr>
      <w:r>
        <w:t>第十章  农村经济发展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第七十九条  </w:t>
      </w:r>
      <w:r>
        <w:rPr>
          <w:rFonts w:asciiTheme="minorEastAsia" w:hAnsiTheme="minorEastAsia" w:eastAsiaTheme="minorEastAsia"/>
          <w:sz w:val="24"/>
          <w:szCs w:val="24"/>
        </w:rPr>
        <w:t>国家坚持城乡协调发展的方针，扶持农村第二、第三产业发展，调整和优化农村经济结构，增加农民收入，促进农村经济全面发展，逐步缩小城乡差别。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第八十条  </w:t>
      </w:r>
      <w:r>
        <w:rPr>
          <w:rFonts w:asciiTheme="minorEastAsia" w:hAnsiTheme="minorEastAsia" w:eastAsiaTheme="minorEastAsia"/>
          <w:sz w:val="24"/>
          <w:szCs w:val="24"/>
        </w:rPr>
        <w:t>各级人民政府应当采取措施，发展乡镇企业，支持农业的发展，转移富余的农业劳动力。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国家完善乡镇企业发展的支持措施，引导乡镇企业优化结构，更新技术，提高素质。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第八十一条  </w:t>
      </w:r>
      <w:r>
        <w:rPr>
          <w:rFonts w:asciiTheme="minorEastAsia" w:hAnsiTheme="minorEastAsia" w:eastAsiaTheme="minorEastAsia"/>
          <w:sz w:val="24"/>
          <w:szCs w:val="24"/>
        </w:rPr>
        <w:t>县级以上地方人民政府应当根据当地的经济发展水平、区位优势和资源条件，按照合理布局、科学规划、节约用地的原则，有重点地推进农村小城镇建设。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地方各级人民政府应当注重运用市场机制，完善相应政策，吸引农民和社会资金投资小城镇开发建设，发展第二、第三产业，引导乡镇企业相对集中发展。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第八十二条  </w:t>
      </w:r>
      <w:r>
        <w:rPr>
          <w:rFonts w:asciiTheme="minorEastAsia" w:hAnsiTheme="minorEastAsia" w:eastAsiaTheme="minorEastAsia"/>
          <w:sz w:val="24"/>
          <w:szCs w:val="24"/>
        </w:rPr>
        <w:t>国家采取措施引导农村富余劳动力在城乡、地区间合理有序流动。地方各级人民政府依法保护进入城镇就业的农村劳动力的合法权益，不得设置不合理限制，已经设置的应当取消。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第八十三条  </w:t>
      </w:r>
      <w:r>
        <w:rPr>
          <w:rFonts w:asciiTheme="minorEastAsia" w:hAnsiTheme="minorEastAsia" w:eastAsiaTheme="minorEastAsia"/>
          <w:sz w:val="24"/>
          <w:szCs w:val="24"/>
        </w:rPr>
        <w:t>国家逐步完善农村社会救济制度，保障农村五保户、贫困残疾农民、贫困老年农民和其他丧失劳动能力的农民的基本生活。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第八十四条  </w:t>
      </w:r>
      <w:r>
        <w:rPr>
          <w:rFonts w:asciiTheme="minorEastAsia" w:hAnsiTheme="minorEastAsia" w:eastAsiaTheme="minorEastAsia"/>
          <w:sz w:val="24"/>
          <w:szCs w:val="24"/>
        </w:rPr>
        <w:t>国家鼓励、支持农民巩固和发展农村合作医疗和其他医疗保障形式，提高农民健康水平。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第八十五条  </w:t>
      </w:r>
      <w:r>
        <w:rPr>
          <w:rFonts w:asciiTheme="minorEastAsia" w:hAnsiTheme="minorEastAsia" w:eastAsiaTheme="minorEastAsia"/>
          <w:sz w:val="24"/>
          <w:szCs w:val="24"/>
        </w:rPr>
        <w:t>国家扶持贫困地区改善经济发展条件，帮助进行经济开发。省级人民政府根据国家关于扶持贫困地区的总体目标和要求，制定扶贫开发规划，并组织实施。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应当坚持开发式扶贫方针，组织贫困地区的农民和农业生产经营组织合理使用扶贫资金，依靠自身力量改变贫穷落后面貌，引导贫困地区的农民调整经济结构、开发当地资源。扶贫开发应当坚持与资源保护、生态建设相结合，促进贫困地区经济、社会的协调发展和全面进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第八十六条  </w:t>
      </w:r>
      <w:r>
        <w:rPr>
          <w:rFonts w:asciiTheme="minorEastAsia" w:hAnsiTheme="minorEastAsia" w:eastAsiaTheme="minorEastAsia"/>
          <w:sz w:val="24"/>
          <w:szCs w:val="24"/>
        </w:rPr>
        <w:t>中央和省级财政应当把扶贫开发投入列入年度财政预算，并逐年增加，加大对贫困地区的财政转移支付和建设资金投入。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国家鼓励和扶持金融机构、其他企业事业单位和个人投入资金支持贫困地区开发建设。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禁止任何单位和个人截留、挪用扶贫资金。审计机关应当加强扶贫资金的审计监督。</w:t>
      </w:r>
    </w:p>
    <w:p>
      <w:pPr>
        <w:pStyle w:val="63"/>
        <w:spacing w:before="218" w:after="218" w:line="412" w:lineRule="exact"/>
        <w:rPr>
          <w:b/>
        </w:rPr>
      </w:pPr>
      <w:r>
        <w:t>第十一章  执法监督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第八十七条  </w:t>
      </w:r>
      <w:r>
        <w:rPr>
          <w:rFonts w:asciiTheme="minorEastAsia" w:hAnsiTheme="minorEastAsia" w:eastAsiaTheme="minorEastAsia"/>
          <w:sz w:val="24"/>
          <w:szCs w:val="24"/>
        </w:rPr>
        <w:t>县级以上人民政府应当采取措施逐步完善适应社会主义市场经济发展要求的农业行政管理体制。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县级以上人民政府农业行政主管部门和有关行政主管部门应当加强规划、指导、管理、协调、监督、服务职责，依法行政，公正执法。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县级以上地方人民政府农业行政主管部门应当在其职责范围内健全行政执法队伍，实行综合执法，提高执法效率和水平。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第八十八条  </w:t>
      </w:r>
      <w:r>
        <w:rPr>
          <w:rFonts w:asciiTheme="minorEastAsia" w:hAnsiTheme="minorEastAsia" w:eastAsiaTheme="minorEastAsia"/>
          <w:sz w:val="24"/>
          <w:szCs w:val="24"/>
        </w:rPr>
        <w:t>县级以上人民政府农业行政主管部门及其执法人员履行执法监督检查职责时，有权采取下列措施：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（一）要求被检查单位或者个人说明情况，提供有关文件、证照、资料；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（二）责令被检查单位或者个人停止违反本法的行为，履行法定义务。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农业行政执法人员在履行监督检查职责时，应当向被检查单位或者个人出示行政执法证件，遵守执法程序。有关单位或者个人应当配合农业行政执法人员依法执行职务，不得拒绝和阻碍。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第八十九条  </w:t>
      </w:r>
      <w:r>
        <w:rPr>
          <w:rFonts w:asciiTheme="minorEastAsia" w:hAnsiTheme="minorEastAsia" w:eastAsiaTheme="minorEastAsia"/>
          <w:sz w:val="24"/>
          <w:szCs w:val="24"/>
        </w:rPr>
        <w:t>农业行政主管部门与农业生产、经营单位必须在机构、人员、财务上彻底分离。农业行政主管部门及其工作人员不得参与和从事农业生产经营活动。</w:t>
      </w:r>
    </w:p>
    <w:p>
      <w:pPr>
        <w:pStyle w:val="63"/>
        <w:spacing w:before="218" w:after="218" w:line="412" w:lineRule="exact"/>
        <w:rPr>
          <w:b/>
        </w:rPr>
      </w:pPr>
      <w:r>
        <w:t>第十二章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第九十条  </w:t>
      </w:r>
      <w:r>
        <w:rPr>
          <w:rFonts w:asciiTheme="minorEastAsia" w:hAnsiTheme="minorEastAsia" w:eastAsiaTheme="minorEastAsia"/>
          <w:sz w:val="24"/>
          <w:szCs w:val="24"/>
        </w:rPr>
        <w:t>违反本法规定，侵害农民和农业生产经营组织的土地承包经营权等财产权或者其他合法权益的，应当停止侵害，恢复原状；造成损失、损害的，依法承担赔偿责任。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国家工作人员利用职务便利或者以其他名义侵害农民和农业生产经营组织的合法权益的，应当赔偿损失，并由其所在单位或者上级主管机关给予行政处分。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第九十一条  </w:t>
      </w:r>
      <w:r>
        <w:rPr>
          <w:rFonts w:asciiTheme="minorEastAsia" w:hAnsiTheme="minorEastAsia" w:eastAsiaTheme="minorEastAsia"/>
          <w:sz w:val="24"/>
          <w:szCs w:val="24"/>
        </w:rPr>
        <w:t>违反本法第十九条、第二十五条、第六十二条、第七十一条规定的，依照相关法律或者行政法规的规定予以处罚。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第九十二条  </w:t>
      </w:r>
      <w:r>
        <w:rPr>
          <w:rFonts w:asciiTheme="minorEastAsia" w:hAnsiTheme="minorEastAsia" w:eastAsiaTheme="minorEastAsia"/>
          <w:sz w:val="24"/>
          <w:szCs w:val="24"/>
        </w:rPr>
        <w:t>有下列行为之一的，由上级主管机关责令限期归还被截留、挪用的资金，没收非法所得，并由上级主管机关或者所在单位给予直接负责的主管人员和其他直接责任人员行政处分；构成犯罪的，依法追究刑事责任：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（一）违反本法第三十三条第三款规定，截留、挪用粮食收购资金的；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（二）违反本法第三十九条第二款规定，截留、挪用用于农业的财政资金和信贷资金的；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（三）违反本法第八十六条第三款规定，截留、挪用扶贫资金的。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第九十三条  </w:t>
      </w:r>
      <w:r>
        <w:rPr>
          <w:rFonts w:asciiTheme="minorEastAsia" w:hAnsiTheme="minorEastAsia" w:eastAsiaTheme="minorEastAsia"/>
          <w:sz w:val="24"/>
          <w:szCs w:val="24"/>
        </w:rPr>
        <w:t>违反本法第六十七条规定，向农民或者农业生产经营组织违法收费、罚款、摊派的，上级主管机关应当予以制止，并予公告；已经收取钱款或者已经使用人力、物力的，由上级主管机关责令限期归还已经收取的钱款或者折价偿还已经使用的人力、物力，并由上级主管机关或者所在单位给予直接负责的主管人员和其他直接责任人员行政处分；情节严重，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第九十四条  </w:t>
      </w:r>
      <w:r>
        <w:rPr>
          <w:rFonts w:asciiTheme="minorEastAsia" w:hAnsiTheme="minorEastAsia" w:eastAsiaTheme="minorEastAsia"/>
          <w:sz w:val="24"/>
          <w:szCs w:val="24"/>
        </w:rPr>
        <w:t>有下列行为之一的，由上级主管机关责令停止违法行为，并给予直接负责的主管人员和其他直接责任人员行政处分，责令退还违法收取的集资款、税款或者费用：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（一）违反本法第六十八条规定，非法在农村进行集资、达标、升级、验收活动的；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（二）违反本法第六十九条规定，以违法方法向农民征税的；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（三）违反本法第七十条规定，通过农村中小学校向农民超额、超项目收费的。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第九十五条  </w:t>
      </w:r>
      <w:r>
        <w:rPr>
          <w:rFonts w:asciiTheme="minorEastAsia" w:hAnsiTheme="minorEastAsia" w:eastAsiaTheme="minorEastAsia"/>
          <w:sz w:val="24"/>
          <w:szCs w:val="24"/>
        </w:rPr>
        <w:t>违反本法第七十三条第二款规定，强迫农民以资代劳的，由乡（镇）人民政府责令改正，并退还违法收取的资金。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第九十六条  </w:t>
      </w:r>
      <w:r>
        <w:rPr>
          <w:rFonts w:asciiTheme="minorEastAsia" w:hAnsiTheme="minorEastAsia" w:eastAsiaTheme="minorEastAsia"/>
          <w:sz w:val="24"/>
          <w:szCs w:val="24"/>
        </w:rPr>
        <w:t>违反本法第七十四条规定，强迫农民和农业生产经营组织接受有偿服务的，由有关人民政府责令改正，并返还其违法收取的费用；情节严重的，给予直接负责的主管人员和其他直接责任人员行政处分；造成农民和农业生产经营组织损失的，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第九十七条  </w:t>
      </w:r>
      <w:r>
        <w:rPr>
          <w:rFonts w:asciiTheme="minorEastAsia" w:hAnsiTheme="minorEastAsia" w:eastAsiaTheme="minorEastAsia"/>
          <w:sz w:val="24"/>
          <w:szCs w:val="24"/>
        </w:rPr>
        <w:t>县级以上人民政府农业行政主管部门的工作人员违反本法规定参与和从事农业生产经营活动的，依法给予行政处分；构成犯罪的，依法追究刑事责任。</w:t>
      </w:r>
    </w:p>
    <w:p>
      <w:pPr>
        <w:pStyle w:val="63"/>
        <w:spacing w:before="218" w:after="218" w:line="412" w:lineRule="exact"/>
        <w:rPr>
          <w:b/>
        </w:rPr>
      </w:pPr>
      <w:r>
        <w:t>第十三章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第九十八条  </w:t>
      </w:r>
      <w:r>
        <w:rPr>
          <w:rFonts w:asciiTheme="minorEastAsia" w:hAnsiTheme="minorEastAsia" w:eastAsiaTheme="minorEastAsia"/>
          <w:sz w:val="24"/>
          <w:szCs w:val="24"/>
        </w:rPr>
        <w:t>本法有关农民的规定，适用于国有农场、牧场、林场、渔场等企业事业单位实行承包经营的职工。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第九十九条  </w:t>
      </w:r>
      <w:r>
        <w:rPr>
          <w:rFonts w:asciiTheme="minorEastAsia" w:hAnsiTheme="minorEastAsia" w:eastAsiaTheme="minorEastAsia"/>
          <w:sz w:val="24"/>
          <w:szCs w:val="24"/>
        </w:rPr>
        <w:t>本法自2003年3月1日起施行。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415" w:name="_Toc18916289"/>
      <w:bookmarkStart w:id="416" w:name="_Toc12956977"/>
      <w:bookmarkStart w:id="417" w:name="_Toc7580"/>
      <w:bookmarkStart w:id="418" w:name="_Toc466579813"/>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419" w:name="_Toc25653689"/>
      <w:bookmarkStart w:id="420" w:name="_Toc28156975"/>
      <w:bookmarkStart w:id="421" w:name="_Toc26347953"/>
      <w:bookmarkStart w:id="422" w:name="_Toc25648194"/>
      <w:bookmarkStart w:id="423" w:name="_Toc28250903"/>
      <w:bookmarkStart w:id="424" w:name="_Toc28252176"/>
      <w:r>
        <w:t>中华人民共和国农业技术推广法</w:t>
      </w:r>
      <w:bookmarkEnd w:id="415"/>
      <w:bookmarkEnd w:id="416"/>
      <w:bookmarkEnd w:id="419"/>
      <w:bookmarkEnd w:id="420"/>
      <w:bookmarkEnd w:id="421"/>
      <w:bookmarkEnd w:id="422"/>
      <w:bookmarkEnd w:id="423"/>
      <w:bookmarkEnd w:id="424"/>
    </w:p>
    <w:p>
      <w:pPr>
        <w:pStyle w:val="62"/>
        <w:ind w:firstLine="0" w:firstLineChars="0"/>
        <w:jc w:val="center"/>
        <w:rPr>
          <w:shd w:val="clear" w:color="auto" w:fill="FFFFFF"/>
        </w:rPr>
      </w:pPr>
      <w:r>
        <w:rPr>
          <w:shd w:val="clear" w:color="auto" w:fill="FFFFFF"/>
        </w:rPr>
        <w:t>（</w:t>
      </w:r>
      <w:r>
        <w:rPr>
          <w:rFonts w:hint="eastAsia"/>
          <w:shd w:val="clear" w:color="auto" w:fill="FFFFFF"/>
        </w:rPr>
        <w:t>1995年6月8日北京市人民代表大会常务委员会公告第44号公布</w:t>
      </w:r>
      <w:r>
        <w:rPr>
          <w:shd w:val="clear" w:color="auto" w:fill="FFFFFF"/>
        </w:rPr>
        <w:t>）</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kern w:val="0"/>
          <w:sz w:val="24"/>
          <w:szCs w:val="24"/>
        </w:rPr>
        <w:t>为了加强农业技术推广工作，促使农业科研成果和实用技术尽快应用于农业生产，增强科技支撑保障能力，促进农业和农村经济可持续发展，实现农业现代化，制定本法。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第二条  </w:t>
      </w:r>
      <w:r>
        <w:rPr>
          <w:rFonts w:asciiTheme="minorEastAsia" w:hAnsiTheme="minorEastAsia" w:eastAsiaTheme="minorEastAsia"/>
          <w:kern w:val="0"/>
          <w:sz w:val="24"/>
          <w:szCs w:val="24"/>
        </w:rPr>
        <w:t>本法所称农业技术，是指应用于种植业、林业、畜牧业、渔业的科研成果和实用技术，包括：</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（一）良种繁育、栽培、肥料施用和养殖技术；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（二）植物病虫害、动物疫病和其他有害生物防治技术；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（三）农产品收获、加工、包装、贮藏、运输技术；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（四）农业投入品安全使用、农产品质量安全技术；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（五）农田水利、农村供排水、土壤改良与水土保持技术；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（六）农业机械化、农用航空、农业气象和农业信息技术；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（七）农业防灾减灾、农业资源与农业生态安全和农村能源开发利用技术；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（八）其他农业技术。</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本法所称农业技术推广，是指通过试验、示范、培训、指导以及咨询服务等，把农业技术普及应用于农业产前、产中、产后全过程的活动。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第三条  </w:t>
      </w:r>
      <w:r>
        <w:rPr>
          <w:rFonts w:asciiTheme="minorEastAsia" w:hAnsiTheme="minorEastAsia" w:eastAsiaTheme="minorEastAsia"/>
          <w:kern w:val="0"/>
          <w:sz w:val="24"/>
          <w:szCs w:val="24"/>
        </w:rPr>
        <w:t>国家扶持农业技术推广事业，加快农业技术的普及应用，发展高产、优质、高效、生态、安全农业。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第四条  </w:t>
      </w:r>
      <w:r>
        <w:rPr>
          <w:rFonts w:asciiTheme="minorEastAsia" w:hAnsiTheme="minorEastAsia" w:eastAsiaTheme="minorEastAsia"/>
          <w:kern w:val="0"/>
          <w:sz w:val="24"/>
          <w:szCs w:val="24"/>
        </w:rPr>
        <w:t>农业技术推广应当遵循下列原则：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（一）有利于农业、农村经济可持续发展和增加农民收入；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（二）尊重农业劳动者和农业生产经营组织的意愿；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（三）因地制宜，经过试验、示范；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（四）公益性推广与经营性推广分类管理；</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（五）兼顾经济效益、社会效益，注重生态效益。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第五条  </w:t>
      </w:r>
      <w:r>
        <w:rPr>
          <w:rFonts w:asciiTheme="minorEastAsia" w:hAnsiTheme="minorEastAsia" w:eastAsiaTheme="minorEastAsia"/>
          <w:kern w:val="0"/>
          <w:sz w:val="24"/>
          <w:szCs w:val="24"/>
        </w:rPr>
        <w:t>国家鼓励和支持科技人员开发、推广应用先进的农业技术，鼓励和支持农业劳动者和农业生产经营组织应用先进的农业技术。</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国家鼓励运用现代信息技术等先进传播手段，普及农业科学技术知识，创新农业技术推广方式方法，提高推广效率。</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第六条  </w:t>
      </w:r>
      <w:r>
        <w:rPr>
          <w:rFonts w:asciiTheme="minorEastAsia" w:hAnsiTheme="minorEastAsia" w:eastAsiaTheme="minorEastAsia"/>
          <w:kern w:val="0"/>
          <w:sz w:val="24"/>
          <w:szCs w:val="24"/>
        </w:rPr>
        <w:t>国家鼓励和支持引进国外先进的农业技术，促进农业技术推广的国际合作与交流。</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第七条  </w:t>
      </w:r>
      <w:r>
        <w:rPr>
          <w:rFonts w:asciiTheme="minorEastAsia" w:hAnsiTheme="minorEastAsia" w:eastAsiaTheme="minorEastAsia"/>
          <w:kern w:val="0"/>
          <w:sz w:val="24"/>
          <w:szCs w:val="24"/>
        </w:rPr>
        <w:t>各级人民政府应当加强对农业技术推广工作的领导，组织有关部门和单位采取措施，提高农业技术推广服务水平，促进农业技术推广事业的发展。</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第八条  </w:t>
      </w:r>
      <w:r>
        <w:rPr>
          <w:rFonts w:asciiTheme="minorEastAsia" w:hAnsiTheme="minorEastAsia" w:eastAsiaTheme="minorEastAsia"/>
          <w:kern w:val="0"/>
          <w:sz w:val="24"/>
          <w:szCs w:val="24"/>
        </w:rPr>
        <w:t>对在农业技术推广工作中做出贡献的单位和个人，给予奖励。</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第九条  </w:t>
      </w:r>
      <w:r>
        <w:rPr>
          <w:rFonts w:asciiTheme="minorEastAsia" w:hAnsiTheme="minorEastAsia" w:eastAsiaTheme="minorEastAsia"/>
          <w:kern w:val="0"/>
          <w:sz w:val="24"/>
          <w:szCs w:val="24"/>
        </w:rPr>
        <w:t>国务院农业、林业、水利等部门（以下统称农业技术推广部门）按照各自的职责，负责全国范围内有关的农业技术推广工作。县级以上地方各级人民政府农业技术推广部门在同级人民政府的领导下，按照各自的职责，负责本行政区域内有关的农业技术推广工作。同级人民政府科学技术部门对农业技术推广工作进行指导。同级人民政府其他有关部门按照各自的职责，负责农业技术推广的有关工作。</w:t>
      </w:r>
    </w:p>
    <w:p>
      <w:pPr>
        <w:pStyle w:val="63"/>
        <w:spacing w:before="218" w:after="218" w:line="412" w:lineRule="exact"/>
      </w:pPr>
      <w:bookmarkStart w:id="425" w:name="sub277512_2_3"/>
      <w:bookmarkEnd w:id="425"/>
      <w:bookmarkStart w:id="426" w:name="第二章_农业技术推广体系"/>
      <w:bookmarkEnd w:id="426"/>
      <w:r>
        <w:t xml:space="preserve">第二章 </w:t>
      </w:r>
      <w:r>
        <w:rPr>
          <w:rFonts w:hint="eastAsia"/>
        </w:rPr>
        <w:t xml:space="preserve"> </w:t>
      </w:r>
      <w:r>
        <w:t>农业技术推广体系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kern w:val="0"/>
          <w:sz w:val="24"/>
          <w:szCs w:val="24"/>
        </w:rPr>
        <w:t>农业技术推广，实行国家农业技术推广机构与农业科研单位、有关学校、农民专业合作社、涉农企业、群众性科技组织、农民技术人员等相结合的推广体系。</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国家鼓励和支持供销合作社、其他企业事业单位、社会团体以及社会各界的科技人员，开展农业技术推广服务。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第十一条  </w:t>
      </w:r>
      <w:r>
        <w:rPr>
          <w:rFonts w:asciiTheme="minorEastAsia" w:hAnsiTheme="minorEastAsia" w:eastAsiaTheme="minorEastAsia"/>
          <w:kern w:val="0"/>
          <w:sz w:val="24"/>
          <w:szCs w:val="24"/>
        </w:rPr>
        <w:t>各级国家农业技术推广机构属于公共服务机构，履行下列公益性职责：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（一）各级人民政府确定的关键农业技术的引进、试验、示范；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（二）植物病虫害、动物疫病及农业灾害的监测、预报和预防；</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（三）农产品生产过程中的检验、检测、监测咨询技术服务；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（四）农业资源、森林资源、农业生态安全和农业投入品使用的监测服务；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（五）水资源管理、防汛抗旱和农田水利建设技术服务；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（六）农业公共信息和农业技术宣传教育、培训服务；</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（七）法律、法规规定的其他职责。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第十二条  </w:t>
      </w:r>
      <w:r>
        <w:rPr>
          <w:rFonts w:asciiTheme="minorEastAsia" w:hAnsiTheme="minorEastAsia" w:eastAsiaTheme="minorEastAsia"/>
          <w:kern w:val="0"/>
          <w:sz w:val="24"/>
          <w:szCs w:val="24"/>
        </w:rPr>
        <w:t>根据科学合理、集中力量的原则以及县域农业特色、森林资源、水系和水利设施分布等情况，因地制宜设置县、乡镇或者区域国家农业技术推广机构。</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乡镇国家农业技术推广机构，可以实行县级人民政府农业技术推广部门管理为主或者乡镇人民政府管理为主、县级人民政府农业技术推广部门业务指导的体制，具体由省、自治区、直辖市人民政府确定。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第十三条  </w:t>
      </w:r>
      <w:r>
        <w:rPr>
          <w:rFonts w:asciiTheme="minorEastAsia" w:hAnsiTheme="minorEastAsia" w:eastAsiaTheme="minorEastAsia"/>
          <w:kern w:val="0"/>
          <w:sz w:val="24"/>
          <w:szCs w:val="24"/>
        </w:rPr>
        <w:t>国家农业技术推广机构的人员编制应当根据所服务区域的种养规模、服务范围和工作任务等合理确定，保证公益性职责的履行。</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农业技术推广机构的岗位设置应当以专业技术岗位为主。乡镇国家农业技术推广机构的岗位应当全部为专业技术岗位，县级国家农业技术推广机构的专业技术岗位不得低于机构岗位总量的百分之八十，其他国家农业技术推广机构的专业技术岗位不得低于机构岗位总量的百分之七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第十四条  </w:t>
      </w:r>
      <w:r>
        <w:rPr>
          <w:rFonts w:asciiTheme="minorEastAsia" w:hAnsiTheme="minorEastAsia" w:eastAsiaTheme="minorEastAsia"/>
          <w:kern w:val="0"/>
          <w:sz w:val="24"/>
          <w:szCs w:val="24"/>
        </w:rPr>
        <w:t>国家农业技术推广机构的专业技术人员应当具有相应的专业技术水平，符合岗位职责要求。</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农业技术推广机构聘用的新进专业技术人员，应当具有大专以上有关专业学历，并通过县级以上人民政府有关部门组织的专业技术水平考核。自治县、民族乡和国家确定的连片特困地区，经省、自治区、直辖市人民政府有关部门批准，可以聘用具有中专有关专业学历的人员或者其他具有相应专业技术水平的人员。</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国家鼓励和支持高等学校毕业生和科技人员到基层从事农业技术推广工作。各级人民政府应当采取措施，吸引人才，充实和加强基层农业技术推广队伍。</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第十五条  </w:t>
      </w:r>
      <w:r>
        <w:rPr>
          <w:rFonts w:asciiTheme="minorEastAsia" w:hAnsiTheme="minorEastAsia" w:eastAsiaTheme="minorEastAsia"/>
          <w:kern w:val="0"/>
          <w:sz w:val="24"/>
          <w:szCs w:val="24"/>
        </w:rPr>
        <w:t>国家鼓励和支持村农业技术服务站点和农民技术人员开展农业技术推广。对农民技术人员协助开展公益性农业技术推广活动，按照规定给予补助。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农民技术人员经考核符合条件的，可以按照有关规定授予相应的技术职称，并发给证书。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国家农业技术推广机构应当加强对村农业技术服务站点和农民技术人员的指导。</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村民委员会和村集体经济组织，应当推动、帮助村农业技术服务站点和农民技术人员开展工作。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第十六条  </w:t>
      </w:r>
      <w:r>
        <w:rPr>
          <w:rFonts w:asciiTheme="minorEastAsia" w:hAnsiTheme="minorEastAsia" w:eastAsiaTheme="minorEastAsia"/>
          <w:kern w:val="0"/>
          <w:sz w:val="24"/>
          <w:szCs w:val="24"/>
        </w:rPr>
        <w:t>农业科研单位和有关学校应当适应农村经济建设发展的需要，开展农业技术开发和推广工作，加快先进技术在农业生产中的普及应用。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农业科研单位和有关学校应当将其科技人员从事农业技术推广工作的实绩作为工作考核和职称评定的重要内容。</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第十七条  </w:t>
      </w:r>
      <w:r>
        <w:rPr>
          <w:rFonts w:asciiTheme="minorEastAsia" w:hAnsiTheme="minorEastAsia" w:eastAsiaTheme="minorEastAsia"/>
          <w:kern w:val="0"/>
          <w:sz w:val="24"/>
          <w:szCs w:val="24"/>
        </w:rPr>
        <w:t>国家鼓励农场、林场、牧场、渔场、水利工程管理单位面向社会开展农业技术推广服务。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第十八条  </w:t>
      </w:r>
      <w:r>
        <w:rPr>
          <w:rFonts w:asciiTheme="minorEastAsia" w:hAnsiTheme="minorEastAsia" w:eastAsiaTheme="minorEastAsia"/>
          <w:kern w:val="0"/>
          <w:sz w:val="24"/>
          <w:szCs w:val="24"/>
        </w:rPr>
        <w:t>国家鼓励和支持发展农村专业技术协会等群众性科技组织，发挥其在农业技术推广中的作用。</w:t>
      </w:r>
    </w:p>
    <w:p>
      <w:pPr>
        <w:pStyle w:val="63"/>
        <w:spacing w:before="218" w:after="218" w:line="412" w:lineRule="exact"/>
      </w:pPr>
      <w:bookmarkStart w:id="427" w:name="第三章_农业技术的推广与应用"/>
      <w:bookmarkEnd w:id="427"/>
      <w:bookmarkStart w:id="428" w:name="sub277512_2_4"/>
      <w:bookmarkEnd w:id="428"/>
      <w:r>
        <w:t xml:space="preserve">第三章 </w:t>
      </w:r>
      <w:r>
        <w:rPr>
          <w:rFonts w:hint="eastAsia"/>
        </w:rPr>
        <w:t xml:space="preserve"> </w:t>
      </w:r>
      <w:r>
        <w:t>农业技术的推广与应用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kern w:val="0"/>
          <w:sz w:val="24"/>
          <w:szCs w:val="24"/>
        </w:rPr>
        <w:t>重大农业技术的推广应当列入国家和地方相关发展规划、计划，由农业技术推广部门会同科学技术等相关部门按照各自的职责，相互配合，组织实施。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第二十条  </w:t>
      </w:r>
      <w:r>
        <w:rPr>
          <w:rFonts w:asciiTheme="minorEastAsia" w:hAnsiTheme="minorEastAsia" w:eastAsiaTheme="minorEastAsia"/>
          <w:kern w:val="0"/>
          <w:sz w:val="24"/>
          <w:szCs w:val="24"/>
        </w:rPr>
        <w:t>农业科研单位和有关学校应当把农业生产中需要解决的技术问题列为研究课题，其科研成果可以通过有关农业技术推广单位进行推广或者直接向农业劳动者和农业生产经营组织推广。</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国家引导农业科研单位和有关学校开展公益性农业技术推广服务。</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第二十一条  </w:t>
      </w:r>
      <w:r>
        <w:rPr>
          <w:rFonts w:asciiTheme="minorEastAsia" w:hAnsiTheme="minorEastAsia" w:eastAsiaTheme="minorEastAsia"/>
          <w:kern w:val="0"/>
          <w:sz w:val="24"/>
          <w:szCs w:val="24"/>
        </w:rPr>
        <w:t>向农业劳动者和农业生产经营组织推广的农业技术，必须在推广地区经过试验证明具有先进性、适用性和安全性。</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第二十二条  </w:t>
      </w:r>
      <w:r>
        <w:rPr>
          <w:rFonts w:asciiTheme="minorEastAsia" w:hAnsiTheme="minorEastAsia" w:eastAsiaTheme="minorEastAsia"/>
          <w:kern w:val="0"/>
          <w:sz w:val="24"/>
          <w:szCs w:val="24"/>
        </w:rPr>
        <w:t>国</w:t>
      </w:r>
      <w:r>
        <w:rPr>
          <w:rFonts w:asciiTheme="minorEastAsia" w:hAnsiTheme="minorEastAsia" w:eastAsiaTheme="minorEastAsia"/>
          <w:spacing w:val="-4"/>
          <w:kern w:val="0"/>
          <w:sz w:val="24"/>
          <w:szCs w:val="24"/>
        </w:rPr>
        <w:t>家鼓励和支持农业劳动者和农业生产经营组织参与农业技术推广。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农业劳动者和农业生产经营组织在生产中应用先进的农业技术，有关部门和单位应当在技术培训、资金、物资和销售等方面给予扶持。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农业劳动者和农业生产经营组织根据自愿的原则应用农业技术，任何单位或者个人不得强迫。</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推广农业技术，应当选择有条件的农户、区域或者工程项目，进行应用示范。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第二十三条  </w:t>
      </w:r>
      <w:r>
        <w:rPr>
          <w:rFonts w:asciiTheme="minorEastAsia" w:hAnsiTheme="minorEastAsia" w:eastAsiaTheme="minorEastAsia"/>
          <w:kern w:val="0"/>
          <w:sz w:val="24"/>
          <w:szCs w:val="24"/>
        </w:rPr>
        <w:t>县、乡镇国家农业技术推广机构应当组织农业劳动者学习农业科学技术知识，提高其应用农业技术的能力。</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教育、人力资源和社会保障、农业、林业、水利、科学技术等部门应当支持农业科研单位、有关学校开展有关农业技术推广的职业技术教育和技术培训，提高农业技术推广人员和农业劳动者的技术素质。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国家鼓励社会力量开展农业技术培训。</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第二十四条  </w:t>
      </w:r>
      <w:r>
        <w:rPr>
          <w:rFonts w:asciiTheme="minorEastAsia" w:hAnsiTheme="minorEastAsia" w:eastAsiaTheme="minorEastAsia"/>
          <w:kern w:val="0"/>
          <w:sz w:val="24"/>
          <w:szCs w:val="24"/>
        </w:rPr>
        <w:t>各级国家农业技术推广机构应当认真履行本法第十一条规定的公益性职责，向农业劳动者和农业生产经营组织推广农业技术，实行无偿服务。</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国家农业技术推广机构以外的单位及科技人员以技术转让、技术服务、技术承包、技术咨询和技术入股等形式提供农业技术的，可以实行有偿服务，其合法收入和植物新品种、农业技术专利等知识产权受法律保护。进行农业技术转让、技术服务、技术承包、技术咨询和技术入股，当事人各方应当订立合同，约定各自的权利和义务。</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第二十五条  </w:t>
      </w:r>
      <w:r>
        <w:rPr>
          <w:rFonts w:asciiTheme="minorEastAsia" w:hAnsiTheme="minorEastAsia" w:eastAsiaTheme="minorEastAsia"/>
          <w:kern w:val="0"/>
          <w:sz w:val="24"/>
          <w:szCs w:val="24"/>
        </w:rPr>
        <w:t>国家鼓励和支持农民专业合作社、涉农企业，采取多种形式，为农民应用先进农业技术提供有关的技术服务。</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第二十六条  </w:t>
      </w:r>
      <w:r>
        <w:rPr>
          <w:rFonts w:asciiTheme="minorEastAsia" w:hAnsiTheme="minorEastAsia" w:eastAsiaTheme="minorEastAsia"/>
          <w:kern w:val="0"/>
          <w:sz w:val="24"/>
          <w:szCs w:val="24"/>
        </w:rPr>
        <w:t>国家鼓励和支持以大宗农产品和优势特色农产品生产为重点的农业示范区建设，发挥示范区对农业技术推广的引领作用，促进农业产业化发展和现代农业建设。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第二十七条  </w:t>
      </w:r>
      <w:r>
        <w:rPr>
          <w:rFonts w:asciiTheme="minorEastAsia" w:hAnsiTheme="minorEastAsia" w:eastAsiaTheme="minorEastAsia"/>
          <w:kern w:val="0"/>
          <w:sz w:val="24"/>
          <w:szCs w:val="24"/>
        </w:rPr>
        <w:t>各级人民政府可以采取购买服务等方式，引导社会力量参与公益性农业技术推广服务。</w:t>
      </w:r>
    </w:p>
    <w:p>
      <w:pPr>
        <w:pStyle w:val="63"/>
        <w:spacing w:before="218" w:after="218" w:line="412" w:lineRule="exact"/>
      </w:pPr>
      <w:bookmarkStart w:id="429" w:name="sub277512_2_5"/>
      <w:bookmarkEnd w:id="429"/>
      <w:bookmarkStart w:id="430" w:name="第四章_农业技术推广的保障措施"/>
      <w:bookmarkEnd w:id="430"/>
      <w:r>
        <w:t xml:space="preserve">第四章 </w:t>
      </w:r>
      <w:r>
        <w:rPr>
          <w:rFonts w:hint="eastAsia"/>
        </w:rPr>
        <w:t xml:space="preserve"> </w:t>
      </w:r>
      <w:r>
        <w:t>农业技术推广的保障措施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kern w:val="0"/>
          <w:sz w:val="24"/>
          <w:szCs w:val="24"/>
        </w:rPr>
        <w:t>国家逐步提高对农业技术推广的投入。各级人民政府在财政预算内应当保障用于农业技术推广的资金，并按规定使该资金逐年增长。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各级人民政府通过财政拨款以及从农业发展基金中提取一定比例的资金的渠道，筹集农业技术推广专项资金，用于实施农业技术推广项目。中央财政对重大农业技术推广给予补助。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县、乡镇国家农业技术推广机构的工作经费根据当地服务规模和绩效确定，由各级财政共同承担。</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任何单位或者个人不得截留或者挪用用于农业技术推广的资金。</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第二十九条  </w:t>
      </w:r>
      <w:r>
        <w:rPr>
          <w:rFonts w:asciiTheme="minorEastAsia" w:hAnsiTheme="minorEastAsia" w:eastAsiaTheme="minorEastAsia"/>
          <w:kern w:val="0"/>
          <w:sz w:val="24"/>
          <w:szCs w:val="24"/>
        </w:rPr>
        <w:t>各级人民政府应当采取措施，保障和改善县、乡镇国家农业技术推广机构的专业技术人员的工作条件、生活条件和待遇，并按照国家规定给予补贴，保持国家农业技术推广队伍的稳定。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对在县、乡镇、村从事农业技术推广工作的专业技术人员的职称评定，应当以考核其推广工作的业务技术水平和实绩为主。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第三十条  </w:t>
      </w:r>
      <w:r>
        <w:rPr>
          <w:rFonts w:asciiTheme="minorEastAsia" w:hAnsiTheme="minorEastAsia" w:eastAsiaTheme="minorEastAsia"/>
          <w:kern w:val="0"/>
          <w:sz w:val="24"/>
          <w:szCs w:val="24"/>
        </w:rPr>
        <w:t>各级人民政府应当采取措施，保障国家农业技术推广机构获得必需的试验示范场所、办公场所、推广和培训设施设备等工作条件。</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地方各级人民政府应当保障国家农业技术推广机构的试验示范场所、生产资料和其他财产不受侵害。</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第三十一条  </w:t>
      </w:r>
      <w:r>
        <w:rPr>
          <w:rFonts w:asciiTheme="minorEastAsia" w:hAnsiTheme="minorEastAsia" w:eastAsiaTheme="minorEastAsia"/>
          <w:kern w:val="0"/>
          <w:sz w:val="24"/>
          <w:szCs w:val="24"/>
        </w:rPr>
        <w:t>农业技术推广部门和县级以上国家农业技术推广机构，应当有计划地对农业技术推广人员进行技术培训，组织专业进修，使其不断更新知识、提高业务水平。</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第三十二条  </w:t>
      </w:r>
      <w:r>
        <w:rPr>
          <w:rFonts w:asciiTheme="minorEastAsia" w:hAnsiTheme="minorEastAsia" w:eastAsiaTheme="minorEastAsia"/>
          <w:kern w:val="0"/>
          <w:sz w:val="24"/>
          <w:szCs w:val="24"/>
        </w:rPr>
        <w:t>县级以上农业技术推广部门、乡镇人民政府应当对其管理的国家农业技术推广机构履行公益性职责的情况进行监督、考评。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各级农业技术推广部门和国家农业技术推广机构，应当建立国家农业技术推广机构的专业技术人员工作责任制度和考评制度。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县级人民政府农业技术推广部门管理为主的乡镇国家农业技术推广机构的人员，其业务考核、岗位聘用以及晋升，应当充分听取所服务区域的乡镇人民政府和服务对象的意见。</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乡镇人民政府管理为主、县级人民政府农业技术推广部门业务指导的乡镇国家农业技术推广机构的人员，其业务考核、岗位聘用以及晋升，应当充分听取所在地的县级人民政府农业技术推广部门和服务对象的意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第三十三条  </w:t>
      </w:r>
      <w:r>
        <w:rPr>
          <w:rFonts w:asciiTheme="minorEastAsia" w:hAnsiTheme="minorEastAsia" w:eastAsiaTheme="minorEastAsia"/>
          <w:kern w:val="0"/>
          <w:sz w:val="24"/>
          <w:szCs w:val="24"/>
        </w:rPr>
        <w:t>从事农业技术推广服务的，可以享受国家规定的税收、信贷等方面的优惠。</w:t>
      </w:r>
    </w:p>
    <w:p>
      <w:pPr>
        <w:pStyle w:val="63"/>
        <w:spacing w:before="218" w:after="218" w:line="412" w:lineRule="exact"/>
      </w:pPr>
      <w:bookmarkStart w:id="431" w:name="sub277512_2_6"/>
      <w:bookmarkEnd w:id="431"/>
      <w:bookmarkStart w:id="432" w:name="第五章_法律责任"/>
      <w:bookmarkEnd w:id="432"/>
      <w:r>
        <w:t>第五章</w:t>
      </w:r>
      <w:r>
        <w:rPr>
          <w:rFonts w:hint="eastAsia"/>
        </w:rPr>
        <w:t xml:space="preserve"> </w:t>
      </w:r>
      <w:r>
        <w:t xml:space="preserve"> 法律责任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kern w:val="0"/>
          <w:sz w:val="24"/>
          <w:szCs w:val="24"/>
        </w:rPr>
        <w:t>各级人民政府有关部门及其工作人员未依照本法规定履行职责的，对直接负责的主管人员和其他直接责任人员依法给予处分。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第三十五条  </w:t>
      </w:r>
      <w:r>
        <w:rPr>
          <w:rFonts w:asciiTheme="minorEastAsia" w:hAnsiTheme="minorEastAsia" w:eastAsiaTheme="minorEastAsia"/>
          <w:kern w:val="0"/>
          <w:sz w:val="24"/>
          <w:szCs w:val="24"/>
        </w:rPr>
        <w:t>国家农业技术推广机构及其工作人员未依照本法规定履行职责的，由主管机关责令限期改正，通报批评；对直接负责的主管人员和其他直接责任人员依法给予处分。</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第三十六条  </w:t>
      </w:r>
      <w:r>
        <w:rPr>
          <w:rFonts w:asciiTheme="minorEastAsia" w:hAnsiTheme="minorEastAsia" w:eastAsiaTheme="minorEastAsia"/>
          <w:kern w:val="0"/>
          <w:sz w:val="24"/>
          <w:szCs w:val="24"/>
        </w:rPr>
        <w:t>违反本法规定，向农业劳动者、农业生产经营组织推广未经试验证明具有先进性、适用性或者安全性的农业技术，造成损失的，应当承担赔偿责任。</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第三十七条  </w:t>
      </w:r>
      <w:r>
        <w:rPr>
          <w:rFonts w:asciiTheme="minorEastAsia" w:hAnsiTheme="minorEastAsia" w:eastAsiaTheme="minorEastAsia"/>
          <w:kern w:val="0"/>
          <w:sz w:val="24"/>
          <w:szCs w:val="24"/>
        </w:rPr>
        <w:t>违反本法规定，强迫农业劳动者、农业生产经营组织应用农业技术，造成损失的，依法承担赔偿责任。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第三十八条  </w:t>
      </w:r>
      <w:r>
        <w:rPr>
          <w:rFonts w:asciiTheme="minorEastAsia" w:hAnsiTheme="minorEastAsia" w:eastAsiaTheme="minorEastAsia"/>
          <w:kern w:val="0"/>
          <w:sz w:val="24"/>
          <w:szCs w:val="24"/>
        </w:rPr>
        <w:t>违反本法规定，截留或者挪用用于农业技术推广的资金的，对直接负责的主管人员和其他直接责任人员依法给予处分；构成犯罪的，依法追究刑事责任。</w:t>
      </w:r>
    </w:p>
    <w:p>
      <w:pPr>
        <w:pStyle w:val="63"/>
        <w:spacing w:before="218" w:after="218" w:line="412" w:lineRule="exact"/>
      </w:pPr>
      <w:bookmarkStart w:id="433" w:name="sub277512_2_7"/>
      <w:bookmarkEnd w:id="433"/>
      <w:bookmarkStart w:id="434" w:name="2-7"/>
      <w:bookmarkEnd w:id="434"/>
      <w:bookmarkStart w:id="435" w:name="第六章_附则"/>
      <w:bookmarkEnd w:id="435"/>
      <w:bookmarkStart w:id="436" w:name="2_7"/>
      <w:bookmarkEnd w:id="436"/>
      <w:r>
        <w:t xml:space="preserve">第六章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kern w:val="0"/>
          <w:sz w:val="24"/>
          <w:szCs w:val="24"/>
        </w:rPr>
        <w:t>本法自公布之日起施行。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437" w:name="_Toc466579812"/>
      <w:bookmarkStart w:id="438" w:name="_Toc18916290"/>
      <w:bookmarkStart w:id="439" w:name="_Toc5831"/>
      <w:bookmarkStart w:id="440" w:name="_Toc12956978"/>
      <w:bookmarkStart w:id="441" w:name="OLE_LINK155"/>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442" w:name="_Toc25653690"/>
      <w:bookmarkStart w:id="443" w:name="_Toc25648195"/>
      <w:bookmarkStart w:id="444" w:name="_Toc28156976"/>
      <w:bookmarkStart w:id="445" w:name="_Toc26347954"/>
      <w:bookmarkStart w:id="446" w:name="_Toc28250904"/>
      <w:bookmarkStart w:id="447" w:name="_Toc28252177"/>
      <w:r>
        <w:t>北京市实施《中华人民共和国农业</w:t>
      </w:r>
      <w:r>
        <w:rPr>
          <w:rFonts w:hint="eastAsia"/>
        </w:rPr>
        <w:br w:type="textWrapping"/>
      </w:r>
      <w:r>
        <w:t>技术推广法》办法</w:t>
      </w:r>
      <w:bookmarkEnd w:id="437"/>
      <w:bookmarkEnd w:id="438"/>
      <w:bookmarkEnd w:id="439"/>
      <w:bookmarkEnd w:id="440"/>
      <w:bookmarkEnd w:id="442"/>
      <w:bookmarkEnd w:id="443"/>
      <w:bookmarkEnd w:id="444"/>
      <w:bookmarkEnd w:id="445"/>
      <w:bookmarkEnd w:id="446"/>
      <w:bookmarkEnd w:id="447"/>
    </w:p>
    <w:p>
      <w:pPr>
        <w:pStyle w:val="62"/>
      </w:pPr>
      <w:r>
        <w:t>（</w:t>
      </w:r>
      <w:bookmarkEnd w:id="441"/>
      <w:r>
        <w:rPr>
          <w:rFonts w:hint="eastAsia"/>
        </w:rPr>
        <w:t>1995年6月8日北京市第十届人民代表大会常务委员会第十七次会议通过1995年6月8日北京市人民代表大会常务委员会公告第44号公布1995年8月1日起施行</w:t>
      </w:r>
      <w:r>
        <w:t>）</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为了实施《中华人民共和国农业技术推广法》，结合本市实际情况，制定本办法。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本市各级人民政府应当将农业技术推广工作纳入国民经济和社会发展计划，加强领导，稳定机构，增加经费，更新装备，促进农业技术推广事业的发展。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市和郊区区县农业、林业、畜牧业、渔业、水利、农机等行政部门（以下简称农业技术推广行政部门），按照各自的职责，主管本行政区域内有关的农业技术推广工作。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计划、财政、税收、教育等行政部门，应当在各自的职责范围内，支持农业技术推广工作；科学技术行政部门应当加强对农业技术推广工作的指导。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市人民政府和郊区区县人民政府设立农业技术推广奖，对在农业技术推广工作中做出突出贡献的单位和个人给予奖励。</w:t>
      </w:r>
    </w:p>
    <w:p>
      <w:pPr>
        <w:pStyle w:val="63"/>
        <w:spacing w:before="218" w:after="218" w:line="412" w:lineRule="exact"/>
      </w:pPr>
      <w:r>
        <w:t xml:space="preserve">第二章 </w:t>
      </w:r>
      <w:r>
        <w:rPr>
          <w:rFonts w:hint="eastAsia"/>
        </w:rPr>
        <w:t xml:space="preserve"> </w:t>
      </w:r>
      <w:r>
        <w:t>农业技术推广体系</w:t>
      </w:r>
    </w:p>
    <w:p>
      <w:pPr>
        <w:pStyle w:val="3"/>
        <w:topLinePunct/>
        <w:spacing w:line="408"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农业技术推广实行农业技术推广机构和农业科研单位、有关学校以及群众性科技组织、农民技术人员相结合的推广体系。</w:t>
      </w:r>
    </w:p>
    <w:p>
      <w:pPr>
        <w:pStyle w:val="3"/>
        <w:topLinePunct/>
        <w:spacing w:line="408"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市和郊区区县应当设立农业、林业、畜牧业、渔业、水利、农机、经营管理等农业技术推广机构。</w:t>
      </w:r>
    </w:p>
    <w:p>
      <w:pPr>
        <w:pStyle w:val="3"/>
        <w:topLinePunct/>
        <w:spacing w:line="408"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乡、镇应当设立农业、林业、畜牧业、水利、农机、经营管理等农业技术推广机构，渔业技术推广机构的设立，由区、县人民政府决定。</w:t>
      </w:r>
    </w:p>
    <w:p>
      <w:pPr>
        <w:pStyle w:val="3"/>
        <w:topLinePunct/>
        <w:spacing w:line="408"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各级人民政府应当保证农业技术推广机构的稳定，不得擅自撤销、合并或者改变机构性质，违反的，由上级人民政府予以纠正。</w:t>
      </w:r>
    </w:p>
    <w:p>
      <w:pPr>
        <w:pStyle w:val="3"/>
        <w:topLinePunct/>
        <w:spacing w:line="408"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乡、镇以上（含乡、镇）农业技术推广机构为国家事业单位。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下级农业技术推广机构受上级农业技术推广机构的业务指导。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各级农业技术推广机构应当充实队伍，定编、定员。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各级农业技术推广机构的人员编制，由同级农业技术推广行政部门按照国家和本市有关规定，报机构编制主管部门审批后确定。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农业技术推广机构的人员应当以专业技术人员为主，专业技术人员的比例应当占编制人员总数的百分之八十以上。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乡、镇以上农业技术推广机构中的专业技术人员，应当具有中等以上有关专业学历。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农村集体经济组织及其所属农业生产经营单位，应当根据需要配备专职或者兼职技术人员，负责农业先进技术的应用。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国有农业企业应当设置农业科技机构或者配备专业技术人员。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对乡、镇以上（含乡、镇）农业技术推广机构中的专业技术人员应当评定专业技术职称。在评定职称时应当将其从事农业技术推广工作的实绩作为考核的重要内容。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农民技术人员经考核符合条件的，可以按照有关规定授予相应的技术职称，并发给证书。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农业科研单位、有关学校、科学技术协会，应当配合农业技术推广机构开展实用技术培训、科普宣传、成果展示等形式的活动，为农村集体经济组织和农业劳动者从事生产经营活动提供技术服务和信息咨询。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鼓励和支持农业集体经济组织、企业、事业单位和其他社会力量，在农业技术推广中发挥作用。</w:t>
      </w:r>
    </w:p>
    <w:p>
      <w:pPr>
        <w:pStyle w:val="63"/>
        <w:spacing w:before="218" w:after="218" w:line="412" w:lineRule="exact"/>
      </w:pPr>
      <w:r>
        <w:t xml:space="preserve">第三章 </w:t>
      </w:r>
      <w:r>
        <w:rPr>
          <w:rFonts w:hint="eastAsia"/>
        </w:rPr>
        <w:t xml:space="preserve"> </w:t>
      </w:r>
      <w:r>
        <w:t>农业技术的推广与应用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各级农业技术推广机构应当制定农业技术推广项目计划，经同级农业技术推广行政部门批准后实施。重点农业技术推广项目应当列入同级人民政府科技发展计划，并下达实施。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列入计划的农业技术推广项目所需经费，在农业技术推广资金或者科技经费中列支。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推广的农业技术必须具有先进性、适用性和经济合理性。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推广的农业技术必须是按规定经过审定、鉴定、登记的技术成果。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推广农业技术必须经过试验、示范。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农业技术推广机构应当引导和协助农业劳动者应用新品种、新技术、新成果。农业技术推广机构推广新品种、新技术、新成果应当尊重农业劳动者的意愿。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各级人民政府对采用新品种、新技术、新成果的集体经济组织和农业劳动者，在技术培训、资金、物资供应和产品销售等方面给予扶持。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农业科研单位和有关学校研究的新品种、新技术、新成果，可以通过农业技术推广机构推广，也可以由该农业科研单位、学校直接推广，推广方应当接受当地农业技术推广行政部门的管理。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农业技术推广实行推广责任制。农业技术推广方应当对所推广的农业技术产生的后果负责。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技术推广方向农业劳动者推广未在推广地区经过试验证明具有先进性和适用性的农业技术，或者强制农业劳动者应用农业技术，给农业劳动者造成损失的，应当承担民事赔偿责任，直接负责的主管人员和其他直接责任人员，由其所在单位或者上级机关给予行政处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本市逐步实行农业新品种、新技术、新成果的有偿转让。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农业技术推广机构向农业劳动者推广农业技术，除本条第二款另有规定外，实行无偿服务。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农业技术推广机构、农业科研单位、有关学校以及其他组织和科技人员，以技术转让、技术服务和技术承包等形式提供农业技术的，可以实行有偿服务，并应当依法订立合同。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农业技术推广机构、农业科研单位、有关学校以及其他组织，应当提取不超过农业技术性收入的百分之五十，奖励直接参加科技研究、开发、咨询和服务的人员。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鼓励农业技术推广机构以技术在股份制、股份合作制的农业企业中参股。</w:t>
      </w:r>
    </w:p>
    <w:p>
      <w:pPr>
        <w:pStyle w:val="63"/>
        <w:spacing w:before="218" w:after="218" w:line="412" w:lineRule="exact"/>
      </w:pPr>
      <w:r>
        <w:t xml:space="preserve">第四章 </w:t>
      </w:r>
      <w:r>
        <w:rPr>
          <w:rFonts w:hint="eastAsia"/>
        </w:rPr>
        <w:t xml:space="preserve"> </w:t>
      </w:r>
      <w:r>
        <w:t>农业技术推广的保障措施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各级人民政府在财政预算内应当保障用于农业技术推广的资金，并使其逐年增长。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在财政预算内安排的支农资金和农业发展基金中，每年应当按照高于百分之十的比例提取资金，用于实施农业技术推广项目。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任何单位或者个人不得截留或者挪用用于农业技术推广的资金。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农业技术推广机构的经费实行财政全额预算。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对于条件具备、有稳定收入来源的农业技术推广机构，经区、县以上财政部门会同同级农业技术推广行政部门审定，也可以实行差额补贴或者自收自支。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任何单位和个人不得任意扣减或者停止拨付农业技术推广机构的经费。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农业技术推广机构可以结合技术推广开展经营服务，经营服务的主要范围包括：良种、农用生产资料以及农产品保鲜加工、运销业务和产品开发。</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农业技术推广机构兴办的为农业服务、技贸结合的经济实体，依法享受国家税收和信贷优惠。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农业技术推广机构开展经营服务的收入，主要用于发展农业技术推广事业和改善从事农业技术推广人员的工作、生活条件。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任何部门不得要求农业技术推广机构上缴利润。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各级人民政府应当保障农业技术推广机构的办公场所、试验基地、生产资料和其他财产不受侵占。对违反者应当责令改正，退回财产，赔偿损失，构成犯罪的依法追究刑事责任。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各级农业技术推广行政部门应当为农业技术推广人员接受继续教育，提高技术业务水平创造必要的条件。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各级人民政府应当采取措施，保障和改善从事农业技术推广工作的专业科技人员的工作条件和生活条件，改善他们的待遇，依照国家规定给予补贴，保持专业科技人员的稳定。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国家农业科技人员到乡、镇农业技术推广机构工作。在乡、镇农业技术推广机构工作、具有中专以上学历或者技术员以上职称的国家农业技术人员，在原工资基础上向上浮动一档工资，每五年予以固定，并继续向上浮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农村集体经济组织及其所属农业生产经营单位，应当对农民技术员给予适当经济补贴。</w:t>
      </w:r>
    </w:p>
    <w:p>
      <w:pPr>
        <w:pStyle w:val="63"/>
        <w:spacing w:before="218" w:after="218" w:line="412" w:lineRule="exact"/>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本办法具体应用中的问题，由市人民政府农林办公室负责解释。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本办法自1995年8月1日起施行。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448" w:name="_Toc18916291"/>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449" w:name="_Toc25648196"/>
      <w:bookmarkStart w:id="450" w:name="_Toc28156977"/>
      <w:bookmarkStart w:id="451" w:name="_Toc25653691"/>
      <w:bookmarkStart w:id="452" w:name="_Toc26347955"/>
      <w:bookmarkStart w:id="453" w:name="_Toc28252178"/>
      <w:bookmarkStart w:id="454" w:name="_Toc28250905"/>
      <w:r>
        <w:t>中华人民共和国农产品质量安全法</w:t>
      </w:r>
      <w:bookmarkEnd w:id="417"/>
      <w:bookmarkEnd w:id="418"/>
      <w:bookmarkEnd w:id="448"/>
      <w:bookmarkEnd w:id="449"/>
      <w:bookmarkEnd w:id="450"/>
      <w:bookmarkEnd w:id="451"/>
      <w:bookmarkEnd w:id="452"/>
      <w:bookmarkEnd w:id="453"/>
      <w:bookmarkEnd w:id="454"/>
    </w:p>
    <w:p>
      <w:pPr>
        <w:pStyle w:val="62"/>
      </w:pPr>
      <w:r>
        <w:t>（2006年4月29日中华人民共和国主席令第49号公布，根据2018年10月26日中华人民共和国主席令第16号公布、自公布之日起施行的《全国人民代表大会常务委员会关于修改〈中华人民共和国野生动物保护法〉等十五部法律的决定》修订）</w:t>
      </w:r>
    </w:p>
    <w:p>
      <w:pPr>
        <w:pStyle w:val="63"/>
        <w:spacing w:before="218" w:after="218" w:line="412" w:lineRule="exact"/>
        <w:rPr>
          <w:b/>
        </w:rPr>
      </w:pPr>
      <w:bookmarkStart w:id="455" w:name="_Toc332804705"/>
      <w:r>
        <w:t xml:space="preserve">第一章 </w:t>
      </w:r>
      <w:r>
        <w:rPr>
          <w:rFonts w:hint="eastAsia"/>
        </w:rPr>
        <w:t xml:space="preserve"> </w:t>
      </w:r>
      <w:r>
        <w:t>总</w:t>
      </w:r>
      <w:r>
        <w:rPr>
          <w:rFonts w:hint="eastAsia"/>
        </w:rPr>
        <w:t xml:space="preserve">  </w:t>
      </w:r>
      <w:r>
        <w:t>则</w:t>
      </w:r>
      <w:bookmarkEnd w:id="455"/>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为保障农产品质量安全，维护公众健康，促进农业和农村经济发展，制定本法。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本法所称农产品，是指来源于农业的初级产品，即在农业活动中获得的植物、动物、微生物及其产品。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本法所称农产品质量安全，是指农产品质量符合保障人的健康、安全的要求。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县级以上人民政府农业行政主管部门负责农产品质量安全的监督管理工作；县级以上人民政府有关部门按照职责分工，负责农产品质量安全的有关工作。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县级以上人民政府应当将农产品质量安全管理工作纳入本级国民经济和社会发展规划，并安排农产品质量安全经费，用于开展农产品质量安全工作。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县级以上地方人民政府统一领导、协调本行政区域内的农产品质量安全工作，并采取措施，建立健全农产品质量安全服务体系，提高农产品质量安全水平。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国务院农业行政主管部门应当设立由有关方面专家组成的农产品质量安全风险评估专家委员会，对可能影响农产品质量安全的潜在危害进行风险分析和评估。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国务院农业行政主管部门应当根据农产品质量安全风险评估结果采取相应的管理措施，并将农产品质量安全风险评估结果及时通报国务院有关部门。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国务院农业行政主管部门和省、自治区、直辖市人民政府农业行政主管部门应当按照职责权限，发布有关农产品质量安全状况信息。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国家引导、推广农产品标准化生产，鼓励和支持生产优质农产品，禁止生产、销售不符合国家规定的农产品质量安全标准的农产品。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国家支持农产品质量安全科学技术研究，推行科学的质量安全管理方法，推广先进安全的生产技术。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各级人民政府及有关部门应当加强农产品质量安全知识的宣传，提高公众的农产品质量安全意识，引导农产品生产者、销售者加强质量安全管理，保障农产品消费安全。</w:t>
      </w:r>
    </w:p>
    <w:p>
      <w:pPr>
        <w:pStyle w:val="63"/>
        <w:spacing w:before="218" w:after="218" w:line="412" w:lineRule="exact"/>
        <w:rPr>
          <w:b/>
        </w:rPr>
      </w:pPr>
      <w:bookmarkStart w:id="456" w:name="_Toc332804706"/>
      <w:r>
        <w:t>第二章</w:t>
      </w:r>
      <w:r>
        <w:rPr>
          <w:rFonts w:hint="eastAsia"/>
        </w:rPr>
        <w:t xml:space="preserve"> </w:t>
      </w:r>
      <w:r>
        <w:t xml:space="preserve"> 农产品质量安全标准</w:t>
      </w:r>
      <w:bookmarkEnd w:id="456"/>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国家建立健全农产品质量安全标准体系。农产品质量安全标准是强制性的技术规范。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农产品质量安全标准的制定和发布，依照有关法律、行政法规的规定执行。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制定农产品质量安全标准应当充分考虑农产品质量安全风险评估结果，并听取农产品生产者、销售者和消费者的意见，保障消费安全。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农产品质量安全标准应当根据科学技术发展水平以及农产品质量安全的需要，及时修订。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农产品质量安全标准由农业行政主管部门商有关部门组织实施。</w:t>
      </w:r>
    </w:p>
    <w:p>
      <w:pPr>
        <w:pStyle w:val="63"/>
        <w:spacing w:before="218" w:after="218" w:line="412" w:lineRule="exact"/>
        <w:rPr>
          <w:b/>
        </w:rPr>
      </w:pPr>
      <w:bookmarkStart w:id="457" w:name="_Toc332804707"/>
      <w:r>
        <w:t>第三章</w:t>
      </w:r>
      <w:r>
        <w:rPr>
          <w:rFonts w:hint="eastAsia"/>
        </w:rPr>
        <w:t xml:space="preserve"> </w:t>
      </w:r>
      <w:r>
        <w:t xml:space="preserve"> 农产品产地</w:t>
      </w:r>
      <w:bookmarkEnd w:id="457"/>
    </w:p>
    <w:p>
      <w:pPr>
        <w:pStyle w:val="3"/>
        <w:topLinePunct/>
        <w:spacing w:line="408"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县级以上地方人民政府农业行政主管部门按照保障农产品质量安全的要求，根据农产品品种特性和生产区域大气、土壤、水体中有毒有害物质状况等因素，认为不适宜特定农产品生产的，提出禁止生产的区域，报本级人民政府批准后公布。具体办法由国务院农业行政主管部门商国务院生态环境主管部门制定。</w:t>
      </w:r>
    </w:p>
    <w:p>
      <w:pPr>
        <w:pStyle w:val="3"/>
        <w:topLinePunct/>
        <w:spacing w:line="408"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农产品禁止生产区域的调整，依照前款规定的程序办理。</w:t>
      </w:r>
    </w:p>
    <w:p>
      <w:pPr>
        <w:pStyle w:val="3"/>
        <w:topLinePunct/>
        <w:spacing w:line="408"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县级以上人民政府应当采取措施，加强农产品基地建设，改善农产品的生产条件。</w:t>
      </w:r>
    </w:p>
    <w:p>
      <w:pPr>
        <w:pStyle w:val="3"/>
        <w:topLinePunct/>
        <w:spacing w:line="408"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县级以上人民政府农业行政主管部门应当采取措施，推进保障农产品质量安全的标准化生产综合示范区、示范农场、养殖小区和无规定动植物疫病区的建设。</w:t>
      </w:r>
    </w:p>
    <w:p>
      <w:pPr>
        <w:pStyle w:val="3"/>
        <w:topLinePunct/>
        <w:spacing w:line="408"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禁止在有毒有害物质超过规定标准的区域生产、捕捞、采集食用农产品和建立农产品生产基地。</w:t>
      </w:r>
    </w:p>
    <w:p>
      <w:pPr>
        <w:pStyle w:val="3"/>
        <w:topLinePunct/>
        <w:spacing w:line="408"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禁止违反法律、法规的规定向农产品产地排放或者倾倒废水、废气、固体废物或者其他有毒有害物质。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农业生产用水和用作肥料的固体废物，应当符合国家规定的标准。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农产品生产者应当合理使用化肥、农药、兽药、农用薄膜等化工产品，防止对农产品产地造成污染。</w:t>
      </w:r>
    </w:p>
    <w:p>
      <w:pPr>
        <w:pStyle w:val="63"/>
        <w:spacing w:before="218" w:after="218" w:line="412" w:lineRule="exact"/>
        <w:rPr>
          <w:b/>
        </w:rPr>
      </w:pPr>
      <w:bookmarkStart w:id="458" w:name="_Toc332804708"/>
      <w:r>
        <w:t xml:space="preserve">第四章 </w:t>
      </w:r>
      <w:r>
        <w:rPr>
          <w:rFonts w:hint="eastAsia"/>
        </w:rPr>
        <w:t xml:space="preserve"> </w:t>
      </w:r>
      <w:r>
        <w:t>农产品生产</w:t>
      </w:r>
      <w:bookmarkEnd w:id="458"/>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国务院农业行政主管部门和省、自治区、直辖市人民政府农业行政主管部门应当制定保障农产品质量安全的生产技术要求和操作规程。县级以上人民政府农业行政主管部门应当加强对农产品生产的指导。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对可能影响农产品质量安全的农药、兽药、饲料和饲料添加剂、肥料、兽医器械，依照有关法律、行政法规的规定实行许可制度。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国务院农业行政主管部门和省、自治区、直辖市人民政府农业行政主管部门应当定期对可能危及农产品质量安全的农药、兽药、饲料和饲料添加剂、肥料等农业投入品进行监督抽查，并公布抽查结果。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县级以上人民政府农业行政主管部门应当加强对农业投入品使用的管理和指导，建立健全农业投入品的安全使用制度。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农业科研教育机构和农业技术推广机构应当加强对农产品生产者质量安全知识和技能的培训。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农产品生产企业和农民专业合作经济组织应当建立农产品生产记录，如实记载下列事项：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（一）使用农业投入品的名称、来源、用法、用量和使用、停用的日期；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（二）动物疫病、植物病虫草害的发生和防治情况；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（三）收获、屠宰或者捕捞的日期。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农产品生产记录应当保存二年。禁止伪造农产品生产记录。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国家鼓励其他农产品生产者建立农产品生产记录。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农产品生产者应当按照法律、行政法规和国务院农业行政主管部门的规定，合理使用农业投入品，严格执行农业投入品使用安全间隔期或者休药期的规定，防止危及农产品质量安全。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禁止在农产品生产过程中使用国家明令禁止使用的农业投入品。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农产品生产企业和农民专业合作经济组织，应当自行或者委托检测机构对农产品质量安全状况进行检测；经检测不符合农产品质量安全标准的农产品，不得销售。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农民专业合作经济组织和农产品行业协会对其成员应当及时提供生产技术服务，建立农产品质量安全管理制度，健全农产品质量安全控制体系，加强自律管理。</w:t>
      </w:r>
    </w:p>
    <w:p>
      <w:pPr>
        <w:pStyle w:val="63"/>
        <w:spacing w:before="218" w:after="218" w:line="412" w:lineRule="exact"/>
        <w:rPr>
          <w:b/>
        </w:rPr>
      </w:pPr>
      <w:bookmarkStart w:id="459" w:name="_Toc332804709"/>
      <w:r>
        <w:t>第五章</w:t>
      </w:r>
      <w:r>
        <w:rPr>
          <w:rFonts w:hint="eastAsia"/>
        </w:rPr>
        <w:t xml:space="preserve"> </w:t>
      </w:r>
      <w:r>
        <w:t xml:space="preserve"> 农产品包装和标识</w:t>
      </w:r>
      <w:bookmarkEnd w:id="459"/>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产品生产企业、农民专业合作经济组织以及从事农产品收购的单位或者个人销售的农产品，按照规定应当包装或者附加标识的，须经包装或者附加标识后方可销售。包装物或者标识上应当按照规定标明产品的品名、产地、生产者、生产日期、保质期、产品质量等级等内容；使用添加剂的，还应当按照规定标明添加剂的名称。具体办法由国务院农业行政主管部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农产品在包装、保鲜、贮存、运输中所使用的保鲜剂、防腐剂、添加剂等材料，应当符合国家有关强制性的技术规范。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属于农业转基因生物的农产品，应当按照农业转基因生物安全管理的有关规定进行标识。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依法需要实施检疫的动植物及其产品，应当附具检疫合格标志、检疫合格证明。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销售的农产品必须符合农产品质量安全标准，生产者可以申请使用无公害农产品标志。农产品质量符合国家规定的有关优质农产品标准的，生产者可以申请使用相应的农产品质量标志。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禁止冒用前款规定的农产品质量标志。</w:t>
      </w:r>
    </w:p>
    <w:p>
      <w:pPr>
        <w:pStyle w:val="63"/>
        <w:spacing w:before="218" w:after="218" w:line="412" w:lineRule="exact"/>
        <w:rPr>
          <w:b/>
        </w:rPr>
      </w:pPr>
      <w:bookmarkStart w:id="460" w:name="_Toc332804710"/>
      <w:r>
        <w:t xml:space="preserve">第六章 </w:t>
      </w:r>
      <w:r>
        <w:rPr>
          <w:rFonts w:hint="eastAsia"/>
        </w:rPr>
        <w:t xml:space="preserve"> </w:t>
      </w:r>
      <w:r>
        <w:t>监督检查</w:t>
      </w:r>
      <w:bookmarkEnd w:id="460"/>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有下列情形之一的农产品，不得销售：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（一）含有国家禁止使用的农药、兽药或者其他化学物质的；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（二）农药、兽药等化学物质残留或者含有的重金属等有毒有害物质不符合农产品质量安全标准的；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（三）含有的致病性寄生虫、微生物或者生物毒素不符合农产品质量安全标准的；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（四）使用的保鲜剂、防腐剂、添加剂等材料不符合国家有关强制性的技术规范的；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（五）其他不符合农产品质量安全标准的。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国家建立农产品质量安全监测制度。县级以上人民政府农业行政主管部门应当按照保障农产品质量安全的要求，制定并组织实施农产品质量安全监测计划，对生产中或者市场上销售的农产品进行监督抽查。监督抽查结果由国务院农业行政主管部门或者省、自治区、直辖市人民政府农业行政主管部门按照权限予以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监督抽查检测应当委托符合本法第三十五条规定条件的农产品质量安全检测机构进行，不得向被抽查人收取费用，抽取的样品不得超过国务院农业行政主管部门规定的数量。上级农业行政主管部门监督抽查的农产品，下级农业行政主管部门不得另行重复抽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农产品质量安全检测应当充分利用现有的符合条件的检测机构。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从事农产品质量安全检测的机构，必须具备相应的检测条件和能力，由省级以上人民政府农业行政主管部门或者其授权的部门考核合格。具体办法由国务院农业行政主管部门制定。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农产品质量安全检测机构应当依法经计量认证合格。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农产品生产者、销售者对监督抽查检测结果有异议的，可以自收到检测结果之日起五日内，向组织实施农产品质量安全监督抽查的农业行政主管部门或者其上级农业行政主管部门申请复检。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采用国务院农业行政主管部门会同有关部门认定的快速检测方法进行农产品质量安全监督抽查检测，被抽查人对检测结果有异议的，可以自收到检测结果时起四小时内申请复检。复检不得采用快速检测方法。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因检测结果错误给当事人造成损害的，依法承担赔偿责任。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农产品批发市场应当设立或者委托农产品质量安全检测机构，对进场销售的农产品质量安全状况进行抽查检测；发现不符合农产品质量安全标准的，应当要求销售者立即停止销售，并向农业行政主管部门报告。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农产品销售企业对其销售的农产品，应当建立健全进货检查验收制度；经查验不符合农产品质量安全标准的，不得销售。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国家鼓励单位和个人对农产品质量安全进行社会监督。任何单位和个人都有权对违反本法的行为进行检举、揭发和控告。有关部门收到相关的检举、揭发和控告后，应当及时处理。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发生农产品质量安全事故时，有关单位和个人应当采取控制措施，及时向所在地乡级人民政府和县级人民政府农业行政主管部门报告；收到报告的机关应当及时处理并报上一级人民政府和有关部门。发生重大农产品质量安全事故时，农业行政主管部门应当及时通报同级市场监督管理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县级以上人民政府农业行政主管部门在农产品质量安全监督管理中，发现有本法第三十三条所列情形之一的农产品，应当按照农产品质量安全责任追究制度的要求，查明责任人，依法予以处理或者提出处理建议。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进口的农产品必须按照国家规定的农产品质量安全标准进行检验；尚未制定有关农产品质量安全标准的，应当依法及时制定，未制定之前，可以参照国家有关部门指定的国外有关标准进行检验。</w:t>
      </w:r>
    </w:p>
    <w:p>
      <w:pPr>
        <w:pStyle w:val="63"/>
        <w:spacing w:before="218" w:after="218" w:line="412" w:lineRule="exact"/>
        <w:rPr>
          <w:b/>
        </w:rPr>
      </w:pPr>
      <w:bookmarkStart w:id="461" w:name="_Toc332804711"/>
      <w:r>
        <w:t xml:space="preserve">第七章 </w:t>
      </w:r>
      <w:r>
        <w:rPr>
          <w:rFonts w:hint="eastAsia"/>
        </w:rPr>
        <w:t xml:space="preserve"> </w:t>
      </w:r>
      <w:r>
        <w:t>法律责任</w:t>
      </w:r>
      <w:bookmarkEnd w:id="461"/>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农产品质量安全监督管理人员不依法履行监督职责，或者滥用职权的，依法给予行政处分。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农产品质量安全检测机构伪造检测结果的，责令改正，没收违法所得，并处五万元以上十万元以下罚款，对直接负责的主管人员和其他直接责任人员处一万元以上五万元以下罚款；情节严重的，撤销其检测资格；造成损害的，依法承担赔偿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农产品质量安全检测机构出具检测结果不实，造成损害的，依法承担赔偿责任；造成重大损害的，并撤销其检测资格。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违反法律、法规规定，向农产品产地排放或者倾倒废水、废气、固体废物或者其他有毒有害物质的，依照有关环境保护法律、法规的规定处罚；造成损害的，依法承担赔偿责任。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使用农业投入品违反法律、行政法规和国务院农业行政主管部门的规定的，依照有关法律、行政法规的规定处罚。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农产品生产企业、农民专业合作经济组织未建立或者未按照规定保存农产品生产记录的，或者伪造农产品生产记录的，责令限期改正；逾期不改正的，可以处二千元以下罚款。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违反本法第二十八条规定，销售的农产品未按照规定进行包装、标识的，责令限期改正；逾期不改正的，可以处二千元以下罚款。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有本法第三十三条第四项规定情形，使用的保鲜剂、防腐剂、添加剂等材料不符合国家有关强制性的技术规范的，责令停止销售，对被污染的农产品进行无害化处理，对不能进行无害化处理的予以监督销毁；没收违法所得，并处二千元以上二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农产品生产企业、农民专业合作经济组织销售的农产品有本法第三十三条第一项至第三项或者第五项所列情形之一的，责令停止销售，追回已经销售的农产品，对违法销售的农产品进行无害化处理或者予以监督销毁；没收违法所得，并处二千元以上二万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农产品销售企业销售的农产品有前款所列情形的，依照前款规定处理、处罚。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农产品批发市场中销售的农产品有第一款所列情形的，对违法销售的农产品依照第一款规定处理，对农产品销售者依照第一款规定处罚。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农产品批发市场违反本法第三十七条第一款规定的，责令改正，处二千元以上二万元以下罚款。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违反本法第三十二条规定，冒用农产品质量标志的，责令改正，没收违法所得，并处二千元以上二万元以下罚款。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本法第四十四条、第四十七条至第四十九条、第五十条第一款、第四款和第五十一条规定的处理、处罚，由县级以上人民政府农业行政主管部门决定；第五十条第二款、第三款规定的处理、处罚，由市场监督管理部门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法律对行政处罚及处罚机关有其他规定的，从其规定。但是，对同一违法行为不得重复处罚。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违反本法规定，构成犯罪的，依法追究刑事责任。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生产、销售本法第三十三条所列农产品，给消费者造成损害的，依法承担赔偿责任。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农产品批发市场中销售的农产品有前款规定情形的，消费者可以向农产品批发市场要求赔偿；属于生产者、销售者责任的，农产品批发市场有权追偿。消费者也可以直接向农产品生产者、销售者要求赔偿。</w:t>
      </w:r>
    </w:p>
    <w:p>
      <w:pPr>
        <w:pStyle w:val="63"/>
        <w:spacing w:before="218" w:after="218" w:line="412" w:lineRule="exact"/>
        <w:rPr>
          <w:b/>
        </w:rPr>
      </w:pPr>
      <w:bookmarkStart w:id="462" w:name="_Toc332804712"/>
      <w:r>
        <w:t xml:space="preserve">第八章 </w:t>
      </w:r>
      <w:r>
        <w:rPr>
          <w:rFonts w:hint="eastAsia"/>
        </w:rPr>
        <w:t xml:space="preserve"> </w:t>
      </w:r>
      <w:r>
        <w:t>附</w:t>
      </w:r>
      <w:r>
        <w:rPr>
          <w:rFonts w:hint="eastAsia"/>
        </w:rPr>
        <w:t xml:space="preserve">  </w:t>
      </w:r>
      <w:r>
        <w:t>则</w:t>
      </w:r>
      <w:bookmarkEnd w:id="462"/>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生猪屠宰的管理按照国家有关规定执行。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本法自2006年11月1日起施行。</w:t>
      </w:r>
    </w:p>
    <w:p>
      <w:pPr>
        <w:pStyle w:val="2"/>
        <w:keepNext w:val="0"/>
        <w:keepLines w:val="0"/>
        <w:topLinePunct/>
        <w:spacing w:line="412"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463" w:name="_Toc12960199"/>
      <w:bookmarkStart w:id="464" w:name="_Toc27050"/>
      <w:bookmarkStart w:id="465" w:name="_Toc18916292"/>
      <w:bookmarkStart w:id="466" w:name="_Toc466579814"/>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rPr>
          <w:shd w:val="clear" w:color="auto" w:fill="FFFFFF"/>
        </w:rPr>
      </w:pPr>
      <w:bookmarkStart w:id="467" w:name="_Toc28250906"/>
      <w:bookmarkStart w:id="468" w:name="_Toc28252179"/>
      <w:bookmarkStart w:id="469" w:name="_Toc25648197"/>
      <w:bookmarkStart w:id="470" w:name="_Toc25653692"/>
      <w:bookmarkStart w:id="471" w:name="_Toc26347956"/>
      <w:bookmarkStart w:id="472" w:name="_Toc28156978"/>
      <w:r>
        <w:t>中华人民共和国食品安全法</w:t>
      </w:r>
      <w:bookmarkEnd w:id="463"/>
      <w:bookmarkEnd w:id="464"/>
      <w:bookmarkEnd w:id="465"/>
      <w:bookmarkEnd w:id="466"/>
      <w:bookmarkEnd w:id="467"/>
      <w:bookmarkEnd w:id="468"/>
      <w:bookmarkEnd w:id="469"/>
      <w:bookmarkEnd w:id="470"/>
      <w:bookmarkEnd w:id="471"/>
      <w:bookmarkEnd w:id="472"/>
    </w:p>
    <w:p>
      <w:pPr>
        <w:pStyle w:val="62"/>
      </w:pPr>
      <w:r>
        <w:rPr>
          <w:shd w:val="clear" w:color="auto" w:fill="FFFFFF"/>
        </w:rPr>
        <w:t>（2009年2月28日第十一届全国人民代表大会常务委员会第七次会议通过，2015年4月24日第十二届全国人民代表大会常务委员会第十四次会议第一次修订，根据2018年12月29日第十三届全国人民代表大会常务委员会第七次会议《关于修改〈中华人民共和国产品质量法〉等五部法律的决定》第二次修订）</w:t>
      </w:r>
    </w:p>
    <w:p>
      <w:pPr>
        <w:pStyle w:val="63"/>
        <w:spacing w:before="218" w:after="218" w:line="412" w:lineRule="exact"/>
        <w:rPr>
          <w:b/>
        </w:rPr>
      </w:pPr>
      <w:r>
        <w:rPr>
          <w:kern w:val="0"/>
          <w:shd w:val="clear" w:color="auto" w:fill="FFFFFF"/>
        </w:rPr>
        <w:t>第一章  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kern w:val="0"/>
          <w:sz w:val="24"/>
          <w:szCs w:val="24"/>
          <w:shd w:val="clear" w:color="auto" w:fill="FFFFFF"/>
        </w:rPr>
        <w:t>为了保证食品安全，保障公众身体健康和生命安全，制定本法。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kern w:val="0"/>
          <w:sz w:val="24"/>
          <w:szCs w:val="24"/>
          <w:shd w:val="clear" w:color="auto" w:fill="FFFFFF"/>
        </w:rPr>
        <w:t>在中华人民共和国境内从事下列活动，应当遵守本法：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（一）食品生产和加工（以下称食品生产），食品销售和餐饮服务（以下称食品经营）；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（二）食品添加剂的生产经营；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（三）用于食品的包装材料、容器、洗涤剂、消毒剂和用于食品生产经营的工具、设备（以下称食品相关产品）的生产经营；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（四）食品生产经营者使用食品添加剂、食品相关产品；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（五）食品的贮存和运输；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（六）对食品、食品添加剂、食品相关产品的安全管理。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供食用的源于农业的初级产品（以下称食用农产品）的质量安全管理，遵守《中华人民共和国农产品质量安全法》的规定。但是，食用农产品的市场销售、有关质量安全标准的制定、有关安全信息的公布和本法对农业投入品作出规定的，应当遵守本法的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kern w:val="0"/>
          <w:sz w:val="24"/>
          <w:szCs w:val="24"/>
          <w:shd w:val="clear" w:color="auto" w:fill="FFFFFF"/>
        </w:rPr>
        <w:t>食品安全工作实行预防为主、风险管理、全程控制、社会共治，建立科学、严格的监督管理制度。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kern w:val="0"/>
          <w:sz w:val="24"/>
          <w:szCs w:val="24"/>
          <w:shd w:val="clear" w:color="auto" w:fill="FFFFFF"/>
        </w:rPr>
        <w:t>食品生产经营者对其生产经营食品的安全负责。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食品生产经营者应当依照法律、法规和食品安全标准从事生产经营活动，保证食品安全，诚信自律，对社会和公众负责，接受社会监督，承担社会责任。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kern w:val="0"/>
          <w:sz w:val="24"/>
          <w:szCs w:val="24"/>
          <w:shd w:val="clear" w:color="auto" w:fill="FFFFFF"/>
        </w:rPr>
        <w:t>国务院设立食品安全委员会，其职责由国务院规定。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国务院食品安全监督管理部门依照本法和国务院规定的职责，对食品生产经营活动实施监督管理。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国务院卫生行政部门依照本法和国务院规定的职责，组织开展食品安全风险监测和风险评估，会同国务院食品安全监督管理部门制定并公布</w:t>
      </w:r>
      <w:r>
        <w:rPr>
          <w:rFonts w:asciiTheme="minorEastAsia" w:hAnsiTheme="minorEastAsia" w:eastAsiaTheme="minorEastAsia"/>
          <w:sz w:val="24"/>
          <w:szCs w:val="24"/>
          <w:shd w:val="clear" w:color="auto" w:fill="FFFFFF"/>
        </w:rPr>
        <w:t>食品安全国家标准</w:t>
      </w:r>
      <w:r>
        <w:rPr>
          <w:rFonts w:asciiTheme="minorEastAsia" w:hAnsiTheme="minorEastAsia" w:eastAsiaTheme="minorEastAsia"/>
          <w:kern w:val="0"/>
          <w:sz w:val="24"/>
          <w:szCs w:val="24"/>
          <w:shd w:val="clear" w:color="auto" w:fill="FFFFFF"/>
        </w:rPr>
        <w:t>。</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国务院其他有关部门依照本法和国务院规定的职责，承担有关食品安全工作。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kern w:val="0"/>
          <w:sz w:val="24"/>
          <w:szCs w:val="24"/>
          <w:shd w:val="clear" w:color="auto" w:fill="FFFFFF"/>
        </w:rPr>
        <w:t>县级以上地方人民政府对本行政区域的食品安全监督管理工作负责，统一领导、组织、协调本行政区域的食品安全监督管理工作以及食品安全突发事件应对工作，建立健全食品安全全程监督管理工作机制和信息共享机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县级以上地方人民政府依照本法和国务院的规定，确定本级食品安全监督管理、卫生行政部门和其他有关部门的职责。有关部门在各自职责范围内负责本行政区域的食品安全监督管理工作。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县级人民政府食品安全监督管理部门可以在乡镇或者特定区域设立派出机构。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kern w:val="0"/>
          <w:sz w:val="24"/>
          <w:szCs w:val="24"/>
          <w:shd w:val="clear" w:color="auto" w:fill="FFFFFF"/>
        </w:rPr>
        <w:t>县级以上地方人民政府实行食品安全监督管理责任制。上级人民政府负责对下一级人民政府的食品安全监督管理工作进行评议、考核。县级以上地方人民政府负责对本级食品安全监督管理部门和其他有关部门的食品安全监督管理工作进行评议、考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kern w:val="0"/>
          <w:sz w:val="24"/>
          <w:szCs w:val="24"/>
          <w:shd w:val="clear" w:color="auto" w:fill="FFFFFF"/>
        </w:rPr>
        <w:t>县级以上人民政府应当将食品安全工作纳入本级国民经济和社会发展规划，将食品安全工作经费列入本级政府财政预算，加强食品安全监督管理能力建设，为食品安全工作提供保障。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县级以上人民政府食品安全监督管理部门和其他有关部门应当加强沟通、密切配合，按照各自职责分工，依法行使职权，承担责任。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kern w:val="0"/>
          <w:sz w:val="24"/>
          <w:szCs w:val="24"/>
          <w:shd w:val="clear" w:color="auto" w:fill="FFFFFF"/>
        </w:rPr>
        <w:t>食品行业协会应当加强行业自律，按照章程建立健全行业规范和奖惩机制，提供食品安全信息、技术等服务，引导和督促食品生产经营者依法生产经营，推动行业诚信建设，宣传、普及食品安全知识。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消费者协会和其他消费者组织对违反本法规定，损害消费者合法权益的行为，依法进行社会监督。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kern w:val="0"/>
          <w:sz w:val="24"/>
          <w:szCs w:val="24"/>
          <w:shd w:val="clear" w:color="auto" w:fill="FFFFFF"/>
        </w:rPr>
        <w:t>各级人民政府应当加强食品安全的宣传教育，普及食品安全知识，鼓励社会组织、基层群众性自治组织、食品生产经营者开展</w:t>
      </w:r>
      <w:r>
        <w:rPr>
          <w:rFonts w:asciiTheme="minorEastAsia" w:hAnsiTheme="minorEastAsia" w:eastAsiaTheme="minorEastAsia"/>
          <w:sz w:val="24"/>
          <w:szCs w:val="24"/>
          <w:shd w:val="clear" w:color="auto" w:fill="FFFFFF"/>
        </w:rPr>
        <w:t>食品安全法</w:t>
      </w:r>
      <w:r>
        <w:rPr>
          <w:rFonts w:asciiTheme="minorEastAsia" w:hAnsiTheme="minorEastAsia" w:eastAsiaTheme="minorEastAsia"/>
          <w:kern w:val="0"/>
          <w:sz w:val="24"/>
          <w:szCs w:val="24"/>
          <w:shd w:val="clear" w:color="auto" w:fill="FFFFFF"/>
        </w:rPr>
        <w:t>律、法规以及食品安全标准和知识的普及工作，倡导健康的饮食方式，增强消费者食品安全意识和自我保护能力。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新闻媒体应当开展食品安全法律、法规以及食品安全标准和知识的公益宣传，并对食品安全违法行为进行舆论监督。有关食品安全的宣传报道应当真实、公正。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kern w:val="0"/>
          <w:sz w:val="24"/>
          <w:szCs w:val="24"/>
          <w:shd w:val="clear" w:color="auto" w:fill="FFFFFF"/>
        </w:rPr>
        <w:t>国家鼓励和支持开展与食品安全有关的基础研究、应用研究，鼓励和支持食品生产经营者为提高食品安全水平采用先进技术和先进管理规范。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国家对农药的使用实行严格的管理制度，加快淘汰剧毒、高毒、高残留农药，推动替代产品的研发和应用，鼓励使用高效低毒低残留农药。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kern w:val="0"/>
          <w:sz w:val="24"/>
          <w:szCs w:val="24"/>
          <w:shd w:val="clear" w:color="auto" w:fill="FFFFFF"/>
        </w:rPr>
        <w:t>任何组织或者个人有权举报食品安全违法行为，依法向有关部门了解食品安全信息，对食品安全监督管理工作提出意见和建议。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kern w:val="0"/>
          <w:sz w:val="24"/>
          <w:szCs w:val="24"/>
          <w:shd w:val="clear" w:color="auto" w:fill="FFFFFF"/>
        </w:rPr>
        <w:t>对在食品安全工作中做出突出贡献的单位和个人，按照国家有关规定给予表彰、奖励。</w:t>
      </w:r>
    </w:p>
    <w:p>
      <w:pPr>
        <w:pStyle w:val="63"/>
        <w:spacing w:before="218" w:after="218" w:line="412" w:lineRule="exact"/>
      </w:pPr>
      <w:r>
        <w:rPr>
          <w:kern w:val="0"/>
          <w:shd w:val="clear" w:color="auto" w:fill="FFFFFF"/>
        </w:rPr>
        <w:t>第二章  食品安全风险监测和评估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kern w:val="0"/>
          <w:sz w:val="24"/>
          <w:szCs w:val="24"/>
          <w:shd w:val="clear" w:color="auto" w:fill="FFFFFF"/>
        </w:rPr>
        <w:t>国家建立食品安全风险监测制度，对食源性疾病、食品污染以及食品中的有害因素进行监测。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国务院卫生行政部门会同国务院食品安全监督管理等部门，制定、实施国家食品安全风险监测计划。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国务院食品安全监督管理部门和其他有关部门获知有关食品安全风险信息后，应当立即核实并向国务院卫生行政部门通报。对有关部门通报的食品安全风险信息以及医疗机构报告的食源性疾病等有关疾病信息，国务院卫生行政部门应当会同国务院有关部门分析研究，认为必要的，及时调整国家食品安全风险监测计划。</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省、自治区、直辖市人民政府卫生行政部门会同同级食品安全监督管理等部门，根据国家食品安全风险监测计划，结合本行政区域的具体情况，制定、调整本行政区域的食品安全风险监测方案，报国务院卫生行政部门备案并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kern w:val="0"/>
          <w:sz w:val="24"/>
          <w:szCs w:val="24"/>
          <w:shd w:val="clear" w:color="auto" w:fill="FFFFFF"/>
        </w:rPr>
        <w:t>承担食品安全风险监测工作的技术机构应当根据食品安全风险监测计划和监测方案开展监测工作，保证监测数据真实、准确，并按照食品安全风险监测计划和监测方案的要求报送监测数据和分析结果。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食品安全风险监测工作人员有权进入相关食用农产品种植养殖、食品生产经营场所采集样品、收集相关数据。采集样品应当按照市场价格支付费用。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kern w:val="0"/>
          <w:sz w:val="24"/>
          <w:szCs w:val="24"/>
          <w:shd w:val="clear" w:color="auto" w:fill="FFFFFF"/>
        </w:rPr>
        <w:t>食品安全风险监测结果表明可能存在食品安全隐患的，县级以上人民政府卫生行政部门应当及时将相关信息通报同级食品安全监督管理等部门，并报告本级人民政府和上级人民政府卫生行政部门。食品安全监督管理等部门应当组织开展进一步调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kern w:val="0"/>
          <w:sz w:val="24"/>
          <w:szCs w:val="24"/>
          <w:shd w:val="clear" w:color="auto" w:fill="FFFFFF"/>
        </w:rPr>
        <w:t>国家建立食品安全风险评估制度，运用科学方法，根据食品安全风险监测信息、科学数据以及有关信息，对食品、食品添加剂、食品相关产品中生物性、化学性和物理性危害因素进行风险评估。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国务院卫生行政部门负责组织食品安全风险评估工作，成立由医学、农业、食品、营养、生物、环境等方面的专家组成的食品安全风险评估专家委员会进行食品安全风险评估。食品安全风险评估结果由国务院卫生行政部门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对农药、肥料、兽药、饲料和饲料添加剂等的安全性评估，应当有食品安全风险评估专家委员会的专家参加。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食品安全风险评估不得向生产经营者收取费用，采集样品应当按照市场价格支付费用。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kern w:val="0"/>
          <w:sz w:val="24"/>
          <w:szCs w:val="24"/>
          <w:shd w:val="clear" w:color="auto" w:fill="FFFFFF"/>
        </w:rPr>
        <w:t>有下列情形之一的，应当进行食品安全风险评估：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（一）通过食品安全风险监测或者接到举报发现食品、食品添加剂、食品相关产品可能存在安全隐患的；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（二）为制定或者修订食品安全国家标准提供科学依据需要进行风险评估的；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（三）为确定监督管理的重点领域、重点品种需要进行风险评估的；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（四）发现新的可能危害食品安全因素的；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（五）需要判断某一因素是否构成食品安全隐患的；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（六）国务院卫生行政部门认为需要进行风险评估的其他情形。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kern w:val="0"/>
          <w:sz w:val="24"/>
          <w:szCs w:val="24"/>
          <w:shd w:val="clear" w:color="auto" w:fill="FFFFFF"/>
        </w:rPr>
        <w:t>国务院食品安全监督管理、农业行政等部门在监督管理工作中发现需要进行食品安全风险评估的，应当向国务院卫生行政部门提出食品安全风险评估的建议，并提供风险来源、相关检验数据和结论等信息、资料。属于本法第十八条规定情形的，国务院卫生行政部门应当及时进行食品安全风险评估，并向国务院有关部门通报评估结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kern w:val="0"/>
          <w:sz w:val="24"/>
          <w:szCs w:val="24"/>
          <w:shd w:val="clear" w:color="auto" w:fill="FFFFFF"/>
        </w:rPr>
        <w:t>省级以上人民政府卫生行政、农业行政部门应当及时相互通报食品、食用农产品安全风险监测信息。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国务院卫生行政、农业行政部门应当及时相互通报食品、食用农产品安全风险评估结果等信息。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kern w:val="0"/>
          <w:sz w:val="24"/>
          <w:szCs w:val="24"/>
          <w:shd w:val="clear" w:color="auto" w:fill="FFFFFF"/>
        </w:rPr>
        <w:t>食品安全风险评估结果是制定、修订食品安全标准和实施食品安全监督管理的科学依据。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经食品安全风险评估，得出食品、食品添加剂、食品相关产品不安全结论的，国务院食品安全监督管理等部门应当依据各自职责立即向社会公告，告知消费者停止食用或者使用，并采取相应措施，确保该食品、食品添加剂、食品相关产品停止生产经营；需要制定、修订相关食品安全国家标准的，国务院卫生行政部门应当会同国务院食品安全监督管理部门立即制定、修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kern w:val="0"/>
          <w:sz w:val="24"/>
          <w:szCs w:val="24"/>
          <w:shd w:val="clear" w:color="auto" w:fill="FFFFFF"/>
        </w:rPr>
        <w:t>国务院食品安全监督管理部门应当会同国务院有关部门，根据食品安全风险评估结果、食品安全监督管理信息，对食品安全状况进行综合分析。对经综合分析表明可能具有较高程度安全风险的食品，国务院食品安全监督管理部门应当及时提出食品安全风险警示，并向社会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kern w:val="0"/>
          <w:sz w:val="24"/>
          <w:szCs w:val="24"/>
          <w:shd w:val="clear" w:color="auto" w:fill="FFFFFF"/>
        </w:rPr>
        <w:t>县级以上人民政府食品安全监督管理部门和其他有关部门、食品安全风险评估专家委员会及其技术机构，应当按照科学、客观、及时、公开的原则，组织食品生产经营者、食品检验机构、认证机构、食品行业协会、消费者协会以及新闻媒体等，就食品安全风险评估信息和食品安全监督管理信息进行交流沟通。</w:t>
      </w:r>
    </w:p>
    <w:p>
      <w:pPr>
        <w:pStyle w:val="63"/>
        <w:spacing w:before="218" w:after="218" w:line="412" w:lineRule="exact"/>
      </w:pPr>
      <w:r>
        <w:rPr>
          <w:kern w:val="0"/>
          <w:shd w:val="clear" w:color="auto" w:fill="FFFFFF"/>
        </w:rPr>
        <w:t>第三章  食品安全标准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kern w:val="0"/>
          <w:sz w:val="24"/>
          <w:szCs w:val="24"/>
          <w:shd w:val="clear" w:color="auto" w:fill="FFFFFF"/>
        </w:rPr>
        <w:t>制定食品安全标准，应当以保障公众身体健康为宗旨，做到科学合理、安全可靠。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kern w:val="0"/>
          <w:sz w:val="24"/>
          <w:szCs w:val="24"/>
          <w:shd w:val="clear" w:color="auto" w:fill="FFFFFF"/>
        </w:rPr>
        <w:t>食品安全标准是强制执行的标准。除食品安全标准外，不得制定其他食品强制性标准。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kern w:val="0"/>
          <w:sz w:val="24"/>
          <w:szCs w:val="24"/>
          <w:shd w:val="clear" w:color="auto" w:fill="FFFFFF"/>
        </w:rPr>
        <w:t>食品安全标准应当包括下列内容：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（一）食品、食品添加剂、食品相关产品中的致病性微生物，</w:t>
      </w:r>
      <w:r>
        <w:rPr>
          <w:rFonts w:asciiTheme="minorEastAsia" w:hAnsiTheme="minorEastAsia" w:eastAsiaTheme="minorEastAsia"/>
          <w:sz w:val="24"/>
          <w:szCs w:val="24"/>
          <w:shd w:val="clear" w:color="auto" w:fill="FFFFFF"/>
        </w:rPr>
        <w:t>农药残留</w:t>
      </w:r>
      <w:r>
        <w:rPr>
          <w:rFonts w:asciiTheme="minorEastAsia" w:hAnsiTheme="minorEastAsia" w:eastAsiaTheme="minorEastAsia"/>
          <w:kern w:val="0"/>
          <w:sz w:val="24"/>
          <w:szCs w:val="24"/>
          <w:shd w:val="clear" w:color="auto" w:fill="FFFFFF"/>
        </w:rPr>
        <w:t>、</w:t>
      </w:r>
      <w:r>
        <w:rPr>
          <w:rFonts w:asciiTheme="minorEastAsia" w:hAnsiTheme="minorEastAsia" w:eastAsiaTheme="minorEastAsia"/>
          <w:sz w:val="24"/>
          <w:szCs w:val="24"/>
          <w:shd w:val="clear" w:color="auto" w:fill="FFFFFF"/>
        </w:rPr>
        <w:t>兽药残留</w:t>
      </w:r>
      <w:r>
        <w:rPr>
          <w:rFonts w:asciiTheme="minorEastAsia" w:hAnsiTheme="minorEastAsia" w:eastAsiaTheme="minorEastAsia"/>
          <w:kern w:val="0"/>
          <w:sz w:val="24"/>
          <w:szCs w:val="24"/>
          <w:shd w:val="clear" w:color="auto" w:fill="FFFFFF"/>
        </w:rPr>
        <w:t>、生物毒素、重金属等</w:t>
      </w:r>
      <w:r>
        <w:rPr>
          <w:rFonts w:asciiTheme="minorEastAsia" w:hAnsiTheme="minorEastAsia" w:eastAsiaTheme="minorEastAsia"/>
          <w:sz w:val="24"/>
          <w:szCs w:val="24"/>
          <w:shd w:val="clear" w:color="auto" w:fill="FFFFFF"/>
        </w:rPr>
        <w:t>污染物</w:t>
      </w:r>
      <w:r>
        <w:rPr>
          <w:rFonts w:asciiTheme="minorEastAsia" w:hAnsiTheme="minorEastAsia" w:eastAsiaTheme="minorEastAsia"/>
          <w:kern w:val="0"/>
          <w:sz w:val="24"/>
          <w:szCs w:val="24"/>
          <w:shd w:val="clear" w:color="auto" w:fill="FFFFFF"/>
        </w:rPr>
        <w:t>质以及其他危害人体健康物质的限量规定；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（二）食品添加剂的品种、使用范围、用量；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（三）专供婴幼儿和其他特定人群的主辅食品的营养成分要求；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（四）对与卫生、营养等食品安全要求有关的标签、标志、说明书的要求；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（五）食品生产经营过程的卫生要求；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（六）与食品安全有关的质量要求；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（七）与食品安全有关的食品检验方法与规程；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（八）其他需要制定为食品安全标准的内容。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kern w:val="0"/>
          <w:sz w:val="24"/>
          <w:szCs w:val="24"/>
          <w:shd w:val="clear" w:color="auto" w:fill="FFFFFF"/>
        </w:rPr>
        <w:t>食品安全国家标准由国务院卫生行政部门会同国务院食品安全监督管理部门制定、公布，国务院标准化行政部门提供国家标准编号。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食品中农药残留、兽药残留的限量规定及其检验方法与规程由国务院卫生行政部门、国务院农业行政部门会同国务院食品安全监督管理部门制定。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屠宰畜、禽的检验规程由国务院农业行政部门会同国务院卫生行政部门制定。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kern w:val="0"/>
          <w:sz w:val="24"/>
          <w:szCs w:val="24"/>
          <w:shd w:val="clear" w:color="auto" w:fill="FFFFFF"/>
        </w:rPr>
        <w:t>制定食品安全国家标准，应当依据食品安全风险评估结果并充分考虑食用农产品安全风险评估结果，参照相关的国际标准和国际食品安全风险评估结果，并将食品安全国家标准草案向社会公布，广泛听取食品生产经营者、消费者、有关部门等方面的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安全国家标准应当经国务院卫生行政部门组织的食品安全国家标准审评委员会审查通过。食品安全国家标准审评委员会由医学、农业、食品、营养、生物、环境等方面的专家以及国务院有关部门、食品行业协会、消费者协会的代表组成，对食品安全国家标准草案的科学性和实用性等进行审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kern w:val="0"/>
          <w:sz w:val="24"/>
          <w:szCs w:val="24"/>
          <w:shd w:val="clear" w:color="auto" w:fill="FFFFFF"/>
        </w:rPr>
        <w:t>对地方特色食品，没有食品安全国家标准的，省、自治区、直辖市人民政府卫生行政部门可以制定并公布</w:t>
      </w:r>
      <w:r>
        <w:rPr>
          <w:rFonts w:asciiTheme="minorEastAsia" w:hAnsiTheme="minorEastAsia" w:eastAsiaTheme="minorEastAsia"/>
          <w:sz w:val="24"/>
          <w:szCs w:val="24"/>
          <w:shd w:val="clear" w:color="auto" w:fill="FFFFFF"/>
        </w:rPr>
        <w:t>食品安全地方标准</w:t>
      </w:r>
      <w:r>
        <w:rPr>
          <w:rFonts w:asciiTheme="minorEastAsia" w:hAnsiTheme="minorEastAsia" w:eastAsiaTheme="minorEastAsia"/>
          <w:kern w:val="0"/>
          <w:sz w:val="24"/>
          <w:szCs w:val="24"/>
          <w:shd w:val="clear" w:color="auto" w:fill="FFFFFF"/>
        </w:rPr>
        <w:t>，报国务院卫生行政部门备案。食品安全国家标准制定后，该地方标准即行废止。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kern w:val="0"/>
          <w:sz w:val="24"/>
          <w:szCs w:val="24"/>
          <w:shd w:val="clear" w:color="auto" w:fill="FFFFFF"/>
        </w:rPr>
        <w:t>国家鼓励食品生产企业制定严于食品安全国家标准或者地方标准的企业标准，在本企业适用，并报省、自治区、直辖市人民政府卫生行政部门备案。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kern w:val="0"/>
          <w:sz w:val="24"/>
          <w:szCs w:val="24"/>
          <w:shd w:val="clear" w:color="auto" w:fill="FFFFFF"/>
        </w:rPr>
        <w:t>省级以上人民政府卫生行政部门应当在其网站上公布制定和备案的食品安全国家标准、地方标准和企业标准，供公众免费查阅、下载。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对食品安全标准执行过程中的问题，县级以上人民政府卫生行政部门应当会同有关部门及时给予指导、解答。</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kern w:val="0"/>
          <w:sz w:val="24"/>
          <w:szCs w:val="24"/>
          <w:shd w:val="clear" w:color="auto" w:fill="FFFFFF"/>
        </w:rPr>
        <w:t>省级以上人民政府卫生行政部门应当会同同级食品安全监督管理、农业行政等部门，分别对食品安全国家标准和地方标准的执行情况进行跟踪评价，并根据评价结果及时修订食品安全标准。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省级以上人民政府食品安全监督管理、农业行政等部门应当对食品安全标准执行中存在的问题进行收集、汇总，并及时向同级卫生行政部门通报。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食品生产经营者、食品行业协会发现食品安全标准在执行中存在问题的，应当立即向卫生行政部门报告。</w:t>
      </w:r>
    </w:p>
    <w:p>
      <w:pPr>
        <w:pStyle w:val="63"/>
        <w:spacing w:before="218" w:after="218" w:line="412" w:lineRule="exact"/>
      </w:pPr>
      <w:r>
        <w:rPr>
          <w:kern w:val="0"/>
          <w:shd w:val="clear" w:color="auto" w:fill="FFFFFF"/>
        </w:rPr>
        <w:t>第四章  食品生产经营</w:t>
      </w:r>
    </w:p>
    <w:p>
      <w:pPr>
        <w:pStyle w:val="64"/>
        <w:spacing w:before="156" w:after="156"/>
      </w:pPr>
      <w:r>
        <w:rPr>
          <w:kern w:val="0"/>
          <w:shd w:val="clear" w:color="auto" w:fill="FFFFFF"/>
        </w:rPr>
        <w:t>第一节  一般规定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kern w:val="0"/>
          <w:sz w:val="24"/>
          <w:szCs w:val="24"/>
          <w:shd w:val="clear" w:color="auto" w:fill="FFFFFF"/>
        </w:rPr>
        <w:t>食品生产经营应当符合食品安全标准，并符合下列要求：</w:t>
      </w:r>
    </w:p>
    <w:p>
      <w:pPr>
        <w:pStyle w:val="3"/>
        <w:topLinePunct/>
        <w:spacing w:line="400"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（一）具有与生产经营的食品品种、数量相适应的食品原料处理和食品加工、包装、贮存等场所，保持该场所环境整洁，并与有毒、有害场所以及其他污染源保持规定的距离；</w:t>
      </w:r>
    </w:p>
    <w:p>
      <w:pPr>
        <w:pStyle w:val="3"/>
        <w:topLinePunct/>
        <w:spacing w:line="400"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具有与生产经营的食品品种、数量相适应的生产经营设备或者设施，有相应的消毒、更衣、盥洗、采光、照明、通风、防腐、防尘、防蝇、防鼠、防虫、洗涤以及处理废水、存放垃圾和废弃物的设备或者设施；</w:t>
      </w:r>
    </w:p>
    <w:p>
      <w:pPr>
        <w:pStyle w:val="3"/>
        <w:topLinePunct/>
        <w:spacing w:line="400"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（三）有专职或者兼职的食品安全专业技术人员、食品安全管理人员和保证食品安全的规章制度；</w:t>
      </w:r>
    </w:p>
    <w:p>
      <w:pPr>
        <w:pStyle w:val="3"/>
        <w:topLinePunct/>
        <w:spacing w:line="400"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（四）具有合理的设备布局和工艺流程，防止待加工食品与直接入口食品、原料与成品交叉污染，避免食品接触有毒物、不洁物；</w:t>
      </w:r>
    </w:p>
    <w:p>
      <w:pPr>
        <w:pStyle w:val="3"/>
        <w:topLinePunct/>
        <w:spacing w:line="400"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（五）餐具、饮具和盛放直接入口食品的容器，使用前应当洗净、消毒，炊具、用具用后应当洗净，保持清洁；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（六）贮存、运输和装卸食品的容器、工具和设备应当安全、无害，保持清洁，防止食品污染，并符合保证食品安全所需的温度、湿度等特殊要求，不得将食品与有毒、有害物品一同贮存、运输；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（七）直接入口的食品应当使用无毒、清洁的包装材料、餐具、饮具和容器；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（八）食品生产经营人员应当保持个人卫生，生产经营食品时，应当将手洗净，穿戴清洁的工作衣、帽等；销售无包装的直接入口食品时，应当使用无毒、清洁的容器、售货工具和设备；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（九）用水应当符合国家规定的生活饮用水卫生标准；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（十）使用的洗涤剂、消毒剂应当对人体安全、无害；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（十一）法律、法规规定的其他要求。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非食品生产经营者从事食品贮存、运输和装卸的，应当符合前款第六项的规定。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kern w:val="0"/>
          <w:sz w:val="24"/>
          <w:szCs w:val="24"/>
          <w:shd w:val="clear" w:color="auto" w:fill="FFFFFF"/>
        </w:rPr>
        <w:t>禁止生产经营下列食品、食品添加剂、食品相关产品：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（一）用非食品原料生产的食品或者添加食品添加剂以外的化学物质和其他可能危害人体健康物质的食品，或者用回收食品作为原料生产的食品；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（二）致病性微生物，农药残留、兽药残留、生物毒素、重金属等污染物质以及其他危害人体健康的物质含量超过食品安全标准限量的食品、食品添加剂、食品相关产品；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（三）用超过保质期的食品原料、食品添加剂生产的食品、食品添加剂；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（四）超范围、超限量使用食品添加剂的食品；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（五）营养成分不符合食品安全标准的专供婴幼儿和其他特定人群的主辅食品；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（六）腐败变质、油脂酸败、霉变生虫、污秽不洁、混有异物、掺假掺杂或者感官性状异常的食品、食品添加剂；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（七）病死、毒死或者死因不明的禽、畜、兽、水产动物肉类及其制品；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（八）未按规定进行检疫或者检疫不合格的肉类，或者未经检验或者检验不合格的肉类制品；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（九）被包装材料、容器、运输工具等污染的食品、食品添加剂；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（十）标注虚假生产日期、保质期或者超过保质期的食品、食品添加剂；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（十一）无标签的预包装食品、食品添加剂；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（十二）国家为防病等特殊需要明令禁止生产经营的食品；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（十三）其他不符合法律、法规或者食品安全标准的食品、食品添加剂、食品相关产品。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kern w:val="0"/>
          <w:sz w:val="24"/>
          <w:szCs w:val="24"/>
          <w:shd w:val="clear" w:color="auto" w:fill="FFFFFF"/>
        </w:rPr>
        <w:t>国家对食品生产经营实行许可制度。从事食品生产、食品销售、餐饮服务，应当依法取得许可。但是，销售食用农产品，不需要取得许可。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kern w:val="0"/>
          <w:sz w:val="24"/>
          <w:szCs w:val="24"/>
          <w:shd w:val="clear" w:color="auto" w:fill="FFFFFF"/>
        </w:rPr>
        <w:t>食品生产加工小作坊和食品摊贩等从事食品生产经营活动，应当符合本法规定的与其生产经营规模、条件相适应的食品安全要求，保证所生产经营的食品卫生、无毒、无害，食品安全监督管理部门应当对其加强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地方人民政府应当对食品生产加工小作坊、食品摊贩等进行综合治理，加强服务和统一规划，改善其生产经营环境，鼓励和支持其改进生产经营条件，进入集中交易市场、店铺等固定场所经营，或者在指定的临时经营区域、时段经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食品生产加工小作坊和食品摊贩等的具体管理办法由省、自治区、直辖市制定。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kern w:val="0"/>
          <w:sz w:val="24"/>
          <w:szCs w:val="24"/>
          <w:shd w:val="clear" w:color="auto" w:fill="FFFFFF"/>
        </w:rPr>
        <w:t>利用新的食品原料生产食品，或者生产</w:t>
      </w:r>
      <w:r>
        <w:rPr>
          <w:rFonts w:asciiTheme="minorEastAsia" w:hAnsiTheme="minorEastAsia" w:eastAsiaTheme="minorEastAsia"/>
          <w:sz w:val="24"/>
          <w:szCs w:val="24"/>
          <w:shd w:val="clear" w:color="auto" w:fill="FFFFFF"/>
        </w:rPr>
        <w:t>食品添加剂新品种</w:t>
      </w:r>
      <w:r>
        <w:rPr>
          <w:rFonts w:asciiTheme="minorEastAsia" w:hAnsiTheme="minorEastAsia" w:eastAsiaTheme="minorEastAsia"/>
          <w:kern w:val="0"/>
          <w:sz w:val="24"/>
          <w:szCs w:val="24"/>
          <w:shd w:val="clear" w:color="auto" w:fill="FFFFFF"/>
        </w:rPr>
        <w:t>、</w:t>
      </w:r>
      <w:r>
        <w:rPr>
          <w:rFonts w:asciiTheme="minorEastAsia" w:hAnsiTheme="minorEastAsia" w:eastAsiaTheme="minorEastAsia"/>
          <w:sz w:val="24"/>
          <w:szCs w:val="24"/>
          <w:shd w:val="clear" w:color="auto" w:fill="FFFFFF"/>
        </w:rPr>
        <w:t>食品相关产品新品种</w:t>
      </w:r>
      <w:r>
        <w:rPr>
          <w:rFonts w:asciiTheme="minorEastAsia" w:hAnsiTheme="minorEastAsia" w:eastAsiaTheme="minorEastAsia"/>
          <w:kern w:val="0"/>
          <w:sz w:val="24"/>
          <w:szCs w:val="24"/>
          <w:shd w:val="clear" w:color="auto" w:fill="FFFFFF"/>
        </w:rPr>
        <w:t>，应当向国务院卫生行政部门提交相关产品的安全性评估材料。国务院卫生行政部门应当自收到申请之日起六十日内组织审查；对符合食品安全要求的，准予许可并公布；对不符合食品安全要求的，不予许可并书面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kern w:val="0"/>
          <w:sz w:val="24"/>
          <w:szCs w:val="24"/>
          <w:shd w:val="clear" w:color="auto" w:fill="FFFFFF"/>
        </w:rPr>
        <w:t>生产经营的食品中不得添加药品，但是可以添加按照传统既是食品又是中药材的物质。按照传统既是食品又是中药材的物质目录由国务院卫生行政部门会同国务院食品安全监督管理部门制定、公布。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kern w:val="0"/>
          <w:sz w:val="24"/>
          <w:szCs w:val="24"/>
          <w:shd w:val="clear" w:color="auto" w:fill="FFFFFF"/>
        </w:rPr>
        <w:t>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生产食品添加剂应当符合法律、法规和食品安全国家标准。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kern w:val="0"/>
          <w:sz w:val="24"/>
          <w:szCs w:val="24"/>
          <w:shd w:val="clear" w:color="auto" w:fill="FFFFFF"/>
        </w:rPr>
        <w:t>食品添加剂应当在技术上确有必要且经过风险评估证明安全可靠，方可列入允许使用的范围；有关食品安全国家标准应当根据技术必要性和食品安全风险评估结果及时修订。</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食品生产经营者应当按照食品安全国家标准使用食品添加剂。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kern w:val="0"/>
          <w:sz w:val="24"/>
          <w:szCs w:val="24"/>
          <w:shd w:val="clear" w:color="auto" w:fill="FFFFFF"/>
        </w:rPr>
        <w:t>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kern w:val="0"/>
          <w:sz w:val="24"/>
          <w:szCs w:val="24"/>
          <w:shd w:val="clear" w:color="auto" w:fill="FFFFFF"/>
        </w:rPr>
        <w:t>国家建立食品安全全程追溯制度。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食品生产经营者应当依照本法的规定，建立食品安全追溯体系，保证食品可追溯。国家鼓励食品生产经营者采用信息化手段采集、留存生产经营信息，建立食品安全追溯体系。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国务院食品安全监督管理部门会同国务院农业行政等有关部门建立食品安全全程追溯协作机制。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kern w:val="0"/>
          <w:sz w:val="24"/>
          <w:szCs w:val="24"/>
          <w:shd w:val="clear" w:color="auto" w:fill="FFFFFF"/>
        </w:rPr>
        <w:t>地方各级人民政府应当采取措施鼓励食品规模化生产和连锁经营、配送。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国家鼓励食品生产经营企业参加食品安全责任保险。</w:t>
      </w:r>
    </w:p>
    <w:p>
      <w:pPr>
        <w:pStyle w:val="64"/>
        <w:spacing w:before="156" w:after="156"/>
      </w:pPr>
      <w:r>
        <w:rPr>
          <w:kern w:val="0"/>
          <w:shd w:val="clear" w:color="auto" w:fill="FFFFFF"/>
        </w:rPr>
        <w:t>第二节  生产经营过程控制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kern w:val="0"/>
          <w:sz w:val="24"/>
          <w:szCs w:val="24"/>
          <w:shd w:val="clear" w:color="auto" w:fill="FFFFFF"/>
        </w:rPr>
        <w:t>食品生产经营企业应当建立健全食品安全管理制度，对职工进行食品安全知识培训，加强食品检验工作，依法从事生产经营活动。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食品生产经营企业的主要负责人应当落实企业食品安全管理制度，对本企业的食品安全工作全面负责。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生产经营企业应当配备食品安全管理人员，加强对其培训和考核。经考核不具备食品安全管理能力的，不得上岗。食品安全监督管理部门应当对企业食品安全管理人员随机进行监督抽查考核并公布考核情况。监督抽查考核不得收取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kern w:val="0"/>
          <w:sz w:val="24"/>
          <w:szCs w:val="24"/>
          <w:shd w:val="clear" w:color="auto" w:fill="FFFFFF"/>
        </w:rPr>
        <w:t>食品生产经营者应当建立并执行从业人员健康管理制度。患有国务院卫生行政部门规定的有碍食品安全疾病的人员，不得从事接触直接入口食品的工作。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从事接触直接入口食品工作的食品生产经营人员应当每年进行健康检查，取得健康证明后方可上岗工作。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kern w:val="0"/>
          <w:sz w:val="24"/>
          <w:szCs w:val="24"/>
          <w:shd w:val="clear" w:color="auto" w:fill="FFFFFF"/>
        </w:rPr>
        <w:t>食品生产企业应当就下列事项制定并实施控制要求，保证所生产的食品符合食品安全标准：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（一）原料采购、原料验收、投料等原料控制；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（二）生产工序、设备、贮存、包装等生产关键环节控制；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（三）原料检验、半成品检验、成品出厂检验等检验控制；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（四）运输和交付控制。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kern w:val="0"/>
          <w:sz w:val="24"/>
          <w:szCs w:val="24"/>
          <w:shd w:val="clear" w:color="auto" w:fill="FFFFFF"/>
        </w:rPr>
        <w:t>食品生产经营者应当建立食品安全自查制度，定期对食品安全状况进行检查评价。生产经营条件发生变化，不再符合食品安全要求的，食品生产经营者应当立即采取整改措施；有发生食品安全事故潜在风险的，应当立即停止食品生产经营活动，并向所在地县级人民政府食品安全监督管理部门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kern w:val="0"/>
          <w:sz w:val="24"/>
          <w:szCs w:val="24"/>
          <w:shd w:val="clear" w:color="auto" w:fill="FFFFFF"/>
        </w:rPr>
        <w:t>国家鼓励食品生产经营企业符合良好生产规范要求，实施危害分析与关键控制点体系，提高食品安全管理水平。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对通过良好生产规范、危害分析与关键控制点体系认证的食品生产经营企业，认证机构应当依法实施跟踪调查；对不再符合认证要求的企业，应当依法撤销认证，及时向县级以上人民政府食品安全监督管理部门通报，并向社会公布。认证机构实施跟踪调查不得收取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kern w:val="0"/>
          <w:sz w:val="24"/>
          <w:szCs w:val="24"/>
          <w:shd w:val="clear" w:color="auto" w:fill="FFFFFF"/>
        </w:rPr>
        <w:t>食用农产品生产者应当按照食品安全标准和国家有关规定使用农药、肥料、兽药、饲料和饲料添加剂等农业投入品，严格执行农业投入品使用安全间隔期或者休药期的规定，不得使用国家明令禁止的农业投入品。禁止将剧毒、高毒农药用于蔬菜、瓜果、茶叶和中草药材等国家规定的农作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食用农产品的生产企业和农民专业合作经济组织应当建立农业投入品使用记录制度。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县级以上人民政府农业行政部门应当加强对农业投入品使用的监督管理和指导，建立健全农业投入品安全使用制度。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kern w:val="0"/>
          <w:sz w:val="24"/>
          <w:szCs w:val="24"/>
          <w:shd w:val="clear" w:color="auto" w:fill="FFFFFF"/>
        </w:rPr>
        <w:t>食品生产者采购食品原料、食品添加剂、食品相关产品，应当查验供货者的许可证和产品合格证明；对无法提供合格证明的食品原料，应当按照食品安全标准进行检验；不得采购或者使用不符合食品安全标准的食品原料、食品添加剂、食品相关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生产企业应当建立食品原料、食品添加剂、食品相关产品进货查验记录制度，如实记录食品原料、食品添加剂、食品相关产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kern w:val="0"/>
          <w:sz w:val="24"/>
          <w:szCs w:val="24"/>
          <w:shd w:val="clear" w:color="auto" w:fill="FFFFFF"/>
        </w:rPr>
        <w:t>食品生产企业应当建立食品出厂检验记录制度，查验出厂食品的检验合格证和安全状况，如实记录食品的名称、规格、数量、生产日期或者生产批号、保质期、检验合格证号、销售日期以及购货者名称、地址、联系方式等内容，并保存相关凭证。记录和凭证保存期限应当符合本法第五十条第二款的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kern w:val="0"/>
          <w:sz w:val="24"/>
          <w:szCs w:val="24"/>
          <w:shd w:val="clear" w:color="auto" w:fill="FFFFFF"/>
        </w:rPr>
        <w:t>食品、食品添加剂、食品相关产品的生产者，应当按照食品安全标准对所生产的食品、食品添加剂、食品相关产品进行检验，检验合格后方可出厂或者销售。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kern w:val="0"/>
          <w:sz w:val="24"/>
          <w:szCs w:val="24"/>
          <w:shd w:val="clear" w:color="auto" w:fill="FFFFFF"/>
        </w:rPr>
        <w:t>食品经营者采购食品，应当查验供货者的许可证和食品出厂检验合格证或者其他合格证明（以下称合格证明文件）。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经营企业应当建立食品进货查验记录制度，如实记录食品的名称、规格、数量、生产日期或者生产批号、保质期、进货日期以及供货者名称、地址、联系方式等内容，并保存相关凭证。记录和凭证保存期限应当符合本法第五十条第二款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实行统一配送经营方式的食品经营企业，可以由企业总部统一查验供货者的许可证和食品合格证明文件，进行食品进货查验记录。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从事食品批发业务的经营企业应当建立食品销售记录制度，如实记录批发食品的名称、规格、数量、生产日期或者生产批号、保质期、销售日期以及购货者名称、地址、联系方式等内容，并保存相关凭证。记录和凭证保存期限应当符合本法第五十条第二款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kern w:val="0"/>
          <w:sz w:val="24"/>
          <w:szCs w:val="24"/>
          <w:shd w:val="clear" w:color="auto" w:fill="FFFFFF"/>
        </w:rPr>
        <w:t>食品经营者应当按照保证食品安全的要求贮存食品，定期检查库存食品，及时清理变质或者超过保质期的食品。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食品经营者贮存散装食品，应当在贮存位置标明食品的名称、生产日期或者生产批号、保质期、生产者名称及联系方式等内容。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kern w:val="0"/>
          <w:sz w:val="24"/>
          <w:szCs w:val="24"/>
          <w:shd w:val="clear" w:color="auto" w:fill="FFFFFF"/>
        </w:rPr>
        <w:t>餐饮服务提供者应当制定并实施原料控制要求，不得采购不符合食品安全标准的食品原料。倡导餐饮服务提供者公开加工过程，公示食品原料及其来源等信息。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餐饮服务提供者在加工过程中应当检查待加工的食品及原料，发现有本法第三十四条第六项规定情形的，不得加工或者使用。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kern w:val="0"/>
          <w:sz w:val="24"/>
          <w:szCs w:val="24"/>
          <w:shd w:val="clear" w:color="auto" w:fill="FFFFFF"/>
        </w:rPr>
        <w:t>餐饮服务提供者应当定期维护食品加工、贮存、陈列等设施、设备；定期清洗、校验保温设施及冷藏、冷冻设施。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餐饮服务提供者应当按照要求对餐具、饮具进行清洗消毒，不得使用未经清洗消毒的餐具、饮具；餐饮服务提供者委托清洗消毒餐具、饮具的，应当委托符合本法规定条件的餐具、饮具集中消毒服务单位。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kern w:val="0"/>
          <w:sz w:val="24"/>
          <w:szCs w:val="24"/>
          <w:shd w:val="clear" w:color="auto" w:fill="FFFFFF"/>
        </w:rPr>
        <w:t>学校、托幼机构、养老机构、建筑工地等集中用餐单位的食堂应当严格遵守法律、法规和食品安全标准；从供餐单位订餐的，应当从取得食品生产经营许可的企业订购，并按照要求对订购的食品进行查验。供餐单位应当严格遵守法律、法规和食品安全标准，当餐加工，确保食品安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学校、托幼机构、养老机构、建筑工地等集中用餐单位的主管部门应当加强对集中用餐单位的食品安全教育和日常管理，降低食品安全风险，及时消除食品安全隐患。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kern w:val="0"/>
          <w:sz w:val="24"/>
          <w:szCs w:val="24"/>
          <w:shd w:val="clear" w:color="auto" w:fill="FFFFFF"/>
        </w:rPr>
        <w:t>餐具、饮具集中消毒服务单位应当具备相应的作业场所、清洗消毒设备或者设施，用水和使用的洗涤剂、消毒剂应当符合相关食品安全国家标准和其他国家标准、卫生规范。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餐具、饮具集中消毒服务单位应当对消毒餐具、饮具进行逐批检验，检验合格后方可出厂，并应当随附消毒合格证明。消毒后的餐具、饮具应当在独立包装上标注单位名称、地址、联系方式、消毒日期以及使用期限等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kern w:val="0"/>
          <w:sz w:val="24"/>
          <w:szCs w:val="24"/>
          <w:shd w:val="clear" w:color="auto" w:fill="FFFFFF"/>
        </w:rPr>
        <w:t>食品添加剂生产者应当建立食品添加剂出厂检验记录制度，查验出厂产品的检验合格证和安全状况，如实记录食品添加剂的名称、规格、数量、生产日期或者生产批号、保质期、检验合格证号、销售日期以及购货者名称、地址、联系方式等相关内容，并保存相关凭证。记录和凭证保存期限应当符合本法第五十条第二款的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kern w:val="0"/>
          <w:sz w:val="24"/>
          <w:szCs w:val="24"/>
          <w:shd w:val="clear" w:color="auto" w:fill="FFFFFF"/>
        </w:rPr>
        <w:t>食品添加剂经营者采购食品添加剂，应当依法查验供货者的许可证和产品合格证明文件，如实记录食品添加剂的名称、规格、数量、生产日期或者生产批号、保质期、进货日期以及供货者名称、地址、联系方式等内容，并保存相关凭证。记录和凭证保存期限应当符合本法第五十条第二款的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kern w:val="0"/>
          <w:sz w:val="24"/>
          <w:szCs w:val="24"/>
          <w:shd w:val="clear" w:color="auto" w:fill="FFFFFF"/>
        </w:rPr>
        <w:t>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安全监督管理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kern w:val="0"/>
          <w:sz w:val="24"/>
          <w:szCs w:val="24"/>
          <w:shd w:val="clear" w:color="auto" w:fill="FFFFFF"/>
        </w:rPr>
        <w:t>网络食品交易第三方平台提供者应当对入网食品经营者进行实名登记，明确其食品安全管理责任；依法应当取得许可证的，还应当审查其许可证。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网络食品交易第三方平台提供者发现入网食品经营者有违反本法规定行为的，应当及时制止并立即报告所在地县级人民政府食品安全监督管理部门；发现严重违法行为的，应当立即停止提供网络交易平台服务。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kern w:val="0"/>
          <w:sz w:val="24"/>
          <w:szCs w:val="24"/>
          <w:shd w:val="clear" w:color="auto" w:fill="FFFFFF"/>
        </w:rPr>
        <w:t>国家建立</w:t>
      </w:r>
      <w:r>
        <w:rPr>
          <w:rFonts w:asciiTheme="minorEastAsia" w:hAnsiTheme="minorEastAsia" w:eastAsiaTheme="minorEastAsia"/>
          <w:sz w:val="24"/>
          <w:szCs w:val="24"/>
          <w:shd w:val="clear" w:color="auto" w:fill="FFFFFF"/>
        </w:rPr>
        <w:t>食品召回</w:t>
      </w:r>
      <w:r>
        <w:rPr>
          <w:rFonts w:asciiTheme="minorEastAsia" w:hAnsiTheme="minorEastAsia" w:eastAsiaTheme="minorEastAsia"/>
          <w:kern w:val="0"/>
          <w:sz w:val="24"/>
          <w:szCs w:val="24"/>
          <w:shd w:val="clear" w:color="auto" w:fill="FFFFFF"/>
        </w:rPr>
        <w:t>制度。食品生产者发现其生产的食品不符合食品安全标准或者有证据证明可能危害人体健康的，应当立即停止生产，召回已经上市销售的食品，通知相关生产经营者和消费者，并记录召回和通知情况。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经营者发现其经营的食品有前款规定情形的，应当立即停止经营，通知相关生产经营者和消费者，并记录停止经营和通知情况。食品生产者认为应当召回的，应当立即召回。由于食品经营者的原因造成其经营的食品有前款规定情形的，食品经营者应当召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生产经营者应当对召回的食品采取无害化处理、销毁等措施，防止其再次流入市场。但是，对因标签、标志或者说明书不符合食品安全标准而被召回的食品，食品生产者在采取补救措施且能保证食品安全的情况下可以继续销售；销售时应当向消费者明示补救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生产经营者应当将食品召回和处理情况向所在地县级人民政府食品安全监督管理部门报告；需要对召回的食品进行无害化处理、销毁的，应当提前报告时间、地点。食品安全监督管理部门认为必要的，可以实施现场监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食品生产经营者未依照本条规定召回或者停止经营的，县级以上人民政府食品安全监督管理部门可以责令其召回或者停止经营。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kern w:val="0"/>
          <w:sz w:val="24"/>
          <w:szCs w:val="24"/>
          <w:shd w:val="clear" w:color="auto" w:fill="FFFFFF"/>
        </w:rPr>
        <w:t>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kern w:val="0"/>
          <w:sz w:val="24"/>
          <w:szCs w:val="24"/>
          <w:shd w:val="clear" w:color="auto" w:fill="FFFFFF"/>
        </w:rPr>
        <w:t>食用农产品销售者应当建立食用农产品进货查验记录制度，如实记录食用农产品的名称、数量、进货日期以及供货者名称、地址、联系方式等内容，并保存相关凭证。记录和凭证保存期限不得少于六个月。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kern w:val="0"/>
          <w:sz w:val="24"/>
          <w:szCs w:val="24"/>
          <w:shd w:val="clear" w:color="auto" w:fill="FFFFFF"/>
        </w:rPr>
        <w:t>进入市场销售的食用农产品在包装、保鲜、贮存、运输中使用保鲜剂、防腐剂等食品添加剂和包装材料等食品相关产品，应当符合食品安全国家标准。</w:t>
      </w:r>
    </w:p>
    <w:p>
      <w:pPr>
        <w:pStyle w:val="64"/>
        <w:spacing w:before="156" w:after="156"/>
      </w:pPr>
      <w:r>
        <w:rPr>
          <w:kern w:val="0"/>
          <w:shd w:val="clear" w:color="auto" w:fill="FFFFFF"/>
        </w:rPr>
        <w:t>第三节  标签、说明书和广告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kern w:val="0"/>
          <w:sz w:val="24"/>
          <w:szCs w:val="24"/>
          <w:shd w:val="clear" w:color="auto" w:fill="FFFFFF"/>
        </w:rPr>
        <w:t>预包装食品的包装上应当有标签。标签应当标明下列事项：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（一）名称、规格、净含量、生产日期；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（二）成分或者配料表；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（三）生产者的名称、地址、联系方式；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（四）保质期；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（五）产品标准代号；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（六）贮存条件；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（七）所使用的食品添加剂在国家标准中的通用名称；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（八）生产许可证编号；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（九）法律、法规或者食品安全标准规定应当标明的其他事项。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专供婴幼儿和其他特定人群的主辅食品，其标签还应当标明主要营养成分及其含量。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食品安全国家标准对标签标注事项另有规定的，从其规定。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kern w:val="0"/>
          <w:sz w:val="24"/>
          <w:szCs w:val="24"/>
          <w:shd w:val="clear" w:color="auto" w:fill="FFFFFF"/>
        </w:rPr>
        <w:t>食品经营者销售散装食品，应当在散装食品的容器、外包装上标明食品的名称、生产日期或者生产批号、保质期以及生产经营者名称、地址、联系方式等内容。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kern w:val="0"/>
          <w:sz w:val="24"/>
          <w:szCs w:val="24"/>
          <w:shd w:val="clear" w:color="auto" w:fill="FFFFFF"/>
        </w:rPr>
        <w:t>生产经营转基因食品应当按照规定显著标示。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kern w:val="0"/>
          <w:sz w:val="24"/>
          <w:szCs w:val="24"/>
          <w:shd w:val="clear" w:color="auto" w:fill="FFFFFF"/>
        </w:rPr>
        <w:t>食品添加剂应当有标签、说明书和包装。标签、说明书应当载明本法第六十七条第一款第一项至第六项、第八项、第九项规定的事项，以及食品添加剂的使用范围、用量、使用方法，并在标签上载明“食品添加剂”字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kern w:val="0"/>
          <w:sz w:val="24"/>
          <w:szCs w:val="24"/>
          <w:shd w:val="clear" w:color="auto" w:fill="FFFFFF"/>
        </w:rPr>
        <w:t>食品和食品添加剂的标签、说明书，不得含有虚假内容，不得涉及疾病预防、治疗功能。生产经营者对其提供的标签、说明书的内容负责。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食品和食品添加剂的标签、说明书应当清楚、明显，生产日期、保质期等事项应当显著标注，容易辨识。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食品和食品添加剂与其标签、说明书的内容不符的，不得上市销售。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kern w:val="0"/>
          <w:sz w:val="24"/>
          <w:szCs w:val="24"/>
          <w:shd w:val="clear" w:color="auto" w:fill="FFFFFF"/>
        </w:rPr>
        <w:t>食品经营者应当按照食品标签标示的警示标志、警示说明或者注意事项的要求销售食品。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kern w:val="0"/>
          <w:sz w:val="24"/>
          <w:szCs w:val="24"/>
          <w:shd w:val="clear" w:color="auto" w:fill="FFFFFF"/>
        </w:rPr>
        <w:t>食品广告的内容应当真实合法，不得含有虚假内容，不得涉及疾病预防、治疗功能。食品生产经营者对食品广告内容的真实性、合法性负责。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县级以上人民政府食品安全监督管理部门和其他有关部门以及食品检验机构、食品行业协会不得以广告或者其他形式向消费者推荐食品。消费者组织不得以收取费用或者其他牟取利益的方式向消费者推荐食品。</w:t>
      </w:r>
    </w:p>
    <w:p>
      <w:pPr>
        <w:pStyle w:val="64"/>
        <w:spacing w:before="156" w:after="156"/>
      </w:pPr>
      <w:r>
        <w:rPr>
          <w:kern w:val="0"/>
          <w:shd w:val="clear" w:color="auto" w:fill="FFFFFF"/>
        </w:rPr>
        <w:t>第四节  特殊食品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kern w:val="0"/>
          <w:sz w:val="24"/>
          <w:szCs w:val="24"/>
          <w:shd w:val="clear" w:color="auto" w:fill="FFFFFF"/>
        </w:rPr>
        <w:t>国家对</w:t>
      </w:r>
      <w:r>
        <w:rPr>
          <w:rFonts w:asciiTheme="minorEastAsia" w:hAnsiTheme="minorEastAsia" w:eastAsiaTheme="minorEastAsia"/>
          <w:sz w:val="24"/>
          <w:szCs w:val="24"/>
          <w:shd w:val="clear" w:color="auto" w:fill="FFFFFF"/>
        </w:rPr>
        <w:t>保健食品</w:t>
      </w:r>
      <w:r>
        <w:rPr>
          <w:rFonts w:asciiTheme="minorEastAsia" w:hAnsiTheme="minorEastAsia" w:eastAsiaTheme="minorEastAsia"/>
          <w:kern w:val="0"/>
          <w:sz w:val="24"/>
          <w:szCs w:val="24"/>
          <w:shd w:val="clear" w:color="auto" w:fill="FFFFFF"/>
        </w:rPr>
        <w:t>、特殊医学用途配方食品和婴幼儿配方食品等特殊食品实行严格监督管理。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kern w:val="0"/>
          <w:sz w:val="24"/>
          <w:szCs w:val="24"/>
          <w:shd w:val="clear" w:color="auto" w:fill="FFFFFF"/>
        </w:rPr>
        <w:t>保健食品声称保健功能，应当具有科学依据，不得对人体产生急性、亚急性或者慢性危害。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保健食品原料目录和允许保健食品声称的保健功能目录，由国务院食品安全监督管理部门会同国务院卫生行政部门、国家中医药管理部门制定、调整并公布。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保健食品原料目录应当包括原料名称、用量及其对应的功效；列入保健食品原料目录的原料只能用于保健食品生产，不得用于其他食品生产。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kern w:val="0"/>
          <w:sz w:val="24"/>
          <w:szCs w:val="24"/>
          <w:shd w:val="clear" w:color="auto" w:fill="FFFFFF"/>
        </w:rPr>
        <w:t>使用保健食品原料目录以外原料的保健食品和首次进口的保健食品应当经国务院食品安全监督管理部门注册。但是，首次进口的保健食品中属于补充维生素、矿物质等营养物质的，应当报国务院食品安全监督管理部门备案。其他保健食品应当报省、自治区、直辖市人民政府食品安全监督管理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进口的保健食品应当是出口国（地区）主管部门准许上市销售的产品。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第七十七条  </w:t>
      </w:r>
      <w:r>
        <w:rPr>
          <w:rFonts w:asciiTheme="minorEastAsia" w:hAnsiTheme="minorEastAsia" w:eastAsiaTheme="minorEastAsia"/>
          <w:kern w:val="0"/>
          <w:sz w:val="24"/>
          <w:szCs w:val="24"/>
          <w:shd w:val="clear" w:color="auto" w:fill="FFFFFF"/>
        </w:rPr>
        <w:t>依法应当注册的保健食品，注册时应当提交保健食品的研发报告、产品配方、生产工艺、安全性和保健功能评价、标签、说明书等材料及样品，并提供相关证明文件。国务院食品安全监督管理部门经组织技术审评，对符合安全和功能声称要求的，准予注册；对不符合要求的，不予注册并书面说明理由。对使用保健食品原料目录以外原料的保健食品作出准予注册决定的，应当及时将该原料纳入保健食品原料目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依法应当备案的保健食品，备案时应当提交产品配方、生产工艺、标签、说明书以及表明产品安全性和保健功能的材料。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第七十八条 </w:t>
      </w:r>
      <w:r>
        <w:rPr>
          <w:rFonts w:asciiTheme="minorEastAsia" w:hAnsiTheme="minorEastAsia" w:eastAsiaTheme="minorEastAsia"/>
          <w:kern w:val="0"/>
          <w:sz w:val="24"/>
          <w:szCs w:val="24"/>
          <w:shd w:val="clear" w:color="auto" w:fill="FFFFFF"/>
        </w:rPr>
        <w:t xml:space="preserve"> 保健食品的标签、说明书不得涉及疾病预防、治疗功能，内容应当真实，与注册或者备案的内容相一致，载明适宜人群、不适宜人群、功效成分或者标志性成分及其含量等，并声明“本品不能代替药物”。保健食品的功能和成分应当与标签、说明书相一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第七十九条 </w:t>
      </w:r>
      <w:r>
        <w:rPr>
          <w:rFonts w:asciiTheme="minorEastAsia" w:hAnsiTheme="minorEastAsia" w:eastAsiaTheme="minorEastAsia"/>
          <w:kern w:val="0"/>
          <w:sz w:val="24"/>
          <w:szCs w:val="24"/>
          <w:shd w:val="clear" w:color="auto" w:fill="FFFFFF"/>
        </w:rPr>
        <w:t xml:space="preserve"> 保健食品广告除应当符合本法第七十三条第一款的规定外，还应当声明“本品不能代替药物”；其内容应当经生产企业所在地省、自治区、直辖市人民政府食品安全监督管理部门审查批准，取得保健食品广告批准文件。省、自治区、直辖市人民政府食品安全监督管理部门应当公布并及时更新已经批准的保健食品广告目录以及批准的广告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第八十条 </w:t>
      </w:r>
      <w:r>
        <w:rPr>
          <w:rFonts w:asciiTheme="minorEastAsia" w:hAnsiTheme="minorEastAsia" w:eastAsiaTheme="minorEastAsia"/>
          <w:kern w:val="0"/>
          <w:sz w:val="24"/>
          <w:szCs w:val="24"/>
          <w:shd w:val="clear" w:color="auto" w:fill="FFFFFF"/>
        </w:rPr>
        <w:t xml:space="preserve"> 特殊医学用途配方食品应当经国务院食品安全监督管理部门注册。注册时，应当提交产品配方、生产工艺、标签、说明书以及表明产品安全性、营养充足性和特殊医学用途临床效果的材料。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特殊医学用途配方食品广告适用《中华人民共和国广告法》和其他法律、行政法规关于药品广告管理的规定。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第八十一条 </w:t>
      </w:r>
      <w:r>
        <w:rPr>
          <w:rFonts w:asciiTheme="minorEastAsia" w:hAnsiTheme="minorEastAsia" w:eastAsiaTheme="minorEastAsia"/>
          <w:kern w:val="0"/>
          <w:sz w:val="24"/>
          <w:szCs w:val="24"/>
          <w:shd w:val="clear" w:color="auto" w:fill="FFFFFF"/>
        </w:rPr>
        <w:t xml:space="preserve"> 婴幼儿配方食品生产企业应当实施从原料进厂到成品出厂的全过程质量控制，对出厂的婴幼儿配方食品实施逐批检验，保证食品安全。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生产婴幼儿配方食品使用的生鲜乳、辅料等食品原料、食品添加剂等，应当符合法律、行政法规的规定和食品安全国家标准，保证婴幼儿生长发育所需的营养成分。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婴幼儿配方食品生产企业应当将食品原料、食品添加剂、产品配方及标签等事项向省、自治区、直辖市人民政府食品安全监督管理部门备案。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婴幼儿配方乳粉的产品配方应当经国务院食品安全监督管理部门注册。注册时，应当提交配方研发报告和其他表明配方科学性、安全性的材料。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不得以分装方式生产婴幼儿配方乳粉，同一企业不得用同一配方生产不同品牌的婴幼儿配方乳粉。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第八十二条 </w:t>
      </w:r>
      <w:r>
        <w:rPr>
          <w:rFonts w:asciiTheme="minorEastAsia" w:hAnsiTheme="minorEastAsia" w:eastAsiaTheme="minorEastAsia"/>
          <w:kern w:val="0"/>
          <w:sz w:val="24"/>
          <w:szCs w:val="24"/>
          <w:shd w:val="clear" w:color="auto" w:fill="FFFFFF"/>
        </w:rPr>
        <w:t xml:space="preserve"> 保健食品、特殊医学用途配方食品、婴幼儿配方乳粉的注册人或者备案人应当对其提交材料的真实性负责。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省级以上人民政府食品安全监督管理部门应当及时公布注册或者备案的保健食品、特殊医学用途配方食品、婴幼儿配方乳粉目录，并对注册或者备案中获知的企业商业秘密予以保密。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保健食品、特殊医学用途配方食品、婴幼儿配方乳粉生产企业应当按照注册或者备案的产品配方、生产工艺等技术要求组织生产。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第八十三条 </w:t>
      </w:r>
      <w:r>
        <w:rPr>
          <w:rFonts w:asciiTheme="minorEastAsia" w:hAnsiTheme="minorEastAsia" w:eastAsiaTheme="minorEastAsia"/>
          <w:kern w:val="0"/>
          <w:sz w:val="24"/>
          <w:szCs w:val="24"/>
          <w:shd w:val="clear" w:color="auto" w:fill="FFFFFF"/>
        </w:rPr>
        <w:t xml:space="preserve"> 生产保健食品，特殊医学用途配方食品、婴幼儿配方食品和其他专供特定人群的主辅食品的企业，应当按照良好生产规范的要求建立与所生产食品相适应的生产质量管理体系，定期对该体系的运行情况进行自查，保证其有效运行，并向所在地县级人民政府食品安全监督管理部门提交自查报告。</w:t>
      </w:r>
    </w:p>
    <w:p>
      <w:pPr>
        <w:pStyle w:val="63"/>
        <w:spacing w:before="218" w:after="218" w:line="412" w:lineRule="exact"/>
      </w:pPr>
      <w:r>
        <w:rPr>
          <w:kern w:val="0"/>
          <w:shd w:val="clear" w:color="auto" w:fill="FFFFFF"/>
        </w:rPr>
        <w:t>第五章  食品检验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第八十四条 </w:t>
      </w:r>
      <w:r>
        <w:rPr>
          <w:rFonts w:asciiTheme="minorEastAsia" w:hAnsiTheme="minorEastAsia" w:eastAsiaTheme="minorEastAsia"/>
          <w:kern w:val="0"/>
          <w:sz w:val="24"/>
          <w:szCs w:val="24"/>
          <w:shd w:val="clear" w:color="auto" w:fill="FFFFFF"/>
        </w:rPr>
        <w:t xml:space="preserve"> 食品检验机构按照国家有关认证认可的规定取得资质认定后，方可从事食品检验活动。但是，法律另有规定的除外。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食品检验机构的资质认定条件和检验规范，由国务院食品安全监督管理部门规定。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符合本法规定的食品检验机构出具的检验报告具有同等效力。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县级以上人民政府应当整合食品检验资源，实现资源共享。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第八十五条 </w:t>
      </w:r>
      <w:r>
        <w:rPr>
          <w:rFonts w:asciiTheme="minorEastAsia" w:hAnsiTheme="minorEastAsia" w:eastAsiaTheme="minorEastAsia"/>
          <w:kern w:val="0"/>
          <w:sz w:val="24"/>
          <w:szCs w:val="24"/>
          <w:shd w:val="clear" w:color="auto" w:fill="FFFFFF"/>
        </w:rPr>
        <w:t xml:space="preserve"> 食品检验由食品检验机构指定的检验人独立进行。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检验人应当依照有关法律、法规的规定，并按照食品安全标准和检验规范对食品进行检验，尊重科学，恪守职业道德，保证出具的检验数据和结论客观、公正，不得出具虚假检验报告。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第八十六条 </w:t>
      </w:r>
      <w:r>
        <w:rPr>
          <w:rFonts w:asciiTheme="minorEastAsia" w:hAnsiTheme="minorEastAsia" w:eastAsiaTheme="minorEastAsia"/>
          <w:kern w:val="0"/>
          <w:sz w:val="24"/>
          <w:szCs w:val="24"/>
          <w:shd w:val="clear" w:color="auto" w:fill="FFFFFF"/>
        </w:rPr>
        <w:t xml:space="preserve"> 食品检验实行食品检验机构与检验人负责制。食品检验报告应当加盖食品检验机构公章，并有检验人的签名或者盖章。食品检验机构和检验人对出具的食品检验报告负责。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第八十七条 </w:t>
      </w:r>
      <w:r>
        <w:rPr>
          <w:rFonts w:asciiTheme="minorEastAsia" w:hAnsiTheme="minorEastAsia" w:eastAsiaTheme="minorEastAsia"/>
          <w:kern w:val="0"/>
          <w:sz w:val="24"/>
          <w:szCs w:val="24"/>
          <w:shd w:val="clear" w:color="auto" w:fill="FFFFFF"/>
        </w:rPr>
        <w:t xml:space="preserve"> 县级以上人民政府食品安全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第八十八条 </w:t>
      </w:r>
      <w:r>
        <w:rPr>
          <w:rFonts w:asciiTheme="minorEastAsia" w:hAnsiTheme="minorEastAsia" w:eastAsiaTheme="minorEastAsia"/>
          <w:kern w:val="0"/>
          <w:sz w:val="24"/>
          <w:szCs w:val="24"/>
          <w:shd w:val="clear" w:color="auto" w:fill="FFFFFF"/>
        </w:rPr>
        <w:t xml:space="preserve"> 对依照本法规定实施的检验结论有异议的，食品生产经营者可以自收到检验结论之日起七个工作日内向实施抽样检验的食品安全监督管理部门或者其上一级食品安全监督管理部门提出复检申请，由受理复检申请的食品安全监督管理部门在公布的复检机构名录中随机确定复检机构进行复检。复检机构出具的复检结论为最终检验结论。复检机构与初检机构不得为同一机构。复检机构名录由国务院认证认可监督管理、食品安全监督管理、卫生行政、农业行政等部门共同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采用国家规定的快速检测方法对食用农产品进行抽查检测，被抽查人对检测结果有异议的，可以自收到检测结果时起四小时内申请复检。复检不得采用快速检测方法。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第八十九条 </w:t>
      </w:r>
      <w:r>
        <w:rPr>
          <w:rFonts w:asciiTheme="minorEastAsia" w:hAnsiTheme="minorEastAsia" w:eastAsiaTheme="minorEastAsia"/>
          <w:kern w:val="0"/>
          <w:sz w:val="24"/>
          <w:szCs w:val="24"/>
          <w:shd w:val="clear" w:color="auto" w:fill="FFFFFF"/>
        </w:rPr>
        <w:t xml:space="preserve"> 食品生产企业可以自行对所生产的食品进行检验，也可以委托符合本法规定的食品检验机构进行检验。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食品行业协会和消费者协会等组织、消费者需要委托食品检验机构对食品进行检验的，应当委托符合本法规定的食品检验机构进行。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第九十条 </w:t>
      </w:r>
      <w:r>
        <w:rPr>
          <w:rFonts w:asciiTheme="minorEastAsia" w:hAnsiTheme="minorEastAsia" w:eastAsiaTheme="minorEastAsia"/>
          <w:kern w:val="0"/>
          <w:sz w:val="24"/>
          <w:szCs w:val="24"/>
          <w:shd w:val="clear" w:color="auto" w:fill="FFFFFF"/>
        </w:rPr>
        <w:t xml:space="preserve"> 食品添加剂的检验，适用本法有关食品检验的规定。</w:t>
      </w:r>
    </w:p>
    <w:p>
      <w:pPr>
        <w:pStyle w:val="63"/>
        <w:spacing w:before="218" w:after="218" w:line="412" w:lineRule="exact"/>
      </w:pPr>
      <w:r>
        <w:rPr>
          <w:kern w:val="0"/>
          <w:shd w:val="clear" w:color="auto" w:fill="FFFFFF"/>
        </w:rPr>
        <w:t>第六章  食品进出口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第九十一条 </w:t>
      </w:r>
      <w:r>
        <w:rPr>
          <w:rFonts w:asciiTheme="minorEastAsia" w:hAnsiTheme="minorEastAsia" w:eastAsiaTheme="minorEastAsia"/>
          <w:kern w:val="0"/>
          <w:sz w:val="24"/>
          <w:szCs w:val="24"/>
          <w:shd w:val="clear" w:color="auto" w:fill="FFFFFF"/>
        </w:rPr>
        <w:t xml:space="preserve"> 国家出入境检验检疫部门对</w:t>
      </w:r>
      <w:r>
        <w:rPr>
          <w:rFonts w:asciiTheme="minorEastAsia" w:hAnsiTheme="minorEastAsia" w:eastAsiaTheme="minorEastAsia"/>
          <w:sz w:val="24"/>
          <w:szCs w:val="24"/>
          <w:shd w:val="clear" w:color="auto" w:fill="FFFFFF"/>
        </w:rPr>
        <w:t>进出口食品</w:t>
      </w:r>
      <w:r>
        <w:rPr>
          <w:rFonts w:asciiTheme="minorEastAsia" w:hAnsiTheme="minorEastAsia" w:eastAsiaTheme="minorEastAsia"/>
          <w:kern w:val="0"/>
          <w:sz w:val="24"/>
          <w:szCs w:val="24"/>
          <w:shd w:val="clear" w:color="auto" w:fill="FFFFFF"/>
        </w:rPr>
        <w:t>安全实施监督管理。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第九十二条 </w:t>
      </w:r>
      <w:r>
        <w:rPr>
          <w:rFonts w:asciiTheme="minorEastAsia" w:hAnsiTheme="minorEastAsia" w:eastAsiaTheme="minorEastAsia"/>
          <w:kern w:val="0"/>
          <w:sz w:val="24"/>
          <w:szCs w:val="24"/>
          <w:shd w:val="clear" w:color="auto" w:fill="FFFFFF"/>
        </w:rPr>
        <w:t xml:space="preserve"> 进口的食品、食品添加剂、食品相关产品应当符合我国食品安全国家标准。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进口的食品、食品添加剂应当经出入境检验检疫机构依照进出口商品检验相关法律、行政法规的规定检验合格。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进口的食品、食品添加剂应当按照国家出入境检验检疫部门的要求随附合格证明材料。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第九十三条 </w:t>
      </w:r>
      <w:r>
        <w:rPr>
          <w:rFonts w:asciiTheme="minorEastAsia" w:hAnsiTheme="minorEastAsia" w:eastAsiaTheme="minorEastAsia"/>
          <w:kern w:val="0"/>
          <w:sz w:val="24"/>
          <w:szCs w:val="24"/>
          <w:shd w:val="clear" w:color="auto" w:fill="FFFFFF"/>
        </w:rPr>
        <w:t xml:space="preserve"> 进口尚无食品安全国家标准的食品，由境外出口商、境外生产企业或者其委托的进口商向国务院卫生行政部门提交所执行的相关国家（地区）标准或者国际标准。国务院卫生行政部门对相关标准进行审查，认为符合食品安全要求的，决定暂予适用，并及时制定相应的食品安全国家标准。进口利用新的食品原料生产的食品或者进口食品添加剂新品种、食品相关产品新品种，依照本法第三十七条的规定办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出入境检验检疫机构按照国务院卫生行政部门的要求，对前款规定的食品、食品添加剂、食品相关产品进行检验。检验结果应当公开。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第九十四条 </w:t>
      </w:r>
      <w:r>
        <w:rPr>
          <w:rFonts w:asciiTheme="minorEastAsia" w:hAnsiTheme="minorEastAsia" w:eastAsiaTheme="minorEastAsia"/>
          <w:kern w:val="0"/>
          <w:sz w:val="24"/>
          <w:szCs w:val="24"/>
          <w:shd w:val="clear" w:color="auto" w:fill="FFFFFF"/>
        </w:rPr>
        <w:t xml:space="preserve"> 境外出口商、境外生产企业应当保证向我国出口的食品、食品添加剂、食品相关产品符合本法以及我国其他有关法律、行政法规的规定和食品安全国家标准的要求，并对标签、说明书的内容负责。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进口商应当建立境外出口商、境外生产企业审核制度，重点审核前款规定的内容；审核不合格的，不得进口。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发现进口食品不符合我国食品安全国家标准或者有证据证明可能危害人体健康的，进口商应当立即停止进口，并依照本法第六十三条的规定召回。</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第九十五条 </w:t>
      </w:r>
      <w:r>
        <w:rPr>
          <w:rFonts w:asciiTheme="minorEastAsia" w:hAnsiTheme="minorEastAsia" w:eastAsiaTheme="minorEastAsia"/>
          <w:kern w:val="0"/>
          <w:sz w:val="24"/>
          <w:szCs w:val="24"/>
          <w:shd w:val="clear" w:color="auto" w:fill="FFFFFF"/>
        </w:rPr>
        <w:t xml:space="preserve"> 境外发生的食品安全事件可能对我国境内造成影响，或者在进口食品、食品添加剂、食品相关产品中发现严重食品安全问题的，国家出入境检验检疫部门应当及时采取风险预警或者控制措施，并向国务院食品安全监督管理、卫生行政、农业行政部门通报。接到通报的部门应当及时采取相应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县级以上人民政府食品安全监督管理部门对国内市场上销售的进口食品、食品添加剂实施监督管理。发现存在严重食品安全问题的，国务院食品安全监督管理部门应当及时向国家出入境检验检疫部门通报。国家出入境检验检疫部门应当及时采取相应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第九十六条 </w:t>
      </w:r>
      <w:r>
        <w:rPr>
          <w:rFonts w:asciiTheme="minorEastAsia" w:hAnsiTheme="minorEastAsia" w:eastAsiaTheme="minorEastAsia"/>
          <w:kern w:val="0"/>
          <w:sz w:val="24"/>
          <w:szCs w:val="24"/>
          <w:shd w:val="clear" w:color="auto" w:fill="FFFFFF"/>
        </w:rPr>
        <w:t xml:space="preserve"> 向我国境内出口食品的境外出口商或者代理商、进口食品的进口商应当向国家出入境检验检疫部门备案。向我国境内出口食品的境外食品生产企业应当经国家出入境检验检疫部门注册。已经注册的境外食品生产企业提供虚假材料，或者因其自身的原因致使进口食品发生重大食品安全事故的，国家出入境检验检疫部门应当撤销注册并公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国家出入境检验检疫部门应当定期公布已经备案的境外出口商、代理商、进口商和已经注册的境外食品生产企业名单。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第九十七条 </w:t>
      </w:r>
      <w:r>
        <w:rPr>
          <w:rFonts w:asciiTheme="minorEastAsia" w:hAnsiTheme="minorEastAsia" w:eastAsiaTheme="minorEastAsia"/>
          <w:kern w:val="0"/>
          <w:sz w:val="24"/>
          <w:szCs w:val="24"/>
          <w:shd w:val="clear" w:color="auto" w:fill="FFFFFF"/>
        </w:rPr>
        <w:t xml:space="preserve"> 进口的预包装食品、食品添加剂应当有中文标签；依法应当有说明书的，还应当有中文说明书。标签、说明书应当符合本法以及我国其他有关法律、行政法规的规定和食品安全国家标准的要求，并载明食品的原产地以及境内代理商的名称、地址、联系方式。预包装食品没有中文标签、中文说明书或者标签、说明书不符合本条规定的，不得进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第九十八条 </w:t>
      </w:r>
      <w:r>
        <w:rPr>
          <w:rFonts w:asciiTheme="minorEastAsia" w:hAnsiTheme="minorEastAsia" w:eastAsiaTheme="minorEastAsia"/>
          <w:kern w:val="0"/>
          <w:sz w:val="24"/>
          <w:szCs w:val="24"/>
          <w:shd w:val="clear" w:color="auto" w:fill="FFFFFF"/>
        </w:rPr>
        <w:t xml:space="preserve"> 进口商应当建立食品、食品添加剂进口和销售记录制度，如实记录食品、食品添加剂的名称、规格、数量、生产日期、生产或者进口批号、保质期、境外出口商和购货者名称、地址及联系方式、交货日期等内容，并保存相关凭证。记录和凭证保存期限应当符合本法第五十条第二款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第九十九条 </w:t>
      </w:r>
      <w:r>
        <w:rPr>
          <w:rFonts w:asciiTheme="minorEastAsia" w:hAnsiTheme="minorEastAsia" w:eastAsiaTheme="minorEastAsia"/>
          <w:kern w:val="0"/>
          <w:sz w:val="24"/>
          <w:szCs w:val="24"/>
          <w:shd w:val="clear" w:color="auto" w:fill="FFFFFF"/>
        </w:rPr>
        <w:t xml:space="preserve"> 出口食品生产企业应当保证其出口食品符合进口国（地区）的标准或者合同要求。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出口食品生产企业和出口食品原料种植、养殖场应当向国家出入境检验检疫部门备案。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第一百条 </w:t>
      </w:r>
      <w:r>
        <w:rPr>
          <w:rFonts w:asciiTheme="minorEastAsia" w:hAnsiTheme="minorEastAsia" w:eastAsiaTheme="minorEastAsia"/>
          <w:kern w:val="0"/>
          <w:sz w:val="24"/>
          <w:szCs w:val="24"/>
          <w:shd w:val="clear" w:color="auto" w:fill="FFFFFF"/>
        </w:rPr>
        <w:t xml:space="preserve"> 国家出入境检验检疫部门应当收集、汇总下列进出口食品安全信息，并及时通报相关部门、机构和企业：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（一）出入境检验检疫机构对进出口食品实施检验检疫发现的食品安全信息；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（二）食品行业协会和消费者协会等组织、消费者反映的进口食品安全信息；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（三）国际组织、境外政府机构发布的风险预警信息及其他食品安全信息，以及境外食品行业协会等组织、消费者反映的食品安全信息；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（四）其他食品安全信息。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国家出入境检验检疫部门应当对进出口食品的进口商、出口商和出口食品生产企业实施信用管理，建立信用记录，并依法向社会公布。对有不良记录的进口商、出口商和出口食品生产企业，应当加强对其进出口食品的检验检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第一百零一条 </w:t>
      </w:r>
      <w:r>
        <w:rPr>
          <w:rFonts w:asciiTheme="minorEastAsia" w:hAnsiTheme="minorEastAsia" w:eastAsiaTheme="minorEastAsia"/>
          <w:kern w:val="0"/>
          <w:sz w:val="24"/>
          <w:szCs w:val="24"/>
          <w:shd w:val="clear" w:color="auto" w:fill="FFFFFF"/>
        </w:rPr>
        <w:t xml:space="preserve"> 国家出入境检验检疫部门可以对向我国境内出口食品的国家（地区）的食品安全管理体系和食品安全状况进行评估和审查，并根据评估和审查结果，确定相应检验检疫要求。</w:t>
      </w:r>
    </w:p>
    <w:p>
      <w:pPr>
        <w:pStyle w:val="63"/>
        <w:spacing w:before="218" w:after="218" w:line="412" w:lineRule="exact"/>
      </w:pPr>
      <w:r>
        <w:rPr>
          <w:kern w:val="0"/>
          <w:shd w:val="clear" w:color="auto" w:fill="FFFFFF"/>
        </w:rPr>
        <w:t>第七章  食品安全事故处置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第一百零二条 </w:t>
      </w:r>
      <w:r>
        <w:rPr>
          <w:rFonts w:asciiTheme="minorEastAsia" w:hAnsiTheme="minorEastAsia" w:eastAsiaTheme="minorEastAsia"/>
          <w:kern w:val="0"/>
          <w:sz w:val="24"/>
          <w:szCs w:val="24"/>
          <w:shd w:val="clear" w:color="auto" w:fill="FFFFFF"/>
        </w:rPr>
        <w:t xml:space="preserve"> 国务院组织制定国家食品安全事故应急预案。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县级以上地方人民政府应当根据有关法律、法规的规定和上级人民政府的食品安全事故应急预案以及本行政区域的实际情况，制定本行政区域的食品安全事故应急预案，并报上一级人民政府备案。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食品安全事故应急预案应当对食品安全事故分级、事故处置组织指挥体系与职责、预防预警机制、处置程序、应急保障措施等作出规定。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食品生产经营企业应当制定食品安全事故处置方案，定期检查本企业各项食品安全防范措施的落实情况，及时消除事故隐患。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第一百零三条 </w:t>
      </w:r>
      <w:r>
        <w:rPr>
          <w:rFonts w:asciiTheme="minorEastAsia" w:hAnsiTheme="minorEastAsia" w:eastAsiaTheme="minorEastAsia"/>
          <w:kern w:val="0"/>
          <w:sz w:val="24"/>
          <w:szCs w:val="24"/>
          <w:shd w:val="clear" w:color="auto" w:fill="FFFFFF"/>
        </w:rPr>
        <w:t xml:space="preserve"> 发生食品安全事故的单位应当立即采取措施，防止事故扩大。事故单位和接收病人进行治疗的单位应当及时向事故发生地县级人民政府食品安全监督管理、卫生行政部门报告。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县级以上人民政府农业行政等部门在日常监督管理中发现食品安全事故或者接到事故举报，应当立即向同级食品安全监督管理部门通报。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发生食品安全事故，接到报告的县级人民政府食品安全监督管理部门应当按照应急预案的规定向本级人民政府和上级人民政府食品安全监督管理部门报告。县级人民政府和上级人民政府食品安全监督管理部门应当按照应急预案的规定上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任何单位和个人不得对食品安全事故隐瞒、谎报、缓报，不得隐匿、伪造、毁灭有关证据。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第一百零四条 </w:t>
      </w:r>
      <w:r>
        <w:rPr>
          <w:rFonts w:asciiTheme="minorEastAsia" w:hAnsiTheme="minorEastAsia" w:eastAsiaTheme="minorEastAsia"/>
          <w:kern w:val="0"/>
          <w:sz w:val="24"/>
          <w:szCs w:val="24"/>
          <w:shd w:val="clear" w:color="auto" w:fill="FFFFFF"/>
        </w:rPr>
        <w:t xml:space="preserve"> 医疗机构发现其接收的病人属于食源性疾病病人或者疑似病人的，应当按照规定及时将相关信息向所在地县级人民政府卫生行政部门报告。县级人民政府卫生行政部门认为与食品安全有关的，应当及时通报同级食品安全监督管理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县级以上人民政府卫生行政部门在调查处理传染病或者其他突发公共卫生事件中发现与食品安全相关的信息，应当及时通报同级食品安全监督管理部门。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第一百零五条 </w:t>
      </w:r>
      <w:r>
        <w:rPr>
          <w:rFonts w:asciiTheme="minorEastAsia" w:hAnsiTheme="minorEastAsia" w:eastAsiaTheme="minorEastAsia"/>
          <w:kern w:val="0"/>
          <w:sz w:val="24"/>
          <w:szCs w:val="24"/>
          <w:shd w:val="clear" w:color="auto" w:fill="FFFFFF"/>
        </w:rPr>
        <w:t xml:space="preserve"> 县级以上人民政府食品安全监督管理部门接到食品安全事故的报告后，应当立即会同同级卫生行政、农业行政等部门进行调查处理，并采取下列措施，防止或者减轻社会危害：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（一）开展应急救援工作，组织救治因食品安全事故导致人身伤害的人员；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（二）封存可能导致食品安全事故的食品及其原料，并立即进行检验；对确认属于被污染的食品及其原料，责令食品生产经营者依照本法第六十三条的规定召回或者停止经营；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（三）封存被污染的食品相关产品，并责令进行清洗消毒；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（四）做好信息发布工作，依法对食品安全事故及其处理情况进行发布，并对可能产生的危害加以解释、说明。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发生食品安全事故需要启动应急预案的，县级以上人民政府应当立即成立事故处置指挥机构，启动应急预案，依照前款和应急预案的规定进行处置。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发生食品安全事故，县级以上疾病预防控制机构应当对事故现场进行卫生处理，并对与事故有关的因素开展流行病学调查，有关部门应当予以协助。县级以上疾病预防控制机构应当向同级食品安全监督管理、卫生行政部门提交流行病学调查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第一百零六条 </w:t>
      </w:r>
      <w:r>
        <w:rPr>
          <w:rFonts w:asciiTheme="minorEastAsia" w:hAnsiTheme="minorEastAsia" w:eastAsiaTheme="minorEastAsia"/>
          <w:kern w:val="0"/>
          <w:sz w:val="24"/>
          <w:szCs w:val="24"/>
          <w:shd w:val="clear" w:color="auto" w:fill="FFFFFF"/>
        </w:rPr>
        <w:t xml:space="preserve">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涉及两个以上省、自治区、直辖市的重大食品安全事故由国务院食品安全监督管理部门依照前款规定组织事故责任调查。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第一百零七条 </w:t>
      </w:r>
      <w:r>
        <w:rPr>
          <w:rFonts w:asciiTheme="minorEastAsia" w:hAnsiTheme="minorEastAsia" w:eastAsiaTheme="minorEastAsia"/>
          <w:kern w:val="0"/>
          <w:sz w:val="24"/>
          <w:szCs w:val="24"/>
          <w:shd w:val="clear" w:color="auto" w:fill="FFFFFF"/>
        </w:rPr>
        <w:t xml:space="preserve"> 调查食品安全事故，应当坚持实事求是、尊重科学的原则，及时、准确查清事故性质和原因，认定事故责任，提出整改措施。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调查食品安全事故，除了查明事故单位的责任，还应当查明有关监督管理部门、食品检验机构、认证机构及其工作人员的责任。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第一百零八条 </w:t>
      </w:r>
      <w:r>
        <w:rPr>
          <w:rFonts w:asciiTheme="minorEastAsia" w:hAnsiTheme="minorEastAsia" w:eastAsiaTheme="minorEastAsia"/>
          <w:kern w:val="0"/>
          <w:sz w:val="24"/>
          <w:szCs w:val="24"/>
          <w:shd w:val="clear" w:color="auto" w:fill="FFFFFF"/>
        </w:rPr>
        <w:t xml:space="preserve"> 食品安全事故调查部门有权向有关单位和个人了解与事故有关的情况，并要求提供相关资料和样品。有关单位和个人应当予以配合，按照要求提供相关资料和样品，不得拒绝。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任何单位和个人不得阻挠、干涉食品安全事故的调查处理。</w:t>
      </w:r>
    </w:p>
    <w:p>
      <w:pPr>
        <w:pStyle w:val="63"/>
        <w:spacing w:before="218" w:after="218" w:line="412" w:lineRule="exact"/>
      </w:pPr>
      <w:r>
        <w:rPr>
          <w:kern w:val="0"/>
          <w:shd w:val="clear" w:color="auto" w:fill="FFFFFF"/>
        </w:rPr>
        <w:t>第八章  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第一百零九条 </w:t>
      </w:r>
      <w:r>
        <w:rPr>
          <w:rFonts w:asciiTheme="minorEastAsia" w:hAnsiTheme="minorEastAsia" w:eastAsiaTheme="minorEastAsia"/>
          <w:kern w:val="0"/>
          <w:sz w:val="24"/>
          <w:szCs w:val="24"/>
          <w:shd w:val="clear" w:color="auto" w:fill="FFFFFF"/>
        </w:rPr>
        <w:t xml:space="preserve"> 县级以上人民政府食品安全监督管理部门根据食品安全风险监测、风险评估结果和食品安全状况等，确定监督管理的重点、方式和频次，实施风险分级管理。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县级以上地方人民政府组织本级食品安全监督管理、农业行政等部门制定本行政区域的食品安全年度监督管理计划，向社会公布并组织实施。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食品安全年度监督管理计划应当将下列事项作为监督管理的重点：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（一）专供婴幼儿和其他特定人群的主辅食品；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（二）保健食品生产过程中的添加行为和按照注册或者备案的技术要求组织生产的情况，保健食品标签、说明书以及宣传材料中有关功能宣传的情况；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（三）发生食品安全事故风险较高的食品生产经营者；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（四）食品安全风险监测结果表明可能存在食品安全隐患的事项。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第一百一十条 </w:t>
      </w:r>
      <w:r>
        <w:rPr>
          <w:rFonts w:asciiTheme="minorEastAsia" w:hAnsiTheme="minorEastAsia" w:eastAsiaTheme="minorEastAsia"/>
          <w:kern w:val="0"/>
          <w:sz w:val="24"/>
          <w:szCs w:val="24"/>
          <w:shd w:val="clear" w:color="auto" w:fill="FFFFFF"/>
        </w:rPr>
        <w:t xml:space="preserve"> 县级以上人民政府食品安全监督管理部门履行食品安全监督管理职责，有权采取下列措施，对生产经营者遵守本法的情况进行监督检查：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（一）进入生产经营场所实施现场检查；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（二）对生产经营的食品、食品添加剂、食品相关产品进行抽样检验；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（三）查阅、复制有关合同、票据、账簿以及其他有关资料；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（四）查封、扣押有证据证明不符合食品安全标准或者有证据证明存在安全隐患以及用于违法生产经营的食品、食品添加剂、食品相关产品；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（五）查封违法从事生产经营活动的场所。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第一百一十一条 </w:t>
      </w:r>
      <w:r>
        <w:rPr>
          <w:rFonts w:asciiTheme="minorEastAsia" w:hAnsiTheme="minorEastAsia" w:eastAsiaTheme="minorEastAsia"/>
          <w:kern w:val="0"/>
          <w:sz w:val="24"/>
          <w:szCs w:val="24"/>
          <w:shd w:val="clear" w:color="auto" w:fill="FFFFFF"/>
        </w:rPr>
        <w:t xml:space="preserve"> 对食品安全风险评估结果证明食品存在安全隐患，需要制定、修订食品安全标准的，在制定、修订食品安全标准前，国务院卫生行政部门应当及时会同国务院有关部门规定食品中有害物质的临时限量值和临时检验方法，作为生产经营和监督管理的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第一百一十二条 </w:t>
      </w:r>
      <w:r>
        <w:rPr>
          <w:rFonts w:asciiTheme="minorEastAsia" w:hAnsiTheme="minorEastAsia" w:eastAsiaTheme="minorEastAsia"/>
          <w:kern w:val="0"/>
          <w:sz w:val="24"/>
          <w:szCs w:val="24"/>
          <w:shd w:val="clear" w:color="auto" w:fill="FFFFFF"/>
        </w:rPr>
        <w:t xml:space="preserve"> 县级以上人民政府食品安全监督管理部门在食品安全监督管理工作中可以采用国家规定的快速检测方法对食品进行抽查检测。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对抽查检测结果表明可能不符合食品安全标准的食品，应当依照本法第八十七条的规定进行检验。抽查检测结果确定有关食品不符合食品安全标准的，可以作为行政处罚的依据。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第一百一十三条 </w:t>
      </w:r>
      <w:r>
        <w:rPr>
          <w:rFonts w:asciiTheme="minorEastAsia" w:hAnsiTheme="minorEastAsia" w:eastAsiaTheme="minorEastAsia"/>
          <w:kern w:val="0"/>
          <w:sz w:val="24"/>
          <w:szCs w:val="24"/>
          <w:shd w:val="clear" w:color="auto" w:fill="FFFFFF"/>
        </w:rPr>
        <w:t xml:space="preserve"> 县级以上人民政府食品安全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第一百一十四条 </w:t>
      </w:r>
      <w:r>
        <w:rPr>
          <w:rFonts w:asciiTheme="minorEastAsia" w:hAnsiTheme="minorEastAsia" w:eastAsiaTheme="minorEastAsia"/>
          <w:kern w:val="0"/>
          <w:sz w:val="24"/>
          <w:szCs w:val="24"/>
          <w:shd w:val="clear" w:color="auto" w:fill="FFFFFF"/>
        </w:rPr>
        <w:t xml:space="preserve"> 食品生产经营过程中存在食品安全隐患，未及时采取措施消除的，县级以上人民政府食品安全监督管理部门可以对食品生产经营者的法定代表人或者主要负责人进行责任约谈。食品生产经营者应当立即采取措施，进行整改，消除隐患。责任约谈情况和整改情况应当纳入食品生产经营者食品安全信用档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第一百一十五条 </w:t>
      </w:r>
      <w:r>
        <w:rPr>
          <w:rFonts w:asciiTheme="minorEastAsia" w:hAnsiTheme="minorEastAsia" w:eastAsiaTheme="minorEastAsia"/>
          <w:kern w:val="0"/>
          <w:sz w:val="24"/>
          <w:szCs w:val="24"/>
          <w:shd w:val="clear" w:color="auto" w:fill="FFFFFF"/>
        </w:rPr>
        <w:t xml:space="preserve">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kern w:val="0"/>
          <w:sz w:val="24"/>
          <w:szCs w:val="24"/>
          <w:shd w:val="clear" w:color="auto" w:fill="FFFFFF"/>
        </w:rPr>
        <w:t>有关部门应当对举报人的信息予以保密，保护举报人的合法权益。举报人举报所在企业的，该企业不得以解除、变更劳动合同或者其他方式对举报人进行打击报复。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第一百一十六条 </w:t>
      </w:r>
      <w:r>
        <w:rPr>
          <w:rFonts w:asciiTheme="minorEastAsia" w:hAnsiTheme="minorEastAsia" w:eastAsiaTheme="minorEastAsia"/>
          <w:kern w:val="0"/>
          <w:sz w:val="24"/>
          <w:szCs w:val="24"/>
          <w:shd w:val="clear" w:color="auto" w:fill="FFFFFF"/>
        </w:rPr>
        <w:t xml:space="preserve"> 县级以上人民政府食品安全监督管理等部门应当加强对执法人员食品安全法律、法规、标准和专业知识与执法能力等的培训，并组织考核。不具备相应知识和能力的，不得从事食品安全执法工作。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生产经营者、食品行业协会、消费者协会等发现食品安全执法人员在执法过程中有违反法律、法规规定的行为以及不规范执法行为的，可以向本级或者上级人民政府食品安全监督管理等部门或者监察机关投诉、举报。接到投诉、举报的部门或者机关应当进行核实，并将经核实的情况向食品安全执法人员所在部门通报；涉嫌违法违纪的，按照本法和有关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第一百一十七条</w:t>
      </w:r>
      <w:r>
        <w:rPr>
          <w:rFonts w:asciiTheme="minorEastAsia" w:hAnsiTheme="minorEastAsia" w:eastAsiaTheme="minorEastAsia"/>
          <w:kern w:val="0"/>
          <w:sz w:val="24"/>
          <w:szCs w:val="24"/>
          <w:shd w:val="clear" w:color="auto" w:fill="FFFFFF"/>
        </w:rPr>
        <w:t xml:space="preserve">  县级以上人民政府食品安全监督管理等部门未及时发现食品安全系统性风险，未及时消除监督管理区域内的食品安全隐患的，本级人民政府可以对其主要负责人进行责任约谈。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地方人民政府未履行食品安全职责，未及时消除区域性重大食品安全隐患的，上级人民政府可以对其主要负责人进行责任约谈。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被约谈的食品安全监督管理等部门、地方人民政府应当立即采取措施，对食品安全监督管理工作进行整改。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责任约谈情况和整改情况应当纳入地方人民政府和有关部门食品安全监督管理工作评议、考核记录。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第一百一十八条</w:t>
      </w:r>
      <w:r>
        <w:rPr>
          <w:rFonts w:asciiTheme="minorEastAsia" w:hAnsiTheme="minorEastAsia" w:eastAsiaTheme="minorEastAsia"/>
          <w:kern w:val="0"/>
          <w:sz w:val="24"/>
          <w:szCs w:val="24"/>
          <w:shd w:val="clear" w:color="auto" w:fill="FFFFFF"/>
        </w:rPr>
        <w:t xml:space="preserve">  国家建立统一的食品安全信息平台，实行食品安全信息统一公布制度。国家食品安全总体情况、食品安全风险警示信息、重大食品安全事故及其调查处理信息和国务院确定需要统一公布的其他信息由国务院食品安全监督管理部门统一公布。食品安全风险警示信息和重大食品安全事故及其调查处理信息的影响限于特定区域的，也可以由有关省、自治区、直辖市人民政府食品安全监督管理部门公布。未经授权不得发布上述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县级以上人民政府食品安全监督管理、农业行政部门依据各自职责公布食品安全日常监督管理信息。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公布食品安全信息，应当做到准确、及时，并进行必要的解释说明，避免误导消费者和社会舆论。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第一百一十九条</w:t>
      </w:r>
      <w:r>
        <w:rPr>
          <w:rFonts w:asciiTheme="minorEastAsia" w:hAnsiTheme="minorEastAsia" w:eastAsiaTheme="minorEastAsia"/>
          <w:kern w:val="0"/>
          <w:sz w:val="24"/>
          <w:szCs w:val="24"/>
          <w:shd w:val="clear" w:color="auto" w:fill="FFFFFF"/>
        </w:rPr>
        <w:t xml:space="preserve">  县级以上地方人民政府食品安全监督管理、卫生行政、农业行政部门获知本法规定需要统一公布的信息，应当向上级主管部门报告，由上级主管部门立即报告国务院食品安全监督管理部门；必要时，可以直接向国务院食品安全监督管理部门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县级以上人民政府食品安全监督管理、卫生行政、农业行政部门应当相互通报获知的食品安全信息。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第一百二十条</w:t>
      </w:r>
      <w:r>
        <w:rPr>
          <w:rFonts w:asciiTheme="minorEastAsia" w:hAnsiTheme="minorEastAsia" w:eastAsiaTheme="minorEastAsia"/>
          <w:kern w:val="0"/>
          <w:sz w:val="24"/>
          <w:szCs w:val="24"/>
          <w:shd w:val="clear" w:color="auto" w:fill="FFFFFF"/>
        </w:rPr>
        <w:t xml:space="preserve">  任何单位和个人不得编造、散布虚假食品安全信息。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县级以上人民政府食品安全监督管理部门发现可能误导消费者和社会舆论的食品安全信息，应当立即组织有关部门、专业机构、相关食品生产经营者等进行核实、分析，并及时公布结果。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第一百二十一条</w:t>
      </w:r>
      <w:r>
        <w:rPr>
          <w:rFonts w:asciiTheme="minorEastAsia" w:hAnsiTheme="minorEastAsia" w:eastAsiaTheme="minorEastAsia"/>
          <w:kern w:val="0"/>
          <w:sz w:val="24"/>
          <w:szCs w:val="24"/>
          <w:shd w:val="clear" w:color="auto" w:fill="FFFFFF"/>
        </w:rPr>
        <w:t xml:space="preserve">  县级以上人民政府食品安全监督管理等部门发现涉嫌食品安全犯罪的，应当按照有关规定及时将案件移送公安机关。对移送的案件，公安机关应当及时审查；认为有犯罪事实需要追究刑事责任的，应当立案侦查。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公安机关在食品安全犯罪案件侦查过程中认为没有犯罪事实，或者犯罪事实显著轻微，不需要追究刑事责任，但依法应当追究行政责任的，应当及时将案件移送食品安全监督管理等部门和监察机关，有关部门应当依法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公安机关商请食品安全监督管理、生态环境等部门提供检验结论、认定意见以及对涉案物品进行无害化处理等协助的，有关部门应当及时提供，予以协助。</w:t>
      </w:r>
    </w:p>
    <w:p>
      <w:pPr>
        <w:pStyle w:val="63"/>
        <w:spacing w:before="218" w:after="218" w:line="412" w:lineRule="exact"/>
      </w:pPr>
      <w:r>
        <w:rPr>
          <w:kern w:val="0"/>
          <w:shd w:val="clear" w:color="auto" w:fill="FFFFFF"/>
        </w:rPr>
        <w:t>第九章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第一百二十二条</w:t>
      </w:r>
      <w:r>
        <w:rPr>
          <w:rFonts w:asciiTheme="minorEastAsia" w:hAnsiTheme="minorEastAsia" w:eastAsiaTheme="minorEastAsia"/>
          <w:kern w:val="0"/>
          <w:sz w:val="24"/>
          <w:szCs w:val="24"/>
          <w:shd w:val="clear" w:color="auto" w:fill="FFFFFF"/>
        </w:rPr>
        <w:t xml:space="preserve">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第一百二十三条</w:t>
      </w:r>
      <w:r>
        <w:rPr>
          <w:rFonts w:asciiTheme="minorEastAsia" w:hAnsiTheme="minorEastAsia" w:eastAsiaTheme="minorEastAsia"/>
          <w:kern w:val="0"/>
          <w:sz w:val="24"/>
          <w:szCs w:val="24"/>
          <w:shd w:val="clear" w:color="auto" w:fill="FFFFFF"/>
        </w:rPr>
        <w:t xml:space="preserve">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（一）用非食品原料生产食品、在食品中添加食品添加剂以外的化学物质和其他可能危害人体健康的物质，或者用回收食品作为原料生产食品，或者经营上述食品；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（二）生产经营营养成分不符合食品安全标准的专供婴幼儿和其他特定人群的主辅食品；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（三）经营病死、毒死或者死因不明的禽、畜、兽、水产动物肉类，或者生产经营其制品；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（四）经营未按规定进行检疫或者检疫不合格的肉类，或者生产经营未经检验或者检验不合格的肉类制品；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（五）生产经营国家为防病等特殊需要明令禁止生产经营的食品；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（六）生产经营添加药品的食品。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违法使用剧毒、高毒农药的，除依照有关法律、法规规定给予处罚外，可以由公安机关依照第一款规定给予拘留。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第一百二十四条</w:t>
      </w:r>
      <w:r>
        <w:rPr>
          <w:rFonts w:asciiTheme="minorEastAsia" w:hAnsiTheme="minorEastAsia" w:eastAsiaTheme="minorEastAsia"/>
          <w:kern w:val="0"/>
          <w:sz w:val="24"/>
          <w:szCs w:val="24"/>
          <w:shd w:val="clear" w:color="auto" w:fill="FFFFFF"/>
        </w:rPr>
        <w:t xml:space="preserve">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（一）生产经营致病性微生物，农药残留、兽药残留、生物毒素、重金属等污染物质以及其他危害人体健康的物质含量超过食品安全标准限量的食品、食品添加剂；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（二）用超过保质期的食品原料、食品添加剂生产食品、食品添加剂，或者经营上述食品、食品添加剂；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（三）生产经营超范围、超限量使用食品添加剂的食品；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（四）生产经营腐败变质、油脂酸败、霉变生虫、污秽不洁、混有异物、掺假掺杂或者感官性状异常的食品、食品添加剂；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（五）生产经营标注虚假生产日期、保质期或者超过保质期的食品、食品添加剂；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（六）生产经营未按规定注册的保健食品、特殊医学用途配方食品、婴幼儿配方乳粉，或者未按注册的产品配方、生产工艺等技术要求组织生产；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（七）以分装方式生产婴幼儿配方乳粉，或者同一企业以同一配方生产不同品牌的婴幼儿配方乳粉；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（八）利用新的食品原料生产食品，或者生产食品添加剂新品种，未通过安全性评估；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（九）食品生产经营者在食品安全监督管理部门责令其召回或者停止经营后，仍拒不召回或者停止经营。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除前款和本法第一百二十三条、第一百二十五条规定的情形外，生产经营不符合法律、法规或者食品安全标准的食品、食品添加剂的，依照前款规定给予处罚。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生产食品相关产品新品种，未通过安全性评估，或者生产不符合食品安全标准的食品相关产品的，由县级以上人民政府食品安全监督管理部门依照第一款规定给予处罚。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第一百二十五条</w:t>
      </w:r>
      <w:r>
        <w:rPr>
          <w:rFonts w:asciiTheme="minorEastAsia" w:hAnsiTheme="minorEastAsia" w:eastAsiaTheme="minorEastAsia"/>
          <w:kern w:val="0"/>
          <w:sz w:val="24"/>
          <w:szCs w:val="24"/>
          <w:shd w:val="clear" w:color="auto" w:fill="FFFFFF"/>
        </w:rPr>
        <w:t xml:space="preserve">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（一）生产经营被包装材料、容器、运输工具等污染的食品、食品添加剂；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（二）生产经营无标签的预包装食品、食品添加剂或者标签、说明书不符合本法规定的食品、食品添加剂；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（三）生产经营转基因食品未按规定进行标示；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（四）食品生产经营者采购或者使用不符合食品安全标准的食品原料、食品添加剂、食品相关产品。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生产经营的食品、食品添加剂的标签、说明书存在瑕疵但不影响食品安全且不会对消费者造成误导的，由县级以上人民政府食品安全监督管理部门责令改正；拒不改正的，处二千元以下罚款。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第一百二十六条</w:t>
      </w:r>
      <w:r>
        <w:rPr>
          <w:rFonts w:asciiTheme="minorEastAsia" w:hAnsiTheme="minorEastAsia" w:eastAsiaTheme="minorEastAsia"/>
          <w:kern w:val="0"/>
          <w:sz w:val="24"/>
          <w:szCs w:val="24"/>
          <w:shd w:val="clear" w:color="auto" w:fill="FFFFFF"/>
        </w:rPr>
        <w:t xml:space="preserve">  违反本法规定，有下列情形之一的，由县级以上人民政府食品安全监督管理部门责令改正，给予警告；拒不改正的，处五千元以上五万元以下罚款；情节严重的，责令停产停业，直至吊销许可证：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（一）食品、食品添加剂生产者未按规定对采购的食品原料和生产的食品、食品添加剂进行检验；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（二）食品生产经营企业未按规定建立食品安全管理制度，或者未按规定配备或者培训、考核食品安全管理人员；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（三）食品、食品添加剂生产经营者进货时未查验许可证和相关证明文件，或者未按规定建立并遵守进货查验记录、出厂检验记录和销售记录制度；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（四）食品生产经营企业未制定食品安全事故处置方案；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（五）餐具、饮具和盛放直接入口食品的容器，使用前未经洗净、消毒或者清洗消毒不合格，或者餐饮服务设施、设备未按规定定期维护、清洗、校验；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（六）食品生产经营者安排未取得健康证明或者患有国务院卫生行政部门规定的有碍食品安全疾病的人员从事接触直接入口食品的工作；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（七）食品经营者未按规定要求销售食品；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（八）保健食品生产企业未按规定向食品安全监督管理部门备案，或者未按备案的产品配方、生产工艺等技术要求组织生产；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（九）婴幼儿配方食品生产企业未将食品原料、食品添加剂、产品配方、标签等向食品安全监督管理部门备案；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（十）特殊食品生产企业未按规定建立生产质量管理体系并有效运行，或者未定期提交自查报告；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（十一）食品生产经营者未定期对食品安全状况进行检查评价，或者生产经营条件发生变化，未按规定处理；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（十二）学校、托幼机构、养老机构、建筑工地等集中用餐单位未按规定履行食品安全管理责任；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（十三）食品生产企业、餐饮服务提供者未按规定制定、实施生产经营过程控制要求。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食品相关产品生产者未按规定对生产的食品相关产品进行检验的，由县级以上人民政府食品安全监督管理部门依照第一款规定给予处罚。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食用农产品销售者违反本法第六十五条规定的，由县级以上人民政府食品安全监督管理部门依照第一款规定给予处罚。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第一百二十七条</w:t>
      </w:r>
      <w:r>
        <w:rPr>
          <w:rFonts w:asciiTheme="minorEastAsia" w:hAnsiTheme="minorEastAsia" w:eastAsiaTheme="minorEastAsia"/>
          <w:kern w:val="0"/>
          <w:sz w:val="24"/>
          <w:szCs w:val="24"/>
          <w:shd w:val="clear" w:color="auto" w:fill="FFFFFF"/>
        </w:rPr>
        <w:t xml:space="preserve">  对食品生产加工小作坊、食品摊贩等的违法行为的处罚，依照省、自治区、直辖市制定的具体管理办法执行。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第一百二十八条</w:t>
      </w:r>
      <w:r>
        <w:rPr>
          <w:rFonts w:asciiTheme="minorEastAsia" w:hAnsiTheme="minorEastAsia" w:eastAsiaTheme="minorEastAsia"/>
          <w:kern w:val="0"/>
          <w:sz w:val="24"/>
          <w:szCs w:val="24"/>
          <w:shd w:val="clear" w:color="auto" w:fill="FFFFFF"/>
        </w:rPr>
        <w:t xml:space="preserve">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第一百二十九条</w:t>
      </w:r>
      <w:r>
        <w:rPr>
          <w:rFonts w:asciiTheme="minorEastAsia" w:hAnsiTheme="minorEastAsia" w:eastAsiaTheme="minorEastAsia"/>
          <w:kern w:val="0"/>
          <w:sz w:val="24"/>
          <w:szCs w:val="24"/>
          <w:shd w:val="clear" w:color="auto" w:fill="FFFFFF"/>
        </w:rPr>
        <w:t xml:space="preserve">  违反本法规定，有下列情形之一的，由出入境检验检疫机构依照本法第一百二十四条的规定给予处罚：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（一）提供虚假材料，进口不符合我国食品安全国家标准的食品、食品添加剂、食品相关产品；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（二）进口尚无食品安全国家标准的食品，未提交所执行的标准并经国务院卫生行政部门审查，或者进口利用新的食品原料生产的食品或者进口食品添加剂新品种、食品相关产品新品种，未通过安全性评估；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（三）未遵守本法的规定出口食品；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（四）进口商在有关主管部门责令其依照本法规定召回进口的食品后，仍拒不召回。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违反本法规定，进口商未建立并遵守食品、食品添加剂进口和销售记录制度、境外出口商或者生产企业审核制度的，由出入境检验检疫机构依照本法第一百二十六条的规定给予处罚。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第一百三十条</w:t>
      </w:r>
      <w:r>
        <w:rPr>
          <w:rFonts w:asciiTheme="minorEastAsia" w:hAnsiTheme="minorEastAsia" w:eastAsiaTheme="minorEastAsia"/>
          <w:kern w:val="0"/>
          <w:sz w:val="24"/>
          <w:szCs w:val="24"/>
          <w:shd w:val="clear" w:color="auto" w:fill="FFFFFF"/>
        </w:rPr>
        <w:t xml:space="preserve">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食用农产品批发市场违反本法第六十四条规定的，依照前款规定承担责任。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第一百三十一条</w:t>
      </w:r>
      <w:r>
        <w:rPr>
          <w:rFonts w:asciiTheme="minorEastAsia" w:hAnsiTheme="minorEastAsia" w:eastAsiaTheme="minorEastAsia"/>
          <w:kern w:val="0"/>
          <w:sz w:val="24"/>
          <w:szCs w:val="24"/>
          <w:shd w:val="clear" w:color="auto" w:fill="FFFFFF"/>
        </w:rPr>
        <w:t xml:space="preserve">  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第一百三十二条</w:t>
      </w:r>
      <w:r>
        <w:rPr>
          <w:rFonts w:asciiTheme="minorEastAsia" w:hAnsiTheme="minorEastAsia" w:eastAsiaTheme="minorEastAsia"/>
          <w:kern w:val="0"/>
          <w:sz w:val="24"/>
          <w:szCs w:val="24"/>
          <w:shd w:val="clear" w:color="auto" w:fill="FFFFFF"/>
        </w:rPr>
        <w:t xml:space="preserve">  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第一百三十三条</w:t>
      </w:r>
      <w:r>
        <w:rPr>
          <w:rFonts w:asciiTheme="minorEastAsia" w:hAnsiTheme="minorEastAsia" w:eastAsiaTheme="minorEastAsia"/>
          <w:kern w:val="0"/>
          <w:sz w:val="24"/>
          <w:szCs w:val="24"/>
          <w:shd w:val="clear" w:color="auto" w:fill="FFFFFF"/>
        </w:rPr>
        <w:t xml:space="preserve">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违反本法规定，对举报人以解除、变更劳动合同或者其他方式打击报复的，应当依照有关法律的规定承担责任。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第一百三十四条</w:t>
      </w:r>
      <w:r>
        <w:rPr>
          <w:rFonts w:asciiTheme="minorEastAsia" w:hAnsiTheme="minorEastAsia" w:eastAsiaTheme="minorEastAsia"/>
          <w:kern w:val="0"/>
          <w:sz w:val="24"/>
          <w:szCs w:val="24"/>
          <w:shd w:val="clear" w:color="auto" w:fill="FFFFFF"/>
        </w:rPr>
        <w:t xml:space="preserve">  食品生产经营者在一年内累计三次因违反本法规定受到责令停产停业、吊销许可证以外处罚的，由食品安全监督管理部门责令停产停业，直至吊销许可证。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第一百三十五条</w:t>
      </w:r>
      <w:r>
        <w:rPr>
          <w:rFonts w:asciiTheme="minorEastAsia" w:hAnsiTheme="minorEastAsia" w:eastAsiaTheme="minorEastAsia"/>
          <w:kern w:val="0"/>
          <w:sz w:val="24"/>
          <w:szCs w:val="24"/>
          <w:shd w:val="clear" w:color="auto" w:fill="FFFFFF"/>
        </w:rPr>
        <w:t xml:space="preserve">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因食品安全犯罪被判处有期徒刑以上刑罚的，终身不得从事食品生产经营管理工作，也不得担任食品生产经营企业食品安全管理人员。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食品生产经营者聘用人员违反前两款规定的，由县级以上人民政府食品安全监督管理部门吊销许可证。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第一百三十六条</w:t>
      </w:r>
      <w:r>
        <w:rPr>
          <w:rFonts w:asciiTheme="minorEastAsia" w:hAnsiTheme="minorEastAsia" w:eastAsiaTheme="minorEastAsia"/>
          <w:kern w:val="0"/>
          <w:sz w:val="24"/>
          <w:szCs w:val="24"/>
          <w:shd w:val="clear" w:color="auto" w:fill="FFFFFF"/>
        </w:rPr>
        <w:t xml:space="preserve">  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第一百三十七条</w:t>
      </w:r>
      <w:r>
        <w:rPr>
          <w:rFonts w:asciiTheme="minorEastAsia" w:hAnsiTheme="minorEastAsia" w:eastAsiaTheme="minorEastAsia"/>
          <w:kern w:val="0"/>
          <w:sz w:val="24"/>
          <w:szCs w:val="24"/>
          <w:shd w:val="clear" w:color="auto" w:fill="FFFFFF"/>
        </w:rPr>
        <w:t xml:space="preserve">  违反本法规定，承担食品安全风险监测、风险评估工作的技术机构、技术人员提供虚假监测、评估信息的，依法对技术机构直接负责的主管人员和技术人员给予撤职、开除处分；有执业资格的，由授予其资格的主管部门吊销执业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第一百三十八条</w:t>
      </w:r>
      <w:r>
        <w:rPr>
          <w:rFonts w:asciiTheme="minorEastAsia" w:hAnsiTheme="minorEastAsia" w:eastAsiaTheme="minorEastAsia"/>
          <w:kern w:val="0"/>
          <w:sz w:val="24"/>
          <w:szCs w:val="24"/>
          <w:shd w:val="clear" w:color="auto" w:fill="FFFFFF"/>
        </w:rPr>
        <w:t xml:space="preserve">  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食品检验机构出具虚假检验报告，使消费者的合法权益受到损害的，应当与食品生产经营者承担连带责任。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第一百三十九条</w:t>
      </w:r>
      <w:r>
        <w:rPr>
          <w:rFonts w:asciiTheme="minorEastAsia" w:hAnsiTheme="minorEastAsia" w:eastAsiaTheme="minorEastAsia"/>
          <w:kern w:val="0"/>
          <w:sz w:val="24"/>
          <w:szCs w:val="24"/>
          <w:shd w:val="clear" w:color="auto" w:fill="FFFFFF"/>
        </w:rPr>
        <w:t xml:space="preserve">  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认证机构出具虚假认证结论，使消费者的合法权益受到损害的，应当与食品生产经营者承担连带责任。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第一百四十条</w:t>
      </w:r>
      <w:r>
        <w:rPr>
          <w:rFonts w:asciiTheme="minorEastAsia" w:hAnsiTheme="minorEastAsia" w:eastAsiaTheme="minorEastAsia"/>
          <w:kern w:val="0"/>
          <w:sz w:val="24"/>
          <w:szCs w:val="24"/>
          <w:shd w:val="clear" w:color="auto" w:fill="FFFFFF"/>
        </w:rPr>
        <w:t xml:space="preserve">  违反本法规定，在广告中对食品作虚假宣传，欺骗消费者，或者发布未取得批准文件、广告内容与批准文件不一致的保健食品广告的，依照《中华人民共和国广告法》的规定给予处罚。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广告经营者、发布者设计、制作、发布虚假食品广告，使消费者的合法权益受到损害的，应当与食品生产经营者承担连带责任。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社会团体或者其他组织、个人在虚假广告或者其他虚假宣传中向消费者推荐食品，使消费者的合法权益受到损害的，应当与食品生产经营者承担连带责任。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第一百四十一条</w:t>
      </w:r>
      <w:r>
        <w:rPr>
          <w:rFonts w:asciiTheme="minorEastAsia" w:hAnsiTheme="minorEastAsia" w:eastAsiaTheme="minorEastAsia"/>
          <w:kern w:val="0"/>
          <w:sz w:val="24"/>
          <w:szCs w:val="24"/>
          <w:shd w:val="clear" w:color="auto" w:fill="FFFFFF"/>
        </w:rPr>
        <w:t xml:space="preserve">  违反本法规定，编造、散布虚假食品安全信息，构成违反治安管理行为的，由公安机关依法给予治安管理处罚。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媒体编造、散布虚假食品安全信息的，由有关主管部门依法给予处罚，并对直接负责的主管人员和其他直接责任人员给予处分；使公民、法人或者其他组织的合法权益受到损害的，依法承担消除影响、恢复名誉、赔偿损失、赔礼道歉等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第一百四十二条</w:t>
      </w:r>
      <w:r>
        <w:rPr>
          <w:rFonts w:asciiTheme="minorEastAsia" w:hAnsiTheme="minorEastAsia" w:eastAsiaTheme="minorEastAsia"/>
          <w:kern w:val="0"/>
          <w:sz w:val="24"/>
          <w:szCs w:val="24"/>
          <w:shd w:val="clear" w:color="auto" w:fill="FFFFFF"/>
        </w:rPr>
        <w:t xml:space="preserve">  违反本法规定，县级以上地方人民政府有下列行为之一的，对直接负责的主管人员和其他直接责任人员给予记大过处分；情节较重的，给予降级或者撤职处分；情节严重的，给予开除处分；造成严重后果的，其主要负责人还应当引咎辞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（一）对发生在本行政区域内的食品安全事故，未及时组织协调有关部门开展有效处置，造成不良影响或者损失；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（二）对本行政区域内涉及多环节的区域性食品安全问题，未及时组织整治，造成不良影响或者损失；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（三）隐瞒、谎报、缓报食品安全事故；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（四）本行政区域内发生特别重大食品安全事故，或者连续发生重大食品安全事故。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第一百四十三条</w:t>
      </w:r>
      <w:r>
        <w:rPr>
          <w:rFonts w:asciiTheme="minorEastAsia" w:hAnsiTheme="minorEastAsia" w:eastAsiaTheme="minorEastAsia"/>
          <w:kern w:val="0"/>
          <w:sz w:val="24"/>
          <w:szCs w:val="24"/>
          <w:shd w:val="clear" w:color="auto" w:fill="FFFFFF"/>
        </w:rPr>
        <w:t xml:space="preserve">  违反本法规定，县级以上地方人民政府有下列行为之一的，对直接负责的主管人员和其他直接责任人员给予警告、记过或者记大过处分；造成严重后果的，给予降级或者撤职处分: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（一）未确定有关部门的食品安全监督管理职责，未建立健全食品安全全程监督管理工作机制和信息共享机制，未落实食品安全监督管理责任制；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（二）未制定本行政区域的食品安全事故应急预案，或者发生食品安全事故后未按规定立即成立事故处置指挥机构、启动应急预案。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第一百四十四条</w:t>
      </w:r>
      <w:r>
        <w:rPr>
          <w:rFonts w:asciiTheme="minorEastAsia" w:hAnsiTheme="minorEastAsia" w:eastAsiaTheme="minorEastAsia"/>
          <w:kern w:val="0"/>
          <w:sz w:val="24"/>
          <w:szCs w:val="24"/>
          <w:shd w:val="clear" w:color="auto" w:fill="FFFFFF"/>
        </w:rPr>
        <w:t xml:space="preserve">  违反本法规定，县级以上人民政府食品安全监督管理、卫生行政、农业行政等部门有下列行为之一的，对直接负责的主管人员和其他直接责任人员给予记大过处分；情节较重的，给予降级或者撤职处分；情节严重的，给予开除处分；造成严重后果的，其主要负责人还应当引咎辞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（一）隐瞒、谎报、缓报食品安全事故；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（二）未按规定查处食品安全事故，或者接到食品安全事故报告未及时处理，造成事故扩大或者蔓延；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（三）经食品安全风险评估得出食品、食品添加剂、食品相关产品不安全结论后，未及时采取相应措施，造成食品安全事故或者不良社会影响；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（四）对不符合条件的申请人准予许可，或者超越法定职权准予许可；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（五）不履行食品安全监督管理职责，导致发生食品安全事故。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第一百四十五条</w:t>
      </w:r>
      <w:r>
        <w:rPr>
          <w:rFonts w:asciiTheme="minorEastAsia" w:hAnsiTheme="minorEastAsia" w:eastAsiaTheme="minorEastAsia"/>
          <w:kern w:val="0"/>
          <w:sz w:val="24"/>
          <w:szCs w:val="24"/>
          <w:shd w:val="clear" w:color="auto" w:fill="FFFFFF"/>
        </w:rPr>
        <w:t xml:space="preserve">  违反本法规定，县级以上人民政府食品安全监督管理、卫生行政、农业行政等部门有下列行为之一，造成不良后果的，对直接负责的主管人员和其他直接责任人员给予警告、记过或者记大过处分；情节较重的，给予降级或者撤职处分；情节严重的，给予开除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（一）在获知有关食品安全信息后，未按规定向上级主管部门和本级人民政府报告，或者未按规定相互通报；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（二）未按规定公布食品安全信息；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（三）不履行法定职责，对查处食品安全违法行为不配合，或者滥用职权、玩忽职守、徇私舞弊。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第一百四十六条</w:t>
      </w:r>
      <w:r>
        <w:rPr>
          <w:rFonts w:asciiTheme="minorEastAsia" w:hAnsiTheme="minorEastAsia" w:eastAsiaTheme="minorEastAsia"/>
          <w:kern w:val="0"/>
          <w:sz w:val="24"/>
          <w:szCs w:val="24"/>
          <w:shd w:val="clear" w:color="auto" w:fill="FFFFFF"/>
        </w:rPr>
        <w:t xml:space="preserve">  食品安全监督管理等部门在履行食品安全监督管理职责过程中，违法实施检查、强制等执法措施，给生产经营者造成损失的，应当依法予以赔偿，对直接负责的主管人员和其他直接责任人员依法给予处分。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第一百四十七条</w:t>
      </w:r>
      <w:r>
        <w:rPr>
          <w:rFonts w:asciiTheme="minorEastAsia" w:hAnsiTheme="minorEastAsia" w:eastAsiaTheme="minorEastAsia"/>
          <w:kern w:val="0"/>
          <w:sz w:val="24"/>
          <w:szCs w:val="24"/>
          <w:shd w:val="clear" w:color="auto" w:fill="FFFFFF"/>
        </w:rPr>
        <w:t xml:space="preserve">  违反本法规定，造成人身、财产或者其他损害的，依法承担赔偿责任。生产经营者财产不足以同时承担民事赔偿责任和缴纳罚款、罚金时，先承担民事赔偿责任。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第一百四十八条</w:t>
      </w:r>
      <w:r>
        <w:rPr>
          <w:rFonts w:asciiTheme="minorEastAsia" w:hAnsiTheme="minorEastAsia" w:eastAsiaTheme="minorEastAsia"/>
          <w:kern w:val="0"/>
          <w:sz w:val="24"/>
          <w:szCs w:val="24"/>
          <w:shd w:val="clear" w:color="auto" w:fill="FFFFFF"/>
        </w:rPr>
        <w:t xml:space="preserve">  消费者因不符合食品安全标准的食品受到损害的，可以向经营者要求赔偿损失，也可以向生产者要求赔偿损失。接到消费者赔偿要求的生产经营者，应当实行首负责任制，先行赔付，不得推诿；属于生产者责任的，经营者赔偿后有权向生产者追偿；属于经营者责任的，生产者赔偿后有权向经营者追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生产不符合食品安全标准的食品或者经营明知是不符合食品安全标准的食品，消费者除要求赔偿损失外，还可以向生产者或者经营者要求支付价款十倍或者损失三倍的赔偿金；增加赔偿的金额不足一千元的，为一千元。但是，食品的标签、说明书存在不影响食品安全且不会对消费者造成误导的瑕疵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第一百四十九条</w:t>
      </w:r>
      <w:r>
        <w:rPr>
          <w:rFonts w:asciiTheme="minorEastAsia" w:hAnsiTheme="minorEastAsia" w:eastAsiaTheme="minorEastAsia"/>
          <w:kern w:val="0"/>
          <w:sz w:val="24"/>
          <w:szCs w:val="24"/>
          <w:shd w:val="clear" w:color="auto" w:fill="FFFFFF"/>
        </w:rPr>
        <w:t xml:space="preserve">  违反本法规定，构成犯罪的，依法追究刑事责任。</w:t>
      </w:r>
    </w:p>
    <w:p>
      <w:pPr>
        <w:pStyle w:val="63"/>
        <w:spacing w:before="218" w:after="218" w:line="412" w:lineRule="exact"/>
      </w:pPr>
      <w:r>
        <w:rPr>
          <w:kern w:val="0"/>
          <w:shd w:val="clear" w:color="auto" w:fill="FFFFFF"/>
        </w:rPr>
        <w:t>第十章  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第一百五十条</w:t>
      </w:r>
      <w:r>
        <w:rPr>
          <w:rFonts w:asciiTheme="minorEastAsia" w:hAnsiTheme="minorEastAsia" w:eastAsiaTheme="minorEastAsia"/>
          <w:kern w:val="0"/>
          <w:sz w:val="24"/>
          <w:szCs w:val="24"/>
          <w:shd w:val="clear" w:color="auto" w:fill="FFFFFF"/>
        </w:rPr>
        <w:t xml:space="preserve">  本法下列用语的含义：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食品，指各种供人食用或者饮用的成品和原料以及按照传统既是食品又是中药材的物品，但是不包括以治疗为目的的物品。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食品安全，指食品无毒、无害，符合应当有的营养要求，对人体健康不造成任何急性、亚急性或者慢性危害。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预包装食品，指预先定量包装或者制作在包装材料、容器中的食品。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食品添加剂，指为改善食品品质和色、香、味以及为防腐、保鲜和加工工艺的需要而加入食品中的人工合成或者天然物质，包括营养强化剂。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用于食品的包装材料和容器，指包装、盛放食品或者食品添加剂用的纸、竹、木、金属、搪瓷、陶瓷、塑料、橡胶、天然纤维、化学纤维、玻璃等制品和直接接触食品或者食品添加剂的涂料。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用于食品生产经营的工具、设备，指在食品或者食品添加剂生产、销售、使用过程中直接接触食品或者食品添加剂的机械、管道、传送带、容器、用具、餐具等。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用于食品的洗涤剂、消毒剂，指直接用于洗涤或者消毒食品、餐具、饮具以及直接接触食品的工具、设备或者食品包装材料和容器的物质。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食品保质期，指食品在标明的贮存条件下保持品质的期限。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食源性疾病，指食品中致病因素进入人体引起的感染性、中毒性等疾病，包括食物中毒。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食品安全事故，指食源性疾病、食品污染等源于食品，对人体健康有危害或者可能有危害的事故。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第一百五十一条</w:t>
      </w:r>
      <w:r>
        <w:rPr>
          <w:rFonts w:asciiTheme="minorEastAsia" w:hAnsiTheme="minorEastAsia" w:eastAsiaTheme="minorEastAsia"/>
          <w:kern w:val="0"/>
          <w:sz w:val="24"/>
          <w:szCs w:val="24"/>
          <w:shd w:val="clear" w:color="auto" w:fill="FFFFFF"/>
        </w:rPr>
        <w:t xml:space="preserve">  转基因食品和食盐的食品安全管理，本法未作规定的，适用其他法律、行政法规的规定。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第一百五十二条</w:t>
      </w:r>
      <w:r>
        <w:rPr>
          <w:rFonts w:asciiTheme="minorEastAsia" w:hAnsiTheme="minorEastAsia" w:eastAsiaTheme="minorEastAsia"/>
          <w:kern w:val="0"/>
          <w:sz w:val="24"/>
          <w:szCs w:val="24"/>
          <w:shd w:val="clear" w:color="auto" w:fill="FFFFFF"/>
        </w:rPr>
        <w:t xml:space="preserve">  铁路、民航运营中食品安全的管理办法由国务院食品安全监督管理部门会同国务院有关部门依照本法制定。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保健食品的具体管理办法由国务院食品安全监督管理部门依照本法制定。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食品相关产品生产活动的具体管理办法由国务院食品安全监督管理部门依照本法制定。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国境口岸食品的监督管理由出入境检验检疫机构依照本法以及有关法律、行政法规的规定实施。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kern w:val="0"/>
          <w:sz w:val="24"/>
          <w:szCs w:val="24"/>
          <w:shd w:val="clear" w:color="auto" w:fill="FFFFFF"/>
        </w:rPr>
        <w:t>军队专用食品和自供食品的食品安全管理办法由中央军事委员会依照本法制定。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shd w:val="clear" w:color="auto" w:fill="FFFFFF"/>
        </w:rPr>
        <w:t>第一百五十三条</w:t>
      </w:r>
      <w:r>
        <w:rPr>
          <w:rFonts w:asciiTheme="minorEastAsia" w:hAnsiTheme="minorEastAsia" w:eastAsiaTheme="minorEastAsia"/>
          <w:kern w:val="0"/>
          <w:sz w:val="24"/>
          <w:szCs w:val="24"/>
          <w:shd w:val="clear" w:color="auto" w:fill="FFFFFF"/>
        </w:rPr>
        <w:t xml:space="preserve">  国务院根据实际需要，可以对食品安全监督管理体制作出调整。</w:t>
      </w:r>
    </w:p>
    <w:p>
      <w:pPr>
        <w:pStyle w:val="3"/>
        <w:topLinePunct/>
        <w:spacing w:line="412" w:lineRule="exact"/>
        <w:ind w:firstLine="482"/>
        <w:rPr>
          <w:rFonts w:asciiTheme="minorEastAsia" w:hAnsiTheme="minorEastAsia" w:eastAsiaTheme="minorEastAsia"/>
          <w:kern w:val="0"/>
          <w:sz w:val="24"/>
          <w:szCs w:val="24"/>
          <w:shd w:val="clear" w:color="auto" w:fill="FFFFFF"/>
        </w:rPr>
      </w:pPr>
      <w:r>
        <w:rPr>
          <w:rFonts w:asciiTheme="minorEastAsia" w:hAnsiTheme="minorEastAsia" w:eastAsiaTheme="minorEastAsia"/>
          <w:b/>
          <w:kern w:val="0"/>
          <w:sz w:val="24"/>
          <w:szCs w:val="24"/>
          <w:shd w:val="clear" w:color="auto" w:fill="FFFFFF"/>
        </w:rPr>
        <w:t>第一百五十四条</w:t>
      </w:r>
      <w:r>
        <w:rPr>
          <w:rFonts w:asciiTheme="minorEastAsia" w:hAnsiTheme="minorEastAsia" w:eastAsiaTheme="minorEastAsia"/>
          <w:kern w:val="0"/>
          <w:sz w:val="24"/>
          <w:szCs w:val="24"/>
          <w:shd w:val="clear" w:color="auto" w:fill="FFFFFF"/>
        </w:rPr>
        <w:t xml:space="preserve">  本法自2015年10月1日起施行。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473" w:name="_Toc332804948"/>
      <w:bookmarkStart w:id="474" w:name="_Toc18916293"/>
      <w:bookmarkStart w:id="475" w:name="_Toc15494"/>
      <w:bookmarkStart w:id="476" w:name="_Toc466579815"/>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477" w:name="_Toc25648198"/>
      <w:bookmarkStart w:id="478" w:name="_Toc26347957"/>
      <w:bookmarkStart w:id="479" w:name="_Toc28250907"/>
      <w:bookmarkStart w:id="480" w:name="_Toc25653693"/>
      <w:bookmarkStart w:id="481" w:name="_Toc28156979"/>
      <w:bookmarkStart w:id="482" w:name="_Toc28252180"/>
      <w:r>
        <w:t>中华人民共和国食品安全法实施条例</w:t>
      </w:r>
      <w:bookmarkEnd w:id="473"/>
      <w:bookmarkEnd w:id="474"/>
      <w:bookmarkEnd w:id="475"/>
      <w:bookmarkEnd w:id="476"/>
      <w:bookmarkEnd w:id="477"/>
      <w:bookmarkEnd w:id="478"/>
      <w:bookmarkEnd w:id="479"/>
      <w:bookmarkEnd w:id="480"/>
      <w:bookmarkEnd w:id="481"/>
      <w:bookmarkEnd w:id="482"/>
    </w:p>
    <w:p>
      <w:pPr>
        <w:pStyle w:val="62"/>
      </w:pPr>
      <w:r>
        <w:rPr>
          <w:rFonts w:hint="eastAsia"/>
        </w:rPr>
        <w:t>（2009年7月20日中华人民共和国国务院令第557号公布，根据2016年2月6日《国务院关于修改部分行政法规的决定》修订，2019年3月26日国务院第42次常务会议修订通过）</w:t>
      </w:r>
    </w:p>
    <w:p>
      <w:pPr>
        <w:pStyle w:val="63"/>
        <w:spacing w:before="218" w:after="218" w:line="412" w:lineRule="exact"/>
      </w:pPr>
      <w:r>
        <w:rPr>
          <w:rFonts w:hint="eastAsia"/>
        </w:rPr>
        <w:t>第一章  总  则</w:t>
      </w:r>
    </w:p>
    <w:p>
      <w:pPr>
        <w:pStyle w:val="3"/>
        <w:topLinePunct/>
        <w:spacing w:line="412" w:lineRule="exact"/>
        <w:ind w:firstLine="482"/>
        <w:rPr>
          <w:sz w:val="24"/>
          <w:szCs w:val="24"/>
        </w:rPr>
      </w:pPr>
      <w:r>
        <w:rPr>
          <w:rFonts w:hint="eastAsia"/>
          <w:b/>
          <w:sz w:val="24"/>
          <w:szCs w:val="24"/>
        </w:rPr>
        <w:t>第一条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根据《中华人民共和国食品安全法》（以下简称食品安全法），制定本条例。</w:t>
      </w:r>
    </w:p>
    <w:p>
      <w:pPr>
        <w:pStyle w:val="3"/>
        <w:topLinePunct/>
        <w:spacing w:line="412" w:lineRule="exact"/>
        <w:ind w:firstLine="482"/>
        <w:rPr>
          <w:sz w:val="24"/>
          <w:szCs w:val="24"/>
        </w:rPr>
      </w:pPr>
      <w:r>
        <w:rPr>
          <w:rFonts w:hint="eastAsia"/>
          <w:b/>
          <w:sz w:val="24"/>
          <w:szCs w:val="24"/>
        </w:rPr>
        <w:t>第二条</w:t>
      </w:r>
      <w:r>
        <w:rPr>
          <w:rFonts w:hint="eastAsia" w:asciiTheme="minorEastAsia" w:hAnsiTheme="minorEastAsia" w:eastAsiaTheme="minorEastAsia"/>
          <w:b/>
          <w:sz w:val="24"/>
          <w:szCs w:val="24"/>
        </w:rPr>
        <w:t xml:space="preserve">  </w:t>
      </w:r>
      <w:r>
        <w:rPr>
          <w:rFonts w:hint="eastAsia"/>
          <w:sz w:val="24"/>
          <w:szCs w:val="24"/>
        </w:rPr>
        <w:t>食品生产经营者应当依照法律、法规和食品安全标准从事生产经营活动，建立健全食品安全管理制度，采取有效措施预防和控制食品安全风险，保证食品安全。</w:t>
      </w:r>
    </w:p>
    <w:p>
      <w:pPr>
        <w:pStyle w:val="3"/>
        <w:topLinePunct/>
        <w:spacing w:line="412" w:lineRule="exact"/>
        <w:ind w:firstLine="482"/>
        <w:rPr>
          <w:sz w:val="24"/>
          <w:szCs w:val="24"/>
        </w:rPr>
      </w:pPr>
      <w:r>
        <w:rPr>
          <w:rFonts w:hint="eastAsia"/>
          <w:b/>
          <w:sz w:val="24"/>
          <w:szCs w:val="24"/>
        </w:rPr>
        <w:t>第三条</w:t>
      </w:r>
      <w:r>
        <w:rPr>
          <w:rFonts w:hint="eastAsia" w:asciiTheme="minorEastAsia" w:hAnsiTheme="minorEastAsia" w:eastAsiaTheme="minorEastAsia"/>
          <w:sz w:val="24"/>
          <w:szCs w:val="24"/>
        </w:rPr>
        <w:t xml:space="preserve">  </w:t>
      </w:r>
      <w:r>
        <w:rPr>
          <w:rFonts w:hint="eastAsia"/>
          <w:sz w:val="24"/>
          <w:szCs w:val="24"/>
        </w:rPr>
        <w:t>国务院食品安全委员会负责分析食品安全形势，研究部署、统筹指导食品安全工作，提出食品安全监督管理的重大政策措施，督促落实食品安全监督管理责任。县级以上地方人民政府食品安全委员会按照本级人民政府规定的职责开展工作。</w:t>
      </w:r>
    </w:p>
    <w:p>
      <w:pPr>
        <w:pStyle w:val="3"/>
        <w:topLinePunct/>
        <w:spacing w:line="412" w:lineRule="exact"/>
        <w:ind w:firstLine="482"/>
        <w:rPr>
          <w:sz w:val="24"/>
          <w:szCs w:val="24"/>
        </w:rPr>
      </w:pPr>
      <w:r>
        <w:rPr>
          <w:rFonts w:hint="eastAsia"/>
          <w:b/>
          <w:sz w:val="24"/>
          <w:szCs w:val="24"/>
        </w:rPr>
        <w:t>第四条</w:t>
      </w:r>
      <w:r>
        <w:rPr>
          <w:rFonts w:hint="eastAsia" w:asciiTheme="minorEastAsia" w:hAnsiTheme="minorEastAsia" w:eastAsiaTheme="minorEastAsia"/>
          <w:sz w:val="24"/>
          <w:szCs w:val="24"/>
        </w:rPr>
        <w:t xml:space="preserve">  </w:t>
      </w:r>
      <w:r>
        <w:rPr>
          <w:rFonts w:hint="eastAsia"/>
          <w:sz w:val="24"/>
          <w:szCs w:val="24"/>
        </w:rPr>
        <w:t>县级以上人民政府建立统一权威的食品安全监督管理体制，加强食品安全监督管理能力建设。</w:t>
      </w:r>
    </w:p>
    <w:p>
      <w:pPr>
        <w:pStyle w:val="3"/>
        <w:topLinePunct/>
        <w:spacing w:line="412" w:lineRule="exact"/>
        <w:ind w:firstLine="480"/>
        <w:rPr>
          <w:sz w:val="24"/>
          <w:szCs w:val="24"/>
        </w:rPr>
      </w:pPr>
      <w:r>
        <w:rPr>
          <w:rFonts w:hint="eastAsia"/>
          <w:sz w:val="24"/>
          <w:szCs w:val="24"/>
        </w:rPr>
        <w:t>县级以上人民政府食品安全监督管理部门和其他有关部门应当依法履行职责，加强协调配合，做好食品安全监督管理工作。</w:t>
      </w:r>
    </w:p>
    <w:p>
      <w:pPr>
        <w:pStyle w:val="3"/>
        <w:topLinePunct/>
        <w:spacing w:line="412" w:lineRule="exact"/>
        <w:ind w:firstLine="480"/>
        <w:rPr>
          <w:sz w:val="24"/>
          <w:szCs w:val="24"/>
        </w:rPr>
      </w:pPr>
      <w:r>
        <w:rPr>
          <w:rFonts w:hint="eastAsia"/>
          <w:sz w:val="24"/>
          <w:szCs w:val="24"/>
        </w:rPr>
        <w:t>乡镇人民政府和街道办事处应当支持、协助县级人民政府食品安全监督管理部门及其派出机构依法开展食品安全监督管理工作。</w:t>
      </w:r>
    </w:p>
    <w:p>
      <w:pPr>
        <w:pStyle w:val="3"/>
        <w:topLinePunct/>
        <w:spacing w:line="412" w:lineRule="exact"/>
        <w:ind w:firstLine="482"/>
        <w:rPr>
          <w:sz w:val="24"/>
          <w:szCs w:val="24"/>
        </w:rPr>
      </w:pPr>
      <w:r>
        <w:rPr>
          <w:rFonts w:hint="eastAsia"/>
          <w:b/>
          <w:sz w:val="24"/>
          <w:szCs w:val="24"/>
        </w:rPr>
        <w:t>第五条</w:t>
      </w:r>
      <w:r>
        <w:rPr>
          <w:rFonts w:hint="eastAsia" w:asciiTheme="minorEastAsia" w:hAnsiTheme="minorEastAsia" w:eastAsiaTheme="minorEastAsia"/>
          <w:b/>
          <w:sz w:val="24"/>
          <w:szCs w:val="24"/>
        </w:rPr>
        <w:t xml:space="preserve">  </w:t>
      </w:r>
      <w:r>
        <w:rPr>
          <w:rFonts w:hint="eastAsia"/>
          <w:sz w:val="24"/>
          <w:szCs w:val="24"/>
        </w:rPr>
        <w:t>国家将食品安全知识纳入国民素质教育内容，普及食品安全科学常识和法律知识，提高全社会的食品安全意识。</w:t>
      </w:r>
    </w:p>
    <w:p>
      <w:pPr>
        <w:pStyle w:val="63"/>
        <w:spacing w:before="218" w:after="218" w:line="412" w:lineRule="exact"/>
      </w:pPr>
      <w:r>
        <w:rPr>
          <w:rFonts w:hint="eastAsia"/>
        </w:rPr>
        <w:t>第二章  食品安全风险监测和评估</w:t>
      </w:r>
    </w:p>
    <w:p>
      <w:pPr>
        <w:pStyle w:val="3"/>
        <w:topLinePunct/>
        <w:spacing w:line="412" w:lineRule="exact"/>
        <w:ind w:firstLine="482"/>
        <w:rPr>
          <w:sz w:val="24"/>
          <w:szCs w:val="24"/>
        </w:rPr>
      </w:pPr>
      <w:r>
        <w:rPr>
          <w:rFonts w:hint="eastAsia"/>
          <w:b/>
          <w:sz w:val="24"/>
          <w:szCs w:val="24"/>
        </w:rPr>
        <w:t>第六条</w:t>
      </w:r>
      <w:r>
        <w:rPr>
          <w:rFonts w:hint="eastAsia" w:asciiTheme="minorEastAsia" w:hAnsiTheme="minorEastAsia" w:eastAsiaTheme="minorEastAsia"/>
          <w:sz w:val="24"/>
          <w:szCs w:val="24"/>
        </w:rPr>
        <w:t xml:space="preserve">  </w:t>
      </w:r>
      <w:r>
        <w:rPr>
          <w:rFonts w:hint="eastAsia"/>
          <w:sz w:val="24"/>
          <w:szCs w:val="24"/>
        </w:rPr>
        <w:t>县级以上人民政府卫生行政部门会同同级食品安全监督管理等部门建立食品安全风险监测会商机制，汇总、分析风险监测数据，研判食品安全风险，形成食品安全风险监测分析报告，报本级人民政府；县级以上地方人民政府卫生行政部门还应当将食品安全风险监测分析报告同时报上一级人民政府卫生行政部门。食品安全风险监测会商的具体办法由国务院卫生行政部门会同国务院食品安全监督管理等部门制定。</w:t>
      </w:r>
    </w:p>
    <w:p>
      <w:pPr>
        <w:pStyle w:val="3"/>
        <w:topLinePunct/>
        <w:spacing w:line="412" w:lineRule="exact"/>
        <w:ind w:firstLine="482"/>
        <w:rPr>
          <w:sz w:val="24"/>
          <w:szCs w:val="24"/>
        </w:rPr>
      </w:pPr>
      <w:r>
        <w:rPr>
          <w:rFonts w:hint="eastAsia"/>
          <w:b/>
          <w:sz w:val="24"/>
          <w:szCs w:val="24"/>
        </w:rPr>
        <w:t>第七条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食品安全风险监测结果表明存在食品安全隐患，食品安全监督管理等部门经进一步调查确认有必要通知相关食品生产经营者的，应当及时通知。</w:t>
      </w:r>
    </w:p>
    <w:p>
      <w:pPr>
        <w:pStyle w:val="3"/>
        <w:topLinePunct/>
        <w:spacing w:line="412" w:lineRule="exact"/>
        <w:ind w:firstLine="480"/>
        <w:rPr>
          <w:sz w:val="24"/>
          <w:szCs w:val="24"/>
        </w:rPr>
      </w:pPr>
      <w:r>
        <w:rPr>
          <w:rFonts w:hint="eastAsia"/>
          <w:sz w:val="24"/>
          <w:szCs w:val="24"/>
        </w:rPr>
        <w:t>接到通知的食品生产经营者应当立即进行自查，发现食品不符合食品安全标准或者有证据证明可能危害人体健康的，应当依照食品安全法第六十三条的规定停止生产、经营，实施食品召回，并报告相关情况。</w:t>
      </w:r>
    </w:p>
    <w:p>
      <w:pPr>
        <w:pStyle w:val="3"/>
        <w:topLinePunct/>
        <w:spacing w:line="412" w:lineRule="exact"/>
        <w:ind w:firstLine="482"/>
        <w:rPr>
          <w:sz w:val="24"/>
          <w:szCs w:val="24"/>
        </w:rPr>
      </w:pPr>
      <w:r>
        <w:rPr>
          <w:rFonts w:hint="eastAsia"/>
          <w:b/>
          <w:sz w:val="24"/>
          <w:szCs w:val="24"/>
        </w:rPr>
        <w:t>第八条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务院卫生行政、食品安全监督管理等部门发现需要对农药、肥料、兽药、饲料和饲料添加剂等进行安全性评估的，应当向国务院农业行政部门提出安全性评估建议。国务院农业行政部门应当及时组织评估，并向国务院有关部门通报评估结果。</w:t>
      </w:r>
    </w:p>
    <w:p>
      <w:pPr>
        <w:pStyle w:val="3"/>
        <w:topLinePunct/>
        <w:spacing w:line="412" w:lineRule="exact"/>
        <w:ind w:firstLine="482"/>
        <w:rPr>
          <w:sz w:val="24"/>
          <w:szCs w:val="24"/>
        </w:rPr>
      </w:pPr>
      <w:r>
        <w:rPr>
          <w:rFonts w:hint="eastAsia"/>
          <w:b/>
          <w:sz w:val="24"/>
          <w:szCs w:val="24"/>
        </w:rPr>
        <w:t>第九条</w:t>
      </w:r>
      <w:r>
        <w:rPr>
          <w:rFonts w:hint="eastAsia" w:asciiTheme="minorEastAsia" w:hAnsiTheme="minorEastAsia" w:eastAsiaTheme="minorEastAsia"/>
          <w:b/>
          <w:sz w:val="24"/>
          <w:szCs w:val="24"/>
        </w:rPr>
        <w:t xml:space="preserve">  </w:t>
      </w:r>
      <w:r>
        <w:rPr>
          <w:rFonts w:hint="eastAsia"/>
          <w:sz w:val="24"/>
          <w:szCs w:val="24"/>
        </w:rPr>
        <w:t>国务院食品安全监督管理部门和其他有关部门建立食品安全风险信息交流机制，明确食品安全风险信息交流的内容、程序和要求。</w:t>
      </w:r>
    </w:p>
    <w:p>
      <w:pPr>
        <w:pStyle w:val="63"/>
        <w:spacing w:before="218" w:after="218" w:line="412" w:lineRule="exact"/>
      </w:pPr>
      <w:r>
        <w:rPr>
          <w:rFonts w:hint="eastAsia"/>
        </w:rPr>
        <w:t>第三章  食品安全标准</w:t>
      </w:r>
    </w:p>
    <w:p>
      <w:pPr>
        <w:pStyle w:val="3"/>
        <w:topLinePunct/>
        <w:spacing w:line="412" w:lineRule="exact"/>
        <w:ind w:firstLine="482"/>
        <w:rPr>
          <w:sz w:val="24"/>
          <w:szCs w:val="24"/>
        </w:rPr>
      </w:pPr>
      <w:r>
        <w:rPr>
          <w:rFonts w:hint="eastAsia"/>
          <w:b/>
          <w:sz w:val="24"/>
          <w:szCs w:val="24"/>
        </w:rPr>
        <w:t>第十条</w:t>
      </w:r>
      <w:r>
        <w:rPr>
          <w:rFonts w:hint="eastAsia" w:asciiTheme="minorEastAsia" w:hAnsiTheme="minorEastAsia" w:eastAsiaTheme="minorEastAsia"/>
          <w:sz w:val="24"/>
          <w:szCs w:val="24"/>
        </w:rPr>
        <w:t xml:space="preserve">  </w:t>
      </w:r>
      <w:r>
        <w:rPr>
          <w:rFonts w:hint="eastAsia"/>
          <w:sz w:val="24"/>
          <w:szCs w:val="24"/>
        </w:rPr>
        <w:t>国务院卫生行政部门会同国务院食品安全监督管理、农业行政等部门制定食品安全国家标准规划及其年度实施计划。国务院卫生行政部门应当在其网站上公布食品安全国家标准规划及其年度实施计划的草案，公开征求意见。</w:t>
      </w:r>
    </w:p>
    <w:p>
      <w:pPr>
        <w:pStyle w:val="3"/>
        <w:topLinePunct/>
        <w:spacing w:line="412" w:lineRule="exact"/>
        <w:ind w:firstLine="482"/>
        <w:rPr>
          <w:sz w:val="24"/>
          <w:szCs w:val="24"/>
        </w:rPr>
      </w:pPr>
      <w:r>
        <w:rPr>
          <w:rFonts w:hint="eastAsia"/>
          <w:b/>
          <w:sz w:val="24"/>
          <w:szCs w:val="24"/>
        </w:rPr>
        <w:t>第十一条</w:t>
      </w:r>
      <w:r>
        <w:rPr>
          <w:rFonts w:hint="eastAsia" w:asciiTheme="minorEastAsia" w:hAnsiTheme="minorEastAsia" w:eastAsiaTheme="minorEastAsia"/>
          <w:b/>
          <w:sz w:val="24"/>
          <w:szCs w:val="24"/>
        </w:rPr>
        <w:t xml:space="preserve">  </w:t>
      </w:r>
      <w:r>
        <w:rPr>
          <w:rFonts w:hint="eastAsia"/>
          <w:sz w:val="24"/>
          <w:szCs w:val="24"/>
        </w:rPr>
        <w:t>省、自治区、直辖市人民政府卫生行政部门依照食品安全法第二十九条的规定制定食品安全地方标准，应当公开征求意见。省、自治区、直辖市人民政府卫生行政部门应当自食品安全地方标准公布之日起30个工作日内，将地方标准报国务院卫生行政部门备案。国务院卫生行政部门发现备案的食品安全地方标准违反法律、法规或者食品安全国家标准的，应当及时予以纠正。</w:t>
      </w:r>
    </w:p>
    <w:p>
      <w:pPr>
        <w:pStyle w:val="3"/>
        <w:topLinePunct/>
        <w:spacing w:line="412" w:lineRule="exact"/>
        <w:ind w:firstLine="480"/>
        <w:rPr>
          <w:sz w:val="24"/>
          <w:szCs w:val="24"/>
        </w:rPr>
      </w:pPr>
      <w:r>
        <w:rPr>
          <w:rFonts w:hint="eastAsia"/>
          <w:sz w:val="24"/>
          <w:szCs w:val="24"/>
        </w:rPr>
        <w:t>食品安全地方标准依法废止的，省、自治区、直辖市人民政府卫生行政部门应当及时在其网站上公布废止情况。</w:t>
      </w:r>
    </w:p>
    <w:p>
      <w:pPr>
        <w:pStyle w:val="3"/>
        <w:topLinePunct/>
        <w:spacing w:line="412" w:lineRule="exact"/>
        <w:ind w:firstLine="482"/>
        <w:rPr>
          <w:sz w:val="24"/>
          <w:szCs w:val="24"/>
        </w:rPr>
      </w:pPr>
      <w:r>
        <w:rPr>
          <w:rFonts w:hint="eastAsia"/>
          <w:b/>
          <w:sz w:val="24"/>
          <w:szCs w:val="24"/>
        </w:rPr>
        <w:t>第十二条</w:t>
      </w:r>
      <w:r>
        <w:rPr>
          <w:rFonts w:hint="eastAsia" w:asciiTheme="minorEastAsia" w:hAnsiTheme="minorEastAsia" w:eastAsiaTheme="minorEastAsia"/>
          <w:sz w:val="24"/>
          <w:szCs w:val="24"/>
        </w:rPr>
        <w:t xml:space="preserve">  </w:t>
      </w:r>
      <w:r>
        <w:rPr>
          <w:rFonts w:hint="eastAsia"/>
          <w:sz w:val="24"/>
          <w:szCs w:val="24"/>
        </w:rPr>
        <w:t>保健食品、特殊医学用途配方食品、婴幼儿配方食品等特殊食品不属于地方特色食品，不得对其制定食品安全地方标准。</w:t>
      </w:r>
    </w:p>
    <w:p>
      <w:pPr>
        <w:pStyle w:val="3"/>
        <w:topLinePunct/>
        <w:spacing w:line="412" w:lineRule="exact"/>
        <w:ind w:firstLine="482"/>
        <w:rPr>
          <w:sz w:val="24"/>
          <w:szCs w:val="24"/>
        </w:rPr>
      </w:pPr>
      <w:r>
        <w:rPr>
          <w:rFonts w:hint="eastAsia"/>
          <w:b/>
          <w:sz w:val="24"/>
          <w:szCs w:val="24"/>
        </w:rPr>
        <w:t>第十三条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食品安全标准公布后，食品生产经营者可以在食品安全标准规定的实施日期之前实施并公开提前实施情况。</w:t>
      </w:r>
    </w:p>
    <w:p>
      <w:pPr>
        <w:pStyle w:val="3"/>
        <w:topLinePunct/>
        <w:spacing w:line="412" w:lineRule="exact"/>
        <w:ind w:firstLine="482"/>
        <w:rPr>
          <w:sz w:val="24"/>
          <w:szCs w:val="24"/>
        </w:rPr>
      </w:pPr>
      <w:r>
        <w:rPr>
          <w:rFonts w:hint="eastAsia"/>
          <w:b/>
          <w:sz w:val="24"/>
          <w:szCs w:val="24"/>
        </w:rPr>
        <w:t>第十四条</w:t>
      </w:r>
      <w:r>
        <w:rPr>
          <w:rFonts w:hint="eastAsia" w:asciiTheme="minorEastAsia" w:hAnsiTheme="minorEastAsia" w:eastAsiaTheme="minorEastAsia"/>
          <w:sz w:val="24"/>
          <w:szCs w:val="24"/>
        </w:rPr>
        <w:t xml:space="preserve">  </w:t>
      </w:r>
      <w:r>
        <w:rPr>
          <w:rFonts w:hint="eastAsia"/>
          <w:sz w:val="24"/>
          <w:szCs w:val="24"/>
        </w:rPr>
        <w:t>食品生产企业不得制定低于食品安全国家标准或者地方标准要求的企业标准。食品生产企业制定食品安全指标严于食品安全国家标准或者地方标准的企业标准的，应当报省、自治区、直辖市人民政府卫生行政部门备案。</w:t>
      </w:r>
    </w:p>
    <w:p>
      <w:pPr>
        <w:pStyle w:val="3"/>
        <w:topLinePunct/>
        <w:spacing w:line="412" w:lineRule="exact"/>
        <w:ind w:firstLine="480"/>
        <w:rPr>
          <w:sz w:val="24"/>
          <w:szCs w:val="24"/>
        </w:rPr>
      </w:pPr>
      <w:r>
        <w:rPr>
          <w:rFonts w:hint="eastAsia"/>
          <w:sz w:val="24"/>
          <w:szCs w:val="24"/>
        </w:rPr>
        <w:t>食品生产企业制定企业标准的，应当公开，供公众免费查阅。</w:t>
      </w:r>
    </w:p>
    <w:p>
      <w:pPr>
        <w:pStyle w:val="63"/>
        <w:spacing w:before="218" w:after="218" w:line="412" w:lineRule="exact"/>
      </w:pPr>
      <w:r>
        <w:rPr>
          <w:rFonts w:hint="eastAsia"/>
        </w:rPr>
        <w:t>第四章  食品生产经营</w:t>
      </w:r>
    </w:p>
    <w:p>
      <w:pPr>
        <w:pStyle w:val="3"/>
        <w:topLinePunct/>
        <w:spacing w:line="412" w:lineRule="exact"/>
        <w:ind w:firstLine="482"/>
        <w:rPr>
          <w:sz w:val="24"/>
          <w:szCs w:val="24"/>
        </w:rPr>
      </w:pPr>
      <w:r>
        <w:rPr>
          <w:rFonts w:hint="eastAsia"/>
          <w:b/>
          <w:sz w:val="24"/>
          <w:szCs w:val="24"/>
        </w:rPr>
        <w:t>第十五条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食品生产经营许可的有效期为5年。</w:t>
      </w:r>
    </w:p>
    <w:p>
      <w:pPr>
        <w:pStyle w:val="3"/>
        <w:topLinePunct/>
        <w:spacing w:line="412" w:lineRule="exact"/>
        <w:ind w:firstLine="480"/>
        <w:rPr>
          <w:sz w:val="24"/>
          <w:szCs w:val="24"/>
        </w:rPr>
      </w:pPr>
      <w:r>
        <w:rPr>
          <w:rFonts w:hint="eastAsia"/>
          <w:sz w:val="24"/>
          <w:szCs w:val="24"/>
        </w:rPr>
        <w:t>食品生产经营者的生产经营条件发生变化，不再符合食品生产经营要求的，食品生产经营者应当立即采取整改措施；需要重新办理许可手续的，应当依法办理。</w:t>
      </w:r>
    </w:p>
    <w:p>
      <w:pPr>
        <w:pStyle w:val="3"/>
        <w:topLinePunct/>
        <w:spacing w:line="412" w:lineRule="exact"/>
        <w:ind w:firstLine="482"/>
        <w:rPr>
          <w:sz w:val="24"/>
          <w:szCs w:val="24"/>
        </w:rPr>
      </w:pPr>
      <w:r>
        <w:rPr>
          <w:rFonts w:hint="eastAsia"/>
          <w:b/>
          <w:sz w:val="24"/>
          <w:szCs w:val="24"/>
        </w:rPr>
        <w:t>第十六条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国务院卫生行政部门应当及时公布新的食品原料、食品添加剂新品种和食品相关产品新品种目录以及所适用的食品安全国家标准。</w:t>
      </w:r>
    </w:p>
    <w:p>
      <w:pPr>
        <w:pStyle w:val="3"/>
        <w:topLinePunct/>
        <w:spacing w:line="412" w:lineRule="exact"/>
        <w:ind w:firstLine="480"/>
        <w:rPr>
          <w:sz w:val="24"/>
          <w:szCs w:val="24"/>
        </w:rPr>
      </w:pPr>
      <w:r>
        <w:rPr>
          <w:rFonts w:hint="eastAsia"/>
          <w:sz w:val="24"/>
          <w:szCs w:val="24"/>
        </w:rPr>
        <w:t>对按照传统既是食品又是中药材的物质目录，国务院卫生行政部门会同国务院食品安全监督管理部门应当及时更新。</w:t>
      </w:r>
    </w:p>
    <w:p>
      <w:pPr>
        <w:pStyle w:val="3"/>
        <w:topLinePunct/>
        <w:spacing w:line="412" w:lineRule="exact"/>
        <w:ind w:firstLine="482"/>
        <w:rPr>
          <w:sz w:val="24"/>
          <w:szCs w:val="24"/>
        </w:rPr>
      </w:pPr>
      <w:r>
        <w:rPr>
          <w:rFonts w:hint="eastAsia"/>
          <w:b/>
          <w:sz w:val="24"/>
          <w:szCs w:val="24"/>
        </w:rPr>
        <w:t>第十七条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国务院食品安全监督管理部门会同国务院农业行政等有关部门明确食品安全全程追溯基本要求，指导食品生产经营者通过信息化手段建立、完善食品安全追溯体系。</w:t>
      </w:r>
    </w:p>
    <w:p>
      <w:pPr>
        <w:pStyle w:val="3"/>
        <w:topLinePunct/>
        <w:spacing w:line="412" w:lineRule="exact"/>
        <w:ind w:firstLine="480"/>
        <w:rPr>
          <w:sz w:val="24"/>
          <w:szCs w:val="24"/>
        </w:rPr>
      </w:pPr>
      <w:r>
        <w:rPr>
          <w:rFonts w:hint="eastAsia"/>
          <w:sz w:val="24"/>
          <w:szCs w:val="24"/>
        </w:rPr>
        <w:t>食品安全监督管理等部门应当将婴幼儿配方食品等针对特定人群的食品以及其他食品安全风险较高或者销售量大的食品的追溯体系建设作为监督检查的重点。</w:t>
      </w:r>
    </w:p>
    <w:p>
      <w:pPr>
        <w:pStyle w:val="3"/>
        <w:topLinePunct/>
        <w:spacing w:line="412" w:lineRule="exact"/>
        <w:ind w:firstLine="482"/>
        <w:rPr>
          <w:sz w:val="24"/>
          <w:szCs w:val="24"/>
        </w:rPr>
      </w:pPr>
      <w:r>
        <w:rPr>
          <w:rFonts w:hint="eastAsia"/>
          <w:b/>
          <w:sz w:val="24"/>
          <w:szCs w:val="24"/>
        </w:rPr>
        <w:t>第十八条</w:t>
      </w:r>
      <w:r>
        <w:rPr>
          <w:rFonts w:hint="eastAsia" w:asciiTheme="minorEastAsia" w:hAnsiTheme="minorEastAsia" w:eastAsiaTheme="minorEastAsia"/>
          <w:sz w:val="24"/>
          <w:szCs w:val="24"/>
        </w:rPr>
        <w:t xml:space="preserve">  </w:t>
      </w:r>
      <w:r>
        <w:rPr>
          <w:rFonts w:hint="eastAsia"/>
          <w:sz w:val="24"/>
          <w:szCs w:val="24"/>
        </w:rPr>
        <w:t>食品生产经营者应当建立食品安全追溯体系，依照食品安全法的规定如实记录并保存进货查验、出厂检验、食品销售等信息，保证食品可追溯。</w:t>
      </w:r>
    </w:p>
    <w:p>
      <w:pPr>
        <w:pStyle w:val="3"/>
        <w:topLinePunct/>
        <w:spacing w:line="412" w:lineRule="exact"/>
        <w:ind w:firstLine="482"/>
        <w:rPr>
          <w:sz w:val="24"/>
          <w:szCs w:val="24"/>
        </w:rPr>
      </w:pPr>
      <w:r>
        <w:rPr>
          <w:rFonts w:hint="eastAsia"/>
          <w:b/>
          <w:sz w:val="24"/>
          <w:szCs w:val="24"/>
        </w:rPr>
        <w:t>第十九条</w:t>
      </w:r>
      <w:r>
        <w:rPr>
          <w:rFonts w:hint="eastAsia" w:asciiTheme="minorEastAsia" w:hAnsiTheme="minorEastAsia" w:eastAsiaTheme="minorEastAsia"/>
          <w:sz w:val="24"/>
          <w:szCs w:val="24"/>
        </w:rPr>
        <w:t xml:space="preserve">  </w:t>
      </w:r>
      <w:r>
        <w:rPr>
          <w:rFonts w:hint="eastAsia"/>
          <w:sz w:val="24"/>
          <w:szCs w:val="24"/>
        </w:rPr>
        <w:t>食品生产经营企业的主要负责人对本企业的食品安全工作全面负责，建立并落实本企业的食品安全责任制，加强供货者管理、进货查验和出厂检验、生产经营过程控制、食品安全自查等工作。食品生产经营企业的食品安全管理人员应当协助企业主要负责人做好食品安全管理工作。</w:t>
      </w:r>
    </w:p>
    <w:p>
      <w:pPr>
        <w:pStyle w:val="3"/>
        <w:topLinePunct/>
        <w:spacing w:line="412" w:lineRule="exact"/>
        <w:ind w:firstLine="482"/>
        <w:rPr>
          <w:sz w:val="24"/>
          <w:szCs w:val="24"/>
        </w:rPr>
      </w:pPr>
      <w:r>
        <w:rPr>
          <w:rFonts w:hint="eastAsia"/>
          <w:b/>
          <w:sz w:val="24"/>
          <w:szCs w:val="24"/>
        </w:rPr>
        <w:t>第二十条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食品生产经营企业应当加强对食品安全管理人员的培训和考核。食品安全管理人员应当掌握与其岗位相适应的食品安全法律、法规、标准和专业知识，具备食品安全管理能力。食品安全监督管理部门应当对企业食品安全管理人员进行随机监督抽查考核。考核指南由国务院食品安全监督管理部门制定、公布。</w:t>
      </w:r>
    </w:p>
    <w:p>
      <w:pPr>
        <w:pStyle w:val="3"/>
        <w:topLinePunct/>
        <w:spacing w:line="412" w:lineRule="exact"/>
        <w:ind w:firstLine="482"/>
        <w:rPr>
          <w:sz w:val="24"/>
          <w:szCs w:val="24"/>
        </w:rPr>
      </w:pPr>
      <w:r>
        <w:rPr>
          <w:rFonts w:hint="eastAsia"/>
          <w:b/>
          <w:sz w:val="24"/>
          <w:szCs w:val="24"/>
        </w:rPr>
        <w:t>第二十一条</w:t>
      </w:r>
      <w:r>
        <w:rPr>
          <w:rFonts w:hint="eastAsia" w:asciiTheme="minorEastAsia" w:hAnsiTheme="minorEastAsia" w:eastAsiaTheme="minorEastAsia"/>
          <w:sz w:val="24"/>
          <w:szCs w:val="24"/>
        </w:rPr>
        <w:t xml:space="preserve">  </w:t>
      </w:r>
      <w:r>
        <w:rPr>
          <w:rFonts w:hint="eastAsia"/>
          <w:sz w:val="24"/>
          <w:szCs w:val="24"/>
        </w:rPr>
        <w:t>食品、食品添加剂生产经营者委托生产食品、食品添加剂的，应当委托取得食品生产许可、食品添加剂生产许可的生产者生产，并对其生产行为进行监督，对委托生产的食品、食品添加剂的安全负责。受托方应当依照法律、法规、食品安全标准以及合同约定进行生产，对生产行为负责，并接受委托方的监督。</w:t>
      </w:r>
    </w:p>
    <w:p>
      <w:pPr>
        <w:pStyle w:val="3"/>
        <w:topLinePunct/>
        <w:spacing w:line="412" w:lineRule="exact"/>
        <w:ind w:firstLine="482"/>
        <w:rPr>
          <w:sz w:val="24"/>
          <w:szCs w:val="24"/>
        </w:rPr>
      </w:pPr>
      <w:r>
        <w:rPr>
          <w:rFonts w:hint="eastAsia"/>
          <w:b/>
          <w:sz w:val="24"/>
          <w:szCs w:val="24"/>
        </w:rPr>
        <w:t>第二十二条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食品生产经营者不得在食品生产、加工场所贮存依照本条例第六十三条规定制定的名录中的物质。</w:t>
      </w:r>
    </w:p>
    <w:p>
      <w:pPr>
        <w:pStyle w:val="3"/>
        <w:topLinePunct/>
        <w:spacing w:line="412" w:lineRule="exact"/>
        <w:ind w:firstLine="482"/>
        <w:rPr>
          <w:sz w:val="24"/>
          <w:szCs w:val="24"/>
        </w:rPr>
      </w:pPr>
      <w:r>
        <w:rPr>
          <w:rFonts w:hint="eastAsia"/>
          <w:b/>
          <w:sz w:val="24"/>
          <w:szCs w:val="24"/>
        </w:rPr>
        <w:t>第二十三条</w:t>
      </w:r>
      <w:r>
        <w:rPr>
          <w:rFonts w:hint="eastAsia" w:asciiTheme="minorEastAsia" w:hAnsiTheme="minorEastAsia" w:eastAsiaTheme="minorEastAsia"/>
          <w:sz w:val="24"/>
          <w:szCs w:val="24"/>
        </w:rPr>
        <w:t xml:space="preserve">  </w:t>
      </w:r>
      <w:r>
        <w:rPr>
          <w:rFonts w:hint="eastAsia"/>
          <w:sz w:val="24"/>
          <w:szCs w:val="24"/>
        </w:rPr>
        <w:t>对食品进行辐照加工，应当遵守食品安全国家标准，并按照食品安全国家标准的要求对辐照加工食品进行检验和标注。</w:t>
      </w:r>
    </w:p>
    <w:p>
      <w:pPr>
        <w:pStyle w:val="3"/>
        <w:topLinePunct/>
        <w:spacing w:line="412" w:lineRule="exact"/>
        <w:ind w:firstLine="482"/>
        <w:rPr>
          <w:sz w:val="24"/>
          <w:szCs w:val="24"/>
        </w:rPr>
      </w:pPr>
      <w:r>
        <w:rPr>
          <w:rFonts w:hint="eastAsia"/>
          <w:b/>
          <w:sz w:val="24"/>
          <w:szCs w:val="24"/>
        </w:rPr>
        <w:t>第二十四条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贮存、运输对温度、湿度等有特殊要求的食品，应当具备保温、冷藏或者冷冻等设备设施，并保持有效运行。</w:t>
      </w:r>
    </w:p>
    <w:p>
      <w:pPr>
        <w:pStyle w:val="3"/>
        <w:topLinePunct/>
        <w:spacing w:line="412" w:lineRule="exact"/>
        <w:ind w:firstLine="482"/>
        <w:rPr>
          <w:sz w:val="24"/>
          <w:szCs w:val="24"/>
        </w:rPr>
      </w:pPr>
      <w:r>
        <w:rPr>
          <w:rFonts w:hint="eastAsia"/>
          <w:b/>
          <w:sz w:val="24"/>
          <w:szCs w:val="24"/>
        </w:rPr>
        <w:t>第二十五条</w:t>
      </w:r>
      <w:r>
        <w:rPr>
          <w:rFonts w:hint="eastAsia" w:asciiTheme="minorEastAsia" w:hAnsiTheme="minorEastAsia" w:eastAsiaTheme="minorEastAsia"/>
          <w:sz w:val="24"/>
          <w:szCs w:val="24"/>
        </w:rPr>
        <w:t xml:space="preserve">  </w:t>
      </w:r>
      <w:r>
        <w:rPr>
          <w:rFonts w:hint="eastAsia"/>
          <w:sz w:val="24"/>
          <w:szCs w:val="24"/>
        </w:rPr>
        <w:t>食品生产经营者委托贮存、运输食品的，应当对受托方的食品安全保障能力进行审核，并监督受托方按照保证食品安全的要求贮存、运输食品。受托方应当保证食品贮存、运输条件符合食品安全的要求，加强食品贮存、运输过程管理。</w:t>
      </w:r>
    </w:p>
    <w:p>
      <w:pPr>
        <w:pStyle w:val="3"/>
        <w:topLinePunct/>
        <w:spacing w:line="412" w:lineRule="exact"/>
        <w:ind w:firstLine="480"/>
        <w:rPr>
          <w:sz w:val="24"/>
          <w:szCs w:val="24"/>
        </w:rPr>
      </w:pPr>
      <w:r>
        <w:rPr>
          <w:rFonts w:hint="eastAsia"/>
          <w:sz w:val="24"/>
          <w:szCs w:val="24"/>
        </w:rPr>
        <w:t>接受食品生产经营者委托贮存、运输食品的，应当如实记录委托方和收货方的名称、地址、联系方式等内容。记录保存期限不得少于贮存、运输结束后2年。</w:t>
      </w:r>
    </w:p>
    <w:p>
      <w:pPr>
        <w:pStyle w:val="3"/>
        <w:topLinePunct/>
        <w:spacing w:line="412" w:lineRule="exact"/>
        <w:ind w:firstLine="480"/>
        <w:rPr>
          <w:sz w:val="24"/>
          <w:szCs w:val="24"/>
        </w:rPr>
      </w:pPr>
      <w:r>
        <w:rPr>
          <w:rFonts w:hint="eastAsia"/>
          <w:sz w:val="24"/>
          <w:szCs w:val="24"/>
        </w:rPr>
        <w:t>非食品生产经营者从事对温度、湿度等有特殊要求的食品贮存业务的，应当自取得营业执照之日起30个工作日内向所在地县级人民政府食品安全监督管理部门备案。</w:t>
      </w:r>
    </w:p>
    <w:p>
      <w:pPr>
        <w:pStyle w:val="3"/>
        <w:topLinePunct/>
        <w:spacing w:line="412" w:lineRule="exact"/>
        <w:ind w:firstLine="482"/>
        <w:rPr>
          <w:sz w:val="24"/>
          <w:szCs w:val="24"/>
        </w:rPr>
      </w:pPr>
      <w:r>
        <w:rPr>
          <w:rFonts w:hint="eastAsia"/>
          <w:b/>
          <w:sz w:val="24"/>
          <w:szCs w:val="24"/>
        </w:rPr>
        <w:t>第二十六条</w:t>
      </w:r>
      <w:r>
        <w:rPr>
          <w:rFonts w:hint="eastAsia" w:asciiTheme="minorEastAsia" w:hAnsiTheme="minorEastAsia" w:eastAsiaTheme="minorEastAsia"/>
          <w:sz w:val="24"/>
          <w:szCs w:val="24"/>
        </w:rPr>
        <w:t xml:space="preserve">  </w:t>
      </w:r>
      <w:r>
        <w:rPr>
          <w:rFonts w:hint="eastAsia"/>
          <w:sz w:val="24"/>
          <w:szCs w:val="24"/>
        </w:rPr>
        <w:t>餐饮服务提供者委托餐具饮具集中消毒服务单位提供清洗消毒服务的，应当查验、留存餐具饮具集中消毒服务单位的营业执照复印件和消毒合格证明。保存期限不得少于消毒餐具饮具使用期限到期后6个月。</w:t>
      </w:r>
    </w:p>
    <w:p>
      <w:pPr>
        <w:pStyle w:val="3"/>
        <w:topLinePunct/>
        <w:spacing w:line="412" w:lineRule="exact"/>
        <w:ind w:firstLine="482"/>
        <w:rPr>
          <w:sz w:val="24"/>
          <w:szCs w:val="24"/>
        </w:rPr>
      </w:pPr>
      <w:r>
        <w:rPr>
          <w:rFonts w:hint="eastAsia"/>
          <w:b/>
          <w:sz w:val="24"/>
          <w:szCs w:val="24"/>
        </w:rPr>
        <w:t>第二十七条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餐具饮具集中消毒服务单位应当建立餐具饮具出厂检验记录制度，如实记录出厂餐具饮具的数量、消毒日期和批号、使用期限、出厂日期以及委托方名称、地址、联系方式等内容。出厂检验记录保存期限不得少于消毒餐具饮具使用期限到期后6个月。消毒后的餐具饮具应当在独立包装上标注单位名称、地址、联系方式、消毒日期和批号以及使用期限等内容。</w:t>
      </w:r>
    </w:p>
    <w:p>
      <w:pPr>
        <w:pStyle w:val="3"/>
        <w:topLinePunct/>
        <w:spacing w:line="412" w:lineRule="exact"/>
        <w:ind w:firstLine="482"/>
        <w:rPr>
          <w:sz w:val="24"/>
          <w:szCs w:val="24"/>
        </w:rPr>
      </w:pPr>
      <w:r>
        <w:rPr>
          <w:rFonts w:hint="eastAsia"/>
          <w:b/>
          <w:sz w:val="24"/>
          <w:szCs w:val="24"/>
        </w:rPr>
        <w:t>第二十八条</w:t>
      </w:r>
      <w:r>
        <w:rPr>
          <w:rFonts w:hint="eastAsia" w:asciiTheme="minorEastAsia" w:hAnsiTheme="minorEastAsia" w:eastAsiaTheme="minorEastAsia"/>
          <w:sz w:val="24"/>
          <w:szCs w:val="24"/>
        </w:rPr>
        <w:t xml:space="preserve">  </w:t>
      </w:r>
      <w:r>
        <w:rPr>
          <w:rFonts w:hint="eastAsia"/>
          <w:sz w:val="24"/>
          <w:szCs w:val="24"/>
        </w:rPr>
        <w:t>学校、托幼机构、养老机构、建筑工地等集中用餐单位的食堂应当执行原料控制、餐具饮具清洗消毒、食品留样等制度，并依照食品安全法第四十七条的规定定期开展食堂食品安全自查。</w:t>
      </w:r>
    </w:p>
    <w:p>
      <w:pPr>
        <w:pStyle w:val="3"/>
        <w:topLinePunct/>
        <w:spacing w:line="412" w:lineRule="exact"/>
        <w:ind w:firstLine="480"/>
        <w:rPr>
          <w:sz w:val="24"/>
          <w:szCs w:val="24"/>
        </w:rPr>
      </w:pPr>
      <w:r>
        <w:rPr>
          <w:rFonts w:hint="eastAsia"/>
          <w:sz w:val="24"/>
          <w:szCs w:val="24"/>
        </w:rPr>
        <w:t>承包经营集中用餐单位食堂的，应当依法取得食品经营许可，并对食堂的食品安全负责。集中用餐单位应当督促承包方落实食品安全管理制度，承担管理责任。</w:t>
      </w:r>
    </w:p>
    <w:p>
      <w:pPr>
        <w:pStyle w:val="3"/>
        <w:topLinePunct/>
        <w:spacing w:line="412" w:lineRule="exact"/>
        <w:ind w:firstLine="482"/>
        <w:rPr>
          <w:sz w:val="24"/>
          <w:szCs w:val="24"/>
        </w:rPr>
      </w:pPr>
      <w:r>
        <w:rPr>
          <w:rFonts w:hint="eastAsia"/>
          <w:b/>
          <w:sz w:val="24"/>
          <w:szCs w:val="24"/>
        </w:rPr>
        <w:t>第二十九条</w:t>
      </w:r>
      <w:r>
        <w:rPr>
          <w:rFonts w:hint="eastAsia" w:asciiTheme="minorEastAsia" w:hAnsiTheme="minorEastAsia" w:eastAsiaTheme="minorEastAsia"/>
          <w:sz w:val="24"/>
          <w:szCs w:val="24"/>
        </w:rPr>
        <w:t xml:space="preserve">  </w:t>
      </w:r>
      <w:r>
        <w:rPr>
          <w:rFonts w:hint="eastAsia"/>
          <w:sz w:val="24"/>
          <w:szCs w:val="24"/>
        </w:rPr>
        <w:t>食品生产经营者应当对变质、超过保质期或者回收的食品进行显著标示或者单独存放在有明确标志的场所，及时采取无害化处理、销毁等措施并如实记录。</w:t>
      </w:r>
    </w:p>
    <w:p>
      <w:pPr>
        <w:pStyle w:val="3"/>
        <w:topLinePunct/>
        <w:spacing w:line="412" w:lineRule="exact"/>
        <w:ind w:firstLine="480"/>
        <w:rPr>
          <w:sz w:val="24"/>
          <w:szCs w:val="24"/>
        </w:rPr>
      </w:pPr>
      <w:r>
        <w:rPr>
          <w:rFonts w:hint="eastAsia"/>
          <w:sz w:val="24"/>
          <w:szCs w:val="24"/>
        </w:rPr>
        <w:t>食品安全法所称回收食品，是指已经售出，因违反法律、法规、食品安全标准或者超过保质期等原因，被召回或者退回的食品，不包括依照食品安全法第六十三条第三款的规定可以继续销售的食品。</w:t>
      </w:r>
    </w:p>
    <w:p>
      <w:pPr>
        <w:pStyle w:val="3"/>
        <w:topLinePunct/>
        <w:spacing w:line="412" w:lineRule="exact"/>
        <w:ind w:firstLine="482"/>
        <w:rPr>
          <w:sz w:val="24"/>
          <w:szCs w:val="24"/>
        </w:rPr>
      </w:pPr>
      <w:r>
        <w:rPr>
          <w:rFonts w:hint="eastAsia"/>
          <w:b/>
          <w:sz w:val="24"/>
          <w:szCs w:val="24"/>
        </w:rPr>
        <w:t>第三十条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县级以上地方人民政府根据需要建设必要的食品无害化处理和销毁设施。食品生产经营者可以按照规定使用政府建设的设施对食品进行无害化处理或者予以销毁。</w:t>
      </w:r>
    </w:p>
    <w:p>
      <w:pPr>
        <w:pStyle w:val="3"/>
        <w:topLinePunct/>
        <w:spacing w:line="412" w:lineRule="exact"/>
        <w:ind w:firstLine="482"/>
        <w:rPr>
          <w:sz w:val="24"/>
          <w:szCs w:val="24"/>
        </w:rPr>
      </w:pPr>
      <w:r>
        <w:rPr>
          <w:rFonts w:hint="eastAsia"/>
          <w:b/>
          <w:sz w:val="24"/>
          <w:szCs w:val="24"/>
        </w:rPr>
        <w:t>第三十一条</w:t>
      </w:r>
      <w:r>
        <w:rPr>
          <w:rFonts w:hint="eastAsia" w:asciiTheme="minorEastAsia" w:hAnsiTheme="minorEastAsia" w:eastAsiaTheme="minorEastAsia"/>
          <w:sz w:val="24"/>
          <w:szCs w:val="24"/>
        </w:rPr>
        <w:t xml:space="preserve">  </w:t>
      </w:r>
      <w:r>
        <w:rPr>
          <w:rFonts w:hint="eastAsia"/>
          <w:sz w:val="24"/>
          <w:szCs w:val="24"/>
        </w:rPr>
        <w:t>食品集中交易市场的开办者、食品展销会的举办者应当在市场开业或者展销会举办前向所在地县级人民政府食品安全监督管理部门报告。</w:t>
      </w:r>
    </w:p>
    <w:p>
      <w:pPr>
        <w:pStyle w:val="3"/>
        <w:topLinePunct/>
        <w:spacing w:line="412" w:lineRule="exact"/>
        <w:ind w:firstLine="482"/>
        <w:rPr>
          <w:sz w:val="24"/>
          <w:szCs w:val="24"/>
        </w:rPr>
      </w:pPr>
      <w:r>
        <w:rPr>
          <w:rFonts w:hint="eastAsia"/>
          <w:b/>
          <w:sz w:val="24"/>
          <w:szCs w:val="24"/>
        </w:rPr>
        <w:t>第三十二条</w:t>
      </w:r>
      <w:r>
        <w:rPr>
          <w:rFonts w:hint="eastAsia" w:asciiTheme="minorEastAsia" w:hAnsiTheme="minorEastAsia" w:eastAsiaTheme="minorEastAsia"/>
          <w:sz w:val="24"/>
          <w:szCs w:val="24"/>
        </w:rPr>
        <w:t xml:space="preserve">  </w:t>
      </w:r>
      <w:r>
        <w:rPr>
          <w:rFonts w:hint="eastAsia"/>
          <w:sz w:val="24"/>
          <w:szCs w:val="24"/>
        </w:rPr>
        <w:t>网络食品交易第三方平台提供者应当妥善保存入网食品经营者的登记信息和交易信息。县级以上人民政府食品安全监督管理部门开展食品安全监督检查、食品安全案件调查处理、食品安全事故处置确需了解有关信息的，经其负责人批准，可以要求网络食品交易第三方平台提供者提供，网络食品交易第三方平台提供者应当按照要求提供。县级以上人民政府食品安全监督管理部门及其工作人员对网络食品交易第三方平台提供者提供的信息依法负有保密义务。</w:t>
      </w:r>
    </w:p>
    <w:p>
      <w:pPr>
        <w:pStyle w:val="3"/>
        <w:topLinePunct/>
        <w:spacing w:line="412" w:lineRule="exact"/>
        <w:ind w:firstLine="482"/>
        <w:rPr>
          <w:sz w:val="24"/>
          <w:szCs w:val="24"/>
        </w:rPr>
      </w:pPr>
      <w:r>
        <w:rPr>
          <w:rFonts w:hint="eastAsia"/>
          <w:b/>
          <w:sz w:val="24"/>
          <w:szCs w:val="24"/>
        </w:rPr>
        <w:t>第三十三条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生产经营转基因食品应当显著标示，标示办法由国务院食品安全监督管理部门会同国务院农业行政部门制定。</w:t>
      </w:r>
    </w:p>
    <w:p>
      <w:pPr>
        <w:pStyle w:val="3"/>
        <w:topLinePunct/>
        <w:spacing w:line="412" w:lineRule="exact"/>
        <w:ind w:firstLine="482"/>
        <w:rPr>
          <w:sz w:val="24"/>
          <w:szCs w:val="24"/>
        </w:rPr>
      </w:pPr>
      <w:r>
        <w:rPr>
          <w:rFonts w:hint="eastAsia"/>
          <w:b/>
          <w:sz w:val="24"/>
          <w:szCs w:val="24"/>
        </w:rPr>
        <w:t>第三十四条</w:t>
      </w:r>
      <w:r>
        <w:rPr>
          <w:rFonts w:hint="eastAsia" w:asciiTheme="minorEastAsia" w:hAnsiTheme="minorEastAsia" w:eastAsiaTheme="minorEastAsia"/>
          <w:sz w:val="24"/>
          <w:szCs w:val="24"/>
        </w:rPr>
        <w:t xml:space="preserve">  </w:t>
      </w:r>
      <w:r>
        <w:rPr>
          <w:rFonts w:hint="eastAsia"/>
          <w:sz w:val="24"/>
          <w:szCs w:val="24"/>
        </w:rPr>
        <w:t>禁止利用包括会议、讲座、健康咨询在内的任何方式对食品进行虚假宣传。食品安全监督管理部门发现虚假宣传行为的，应当依法及时处理。</w:t>
      </w:r>
    </w:p>
    <w:p>
      <w:pPr>
        <w:pStyle w:val="3"/>
        <w:topLinePunct/>
        <w:spacing w:line="412" w:lineRule="exact"/>
        <w:ind w:firstLine="482"/>
        <w:rPr>
          <w:sz w:val="24"/>
          <w:szCs w:val="24"/>
        </w:rPr>
      </w:pPr>
      <w:r>
        <w:rPr>
          <w:rFonts w:hint="eastAsia"/>
          <w:b/>
          <w:sz w:val="24"/>
          <w:szCs w:val="24"/>
        </w:rPr>
        <w:t>第三十五条</w:t>
      </w:r>
      <w:r>
        <w:rPr>
          <w:rFonts w:hint="eastAsia" w:asciiTheme="minorEastAsia" w:hAnsiTheme="minorEastAsia" w:eastAsiaTheme="minorEastAsia"/>
          <w:sz w:val="24"/>
          <w:szCs w:val="24"/>
        </w:rPr>
        <w:t xml:space="preserve">  </w:t>
      </w:r>
      <w:r>
        <w:rPr>
          <w:rFonts w:hint="eastAsia"/>
          <w:sz w:val="24"/>
          <w:szCs w:val="24"/>
        </w:rPr>
        <w:t>保健食品生产工艺有原料提取、纯化等前处理工序的，生产企业应当具备相应的原料前处理能力。</w:t>
      </w:r>
    </w:p>
    <w:p>
      <w:pPr>
        <w:pStyle w:val="3"/>
        <w:topLinePunct/>
        <w:spacing w:line="412" w:lineRule="exact"/>
        <w:ind w:firstLine="482"/>
        <w:rPr>
          <w:sz w:val="24"/>
          <w:szCs w:val="24"/>
        </w:rPr>
      </w:pPr>
      <w:r>
        <w:rPr>
          <w:rFonts w:hint="eastAsia"/>
          <w:b/>
          <w:sz w:val="24"/>
          <w:szCs w:val="24"/>
        </w:rPr>
        <w:t>第三十六条</w:t>
      </w:r>
      <w:r>
        <w:rPr>
          <w:rFonts w:hint="eastAsia" w:asciiTheme="minorEastAsia" w:hAnsiTheme="minorEastAsia" w:eastAsiaTheme="minorEastAsia"/>
          <w:sz w:val="24"/>
          <w:szCs w:val="24"/>
        </w:rPr>
        <w:t xml:space="preserve">  </w:t>
      </w:r>
      <w:r>
        <w:rPr>
          <w:rFonts w:hint="eastAsia"/>
          <w:sz w:val="24"/>
          <w:szCs w:val="24"/>
        </w:rPr>
        <w:t>特殊医学用途配方食品生产企业应当按照食品安全国家标准规定的检验项目对出厂产品实施逐批检验。</w:t>
      </w:r>
    </w:p>
    <w:p>
      <w:pPr>
        <w:pStyle w:val="3"/>
        <w:topLinePunct/>
        <w:spacing w:line="412" w:lineRule="exact"/>
        <w:ind w:firstLine="480"/>
        <w:rPr>
          <w:sz w:val="24"/>
          <w:szCs w:val="24"/>
        </w:rPr>
      </w:pPr>
      <w:r>
        <w:rPr>
          <w:rFonts w:hint="eastAsia"/>
          <w:sz w:val="24"/>
          <w:szCs w:val="24"/>
        </w:rPr>
        <w:t>特殊医学用途配方食品中的特定全营养配方食品应当通过医疗机构或者药品零售企业向消费者销售。医疗机构、药品零售企业销售特定全营养配方食品的，不需要取得食品经营许可，但是应当遵守食品安全法和本条例关于食品销售的规定。</w:t>
      </w:r>
    </w:p>
    <w:p>
      <w:pPr>
        <w:pStyle w:val="3"/>
        <w:topLinePunct/>
        <w:spacing w:line="412" w:lineRule="exact"/>
        <w:ind w:firstLine="482"/>
        <w:rPr>
          <w:sz w:val="24"/>
          <w:szCs w:val="24"/>
        </w:rPr>
      </w:pPr>
      <w:r>
        <w:rPr>
          <w:rFonts w:hint="eastAsia"/>
          <w:b/>
          <w:sz w:val="24"/>
          <w:szCs w:val="24"/>
        </w:rPr>
        <w:t>第三十七条</w:t>
      </w:r>
      <w:r>
        <w:rPr>
          <w:rFonts w:hint="eastAsia" w:asciiTheme="minorEastAsia" w:hAnsiTheme="minorEastAsia" w:eastAsiaTheme="minorEastAsia"/>
          <w:b/>
          <w:sz w:val="24"/>
          <w:szCs w:val="24"/>
        </w:rPr>
        <w:t xml:space="preserve">  </w:t>
      </w:r>
      <w:r>
        <w:rPr>
          <w:rFonts w:hint="eastAsia"/>
          <w:sz w:val="24"/>
          <w:szCs w:val="24"/>
        </w:rPr>
        <w:t>特殊医学用途配方食品中的特定全营养配方食品广告按照处方药广告管理，其他类别的特殊医学用途配方食品广告按照非处方药广告管理。</w:t>
      </w:r>
    </w:p>
    <w:p>
      <w:pPr>
        <w:pStyle w:val="3"/>
        <w:topLinePunct/>
        <w:spacing w:line="412" w:lineRule="exact"/>
        <w:ind w:firstLine="482"/>
        <w:rPr>
          <w:sz w:val="24"/>
          <w:szCs w:val="24"/>
        </w:rPr>
      </w:pPr>
      <w:r>
        <w:rPr>
          <w:rFonts w:hint="eastAsia"/>
          <w:b/>
          <w:sz w:val="24"/>
          <w:szCs w:val="24"/>
        </w:rPr>
        <w:t>第三十八条</w:t>
      </w:r>
      <w:r>
        <w:rPr>
          <w:rFonts w:hint="eastAsia" w:asciiTheme="minorEastAsia" w:hAnsiTheme="minorEastAsia" w:eastAsiaTheme="minorEastAsia"/>
          <w:sz w:val="24"/>
          <w:szCs w:val="24"/>
        </w:rPr>
        <w:t xml:space="preserve">  </w:t>
      </w:r>
      <w:r>
        <w:rPr>
          <w:rFonts w:hint="eastAsia"/>
          <w:sz w:val="24"/>
          <w:szCs w:val="24"/>
        </w:rPr>
        <w:t>对保健食品之外的其他食品，不得声称具有保健功能。</w:t>
      </w:r>
    </w:p>
    <w:p>
      <w:pPr>
        <w:pStyle w:val="3"/>
        <w:topLinePunct/>
        <w:spacing w:line="412" w:lineRule="exact"/>
        <w:ind w:firstLine="480"/>
        <w:rPr>
          <w:sz w:val="24"/>
          <w:szCs w:val="24"/>
        </w:rPr>
      </w:pPr>
      <w:r>
        <w:rPr>
          <w:rFonts w:hint="eastAsia"/>
          <w:sz w:val="24"/>
          <w:szCs w:val="24"/>
        </w:rPr>
        <w:t>对添加食品安全国家标准规定的选择性添加物质的婴幼儿配方食品，不得以选择性添加物质命名。</w:t>
      </w:r>
    </w:p>
    <w:p>
      <w:pPr>
        <w:pStyle w:val="3"/>
        <w:topLinePunct/>
        <w:spacing w:line="412" w:lineRule="exact"/>
        <w:ind w:firstLine="482"/>
        <w:rPr>
          <w:sz w:val="24"/>
          <w:szCs w:val="24"/>
        </w:rPr>
      </w:pPr>
      <w:r>
        <w:rPr>
          <w:rFonts w:hint="eastAsia"/>
          <w:b/>
          <w:sz w:val="24"/>
          <w:szCs w:val="24"/>
        </w:rPr>
        <w:t>第三十九条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特殊食品的标签、说明书内容应当与注册或者备案的标签、说明书一致。销售特殊食品，应当核对食品标签、说明书内容是否与注册或者备案的标签、说明书一致，不一致的不得销售。省级以上人民政府食品安全监督管理部门应当在其网站上公布注册或者备案的特殊食品的标签、说明书。</w:t>
      </w:r>
    </w:p>
    <w:p>
      <w:pPr>
        <w:pStyle w:val="3"/>
        <w:topLinePunct/>
        <w:spacing w:line="412" w:lineRule="exact"/>
        <w:ind w:firstLine="480"/>
        <w:rPr>
          <w:sz w:val="24"/>
          <w:szCs w:val="24"/>
        </w:rPr>
      </w:pPr>
      <w:r>
        <w:rPr>
          <w:rFonts w:hint="eastAsia"/>
          <w:sz w:val="24"/>
          <w:szCs w:val="24"/>
        </w:rPr>
        <w:t>特殊食品不得与普通食品或者药品混放销售。</w:t>
      </w:r>
    </w:p>
    <w:p>
      <w:pPr>
        <w:pStyle w:val="63"/>
        <w:spacing w:before="218" w:after="218" w:line="412" w:lineRule="exact"/>
      </w:pPr>
      <w:r>
        <w:rPr>
          <w:rFonts w:hint="eastAsia"/>
        </w:rPr>
        <w:t>第五章</w:t>
      </w:r>
      <w:r>
        <w:rPr>
          <w:rFonts w:hint="eastAsia" w:asciiTheme="minorEastAsia" w:hAnsiTheme="minorEastAsia" w:eastAsiaTheme="minorEastAsia"/>
        </w:rPr>
        <w:t xml:space="preserve">  </w:t>
      </w:r>
      <w:r>
        <w:rPr>
          <w:rFonts w:hint="eastAsia"/>
        </w:rPr>
        <w:t>食品检验</w:t>
      </w:r>
    </w:p>
    <w:p>
      <w:pPr>
        <w:pStyle w:val="3"/>
        <w:topLinePunct/>
        <w:spacing w:line="412" w:lineRule="exact"/>
        <w:ind w:firstLine="482"/>
        <w:rPr>
          <w:sz w:val="24"/>
          <w:szCs w:val="24"/>
        </w:rPr>
      </w:pPr>
      <w:r>
        <w:rPr>
          <w:rFonts w:hint="eastAsia"/>
          <w:b/>
          <w:sz w:val="24"/>
          <w:szCs w:val="24"/>
        </w:rPr>
        <w:t>第四十条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对食品进行抽样检验，应当按照食品安全标准、注册或者备案的特殊食品的产品技术要求以及国家有关规定确定的检验项目和检验方法进行。</w:t>
      </w:r>
    </w:p>
    <w:p>
      <w:pPr>
        <w:pStyle w:val="3"/>
        <w:topLinePunct/>
        <w:spacing w:line="412" w:lineRule="exact"/>
        <w:ind w:firstLine="482"/>
        <w:rPr>
          <w:sz w:val="24"/>
          <w:szCs w:val="24"/>
        </w:rPr>
      </w:pPr>
      <w:r>
        <w:rPr>
          <w:rFonts w:hint="eastAsia"/>
          <w:b/>
          <w:sz w:val="24"/>
          <w:szCs w:val="24"/>
        </w:rPr>
        <w:t>第四十一条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对可能掺杂掺假的食品，按照现有食品安全标准规定的检验项目和检验方法以及依照食品安全法第一百一十一条和本条例第六十三条规定制定的检验项目和检验方法无法检验的，国务院食品安全监督管理部门可以制定补充检验项目和检验方法，用于对食品的抽样检验、食品安全案件调查处理和食品安全事故处置。</w:t>
      </w:r>
    </w:p>
    <w:p>
      <w:pPr>
        <w:pStyle w:val="3"/>
        <w:topLinePunct/>
        <w:spacing w:line="412" w:lineRule="exact"/>
        <w:ind w:firstLine="482"/>
        <w:rPr>
          <w:sz w:val="24"/>
          <w:szCs w:val="24"/>
        </w:rPr>
      </w:pPr>
      <w:r>
        <w:rPr>
          <w:rFonts w:hint="eastAsia"/>
          <w:b/>
          <w:sz w:val="24"/>
          <w:szCs w:val="24"/>
        </w:rPr>
        <w:t>第四十二条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依照食品安全法第八十八条的规定申请复检的，申请人应当向复检机构先行支付复检费用。复检结论表明食品不合格的，复检费用由复检申请人承担；复检结论表明食品合格的，复检费用由实施抽样检验的食品安全监督管理部门承担。</w:t>
      </w:r>
    </w:p>
    <w:p>
      <w:pPr>
        <w:pStyle w:val="3"/>
        <w:topLinePunct/>
        <w:spacing w:line="412" w:lineRule="exact"/>
        <w:ind w:firstLine="480"/>
        <w:rPr>
          <w:sz w:val="24"/>
          <w:szCs w:val="24"/>
        </w:rPr>
      </w:pPr>
      <w:r>
        <w:rPr>
          <w:rFonts w:hint="eastAsia"/>
          <w:sz w:val="24"/>
          <w:szCs w:val="24"/>
        </w:rPr>
        <w:t>复检机构无正当理由不得拒绝承担复检任务。</w:t>
      </w:r>
    </w:p>
    <w:p>
      <w:pPr>
        <w:pStyle w:val="3"/>
        <w:topLinePunct/>
        <w:spacing w:line="412" w:lineRule="exact"/>
        <w:ind w:firstLine="482"/>
        <w:rPr>
          <w:sz w:val="24"/>
          <w:szCs w:val="24"/>
        </w:rPr>
      </w:pPr>
      <w:r>
        <w:rPr>
          <w:rFonts w:hint="eastAsia"/>
          <w:b/>
          <w:sz w:val="24"/>
          <w:szCs w:val="24"/>
        </w:rPr>
        <w:t>第四十三条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任何单位和个人不得发布未依法取得资质认定的食品检验机构出具的食品检验信息，不得利用上述检验信息对食品、食品生产经营者进行等级评定，欺骗、误导消费者。</w:t>
      </w:r>
    </w:p>
    <w:p>
      <w:pPr>
        <w:pStyle w:val="63"/>
        <w:spacing w:before="218" w:after="218" w:line="412" w:lineRule="exact"/>
      </w:pPr>
      <w:r>
        <w:rPr>
          <w:rFonts w:hint="eastAsia"/>
        </w:rPr>
        <w:t>第六章</w:t>
      </w:r>
      <w:r>
        <w:rPr>
          <w:rFonts w:hint="eastAsia" w:asciiTheme="minorEastAsia" w:hAnsiTheme="minorEastAsia" w:eastAsiaTheme="minorEastAsia"/>
        </w:rPr>
        <w:t xml:space="preserve">  </w:t>
      </w:r>
      <w:r>
        <w:rPr>
          <w:rFonts w:hint="eastAsia"/>
        </w:rPr>
        <w:t>食品进出口</w:t>
      </w:r>
    </w:p>
    <w:p>
      <w:pPr>
        <w:pStyle w:val="3"/>
        <w:topLinePunct/>
        <w:spacing w:line="412" w:lineRule="exact"/>
        <w:ind w:firstLine="482"/>
        <w:rPr>
          <w:sz w:val="24"/>
          <w:szCs w:val="24"/>
        </w:rPr>
      </w:pPr>
      <w:r>
        <w:rPr>
          <w:rFonts w:hint="eastAsia"/>
          <w:b/>
          <w:sz w:val="24"/>
          <w:szCs w:val="24"/>
        </w:rPr>
        <w:t>第四十四条</w:t>
      </w:r>
      <w:r>
        <w:rPr>
          <w:rFonts w:hint="eastAsia" w:asciiTheme="minorEastAsia" w:hAnsiTheme="minorEastAsia" w:eastAsiaTheme="minorEastAsia"/>
          <w:sz w:val="24"/>
          <w:szCs w:val="24"/>
        </w:rPr>
        <w:t xml:space="preserve">  </w:t>
      </w:r>
      <w:r>
        <w:rPr>
          <w:rFonts w:hint="eastAsia"/>
          <w:sz w:val="24"/>
          <w:szCs w:val="24"/>
        </w:rPr>
        <w:t>进口商进口食品、食品添加剂，应当按照规定向出入境检验检疫机构报检，如实申报产品相关信息，并随附法律、行政法规规定的合格证明材料。</w:t>
      </w:r>
    </w:p>
    <w:p>
      <w:pPr>
        <w:pStyle w:val="3"/>
        <w:topLinePunct/>
        <w:spacing w:line="412" w:lineRule="exact"/>
        <w:ind w:firstLine="482"/>
        <w:rPr>
          <w:sz w:val="24"/>
          <w:szCs w:val="24"/>
        </w:rPr>
      </w:pPr>
      <w:r>
        <w:rPr>
          <w:rFonts w:hint="eastAsia"/>
          <w:b/>
          <w:sz w:val="24"/>
          <w:szCs w:val="24"/>
        </w:rPr>
        <w:t>第四十五条</w:t>
      </w:r>
      <w:r>
        <w:rPr>
          <w:rFonts w:hint="eastAsia" w:asciiTheme="minorEastAsia" w:hAnsiTheme="minorEastAsia" w:eastAsiaTheme="minorEastAsia"/>
          <w:sz w:val="24"/>
          <w:szCs w:val="24"/>
        </w:rPr>
        <w:t xml:space="preserve">  </w:t>
      </w:r>
      <w:r>
        <w:rPr>
          <w:rFonts w:hint="eastAsia"/>
          <w:sz w:val="24"/>
          <w:szCs w:val="24"/>
        </w:rPr>
        <w:t>进口食品运达口岸后，应当存放在出入境检验检疫机构指定或者认可的场所；需要移动的，应当按照出入境检验检疫机构的要求采取必要的安全防护措施。大宗散装进口食品应当在卸货口岸进行检验。</w:t>
      </w:r>
    </w:p>
    <w:p>
      <w:pPr>
        <w:pStyle w:val="3"/>
        <w:topLinePunct/>
        <w:spacing w:line="412" w:lineRule="exact"/>
        <w:ind w:firstLine="482"/>
        <w:rPr>
          <w:sz w:val="24"/>
          <w:szCs w:val="24"/>
        </w:rPr>
      </w:pPr>
      <w:r>
        <w:rPr>
          <w:rFonts w:hint="eastAsia"/>
          <w:b/>
          <w:sz w:val="24"/>
          <w:szCs w:val="24"/>
        </w:rPr>
        <w:t>第四十六条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国家出入境检验检疫部门根据风险管理需要，可以对部分食品实行指定口岸进口。</w:t>
      </w:r>
    </w:p>
    <w:p>
      <w:pPr>
        <w:pStyle w:val="3"/>
        <w:topLinePunct/>
        <w:spacing w:line="412" w:lineRule="exact"/>
        <w:ind w:firstLine="482"/>
        <w:rPr>
          <w:sz w:val="24"/>
          <w:szCs w:val="24"/>
        </w:rPr>
      </w:pPr>
      <w:r>
        <w:rPr>
          <w:rFonts w:hint="eastAsia"/>
          <w:b/>
          <w:sz w:val="24"/>
          <w:szCs w:val="24"/>
        </w:rPr>
        <w:t>第四十七条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务院卫生行政部门依照食品安全法第九十三条的规定对境外出口商、境外生产企业或者其委托的进口商提交的相关国家（地区）标准或者国际标准进行审查，认为符合食品安全要求的，决定暂予适用并予以公布；暂予适用的标准公布前，不得进口尚无食品安全国家标准的食品。</w:t>
      </w:r>
    </w:p>
    <w:p>
      <w:pPr>
        <w:pStyle w:val="3"/>
        <w:topLinePunct/>
        <w:spacing w:line="412" w:lineRule="exact"/>
        <w:ind w:firstLine="480"/>
        <w:rPr>
          <w:sz w:val="24"/>
          <w:szCs w:val="24"/>
        </w:rPr>
      </w:pPr>
      <w:r>
        <w:rPr>
          <w:rFonts w:hint="eastAsia"/>
          <w:sz w:val="24"/>
          <w:szCs w:val="24"/>
        </w:rPr>
        <w:t>食品安全国家标准中通用标准已经涵盖的食品不属于食品安全法第九十三条规定的尚无食品安全国家标准的食品。</w:t>
      </w:r>
    </w:p>
    <w:p>
      <w:pPr>
        <w:pStyle w:val="3"/>
        <w:topLinePunct/>
        <w:spacing w:line="412" w:lineRule="exact"/>
        <w:ind w:firstLine="482"/>
        <w:rPr>
          <w:sz w:val="24"/>
          <w:szCs w:val="24"/>
        </w:rPr>
      </w:pPr>
      <w:r>
        <w:rPr>
          <w:rFonts w:hint="eastAsia"/>
          <w:b/>
          <w:sz w:val="24"/>
          <w:szCs w:val="24"/>
        </w:rPr>
        <w:t>第四十八条</w:t>
      </w:r>
      <w:r>
        <w:rPr>
          <w:rFonts w:hint="eastAsia" w:asciiTheme="minorEastAsia" w:hAnsiTheme="minorEastAsia" w:eastAsiaTheme="minorEastAsia"/>
          <w:sz w:val="24"/>
          <w:szCs w:val="24"/>
        </w:rPr>
        <w:t xml:space="preserve">  </w:t>
      </w:r>
      <w:r>
        <w:rPr>
          <w:rFonts w:hint="eastAsia"/>
          <w:sz w:val="24"/>
          <w:szCs w:val="24"/>
        </w:rPr>
        <w:t>进口商应当建立境外出口商、境外生产企业审核制度，重点审核境外出口商、境外生产企业制定和执行食品安全风险控制措施的情况以及向我国出口的食品是否符合食品安全法、本条例和其他有关法律、行政法规的规定以及食品安全国家标准的要求。</w:t>
      </w:r>
    </w:p>
    <w:p>
      <w:pPr>
        <w:pStyle w:val="3"/>
        <w:topLinePunct/>
        <w:spacing w:line="412" w:lineRule="exact"/>
        <w:ind w:firstLine="482"/>
        <w:rPr>
          <w:sz w:val="24"/>
          <w:szCs w:val="24"/>
        </w:rPr>
      </w:pPr>
      <w:r>
        <w:rPr>
          <w:rFonts w:hint="eastAsia"/>
          <w:b/>
          <w:sz w:val="24"/>
          <w:szCs w:val="24"/>
        </w:rPr>
        <w:t>第四十九条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进口商依照食品安全法第九十四条第三款的规定召回进口食品的，应当将食品召回和处理情况向所在地县级人民政府食品安全监督管理部门和所在地出入境检验检疫机构报告。</w:t>
      </w:r>
    </w:p>
    <w:p>
      <w:pPr>
        <w:pStyle w:val="3"/>
        <w:topLinePunct/>
        <w:spacing w:line="412" w:lineRule="exact"/>
        <w:ind w:firstLine="482"/>
        <w:rPr>
          <w:sz w:val="24"/>
          <w:szCs w:val="24"/>
        </w:rPr>
      </w:pPr>
      <w:r>
        <w:rPr>
          <w:rFonts w:hint="eastAsia"/>
          <w:b/>
          <w:sz w:val="24"/>
          <w:szCs w:val="24"/>
        </w:rPr>
        <w:t>第五十条</w:t>
      </w:r>
      <w:r>
        <w:rPr>
          <w:rFonts w:hint="eastAsia" w:asciiTheme="minorEastAsia" w:hAnsiTheme="minorEastAsia" w:eastAsiaTheme="minorEastAsia"/>
          <w:sz w:val="24"/>
          <w:szCs w:val="24"/>
        </w:rPr>
        <w:t xml:space="preserve">  </w:t>
      </w:r>
      <w:r>
        <w:rPr>
          <w:rFonts w:hint="eastAsia"/>
          <w:sz w:val="24"/>
          <w:szCs w:val="24"/>
        </w:rPr>
        <w:t>国家</w:t>
      </w:r>
      <w:r>
        <w:rPr>
          <w:rFonts w:hint="eastAsia"/>
          <w:spacing w:val="-4"/>
          <w:sz w:val="24"/>
          <w:szCs w:val="24"/>
        </w:rPr>
        <w:t>出入境检验检疫部门发现已经注册的境外食品生产企业不再符合注册要求的，应当责令其在规定期限内整改，整改期间暂停进口其生产的食品；经整改仍不符合注册要求的，国家出入境检验检疫部门应当撤销境外食品生产企业注册并公告。</w:t>
      </w:r>
    </w:p>
    <w:p>
      <w:pPr>
        <w:pStyle w:val="3"/>
        <w:topLinePunct/>
        <w:spacing w:line="412" w:lineRule="exact"/>
        <w:ind w:firstLine="482"/>
        <w:rPr>
          <w:sz w:val="24"/>
          <w:szCs w:val="24"/>
        </w:rPr>
      </w:pPr>
      <w:r>
        <w:rPr>
          <w:rFonts w:hint="eastAsia"/>
          <w:b/>
          <w:sz w:val="24"/>
          <w:szCs w:val="24"/>
        </w:rPr>
        <w:t>第五十一条</w:t>
      </w:r>
      <w:r>
        <w:rPr>
          <w:rFonts w:hint="eastAsia" w:asciiTheme="minorEastAsia" w:hAnsiTheme="minorEastAsia" w:eastAsiaTheme="minorEastAsia"/>
          <w:sz w:val="24"/>
          <w:szCs w:val="24"/>
        </w:rPr>
        <w:t xml:space="preserve">  </w:t>
      </w:r>
      <w:r>
        <w:rPr>
          <w:rFonts w:hint="eastAsia"/>
          <w:sz w:val="24"/>
          <w:szCs w:val="24"/>
        </w:rPr>
        <w:t>对通过我国良好生产规范、危害分析与关键控制点体系认证的境外生产企业，认证机构应当依法实施跟踪调查。对不再符合认证要求的企业，认证机构应当依法撤销认证并向社会公布。</w:t>
      </w:r>
    </w:p>
    <w:p>
      <w:pPr>
        <w:pStyle w:val="3"/>
        <w:topLinePunct/>
        <w:spacing w:line="412" w:lineRule="exact"/>
        <w:ind w:firstLine="482"/>
        <w:rPr>
          <w:sz w:val="24"/>
          <w:szCs w:val="24"/>
        </w:rPr>
      </w:pPr>
      <w:r>
        <w:rPr>
          <w:rFonts w:hint="eastAsia"/>
          <w:b/>
          <w:sz w:val="24"/>
          <w:szCs w:val="24"/>
        </w:rPr>
        <w:t>第五十二条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境外发生的食品安全事件可能对我国境内造成影响，或者在进口食品、食品添加剂、食品相关产品中发现严重食品安全问题的，国家出入境检验检疫部门应当及时进行风险预警，并可以对相关的食品、食品添加剂、食品相关产品采取下列控制措施：</w:t>
      </w:r>
    </w:p>
    <w:p>
      <w:pPr>
        <w:pStyle w:val="3"/>
        <w:topLinePunct/>
        <w:spacing w:line="412" w:lineRule="exact"/>
        <w:ind w:firstLine="480"/>
        <w:rPr>
          <w:sz w:val="24"/>
          <w:szCs w:val="24"/>
        </w:rPr>
      </w:pPr>
      <w:r>
        <w:rPr>
          <w:rFonts w:hint="eastAsia"/>
          <w:sz w:val="24"/>
          <w:szCs w:val="24"/>
        </w:rPr>
        <w:t>（一）退货或者销毁处理；</w:t>
      </w:r>
    </w:p>
    <w:p>
      <w:pPr>
        <w:pStyle w:val="3"/>
        <w:topLinePunct/>
        <w:spacing w:line="412" w:lineRule="exact"/>
        <w:ind w:firstLine="480"/>
        <w:rPr>
          <w:sz w:val="24"/>
          <w:szCs w:val="24"/>
        </w:rPr>
      </w:pPr>
      <w:r>
        <w:rPr>
          <w:rFonts w:hint="eastAsia"/>
          <w:sz w:val="24"/>
          <w:szCs w:val="24"/>
        </w:rPr>
        <w:t>（二）有条件地限制进口；</w:t>
      </w:r>
    </w:p>
    <w:p>
      <w:pPr>
        <w:pStyle w:val="3"/>
        <w:topLinePunct/>
        <w:spacing w:line="412" w:lineRule="exact"/>
        <w:ind w:firstLine="480"/>
        <w:rPr>
          <w:sz w:val="24"/>
          <w:szCs w:val="24"/>
        </w:rPr>
      </w:pPr>
      <w:r>
        <w:rPr>
          <w:rFonts w:hint="eastAsia"/>
          <w:sz w:val="24"/>
          <w:szCs w:val="24"/>
        </w:rPr>
        <w:t>（三）暂停或者禁止进口。</w:t>
      </w:r>
    </w:p>
    <w:p>
      <w:pPr>
        <w:pStyle w:val="3"/>
        <w:topLinePunct/>
        <w:spacing w:line="412" w:lineRule="exact"/>
        <w:ind w:firstLine="482"/>
        <w:rPr>
          <w:sz w:val="24"/>
          <w:szCs w:val="24"/>
        </w:rPr>
      </w:pPr>
      <w:r>
        <w:rPr>
          <w:rFonts w:hint="eastAsia"/>
          <w:b/>
          <w:sz w:val="24"/>
          <w:szCs w:val="24"/>
        </w:rPr>
        <w:t>第五十三条</w:t>
      </w:r>
      <w:r>
        <w:rPr>
          <w:rFonts w:hint="eastAsia" w:asciiTheme="minorEastAsia" w:hAnsiTheme="minorEastAsia" w:eastAsiaTheme="minorEastAsia"/>
          <w:sz w:val="24"/>
          <w:szCs w:val="24"/>
        </w:rPr>
        <w:t xml:space="preserve">  </w:t>
      </w:r>
      <w:r>
        <w:rPr>
          <w:rFonts w:hint="eastAsia"/>
          <w:sz w:val="24"/>
          <w:szCs w:val="24"/>
        </w:rPr>
        <w:t>出口食品、食品添加剂的生产企业应当保证其出口食品、食品添加剂符合进口国家（地区）的标准或者合同要求；我国缔结或者参加的国际条约、协定有要求的，还应当符合国际条约、协定的要求。</w:t>
      </w:r>
    </w:p>
    <w:p>
      <w:pPr>
        <w:pStyle w:val="63"/>
        <w:spacing w:before="218" w:after="218" w:line="412" w:lineRule="exact"/>
      </w:pPr>
      <w:r>
        <w:rPr>
          <w:rFonts w:hint="eastAsia"/>
        </w:rPr>
        <w:t>第七章</w:t>
      </w:r>
      <w:r>
        <w:rPr>
          <w:rFonts w:hint="eastAsia" w:asciiTheme="minorEastAsia" w:hAnsiTheme="minorEastAsia" w:eastAsiaTheme="minorEastAsia"/>
        </w:rPr>
        <w:t xml:space="preserve">  </w:t>
      </w:r>
      <w:r>
        <w:rPr>
          <w:rFonts w:hint="eastAsia"/>
        </w:rPr>
        <w:t>食品安全事故处置</w:t>
      </w:r>
    </w:p>
    <w:p>
      <w:pPr>
        <w:pStyle w:val="3"/>
        <w:topLinePunct/>
        <w:spacing w:line="412" w:lineRule="exact"/>
        <w:ind w:firstLine="482"/>
        <w:rPr>
          <w:sz w:val="24"/>
          <w:szCs w:val="24"/>
        </w:rPr>
      </w:pPr>
      <w:r>
        <w:rPr>
          <w:rFonts w:hint="eastAsia"/>
          <w:b/>
          <w:sz w:val="24"/>
          <w:szCs w:val="24"/>
        </w:rPr>
        <w:t>第五十四条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食品安全事故按照国家食品安全事故应急预案实行分级管理。县级以上人民政府食品安全监督管理部门会同同级有关部门负责食品安全事故调查处理。</w:t>
      </w:r>
    </w:p>
    <w:p>
      <w:pPr>
        <w:pStyle w:val="3"/>
        <w:topLinePunct/>
        <w:spacing w:line="412" w:lineRule="exact"/>
        <w:ind w:firstLine="480"/>
        <w:rPr>
          <w:sz w:val="24"/>
          <w:szCs w:val="24"/>
        </w:rPr>
      </w:pPr>
      <w:r>
        <w:rPr>
          <w:rFonts w:hint="eastAsia"/>
          <w:sz w:val="24"/>
          <w:szCs w:val="24"/>
        </w:rPr>
        <w:t>县级以上人民政府应当根据实际情况及时修改、完善食品安全事故应急预案。</w:t>
      </w:r>
    </w:p>
    <w:p>
      <w:pPr>
        <w:pStyle w:val="3"/>
        <w:topLinePunct/>
        <w:spacing w:line="412" w:lineRule="exact"/>
        <w:ind w:firstLine="482"/>
        <w:rPr>
          <w:sz w:val="24"/>
          <w:szCs w:val="24"/>
        </w:rPr>
      </w:pPr>
      <w:r>
        <w:rPr>
          <w:rFonts w:hint="eastAsia"/>
          <w:b/>
          <w:sz w:val="24"/>
          <w:szCs w:val="24"/>
        </w:rPr>
        <w:t>第五十五条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县级以上人民政府应当完善食品安全事故应急管理机制，改善应急装备，做好应急物资储备和应急队伍建设，加强应急培训、演练。</w:t>
      </w:r>
    </w:p>
    <w:p>
      <w:pPr>
        <w:pStyle w:val="3"/>
        <w:topLinePunct/>
        <w:spacing w:line="412" w:lineRule="exact"/>
        <w:ind w:firstLine="482"/>
        <w:rPr>
          <w:sz w:val="24"/>
          <w:szCs w:val="24"/>
        </w:rPr>
      </w:pPr>
      <w:r>
        <w:rPr>
          <w:rFonts w:hint="eastAsia"/>
          <w:b/>
          <w:sz w:val="24"/>
          <w:szCs w:val="24"/>
        </w:rPr>
        <w:t>第五十六条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发生食品安全事故的单位应当对导致或者可能导致食品安全事故的食品及原料、工具、设备、设施等，立即采取封存等控制措施。</w:t>
      </w:r>
    </w:p>
    <w:p>
      <w:pPr>
        <w:pStyle w:val="3"/>
        <w:topLinePunct/>
        <w:spacing w:line="412" w:lineRule="exact"/>
        <w:ind w:firstLine="482"/>
        <w:rPr>
          <w:sz w:val="24"/>
          <w:szCs w:val="24"/>
        </w:rPr>
      </w:pPr>
      <w:r>
        <w:rPr>
          <w:rFonts w:hint="eastAsia"/>
          <w:b/>
          <w:sz w:val="24"/>
          <w:szCs w:val="24"/>
        </w:rPr>
        <w:t>第五十七条</w:t>
      </w:r>
      <w:r>
        <w:rPr>
          <w:rFonts w:hint="eastAsia" w:asciiTheme="minorEastAsia" w:hAnsiTheme="minorEastAsia" w:eastAsiaTheme="minorEastAsia"/>
          <w:sz w:val="24"/>
          <w:szCs w:val="24"/>
        </w:rPr>
        <w:t xml:space="preserve">  </w:t>
      </w:r>
      <w:r>
        <w:rPr>
          <w:rFonts w:hint="eastAsia"/>
          <w:sz w:val="24"/>
          <w:szCs w:val="24"/>
        </w:rPr>
        <w:t>县级以上人民政府食品安全监督管理部门接到食品安全事故报告后，应当立即会同同级卫生行政、农业行政等部门依照食品安全法第一百零五条的规定进行调查处理。食品安全监督管理部门应当对事故单位封存的食品及原料、工具、设备、设施等予以保护，需要封存而事故单位尚未封存的应当直接封存或者责令事故单位立即封存，并通知疾病预防控制机构对与事故有关的因素开展流行病学调查。</w:t>
      </w:r>
    </w:p>
    <w:p>
      <w:pPr>
        <w:pStyle w:val="3"/>
        <w:topLinePunct/>
        <w:spacing w:line="412" w:lineRule="exact"/>
        <w:ind w:firstLine="480"/>
        <w:rPr>
          <w:sz w:val="24"/>
          <w:szCs w:val="24"/>
        </w:rPr>
      </w:pPr>
      <w:r>
        <w:rPr>
          <w:rFonts w:hint="eastAsia"/>
          <w:sz w:val="24"/>
          <w:szCs w:val="24"/>
        </w:rPr>
        <w:t>疾病预防控制机构应当在调查结束后向同级食品安全监督管理、卫生行政部门同时提交流行病学调查报告。</w:t>
      </w:r>
    </w:p>
    <w:p>
      <w:pPr>
        <w:pStyle w:val="3"/>
        <w:topLinePunct/>
        <w:spacing w:line="412" w:lineRule="exact"/>
        <w:ind w:firstLine="480"/>
        <w:rPr>
          <w:sz w:val="24"/>
          <w:szCs w:val="24"/>
        </w:rPr>
      </w:pPr>
      <w:r>
        <w:rPr>
          <w:rFonts w:hint="eastAsia"/>
          <w:sz w:val="24"/>
          <w:szCs w:val="24"/>
        </w:rPr>
        <w:t>任何单位和个人不得拒绝、阻挠疾病预防控制机构开展流行病学调查。有关部门应当对疾病预防控制机构开展流行病学调查予以协助。</w:t>
      </w:r>
    </w:p>
    <w:p>
      <w:pPr>
        <w:pStyle w:val="3"/>
        <w:topLinePunct/>
        <w:spacing w:line="412" w:lineRule="exact"/>
        <w:ind w:firstLine="482"/>
        <w:rPr>
          <w:sz w:val="24"/>
          <w:szCs w:val="24"/>
        </w:rPr>
      </w:pPr>
      <w:r>
        <w:rPr>
          <w:rFonts w:hint="eastAsia"/>
          <w:b/>
          <w:sz w:val="24"/>
          <w:szCs w:val="24"/>
        </w:rPr>
        <w:t>第五十八条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国务院食品安全监督管理部门会同国务院卫生行政、农业行政等部门定期对全国食品安全事故情况进行分析，完善食品安全监督管理措施，预防和减少事故的发生。</w:t>
      </w:r>
    </w:p>
    <w:p>
      <w:pPr>
        <w:pStyle w:val="63"/>
        <w:spacing w:before="218" w:after="218" w:line="412" w:lineRule="exact"/>
      </w:pPr>
      <w:r>
        <w:rPr>
          <w:rFonts w:hint="eastAsia"/>
        </w:rPr>
        <w:t>第八章</w:t>
      </w:r>
      <w:r>
        <w:rPr>
          <w:rFonts w:hint="eastAsia" w:asciiTheme="minorEastAsia" w:hAnsiTheme="minorEastAsia" w:eastAsiaTheme="minorEastAsia"/>
        </w:rPr>
        <w:t xml:space="preserve">  </w:t>
      </w:r>
      <w:r>
        <w:rPr>
          <w:rFonts w:hint="eastAsia"/>
        </w:rPr>
        <w:t>监督管理</w:t>
      </w:r>
    </w:p>
    <w:p>
      <w:pPr>
        <w:pStyle w:val="3"/>
        <w:topLinePunct/>
        <w:spacing w:line="412" w:lineRule="exact"/>
        <w:ind w:firstLine="482"/>
        <w:rPr>
          <w:sz w:val="24"/>
          <w:szCs w:val="24"/>
        </w:rPr>
      </w:pPr>
      <w:r>
        <w:rPr>
          <w:rFonts w:hint="eastAsia"/>
          <w:b/>
          <w:sz w:val="24"/>
          <w:szCs w:val="24"/>
        </w:rPr>
        <w:t>第五十九条</w:t>
      </w:r>
      <w:r>
        <w:rPr>
          <w:rFonts w:hint="eastAsia" w:asciiTheme="minorEastAsia" w:hAnsiTheme="minorEastAsia" w:eastAsiaTheme="minorEastAsia"/>
          <w:sz w:val="24"/>
          <w:szCs w:val="24"/>
        </w:rPr>
        <w:t xml:space="preserve">  </w:t>
      </w:r>
      <w:r>
        <w:rPr>
          <w:rFonts w:hint="eastAsia"/>
          <w:sz w:val="24"/>
          <w:szCs w:val="24"/>
        </w:rPr>
        <w:t>设区的市级以上人民政府食品安全监督管理部门根据监督管理工作需要，可以对由下级人民政府食品安全监督管理部门负责日常监督管理的食品生产经营者实施随机监督检查，也可以组织下级人民政府食品安全监督管理部门对食品生产经营者实施异地监督检查。</w:t>
      </w:r>
    </w:p>
    <w:p>
      <w:pPr>
        <w:pStyle w:val="3"/>
        <w:topLinePunct/>
        <w:spacing w:line="412" w:lineRule="exact"/>
        <w:ind w:firstLine="480"/>
        <w:rPr>
          <w:sz w:val="24"/>
          <w:szCs w:val="24"/>
        </w:rPr>
      </w:pPr>
      <w:r>
        <w:rPr>
          <w:rFonts w:hint="eastAsia"/>
          <w:sz w:val="24"/>
          <w:szCs w:val="24"/>
        </w:rPr>
        <w:t>设区的市级以上人民政府食品安全监督管理部门认为必要的，可以直接调查处理下级人民政府食品安全监督管理部门管辖的食品安全违法案件，也可以指定其他下级人民政府食品安全监督管理部门调查处理。</w:t>
      </w:r>
    </w:p>
    <w:p>
      <w:pPr>
        <w:pStyle w:val="3"/>
        <w:topLinePunct/>
        <w:spacing w:line="412" w:lineRule="exact"/>
        <w:ind w:firstLine="482"/>
        <w:rPr>
          <w:sz w:val="24"/>
          <w:szCs w:val="24"/>
        </w:rPr>
      </w:pPr>
      <w:r>
        <w:rPr>
          <w:rFonts w:hint="eastAsia"/>
          <w:b/>
          <w:sz w:val="24"/>
          <w:szCs w:val="24"/>
        </w:rPr>
        <w:t>第六十条</w:t>
      </w:r>
      <w:r>
        <w:rPr>
          <w:rFonts w:hint="eastAsia" w:asciiTheme="minorEastAsia" w:hAnsiTheme="minorEastAsia" w:eastAsiaTheme="minorEastAsia"/>
          <w:sz w:val="24"/>
          <w:szCs w:val="24"/>
        </w:rPr>
        <w:t xml:space="preserve">  </w:t>
      </w:r>
      <w:r>
        <w:rPr>
          <w:rFonts w:hint="eastAsia"/>
          <w:sz w:val="24"/>
          <w:szCs w:val="24"/>
        </w:rPr>
        <w:t>国家建立食品安全检查员制度，依托现有资源加强职业化检查员队伍建设，强化考核培训，提高检查员专业化水平。</w:t>
      </w:r>
    </w:p>
    <w:p>
      <w:pPr>
        <w:pStyle w:val="3"/>
        <w:topLinePunct/>
        <w:spacing w:line="412" w:lineRule="exact"/>
        <w:ind w:firstLine="482"/>
        <w:rPr>
          <w:sz w:val="24"/>
          <w:szCs w:val="24"/>
        </w:rPr>
      </w:pPr>
      <w:r>
        <w:rPr>
          <w:rFonts w:hint="eastAsia"/>
          <w:b/>
          <w:sz w:val="24"/>
          <w:szCs w:val="24"/>
        </w:rPr>
        <w:t>第六十一条</w:t>
      </w:r>
      <w:r>
        <w:rPr>
          <w:rFonts w:hint="eastAsia" w:asciiTheme="minorEastAsia" w:hAnsiTheme="minorEastAsia" w:eastAsiaTheme="minorEastAsia"/>
          <w:sz w:val="24"/>
          <w:szCs w:val="24"/>
        </w:rPr>
        <w:t xml:space="preserve">  </w:t>
      </w:r>
      <w:r>
        <w:rPr>
          <w:rFonts w:hint="eastAsia"/>
          <w:sz w:val="24"/>
          <w:szCs w:val="24"/>
        </w:rPr>
        <w:t>县级以上人民政府食品安全监督管理部门依照食品安全法第一百一十条的规定实施查封、扣押措施，查封、扣押的期限不得超过30日；情况复杂的，经实施查封、扣押措施的食品安全监督管理部门负责人批准，可以延长，延长期限不得超过45日。</w:t>
      </w:r>
    </w:p>
    <w:p>
      <w:pPr>
        <w:pStyle w:val="3"/>
        <w:topLinePunct/>
        <w:spacing w:line="412" w:lineRule="exact"/>
        <w:ind w:firstLine="482"/>
        <w:rPr>
          <w:sz w:val="24"/>
          <w:szCs w:val="24"/>
        </w:rPr>
      </w:pPr>
      <w:r>
        <w:rPr>
          <w:rFonts w:hint="eastAsia"/>
          <w:b/>
          <w:sz w:val="24"/>
          <w:szCs w:val="24"/>
        </w:rPr>
        <w:t>第六十二条</w:t>
      </w:r>
      <w:r>
        <w:rPr>
          <w:rFonts w:hint="eastAsia" w:asciiTheme="minorEastAsia" w:hAnsiTheme="minorEastAsia" w:eastAsiaTheme="minorEastAsia"/>
          <w:sz w:val="24"/>
          <w:szCs w:val="24"/>
        </w:rPr>
        <w:t xml:space="preserve">  </w:t>
      </w:r>
      <w:r>
        <w:rPr>
          <w:rFonts w:hint="eastAsia"/>
          <w:sz w:val="24"/>
          <w:szCs w:val="24"/>
        </w:rPr>
        <w:t>网络食品交易第三方平台多次出现入网食品经营者违法经营或者入网食品经营者的违法经营行为造成严重后果的，县级以上人民政府食品安全监督管理部门可以对网络食品交易第三方平台提供者的法定代表人或者主要负责人进行责任约谈。</w:t>
      </w:r>
    </w:p>
    <w:p>
      <w:pPr>
        <w:pStyle w:val="3"/>
        <w:topLinePunct/>
        <w:spacing w:line="412" w:lineRule="exact"/>
        <w:ind w:firstLine="482"/>
        <w:rPr>
          <w:sz w:val="24"/>
          <w:szCs w:val="24"/>
        </w:rPr>
      </w:pPr>
      <w:r>
        <w:rPr>
          <w:rFonts w:hint="eastAsia"/>
          <w:b/>
          <w:sz w:val="24"/>
          <w:szCs w:val="24"/>
        </w:rPr>
        <w:t>第六十三条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务院食品安全监督管理部门会同国务院卫生行政等部门根据食源性疾病信息、食品安全风险监测信息和监督管理信息等，对发现的添加或者可能添加到食品中的非食品用化学物质和其他可能危害人体健康的物质，制定名录及检测方法并予以公布。</w:t>
      </w:r>
    </w:p>
    <w:p>
      <w:pPr>
        <w:pStyle w:val="3"/>
        <w:topLinePunct/>
        <w:spacing w:line="412" w:lineRule="exact"/>
        <w:ind w:firstLine="482"/>
        <w:rPr>
          <w:sz w:val="24"/>
          <w:szCs w:val="24"/>
        </w:rPr>
      </w:pPr>
      <w:r>
        <w:rPr>
          <w:rFonts w:hint="eastAsia"/>
          <w:b/>
          <w:sz w:val="24"/>
          <w:szCs w:val="24"/>
        </w:rPr>
        <w:t>第六十四条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县级以上地方人民政府卫生行政部门应当对餐具饮具集中消毒服务单位进行监督检查，发现不符合法律、法规、国家相关标准以及相关卫生规范等要求的，应当及时调查处理。监督检查的结果应当向社会公布。</w:t>
      </w:r>
    </w:p>
    <w:p>
      <w:pPr>
        <w:pStyle w:val="3"/>
        <w:topLinePunct/>
        <w:spacing w:line="412" w:lineRule="exact"/>
        <w:ind w:firstLine="482"/>
        <w:rPr>
          <w:sz w:val="24"/>
          <w:szCs w:val="24"/>
        </w:rPr>
      </w:pPr>
      <w:r>
        <w:rPr>
          <w:rFonts w:hint="eastAsia"/>
          <w:b/>
          <w:sz w:val="24"/>
          <w:szCs w:val="24"/>
        </w:rPr>
        <w:t>第六十五条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国家实行食品安全违法行为举报奖励制度，对查证属实的举报，给予举报人奖励。举报人举报所在企业食品</w:t>
      </w:r>
      <w:r>
        <w:rPr>
          <w:rFonts w:hint="eastAsia"/>
          <w:spacing w:val="4"/>
          <w:sz w:val="24"/>
          <w:szCs w:val="24"/>
        </w:rPr>
        <w:t>安全重大违法犯罪行为的，应当加大奖励力度。有关部门应当对举报人的信息予以保密，保护举报人的合法权益。食品安全违法行为举报奖励办法由国务院食品安全监督管理部门会同国务院财政等有关部门制定。</w:t>
      </w:r>
    </w:p>
    <w:p>
      <w:pPr>
        <w:pStyle w:val="3"/>
        <w:topLinePunct/>
        <w:spacing w:line="412" w:lineRule="exact"/>
        <w:ind w:firstLine="480"/>
        <w:rPr>
          <w:sz w:val="24"/>
          <w:szCs w:val="24"/>
        </w:rPr>
      </w:pPr>
      <w:r>
        <w:rPr>
          <w:rFonts w:hint="eastAsia"/>
          <w:sz w:val="24"/>
          <w:szCs w:val="24"/>
        </w:rPr>
        <w:t>食品安全违法行为举报奖励资金纳入各级人民政府预算。</w:t>
      </w:r>
    </w:p>
    <w:p>
      <w:pPr>
        <w:pStyle w:val="3"/>
        <w:topLinePunct/>
        <w:spacing w:line="412" w:lineRule="exact"/>
        <w:ind w:firstLine="482"/>
        <w:rPr>
          <w:sz w:val="24"/>
          <w:szCs w:val="24"/>
        </w:rPr>
      </w:pPr>
      <w:r>
        <w:rPr>
          <w:rFonts w:hint="eastAsia"/>
          <w:b/>
          <w:sz w:val="24"/>
          <w:szCs w:val="24"/>
        </w:rPr>
        <w:t>第六十六条</w:t>
      </w:r>
      <w:r>
        <w:rPr>
          <w:rFonts w:hint="eastAsia" w:asciiTheme="minorEastAsia" w:hAnsiTheme="minorEastAsia" w:eastAsiaTheme="minorEastAsia"/>
          <w:sz w:val="24"/>
          <w:szCs w:val="24"/>
        </w:rPr>
        <w:t xml:space="preserve">  </w:t>
      </w:r>
      <w:r>
        <w:rPr>
          <w:rFonts w:hint="eastAsia"/>
          <w:sz w:val="24"/>
          <w:szCs w:val="24"/>
        </w:rPr>
        <w:t>国务院食品安全监督管理部门应当会同国务院有关部门建立守信联合激励和失信联合惩戒机制，结合食品生产经营者信用档案，建立严重违法生产经营者黑名单制度，将食品安全信用状况与准入、融资、信贷、征信等相衔接，及时向社会公布。</w:t>
      </w:r>
    </w:p>
    <w:p>
      <w:pPr>
        <w:pStyle w:val="63"/>
        <w:spacing w:before="218" w:after="218" w:line="412" w:lineRule="exact"/>
      </w:pPr>
      <w:r>
        <w:rPr>
          <w:rFonts w:hint="eastAsia"/>
        </w:rPr>
        <w:t>第九章</w:t>
      </w:r>
      <w:r>
        <w:rPr>
          <w:rFonts w:hint="eastAsia" w:asciiTheme="minorEastAsia" w:hAnsiTheme="minorEastAsia" w:eastAsiaTheme="minorEastAsia"/>
        </w:rPr>
        <w:t xml:space="preserve">  </w:t>
      </w:r>
      <w:r>
        <w:rPr>
          <w:rFonts w:hint="eastAsia"/>
        </w:rPr>
        <w:t>法律责任</w:t>
      </w:r>
    </w:p>
    <w:p>
      <w:pPr>
        <w:pStyle w:val="3"/>
        <w:topLinePunct/>
        <w:spacing w:line="412" w:lineRule="exact"/>
        <w:ind w:firstLine="482"/>
        <w:rPr>
          <w:sz w:val="24"/>
          <w:szCs w:val="24"/>
        </w:rPr>
      </w:pPr>
      <w:r>
        <w:rPr>
          <w:rFonts w:hint="eastAsia"/>
          <w:b/>
          <w:sz w:val="24"/>
          <w:szCs w:val="24"/>
        </w:rPr>
        <w:t>第六十七条</w:t>
      </w:r>
      <w:r>
        <w:rPr>
          <w:rFonts w:hint="eastAsia" w:asciiTheme="minorEastAsia" w:hAnsiTheme="minorEastAsia" w:eastAsiaTheme="minorEastAsia"/>
          <w:sz w:val="24"/>
          <w:szCs w:val="24"/>
        </w:rPr>
        <w:t xml:space="preserve">  </w:t>
      </w:r>
      <w:r>
        <w:rPr>
          <w:rFonts w:hint="eastAsia"/>
          <w:sz w:val="24"/>
          <w:szCs w:val="24"/>
        </w:rPr>
        <w:t>有下列情形之一的，属于食品安全法第一百二十三条至第一百二十六条、第一百三十二条以及本条例第七十二条、第七十三条规定的情节严重情形：</w:t>
      </w:r>
    </w:p>
    <w:p>
      <w:pPr>
        <w:pStyle w:val="3"/>
        <w:topLinePunct/>
        <w:spacing w:line="412" w:lineRule="exact"/>
        <w:ind w:firstLine="480"/>
        <w:rPr>
          <w:sz w:val="24"/>
          <w:szCs w:val="24"/>
        </w:rPr>
      </w:pPr>
      <w:r>
        <w:rPr>
          <w:rFonts w:hint="eastAsia"/>
          <w:sz w:val="24"/>
          <w:szCs w:val="24"/>
        </w:rPr>
        <w:t>（一）违法行为涉及的产品货值金额2万元以上或者违法行为持续时间3个月以上；</w:t>
      </w:r>
    </w:p>
    <w:p>
      <w:pPr>
        <w:pStyle w:val="3"/>
        <w:topLinePunct/>
        <w:spacing w:line="412" w:lineRule="exact"/>
        <w:ind w:firstLine="480"/>
        <w:rPr>
          <w:sz w:val="24"/>
          <w:szCs w:val="24"/>
        </w:rPr>
      </w:pPr>
      <w:r>
        <w:rPr>
          <w:rFonts w:hint="eastAsia"/>
          <w:sz w:val="24"/>
          <w:szCs w:val="24"/>
        </w:rPr>
        <w:t>（二）造成食源性疾病并出现死亡病例，或者造成30人以上食源性疾病但未出现死亡病例；</w:t>
      </w:r>
    </w:p>
    <w:p>
      <w:pPr>
        <w:pStyle w:val="3"/>
        <w:topLinePunct/>
        <w:spacing w:line="412" w:lineRule="exact"/>
        <w:ind w:firstLine="480"/>
        <w:rPr>
          <w:sz w:val="24"/>
          <w:szCs w:val="24"/>
        </w:rPr>
      </w:pPr>
      <w:r>
        <w:rPr>
          <w:rFonts w:hint="eastAsia"/>
          <w:sz w:val="24"/>
          <w:szCs w:val="24"/>
        </w:rPr>
        <w:t>（三）故意提供虚假信息或者隐瞒真实情况；</w:t>
      </w:r>
    </w:p>
    <w:p>
      <w:pPr>
        <w:pStyle w:val="3"/>
        <w:topLinePunct/>
        <w:spacing w:line="412" w:lineRule="exact"/>
        <w:ind w:firstLine="480"/>
        <w:rPr>
          <w:sz w:val="24"/>
          <w:szCs w:val="24"/>
        </w:rPr>
      </w:pPr>
      <w:r>
        <w:rPr>
          <w:rFonts w:hint="eastAsia"/>
          <w:sz w:val="24"/>
          <w:szCs w:val="24"/>
        </w:rPr>
        <w:t>（四）拒绝、逃避监督检查；</w:t>
      </w:r>
    </w:p>
    <w:p>
      <w:pPr>
        <w:pStyle w:val="3"/>
        <w:topLinePunct/>
        <w:spacing w:line="412" w:lineRule="exact"/>
        <w:ind w:firstLine="480"/>
        <w:rPr>
          <w:sz w:val="24"/>
          <w:szCs w:val="24"/>
        </w:rPr>
      </w:pPr>
      <w:r>
        <w:rPr>
          <w:rFonts w:hint="eastAsia"/>
          <w:sz w:val="24"/>
          <w:szCs w:val="24"/>
        </w:rPr>
        <w:t>（五）因违反食品安全法律、法规受到行政处罚后1年内又实施同一性质的食品安全违法行为，或者因违反食品安全法律、法规受到刑事处罚后又实施食品安全违法行为；</w:t>
      </w:r>
    </w:p>
    <w:p>
      <w:pPr>
        <w:pStyle w:val="3"/>
        <w:topLinePunct/>
        <w:spacing w:line="412" w:lineRule="exact"/>
        <w:ind w:firstLine="480"/>
        <w:rPr>
          <w:sz w:val="24"/>
          <w:szCs w:val="24"/>
        </w:rPr>
      </w:pPr>
      <w:r>
        <w:rPr>
          <w:rFonts w:hint="eastAsia"/>
          <w:sz w:val="24"/>
          <w:szCs w:val="24"/>
        </w:rPr>
        <w:t>（六）其他情节严重的情形。</w:t>
      </w:r>
    </w:p>
    <w:p>
      <w:pPr>
        <w:pStyle w:val="3"/>
        <w:topLinePunct/>
        <w:spacing w:line="412" w:lineRule="exact"/>
        <w:ind w:firstLine="480"/>
        <w:rPr>
          <w:sz w:val="24"/>
          <w:szCs w:val="24"/>
        </w:rPr>
      </w:pPr>
      <w:r>
        <w:rPr>
          <w:rFonts w:hint="eastAsia"/>
          <w:sz w:val="24"/>
          <w:szCs w:val="24"/>
        </w:rPr>
        <w:t>对情节严重的违法行为处以罚款时，应当依法从重从严。</w:t>
      </w:r>
    </w:p>
    <w:p>
      <w:pPr>
        <w:pStyle w:val="3"/>
        <w:topLinePunct/>
        <w:spacing w:line="412" w:lineRule="exact"/>
        <w:ind w:firstLine="482"/>
        <w:rPr>
          <w:sz w:val="24"/>
          <w:szCs w:val="24"/>
        </w:rPr>
      </w:pPr>
      <w:r>
        <w:rPr>
          <w:rFonts w:hint="eastAsia"/>
          <w:b/>
          <w:sz w:val="24"/>
          <w:szCs w:val="24"/>
        </w:rPr>
        <w:t>第六十八条</w:t>
      </w:r>
      <w:r>
        <w:rPr>
          <w:rFonts w:hint="eastAsia" w:asciiTheme="minorEastAsia" w:hAnsiTheme="minorEastAsia" w:eastAsiaTheme="minorEastAsia"/>
          <w:sz w:val="24"/>
          <w:szCs w:val="24"/>
        </w:rPr>
        <w:t xml:space="preserve">  </w:t>
      </w:r>
      <w:r>
        <w:rPr>
          <w:rFonts w:hint="eastAsia"/>
          <w:sz w:val="24"/>
          <w:szCs w:val="24"/>
        </w:rPr>
        <w:t>有下列情形之一的，依照食品安全法第一百二十五条第一款、本条例第七十五条的规定给予处罚：</w:t>
      </w:r>
    </w:p>
    <w:p>
      <w:pPr>
        <w:pStyle w:val="3"/>
        <w:topLinePunct/>
        <w:spacing w:line="412" w:lineRule="exact"/>
        <w:ind w:firstLine="480"/>
        <w:rPr>
          <w:sz w:val="24"/>
          <w:szCs w:val="24"/>
        </w:rPr>
      </w:pPr>
      <w:r>
        <w:rPr>
          <w:rFonts w:hint="eastAsia"/>
          <w:sz w:val="24"/>
          <w:szCs w:val="24"/>
        </w:rPr>
        <w:t>（一）在食品生产、加工场所贮存依照本条例第六十三条规定制定的名录中的物质；</w:t>
      </w:r>
    </w:p>
    <w:p>
      <w:pPr>
        <w:pStyle w:val="3"/>
        <w:topLinePunct/>
        <w:spacing w:line="412" w:lineRule="exact"/>
        <w:ind w:firstLine="480"/>
        <w:rPr>
          <w:sz w:val="24"/>
          <w:szCs w:val="24"/>
        </w:rPr>
      </w:pPr>
      <w:r>
        <w:rPr>
          <w:rFonts w:hint="eastAsia"/>
          <w:sz w:val="24"/>
          <w:szCs w:val="24"/>
        </w:rPr>
        <w:t>（二）生产经营的保健食品之外的食品的标签、说明书声称具有保健功能；</w:t>
      </w:r>
    </w:p>
    <w:p>
      <w:pPr>
        <w:pStyle w:val="3"/>
        <w:topLinePunct/>
        <w:spacing w:line="412" w:lineRule="exact"/>
        <w:ind w:firstLine="480"/>
        <w:rPr>
          <w:sz w:val="24"/>
          <w:szCs w:val="24"/>
        </w:rPr>
      </w:pPr>
      <w:r>
        <w:rPr>
          <w:rFonts w:hint="eastAsia"/>
          <w:sz w:val="24"/>
          <w:szCs w:val="24"/>
        </w:rPr>
        <w:t>（三）以食品安全国家标准规定的选择性添加物质命名婴幼儿配方食品；</w:t>
      </w:r>
    </w:p>
    <w:p>
      <w:pPr>
        <w:pStyle w:val="3"/>
        <w:topLinePunct/>
        <w:spacing w:line="412" w:lineRule="exact"/>
        <w:ind w:firstLine="480"/>
        <w:rPr>
          <w:sz w:val="24"/>
          <w:szCs w:val="24"/>
        </w:rPr>
      </w:pPr>
      <w:r>
        <w:rPr>
          <w:rFonts w:hint="eastAsia"/>
          <w:sz w:val="24"/>
          <w:szCs w:val="24"/>
        </w:rPr>
        <w:t>（四）生产经营的特殊食品的标签、说明书内容与注册或者备案的标签、说明书不一致。</w:t>
      </w:r>
    </w:p>
    <w:p>
      <w:pPr>
        <w:pStyle w:val="3"/>
        <w:topLinePunct/>
        <w:spacing w:line="412" w:lineRule="exact"/>
        <w:ind w:firstLine="482"/>
        <w:rPr>
          <w:sz w:val="24"/>
          <w:szCs w:val="24"/>
        </w:rPr>
      </w:pPr>
      <w:r>
        <w:rPr>
          <w:rFonts w:hint="eastAsia"/>
          <w:b/>
          <w:sz w:val="24"/>
          <w:szCs w:val="24"/>
        </w:rPr>
        <w:t>第六十九条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有下列情形之一的，依照食品安全法第一百二十六条第一款、本条例第七十五条的规定给予处罚：</w:t>
      </w:r>
    </w:p>
    <w:p>
      <w:pPr>
        <w:pStyle w:val="3"/>
        <w:topLinePunct/>
        <w:spacing w:line="412" w:lineRule="exact"/>
        <w:ind w:firstLine="480"/>
        <w:rPr>
          <w:sz w:val="24"/>
          <w:szCs w:val="24"/>
        </w:rPr>
      </w:pPr>
      <w:r>
        <w:rPr>
          <w:rFonts w:hint="eastAsia"/>
          <w:sz w:val="24"/>
          <w:szCs w:val="24"/>
        </w:rPr>
        <w:t>（一）接受食品生产经营者委托贮存、运输食品，未按照规定记录保存信息；</w:t>
      </w:r>
    </w:p>
    <w:p>
      <w:pPr>
        <w:pStyle w:val="3"/>
        <w:topLinePunct/>
        <w:spacing w:line="412" w:lineRule="exact"/>
        <w:ind w:firstLine="480"/>
        <w:rPr>
          <w:sz w:val="24"/>
          <w:szCs w:val="24"/>
        </w:rPr>
      </w:pPr>
      <w:r>
        <w:rPr>
          <w:rFonts w:hint="eastAsia"/>
          <w:sz w:val="24"/>
          <w:szCs w:val="24"/>
        </w:rPr>
        <w:t>（二）餐饮服务提供者未查验、留存餐具饮具集中消毒服务单位的营业执照复印件和消毒合格证明；</w:t>
      </w:r>
    </w:p>
    <w:p>
      <w:pPr>
        <w:pStyle w:val="3"/>
        <w:topLinePunct/>
        <w:spacing w:line="412" w:lineRule="exact"/>
        <w:ind w:firstLine="480"/>
        <w:rPr>
          <w:sz w:val="24"/>
          <w:szCs w:val="24"/>
        </w:rPr>
      </w:pPr>
      <w:r>
        <w:rPr>
          <w:rFonts w:hint="eastAsia"/>
          <w:sz w:val="24"/>
          <w:szCs w:val="24"/>
        </w:rPr>
        <w:t>（三）食品生产经营者未按照规定对变质、超过保质期或者回收的食品进行标示或者存放，或者未及时对上述食品采取无害化处理、销毁等措施并如实记录；</w:t>
      </w:r>
    </w:p>
    <w:p>
      <w:pPr>
        <w:pStyle w:val="3"/>
        <w:topLinePunct/>
        <w:spacing w:line="412" w:lineRule="exact"/>
        <w:ind w:firstLine="480"/>
        <w:rPr>
          <w:sz w:val="24"/>
          <w:szCs w:val="24"/>
        </w:rPr>
      </w:pPr>
      <w:r>
        <w:rPr>
          <w:rFonts w:hint="eastAsia"/>
          <w:sz w:val="24"/>
          <w:szCs w:val="24"/>
        </w:rPr>
        <w:t>（四）医疗机构和药品零售企业之外的单位或者个人向消费者销售特殊医学用途配方食品中的特定全营养配方食品；</w:t>
      </w:r>
    </w:p>
    <w:p>
      <w:pPr>
        <w:pStyle w:val="3"/>
        <w:topLinePunct/>
        <w:spacing w:line="412" w:lineRule="exact"/>
        <w:ind w:firstLine="480"/>
        <w:rPr>
          <w:sz w:val="24"/>
          <w:szCs w:val="24"/>
        </w:rPr>
      </w:pPr>
      <w:r>
        <w:rPr>
          <w:rFonts w:hint="eastAsia"/>
          <w:sz w:val="24"/>
          <w:szCs w:val="24"/>
        </w:rPr>
        <w:t>（五）将特殊食品与普通食品或者药品混放销售。</w:t>
      </w:r>
    </w:p>
    <w:p>
      <w:pPr>
        <w:pStyle w:val="3"/>
        <w:topLinePunct/>
        <w:spacing w:line="412" w:lineRule="exact"/>
        <w:ind w:firstLine="482"/>
        <w:rPr>
          <w:sz w:val="24"/>
          <w:szCs w:val="24"/>
        </w:rPr>
      </w:pPr>
      <w:r>
        <w:rPr>
          <w:rFonts w:hint="eastAsia"/>
          <w:b/>
          <w:sz w:val="24"/>
          <w:szCs w:val="24"/>
        </w:rPr>
        <w:t>第七十条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除食品安全法第一百二十五条第一款、第一百二十六条规定的情形外，食品生产经营者的生产经营行为不符合食品安全法第三十三条第一款第五项、第七项至第十项的规定，或者不符合有关食品生产经营过程要求的食品安全国家标准的，依照食品安全法第一百二十六条第一款、本条例第七十五条的规定给予处罚。</w:t>
      </w:r>
    </w:p>
    <w:p>
      <w:pPr>
        <w:pStyle w:val="3"/>
        <w:topLinePunct/>
        <w:spacing w:line="412" w:lineRule="exact"/>
        <w:ind w:firstLine="482"/>
        <w:rPr>
          <w:sz w:val="24"/>
          <w:szCs w:val="24"/>
        </w:rPr>
      </w:pPr>
      <w:r>
        <w:rPr>
          <w:rFonts w:hint="eastAsia"/>
          <w:b/>
          <w:sz w:val="24"/>
          <w:szCs w:val="24"/>
        </w:rPr>
        <w:t>第七十一条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餐具饮具集中消毒服务单位未按照规定建立并遵守出厂检验记录制度的，由县级以上人民政府卫生行政部门依照食品安全法第一百二十六条第一款、本条例第七十五条的规定给予处罚。</w:t>
      </w:r>
    </w:p>
    <w:p>
      <w:pPr>
        <w:pStyle w:val="3"/>
        <w:topLinePunct/>
        <w:spacing w:line="412" w:lineRule="exact"/>
        <w:ind w:firstLine="482"/>
        <w:rPr>
          <w:sz w:val="24"/>
          <w:szCs w:val="24"/>
        </w:rPr>
      </w:pPr>
      <w:r>
        <w:rPr>
          <w:rFonts w:hint="eastAsia"/>
          <w:b/>
          <w:sz w:val="24"/>
          <w:szCs w:val="24"/>
        </w:rPr>
        <w:t>第七十二条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p>
      <w:pPr>
        <w:pStyle w:val="3"/>
        <w:topLinePunct/>
        <w:spacing w:line="412" w:lineRule="exact"/>
        <w:ind w:firstLine="482"/>
        <w:rPr>
          <w:sz w:val="24"/>
          <w:szCs w:val="24"/>
        </w:rPr>
      </w:pPr>
      <w:r>
        <w:rPr>
          <w:rFonts w:hint="eastAsia"/>
          <w:b/>
          <w:sz w:val="24"/>
          <w:szCs w:val="24"/>
        </w:rPr>
        <w:t>第七十三条</w:t>
      </w:r>
      <w:r>
        <w:rPr>
          <w:rFonts w:hint="eastAsia" w:asciiTheme="minorEastAsia" w:hAnsiTheme="minorEastAsia" w:eastAsiaTheme="minorEastAsia"/>
          <w:sz w:val="24"/>
          <w:szCs w:val="24"/>
        </w:rPr>
        <w:t xml:space="preserve">  </w:t>
      </w:r>
      <w:r>
        <w:rPr>
          <w:rFonts w:hint="eastAsia"/>
          <w:sz w:val="24"/>
          <w:szCs w:val="24"/>
        </w:rPr>
        <w:t>利用会议、讲座、健康咨询等方式对食品进行虚假宣传的，由县级以上人民政府食品安全监督管理部门责令消除影响，有违法所得的，没收违法所得；情节严重的，依照食品安全法第一百四十条第五款的规定进行处罚；属于单位违法的，还应当依照本条例第七十五条的规定对单位的法定代表人、主要负责人、直接负责的主管人员和其他直接责任人员给予处罚。</w:t>
      </w:r>
    </w:p>
    <w:p>
      <w:pPr>
        <w:pStyle w:val="3"/>
        <w:topLinePunct/>
        <w:spacing w:line="412" w:lineRule="exact"/>
        <w:ind w:firstLine="482"/>
        <w:rPr>
          <w:sz w:val="24"/>
          <w:szCs w:val="24"/>
        </w:rPr>
      </w:pPr>
      <w:r>
        <w:rPr>
          <w:rFonts w:hint="eastAsia"/>
          <w:b/>
          <w:sz w:val="24"/>
          <w:szCs w:val="24"/>
        </w:rPr>
        <w:t>第七十四条</w:t>
      </w:r>
      <w:r>
        <w:rPr>
          <w:rFonts w:hint="eastAsia" w:asciiTheme="minorEastAsia" w:hAnsiTheme="minorEastAsia" w:eastAsiaTheme="minorEastAsia"/>
          <w:sz w:val="24"/>
          <w:szCs w:val="24"/>
        </w:rPr>
        <w:t xml:space="preserve">  </w:t>
      </w:r>
      <w:r>
        <w:rPr>
          <w:rFonts w:hint="eastAsia"/>
          <w:sz w:val="24"/>
          <w:szCs w:val="24"/>
        </w:rPr>
        <w:t>食品生产经营者生产经营的食品符合食品安全标准但不符合食品所标注的企业标准规定的食品安全指标的，由县级以上人民政府食品安全监督管理部门给予警告，并责令食品经营者停止经营该食品，责令食品生产企业改正；拒不停止经营或者改正的，没收不符合企业标准规定的食品安全指标的食品，货值金额不足1万元的，并处1万元以上5万元以下罚款，货值金额1万元以上的，并处货值金额5倍以上10倍以下罚款。</w:t>
      </w:r>
    </w:p>
    <w:p>
      <w:pPr>
        <w:pStyle w:val="3"/>
        <w:topLinePunct/>
        <w:spacing w:line="412" w:lineRule="exact"/>
        <w:ind w:firstLine="482"/>
        <w:rPr>
          <w:sz w:val="24"/>
          <w:szCs w:val="24"/>
        </w:rPr>
      </w:pPr>
      <w:r>
        <w:rPr>
          <w:rFonts w:hint="eastAsia"/>
          <w:b/>
          <w:sz w:val="24"/>
          <w:szCs w:val="24"/>
        </w:rPr>
        <w:t>第七十五条</w:t>
      </w:r>
      <w:r>
        <w:rPr>
          <w:rFonts w:hint="eastAsia" w:asciiTheme="minorEastAsia" w:hAnsiTheme="minorEastAsia" w:eastAsiaTheme="minorEastAsia"/>
          <w:sz w:val="24"/>
          <w:szCs w:val="24"/>
        </w:rPr>
        <w:t xml:space="preserve">  </w:t>
      </w:r>
      <w:r>
        <w:rPr>
          <w:rFonts w:hint="eastAsia"/>
          <w:sz w:val="24"/>
          <w:szCs w:val="24"/>
        </w:rPr>
        <w:t>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w:t>
      </w:r>
    </w:p>
    <w:p>
      <w:pPr>
        <w:pStyle w:val="3"/>
        <w:topLinePunct/>
        <w:spacing w:line="412" w:lineRule="exact"/>
        <w:ind w:firstLine="480"/>
        <w:rPr>
          <w:sz w:val="24"/>
          <w:szCs w:val="24"/>
        </w:rPr>
      </w:pPr>
      <w:r>
        <w:rPr>
          <w:rFonts w:hint="eastAsia"/>
          <w:sz w:val="24"/>
          <w:szCs w:val="24"/>
        </w:rPr>
        <w:t>（一）故意实施违法行为；</w:t>
      </w:r>
    </w:p>
    <w:p>
      <w:pPr>
        <w:pStyle w:val="3"/>
        <w:topLinePunct/>
        <w:spacing w:line="412" w:lineRule="exact"/>
        <w:ind w:firstLine="480"/>
        <w:rPr>
          <w:sz w:val="24"/>
          <w:szCs w:val="24"/>
        </w:rPr>
      </w:pPr>
      <w:r>
        <w:rPr>
          <w:rFonts w:hint="eastAsia"/>
          <w:sz w:val="24"/>
          <w:szCs w:val="24"/>
        </w:rPr>
        <w:t>（二）违法行为性质恶劣；</w:t>
      </w:r>
    </w:p>
    <w:p>
      <w:pPr>
        <w:pStyle w:val="3"/>
        <w:topLinePunct/>
        <w:spacing w:line="412" w:lineRule="exact"/>
        <w:ind w:firstLine="480"/>
        <w:rPr>
          <w:sz w:val="24"/>
          <w:szCs w:val="24"/>
        </w:rPr>
      </w:pPr>
      <w:r>
        <w:rPr>
          <w:rFonts w:hint="eastAsia"/>
          <w:sz w:val="24"/>
          <w:szCs w:val="24"/>
        </w:rPr>
        <w:t>（三）违法行为造成严重后果。</w:t>
      </w:r>
    </w:p>
    <w:p>
      <w:pPr>
        <w:pStyle w:val="3"/>
        <w:topLinePunct/>
        <w:spacing w:line="412" w:lineRule="exact"/>
        <w:ind w:firstLine="480"/>
        <w:rPr>
          <w:sz w:val="24"/>
          <w:szCs w:val="24"/>
        </w:rPr>
      </w:pPr>
      <w:r>
        <w:rPr>
          <w:rFonts w:hint="eastAsia"/>
          <w:sz w:val="24"/>
          <w:szCs w:val="24"/>
        </w:rPr>
        <w:t>属于食品安全法第一百二十五条第二款规定情形的，不适用前款规定。</w:t>
      </w:r>
    </w:p>
    <w:p>
      <w:pPr>
        <w:pStyle w:val="3"/>
        <w:topLinePunct/>
        <w:spacing w:line="412" w:lineRule="exact"/>
        <w:ind w:firstLine="482"/>
        <w:rPr>
          <w:sz w:val="24"/>
          <w:szCs w:val="24"/>
        </w:rPr>
      </w:pPr>
      <w:r>
        <w:rPr>
          <w:rFonts w:hint="eastAsia"/>
          <w:b/>
          <w:sz w:val="24"/>
          <w:szCs w:val="24"/>
        </w:rPr>
        <w:t>第七十六条</w:t>
      </w:r>
      <w:r>
        <w:rPr>
          <w:rFonts w:hint="eastAsia" w:asciiTheme="minorEastAsia" w:hAnsiTheme="minorEastAsia" w:eastAsiaTheme="minorEastAsia"/>
          <w:sz w:val="24"/>
          <w:szCs w:val="24"/>
        </w:rPr>
        <w:t xml:space="preserve">  </w:t>
      </w:r>
      <w:r>
        <w:rPr>
          <w:rFonts w:hint="eastAsia"/>
          <w:sz w:val="24"/>
          <w:szCs w:val="24"/>
        </w:rPr>
        <w:t>食品生产经营者依照食品安全法第六十三条第一款、第二款的规定停止生产、经营，实施食品召回，或者采取其他有效措施减轻或者消除食品安全风险，未造成危害后果的，可以从轻或者减轻处罚。</w:t>
      </w:r>
    </w:p>
    <w:p>
      <w:pPr>
        <w:pStyle w:val="3"/>
        <w:topLinePunct/>
        <w:spacing w:line="412" w:lineRule="exact"/>
        <w:ind w:firstLine="482"/>
        <w:rPr>
          <w:sz w:val="24"/>
          <w:szCs w:val="24"/>
        </w:rPr>
      </w:pPr>
      <w:r>
        <w:rPr>
          <w:rFonts w:hint="eastAsia"/>
          <w:b/>
          <w:sz w:val="24"/>
          <w:szCs w:val="24"/>
        </w:rPr>
        <w:t>第七十七条</w:t>
      </w:r>
      <w:r>
        <w:rPr>
          <w:rFonts w:hint="eastAsia" w:asciiTheme="minorEastAsia" w:hAnsiTheme="minorEastAsia" w:eastAsiaTheme="minorEastAsia"/>
          <w:sz w:val="24"/>
          <w:szCs w:val="24"/>
        </w:rPr>
        <w:t xml:space="preserve">  </w:t>
      </w:r>
      <w:r>
        <w:rPr>
          <w:rFonts w:hint="eastAsia"/>
          <w:sz w:val="24"/>
          <w:szCs w:val="24"/>
        </w:rPr>
        <w:t>县级以上地方人民政府食品安全监督管理等部门对有食品安全法第一百二十三条规定的违法情形且情节严重，可能需要行政拘留的，应当及时将案件及有关材料移送同级公安机关。公安机关认为需要补充材料的，食品安全监督管理等部门应当及时提供。公安机关经审查认为不符合行政拘留条件的，应当及时将案件及有关材料退回移送的食品安全监督管理等部门。</w:t>
      </w:r>
    </w:p>
    <w:p>
      <w:pPr>
        <w:pStyle w:val="3"/>
        <w:topLinePunct/>
        <w:spacing w:line="412" w:lineRule="exact"/>
        <w:ind w:firstLine="482"/>
        <w:rPr>
          <w:sz w:val="24"/>
          <w:szCs w:val="24"/>
        </w:rPr>
      </w:pPr>
      <w:r>
        <w:rPr>
          <w:rFonts w:hint="eastAsia"/>
          <w:b/>
          <w:sz w:val="24"/>
          <w:szCs w:val="24"/>
        </w:rPr>
        <w:t>第七十八条</w:t>
      </w:r>
      <w:r>
        <w:rPr>
          <w:rFonts w:hint="eastAsia" w:asciiTheme="minorEastAsia" w:hAnsiTheme="minorEastAsia" w:eastAsiaTheme="minorEastAsia"/>
          <w:sz w:val="24"/>
          <w:szCs w:val="24"/>
        </w:rPr>
        <w:t xml:space="preserve">  </w:t>
      </w:r>
      <w:r>
        <w:rPr>
          <w:rFonts w:hint="eastAsia"/>
          <w:sz w:val="24"/>
          <w:szCs w:val="24"/>
        </w:rPr>
        <w:t>公安机关对发现的食品安全违法行为，经审查没有犯罪事实或者立案侦查后认为不需要追究刑事责任，但依法应当予以行政拘留的，应当及时作出行政拘留的处罚决定；不需要予以行政拘留但依法应当追究其他行政责任的，应当及时将案件及有关材料移送同级食品安全监督管理等部门。</w:t>
      </w:r>
    </w:p>
    <w:p>
      <w:pPr>
        <w:pStyle w:val="3"/>
        <w:topLinePunct/>
        <w:spacing w:line="412" w:lineRule="exact"/>
        <w:ind w:firstLine="482"/>
        <w:rPr>
          <w:sz w:val="24"/>
          <w:szCs w:val="24"/>
        </w:rPr>
      </w:pPr>
      <w:r>
        <w:rPr>
          <w:rFonts w:hint="eastAsia"/>
          <w:b/>
          <w:sz w:val="24"/>
          <w:szCs w:val="24"/>
        </w:rPr>
        <w:t>第七十九条</w:t>
      </w:r>
      <w:r>
        <w:rPr>
          <w:rFonts w:hint="eastAsia" w:asciiTheme="minorEastAsia" w:hAnsiTheme="minorEastAsia" w:eastAsiaTheme="minorEastAsia"/>
          <w:sz w:val="24"/>
          <w:szCs w:val="24"/>
        </w:rPr>
        <w:t xml:space="preserve">  </w:t>
      </w:r>
      <w:r>
        <w:rPr>
          <w:rFonts w:hint="eastAsia"/>
          <w:sz w:val="24"/>
          <w:szCs w:val="24"/>
        </w:rPr>
        <w:t>复检机构无正当理由拒绝承担复检任务的，由县级以上人民政府食品安全监督管理部门给予警告，无正当理由1年内2次拒绝承担复检任务的，由国务院有关部门撤销其复检机构资质并向社会公布。</w:t>
      </w:r>
    </w:p>
    <w:p>
      <w:pPr>
        <w:pStyle w:val="3"/>
        <w:topLinePunct/>
        <w:spacing w:line="412" w:lineRule="exact"/>
        <w:ind w:firstLine="482"/>
        <w:rPr>
          <w:sz w:val="24"/>
          <w:szCs w:val="24"/>
        </w:rPr>
      </w:pPr>
      <w:r>
        <w:rPr>
          <w:rFonts w:hint="eastAsia"/>
          <w:b/>
          <w:sz w:val="24"/>
          <w:szCs w:val="24"/>
        </w:rPr>
        <w:t>第八十条</w:t>
      </w:r>
      <w:r>
        <w:rPr>
          <w:rFonts w:hint="eastAsia" w:asciiTheme="minorEastAsia" w:hAnsiTheme="minorEastAsia" w:eastAsiaTheme="minorEastAsia"/>
          <w:sz w:val="24"/>
          <w:szCs w:val="24"/>
        </w:rPr>
        <w:t xml:space="preserve">  </w:t>
      </w:r>
      <w:r>
        <w:rPr>
          <w:rFonts w:hint="eastAsia"/>
          <w:sz w:val="24"/>
          <w:szCs w:val="24"/>
        </w:rPr>
        <w:t>发布未依法取得资质认定的食品检验机构出具的食品检验信息，或者利用上述检验信息对食品、食品生产经营者进行等级评定，欺骗、误导消费者的，由县级以上人民政府食品安全监督管理部门责令改正，有违法所得的，没收违法所得，并处10万元以上50万元以下罚款；拒不改正的，处50万元以上100万元以下罚款；构成违反治安管理行为的，由公安机关依法给予治安管理处罚。</w:t>
      </w:r>
    </w:p>
    <w:p>
      <w:pPr>
        <w:pStyle w:val="3"/>
        <w:topLinePunct/>
        <w:spacing w:line="412" w:lineRule="exact"/>
        <w:ind w:firstLine="482"/>
        <w:rPr>
          <w:sz w:val="24"/>
          <w:szCs w:val="24"/>
        </w:rPr>
      </w:pPr>
      <w:r>
        <w:rPr>
          <w:rFonts w:hint="eastAsia"/>
          <w:b/>
          <w:sz w:val="24"/>
          <w:szCs w:val="24"/>
        </w:rPr>
        <w:t>第八十一条</w:t>
      </w:r>
      <w:r>
        <w:rPr>
          <w:rFonts w:hint="eastAsia" w:asciiTheme="minorEastAsia" w:hAnsiTheme="minorEastAsia" w:eastAsiaTheme="minorEastAsia"/>
          <w:sz w:val="24"/>
          <w:szCs w:val="24"/>
        </w:rPr>
        <w:t xml:space="preserve">  </w:t>
      </w:r>
      <w:r>
        <w:rPr>
          <w:rFonts w:hint="eastAsia"/>
          <w:sz w:val="24"/>
          <w:szCs w:val="24"/>
        </w:rPr>
        <w:t>食品安全监督管理部门依照食品安全法、本条例对违法单位或者个人处以30万元以上罚款的，由设区的市级以上人民政府食品安全监督管理部门决定。罚款具体处罚权限由国务院食品安全监督管理部门规定。</w:t>
      </w:r>
    </w:p>
    <w:p>
      <w:pPr>
        <w:pStyle w:val="3"/>
        <w:topLinePunct/>
        <w:spacing w:line="412" w:lineRule="exact"/>
        <w:ind w:firstLine="482"/>
        <w:rPr>
          <w:sz w:val="24"/>
          <w:szCs w:val="24"/>
        </w:rPr>
      </w:pPr>
      <w:r>
        <w:rPr>
          <w:rFonts w:hint="eastAsia"/>
          <w:b/>
          <w:sz w:val="24"/>
          <w:szCs w:val="24"/>
        </w:rPr>
        <w:t>第八十二条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阻碍食品安全监督管理等部门工作人员依法执行职务，构成违反治安管理行为的，由公安机关依法给予治安管理处罚。</w:t>
      </w:r>
    </w:p>
    <w:p>
      <w:pPr>
        <w:pStyle w:val="3"/>
        <w:topLinePunct/>
        <w:spacing w:line="412" w:lineRule="exact"/>
        <w:ind w:firstLine="482"/>
        <w:rPr>
          <w:sz w:val="24"/>
          <w:szCs w:val="24"/>
        </w:rPr>
      </w:pPr>
      <w:r>
        <w:rPr>
          <w:rFonts w:hint="eastAsia"/>
          <w:b/>
          <w:sz w:val="24"/>
          <w:szCs w:val="24"/>
        </w:rPr>
        <w:t>第八十三条</w:t>
      </w:r>
      <w:r>
        <w:rPr>
          <w:rFonts w:hint="eastAsia" w:asciiTheme="minorEastAsia" w:hAnsiTheme="minorEastAsia" w:eastAsiaTheme="minorEastAsia"/>
          <w:sz w:val="24"/>
          <w:szCs w:val="24"/>
        </w:rPr>
        <w:t xml:space="preserve">  </w:t>
      </w:r>
      <w:r>
        <w:rPr>
          <w:rFonts w:hint="eastAsia"/>
          <w:sz w:val="24"/>
          <w:szCs w:val="24"/>
        </w:rPr>
        <w:t>县级以上人民政府食品安全监督管理等部门发现单位或者个人违反食品安全法第一百二十条第一款规定，编造、散布虚假食品安全信息，涉嫌构成违反治安管理行为的，应当将相关情况通报同级公安机关。</w:t>
      </w:r>
    </w:p>
    <w:p>
      <w:pPr>
        <w:pStyle w:val="3"/>
        <w:topLinePunct/>
        <w:spacing w:line="412" w:lineRule="exact"/>
        <w:ind w:firstLine="482"/>
        <w:rPr>
          <w:sz w:val="24"/>
          <w:szCs w:val="24"/>
        </w:rPr>
      </w:pPr>
      <w:r>
        <w:rPr>
          <w:rFonts w:hint="eastAsia"/>
          <w:b/>
          <w:sz w:val="24"/>
          <w:szCs w:val="24"/>
        </w:rPr>
        <w:t>第八十四条</w:t>
      </w:r>
      <w:r>
        <w:rPr>
          <w:rFonts w:hint="eastAsia" w:asciiTheme="minorEastAsia" w:hAnsiTheme="minorEastAsia" w:eastAsiaTheme="minorEastAsia"/>
          <w:b/>
          <w:sz w:val="24"/>
          <w:szCs w:val="24"/>
        </w:rPr>
        <w:t xml:space="preserve">  </w:t>
      </w:r>
      <w:r>
        <w:rPr>
          <w:rFonts w:hint="eastAsia"/>
          <w:sz w:val="24"/>
          <w:szCs w:val="24"/>
        </w:rPr>
        <w:t>县级以上人民政府食品安全监督管理部门及其工作人员违法向他人提供网络食品交易第三方平台提供者提供的信息的，依照食品安全法第一百四十五条的规定给予处分。</w:t>
      </w:r>
    </w:p>
    <w:p>
      <w:pPr>
        <w:pStyle w:val="3"/>
        <w:topLinePunct/>
        <w:spacing w:line="412" w:lineRule="exact"/>
        <w:ind w:firstLine="482"/>
        <w:rPr>
          <w:sz w:val="24"/>
          <w:szCs w:val="24"/>
        </w:rPr>
      </w:pPr>
      <w:r>
        <w:rPr>
          <w:rFonts w:hint="eastAsia"/>
          <w:b/>
          <w:sz w:val="24"/>
          <w:szCs w:val="24"/>
        </w:rPr>
        <w:t>第八十五条</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sz w:val="24"/>
          <w:szCs w:val="24"/>
        </w:rPr>
        <w:t xml:space="preserve"> </w:t>
      </w:r>
      <w:r>
        <w:rPr>
          <w:rFonts w:hint="eastAsia"/>
          <w:sz w:val="24"/>
          <w:szCs w:val="24"/>
        </w:rPr>
        <w:t>违反本条例规定，构成犯罪的，依法追究刑事责任。</w:t>
      </w:r>
    </w:p>
    <w:p>
      <w:pPr>
        <w:pStyle w:val="63"/>
        <w:spacing w:before="218" w:after="218" w:line="412" w:lineRule="exact"/>
      </w:pPr>
      <w:r>
        <w:rPr>
          <w:rFonts w:hint="eastAsia"/>
        </w:rPr>
        <w:t>第十章</w:t>
      </w:r>
      <w:r>
        <w:rPr>
          <w:rFonts w:hint="eastAsia" w:asciiTheme="minorEastAsia" w:hAnsiTheme="minorEastAsia" w:eastAsiaTheme="minorEastAsia"/>
        </w:rPr>
        <w:t xml:space="preserve">  </w:t>
      </w:r>
      <w:r>
        <w:rPr>
          <w:rFonts w:hint="eastAsia"/>
        </w:rPr>
        <w:t>附</w:t>
      </w:r>
      <w:r>
        <w:rPr>
          <w:rFonts w:hint="eastAsia" w:asciiTheme="minorEastAsia" w:hAnsiTheme="minorEastAsia" w:eastAsiaTheme="minorEastAsia"/>
        </w:rPr>
        <w:t xml:space="preserve">  </w:t>
      </w:r>
      <w:r>
        <w:rPr>
          <w:rFonts w:hint="eastAsia"/>
        </w:rPr>
        <w:t>则</w:t>
      </w:r>
    </w:p>
    <w:p>
      <w:pPr>
        <w:pStyle w:val="3"/>
        <w:topLinePunct/>
        <w:spacing w:line="412" w:lineRule="exact"/>
        <w:ind w:firstLine="482"/>
        <w:rPr>
          <w:rFonts w:asciiTheme="minorEastAsia" w:hAnsiTheme="minorEastAsia" w:eastAsiaTheme="minorEastAsia"/>
          <w:sz w:val="24"/>
          <w:szCs w:val="24"/>
        </w:rPr>
      </w:pPr>
      <w:r>
        <w:rPr>
          <w:rFonts w:hint="eastAsia"/>
          <w:b/>
          <w:sz w:val="24"/>
          <w:szCs w:val="24"/>
        </w:rPr>
        <w:t>第八十六条</w:t>
      </w:r>
      <w:r>
        <w:rPr>
          <w:rFonts w:hint="eastAsia" w:asciiTheme="minorEastAsia" w:hAnsiTheme="minorEastAsia" w:eastAsiaTheme="minorEastAsia"/>
          <w:sz w:val="24"/>
          <w:szCs w:val="24"/>
        </w:rPr>
        <w:t xml:space="preserve">  </w:t>
      </w:r>
      <w:r>
        <w:rPr>
          <w:rFonts w:hint="eastAsia"/>
          <w:sz w:val="24"/>
          <w:szCs w:val="24"/>
        </w:rPr>
        <w:t>本条例自2019年12月1日起施行。</w:t>
      </w:r>
      <w:r>
        <w:rPr>
          <w:rFonts w:asciiTheme="minorEastAsia" w:hAnsiTheme="minorEastAsia" w:eastAsiaTheme="minorEastAsia"/>
          <w:sz w:val="24"/>
          <w:szCs w:val="24"/>
        </w:rPr>
        <w:br w:type="page"/>
      </w:r>
      <w:bookmarkStart w:id="483" w:name="_Toc466579817"/>
      <w:bookmarkStart w:id="484" w:name="_Toc18916294"/>
      <w:bookmarkStart w:id="485" w:name="_Toc32208"/>
    </w:p>
    <w:p>
      <w:pPr>
        <w:pStyle w:val="3"/>
        <w:topLinePunct/>
        <w:spacing w:line="416" w:lineRule="exact"/>
        <w:ind w:firstLine="480"/>
        <w:rPr>
          <w:rFonts w:asciiTheme="minorEastAsia" w:hAnsiTheme="minorEastAsia" w:eastAsiaTheme="minorEastAsia"/>
          <w:sz w:val="24"/>
          <w:szCs w:val="24"/>
        </w:rPr>
      </w:pPr>
    </w:p>
    <w:p>
      <w:pPr>
        <w:pStyle w:val="61"/>
        <w:rPr>
          <w:kern w:val="2"/>
        </w:rPr>
      </w:pPr>
      <w:bookmarkStart w:id="486" w:name="_Toc28156980"/>
      <w:bookmarkStart w:id="487" w:name="_Toc25653694"/>
      <w:bookmarkStart w:id="488" w:name="_Toc28250908"/>
      <w:bookmarkStart w:id="489" w:name="_Toc25648199"/>
      <w:bookmarkStart w:id="490" w:name="_Toc26347958"/>
      <w:bookmarkStart w:id="491" w:name="_Toc28252181"/>
      <w:r>
        <w:rPr>
          <w:kern w:val="2"/>
        </w:rPr>
        <w:t>北京市食品安全条例</w:t>
      </w:r>
      <w:bookmarkEnd w:id="483"/>
      <w:bookmarkEnd w:id="484"/>
      <w:bookmarkEnd w:id="485"/>
      <w:bookmarkEnd w:id="486"/>
      <w:bookmarkEnd w:id="487"/>
      <w:bookmarkEnd w:id="488"/>
      <w:bookmarkEnd w:id="489"/>
      <w:bookmarkEnd w:id="490"/>
      <w:bookmarkEnd w:id="491"/>
    </w:p>
    <w:p>
      <w:pPr>
        <w:pStyle w:val="62"/>
      </w:pPr>
      <w:r>
        <w:t>（</w:t>
      </w:r>
      <w:r>
        <w:rPr>
          <w:rFonts w:hint="eastAsia"/>
        </w:rPr>
        <w:t>2007年11月30日北京市第十二届人民代表大会常务委员会第四十次会议通过，2012年12月27日北京市第十三届人民代表大会常务委员会第三十七次会议修订，根据2016年11月25日北京市第十四届人民代表大会常务委员会第三十一次会议通过的《关于修改部分地方性法规的决定》修正</w:t>
      </w:r>
      <w:r>
        <w:t>）</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证本市食品安全，保障公众身体健康和生命安全，根据《中华人民共和国食品安全法》（以下简称食品安全法）、《中华人民共和国农产品质量安全法》（以下简称农产品质量安全法）等有关法律、行政法规，结合本市实际情况，制定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本条例适用于本市行政区域内的食品、食品添加剂、食品相关产品的生产经营、安全管理活动；食用农产品的质量安全管理依照农产品质量安全法和本条例有关规定执行。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市食品安全工作以安全标准为基础，以市场准入为核心，以防控食品安全输入性风险和系统性风险为重点，落实企业主体责任，健全政府监管体制，严格责任追究；建设安全食品供应体系和食品安全保障体系，构建政府、企业、行业组织、社会公众、新闻媒体等共同参与的食品安全工作格局；实行产地要准出、销地要准入、质量可溯源、风险可控制的全过程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食品生产经营者应当依照法律、法规、规章以及食品安全标准从事生产经营活动，建立健全食品安全管理制度，采取有效措施，保证食品安全，接受社会监督，承担社会责任。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市和区、县人民政府统一领导、组织协调本行政区域的食品安全监督管理工作，构建严密、清晰的责任体系，制定和实施食品安全规划和计划，将食品安全监督管理工作所需经费列入财政预算，并将食品安全监督管理工作列入政府绩效管理评价考核体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区人民政府应当督促、指导乡镇人民政府和街道办事处做好食品安全日常工作。乡镇人民政府和街道办事处负责本区域的食品安全隐患排查、信息报告、协助执法和宣传教育等工作，组织协调有关监督管理部门派驻的执法机构做好执法工作。区人民政府可以根据需要探索建立食品安全监督员队伍，明确其工作范围和职责，做好食品安全相关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市和区、县人民政府设立食品安全委员会，统一组织协调本行政区域的食品安全工作，统筹、协调、解决食品安全工作中的重大问题，推进食品安全长效机制建设。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市和区、县人民政府食品安全监督协调办公室（以下简称食品办）承担食品安全委员会的日常工作，按照市和区、县人民政府确定的职责开展食品安全综合监督、组织协调和依法组织对重大事故查处等工作。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质量技术监督、工商行政管理、卫生行政、药品监督、农业、园林绿化、商务、城市管理综合行政执法等行政部门和出入境检验检疫机构（以下统称食品安全监督管理部门），应当加强沟通、密切配合，按照法律、法规的规定和市人民政府确定的职责实施食品安全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教育、经济信息化、住房和城乡建设、旅游、环境保护、市政市容、公安等行政部门按照各自职责做好相关行业或者领域的食品安全管理和指导工作。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市人民政府可以根据实际需要对政府有关行政部门的食品安全监督管理职责进行确定或者调整。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与食品有关的行业组织应当承担行业自律责任，根据章程指导、规范和监督食品生产经营者依法从事生产经营活动，为会员提供信息、技术、营销、培训等服务，参与制定、修订食品安全标准，向食品安全监督管理部门提出改进工作的意见和建议；市和区、县人民政府有关部门应当加强支持和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食品办和食品安全监督管理部门应当依法公开与食品安全有关的政府信息；食品安全监督管理部门、行业组织、社会团体应当开展食品安全常识和法律知识宣传，指导食品生产经营者守法、诚信经营，引导公众树立科学的消费理念和健康的饮食方式，提高全社会食品安全意识以及预防、应对食品安全风险的能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新闻媒体应当开展食品安全法律知识和相关标准的宣传，并对违反食品安全法律、法规的行为进行监督，客观、真实、合法地报道食品安全信息；鼓励新闻媒体设置食品安全宣传专栏；市属新闻媒体应当刊播食品安全公益宣传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本市鼓励和支持研究、应用和推广先进技术和先进管理规范，提高食品安全管理水平；鼓励食品生产经营者投保食品安全责任险、开展相关认证和技术推广等工作；鼓励组织或者个人举报食品生产经营违法行为。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市和区、县人民政府对在食品安全工作中作出显著成绩的单位和个人给予表彰和奖励；对举报属实，为查处食品安全违法案件提供线索或者证据的举报人给予奖励。</w:t>
      </w:r>
    </w:p>
    <w:p>
      <w:pPr>
        <w:pStyle w:val="63"/>
        <w:spacing w:before="218" w:after="218" w:line="412" w:lineRule="exact"/>
        <w:rPr>
          <w:b/>
        </w:rPr>
      </w:pPr>
      <w:r>
        <w:t xml:space="preserve">第二章 </w:t>
      </w:r>
      <w:r>
        <w:rPr>
          <w:rFonts w:hint="eastAsia"/>
        </w:rPr>
        <w:t xml:space="preserve"> </w:t>
      </w:r>
      <w:r>
        <w:t>市场准入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本市依法实行食品生产经营许可制度。从事食品生产、经营的，申请人应当向食品药品监督管理部门申请食品生产许可、食品经营许可。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市质量技术监督、工商行政管理、卫生行政部门根据法律、法规和本条例的规定，在听取各方面意见后，按照业态类别制定相关的许可管理办法。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本条例第十一条规定的许可，许可证应当标明业态类别；食品生产经营者应当按照许可证标明的业态类别从事食品生产经营活动。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区、县人民政府可以根据实际需要统筹规划、合理布局，建设适合食品生产加工作坊从事食品生产加工活动的集中区域；鼓励食品生产加工作坊进入集中区域从事食品生产加工活动。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市对食品生产加工作坊生产加工的食品品种实行目录管理。市质量技术监督部门负责组织有关部门提出全市食品生产加工作坊监督管理工作指导意见，报市食品安全委员会同意后，由区、县人民政府根据指导意见，结合本区县的实际情况，制定本区域食品生产加工作坊生产加工食品的品种目录、生产加工条件和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食品生产加工作坊从事食品生产加工活动，应当具有与生产加工的食品品种、数量相适应的生产加工场所，与有毒、有害场所以及其他污染源保持规定的安全距离，并具备相应的生产加工和卫生设备、设施，符合国家和本市规定的其他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质量技术监督部门审查食品生产加工作坊准许证申请材料，应当就生产加工场所的真实性、合法性征求所在地乡镇人民政府或者街道办事处的意见，并对生产加工作坊的场所进行现场核查；符合相关要求的，颁发食品生产加工作坊准许证。食品生产加工作坊准许证的有效期为3年；有效期满需要延续的，应当在期满前30日内向原发证部门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区、县人民政府可以根据实际需要，按照方便群众、合理布局、保证安全的原则，划定临时区域、规定时段供食品摊贩从事经营活动，并向社会公布。划定临时区域应当在幼儿园、中小学校门口二百米范围以外，并不得占用道路、桥梁、过街天桥、地下通道以及其他不宜设摊经营的场所。食品摊贩不得在临时区域和规定时段外经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本市对食品摊贩经营的食品品种实行目录管理，品种目录、经营条件和要求以及申请登记程序由区、县人民政府制定并公布。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食品摊贩从事食品经营，应当具有与经营的食品品种、数量相适应的卫生设备、设施，所经营的食品应当符合食品安全标准以及国家和本市规定的其他要求。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从事食品摊贩经营的，应当按照区、县人民政府规定的程序和要求，向所在地乡镇人民政府或者街道办事处申请登记。乡镇人民政府或者街道办事处对符合规定条件的申请人发放食品摊贩经营证，并应当将登记信息及时通报城市管理综合行政执法部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食品摊贩经营证应当载明经营者姓名、经营食品的品种、经营地点、监督电话等事项。食品摊贩从事食品经营，应当悬挂食品摊贩经营证，并不得转让、涂改、出租、出借食品摊贩经营证。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城市管理综合行政执法部门负责对经批准设立的食品摊贩实施监督管理，并负责查处流动无证照生产经营食品行为。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在本市生产经营的食品和食用农产品应当符合国家和本市食品安全和农产品质量安全标准以及其他有关食品安全和农产品质量安全的规定和要求。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没有食品安全国家标准的食品，需要在本市统一食品安全要求的，市卫生行政部门应当组织制定食品安全地方标准。食品安全地方标准草案应当向社会公布，公开征求意见。食品安全地方标准应当供公众免费查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市人民政府与相关省、市、自治区人民政府建立健全食品安全区域协作机制，逐步实现食品安全和食用农产品质量安全信息共享、案件协查、问题食品处置、全程追溯、检验互认、技术协作等方面的合作，推动进京食品和食用农产品生产基地提升组织化、标准化、规模化程度，形成安全可靠的食品供应体系，保障进京食品和食用农产品质量安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外埠优质食品和食用农产品进京销售。市食品办应当会同有关食品安全监督管理部门，组织引导本市大型食品批发市场、商场超市、食品物流配送企业、连锁餐饮服务企业等与外埠进京食品和食用农产品生产经营企业实行对接，为外埠食品和食用农产品生产经营企业提供服务和支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市和区、县人民政府支持本市食品和食用农产品生产经营企业与外埠生产经营单位签订安全供应协议，明确供应食品和食用农产品适用的相关标准和要求、双方的安全供应责任以及问题食品和食用农产品退市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鼓励本市食品和食用农产品批发市场、商场超市等在外埠建立食品和食用农产品供应基地。</w:t>
      </w:r>
    </w:p>
    <w:p>
      <w:pPr>
        <w:pStyle w:val="63"/>
        <w:spacing w:before="218" w:after="218" w:line="412" w:lineRule="exact"/>
        <w:rPr>
          <w:b/>
        </w:rPr>
      </w:pPr>
      <w:r>
        <w:t xml:space="preserve">第三章 </w:t>
      </w:r>
      <w:r>
        <w:rPr>
          <w:rFonts w:hint="eastAsia"/>
        </w:rPr>
        <w:t xml:space="preserve"> </w:t>
      </w:r>
      <w:r>
        <w:t>食品生产经营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食品生产经营者从事食品生产经营活动，应当符合国家和本市规定的与其生产经营规模、条件相适应的食品安全要求，对其生产经营食品的安全承担主体责任；不符合相关条件或者要求的，不得从事食品生产经营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食品生产经营单位的主要负责人对本单位的食品安全全面负责。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食品生产经营单位的主要负责人应当履行下列职责，落实食品安全管理制度：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（一）建立健全本单位食品安全责任制；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（二）组织制定并落实本单位食品安全规章制度和操作规程；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（三）督促检查本单位食品安全工作，及时消除食品安全隐患；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（四）建立健全职工食品安全知识培训考核、健康检查及相关档案管理制度，并组织落实；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（五）配合食品安全监督管理部门开展食品安全监督检查；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（六）依法履行食品安全事故报告义务。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食品生产经营者应当配备食品安全管理员，承担以下职责：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（一）向职工宣传食品安全法律、法规、规章、政策、标准和知识，讲解本单位的食品安全管理制度和要求；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（二）检查职工遵守食品安全规章制度和操作规程的情况，查找影响食品安全的关键环节和隐患，并及时报告；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（三）督促职工按时参加食品安全培训、进行健康检查；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（四）定期汇总、分析反映本单位食品安全状况的信息，并及时报告。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食品安全监督管理部门应当建立健全食品生产经营单位主要负责人培训考核制度，组织高等院校、科研机构、行业组织等，对食品和食用农产品生产经营单位主要负责人开展有关法律知识、标准和诚信教育，提供每人每年不少于40小时的培训；可以根据需要组织开展对食品安全管理员的培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食品生产经营从业人员应当遵守本单位食品安全管理制度，进行健康检查，接受食品安全知识和操作技能的培训考核。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食品和食品添加剂生产经营者、贮存和运输服务提供者应当按照规定建立采购、生产、加工、包装、贮存、运输、销售等生产经营记录，如实记录食品、食品原料、食品添加剂和食品相关产品的名称、产地、生产者、供货商、货主、进货日期、数量、销售去向等信息，不得采购、使用、销售、贮存、运输来源不明的食品、食品原料、食品添加剂和食品相关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食品和食品添加剂生产经营者、贮存和运输服务提供者应当按照规定查验供货商、货主的营业执照和相应的许可证件，并保存复印件。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生产经营记录、食品相关许可证件、货主身份信息以及其他与食品安全有关的证明文件的复印件的保存期限不得少于2年。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食品生产经营者委托生产食品的，应当委托具有生产许可证的企业，并对委托生产的食品承担安全责任。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委托生产食品的，双方应当签订协议，明确委托生产食品的相关要求和双方的权利义务。协议签订后7日内，委托双方应当按照规定就委托生产情况分别向所在地区、县质量技术监督部门备案。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委托生产的食品，标签上除法定的内容外，还应当如实标明委托双方的名称、委托关系、地址、联系方式和相关食品生产许可证号等事项。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食品经营者经营散装食品，应当设立专区或者专柜；经营直接入口的散装食品，应当采取防尘遮盖、设置隔离设施、提供专用取用工具等保证散装食品安全的措施。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鼓励食品经营者设立临近保质期食品专区或者专柜。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利用自动售货设备从事食品经营的，应当在自动售货设备的明显位置公示经营者名称、地址、联系方式、营业执照编号等身份信息以及食品经营许可证号。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利用互联网从事食品经营的，应当在网店主页的明显位置公示经营者名称、联系方式、电信与信息服务业务经营许可证、经营性网站备案登记号等身份信息以及食品经营许可证号。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利用邮购、电视电话购物等本条第一款、第二款规定以外的无店铺方式从事食品经营的，应当以易于消费者认知和识别的方式公示经营者名称、地址、联系方式、营业执照编号等身份信息以及食品经营许可证号。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采用无店铺方式从事食品经营的，应当在销售前以适当方式明确告知消费者食品标签上的内容，不得经营散装食品。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集中交易市场或者庙会、游园会、展销会等场所内有食品经营的，或者提供出租柜台供食品经营者从事食品经营的，市场开办者、活动举办者或者柜台出租者应当遵守下列规定：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（一）履行食品安全法第六十一条规定的职责；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（二）配备专职食品安全管理员，指导并督促入场经营者落实食品安全责任；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（三）建立场内经营者档案，记录食品经营者的基本情况、主要进货渠道、经营品种、品牌和供货商状况等信息；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（四）查验场内经营者证明其经营食品符合食品安全标准和要求的相关材料，对其在市场外的食品贮存场所进行备案；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（五）指导并督促场内经营者建立经营记录，执行进货查验、索证索票等与保障食品安全有关的制度；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（六）设置公示栏，公开相关食品安全信息；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（七）根据需要配备食品检验、冷藏冷冻等设备设施；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（八）与入场经营者签订协议，落实本市重点监督管理的食品和食用农产品场地（厂）挂钩要求，明确因入场经营者违反食品安全要求双方可以解约的情形以及其他食品安全要求。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本条前款第八项规定的本市重点监督管理的食品和食用农产品名录，由市食品办会同市食品安全监督管理部门根据风险程度拟订，经市食品安全委员会批准后公布实施。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食品批发市场应当加强符合食品安全要求的基础设施建设，根据需要配备冷藏冷冻等设备设施，建立电子交易系统，实行信息化管理。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餐饮服</w:t>
      </w:r>
      <w:r>
        <w:rPr>
          <w:rFonts w:asciiTheme="minorEastAsia" w:hAnsiTheme="minorEastAsia" w:eastAsiaTheme="minorEastAsia"/>
          <w:spacing w:val="4"/>
          <w:sz w:val="24"/>
          <w:szCs w:val="24"/>
        </w:rPr>
        <w:t>务提供者应当确保经营场所环境卫生、整洁；加工、制作食品，应当做到生熟分开、食品工用具（容器）专用，加工、制作过程符合食品安全要求；加工、制作凉菜，应当做到有专人、专室、专用工具、专用消毒设备、专用冷藏冷冻设备；不得使用不符合安全标准的食品原料、食品添加剂和食品相关产品；不得向消费者提供不符合食品安全标准的餐饮具等食品相关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集体用餐配送单位应当使用专用封闭车辆配送食品，按照规定留存所配送食品的样品，分装、贮存、运输食品的温度和时间应当符合食品安全要求，并在食品包装明显位置注明配送单位、制作时间、保质期，必要时注明保存条件和食用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餐饮服务提供者、现场加工制售食品者、食品生产加工作坊不得购买、存放和使用亚硝酸盐等易滥用的食品添加剂。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餐饮具清洗消毒企业和服务提供者应当按照规范要求从事餐饮具清洗消毒，不得提供不符合食品安全标准的餐饮具。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餐饮服务提供者应当按照环境影响评价要求设置油水分离器、收集容器、隔油池等设备设施，并保持设备设施正常运转。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餐饮服务提供者应当单独收集餐厨垃圾，并委托有资质的企业收运和处置，或者自建符合标准的餐厨垃圾处理设施就地处理，不得随意倾倒、丢弃、堆放或者直接排放。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市政</w:t>
      </w:r>
      <w:r>
        <w:rPr>
          <w:rFonts w:asciiTheme="minorEastAsia" w:hAnsiTheme="minorEastAsia" w:eastAsiaTheme="minorEastAsia"/>
          <w:spacing w:val="4"/>
          <w:sz w:val="24"/>
          <w:szCs w:val="24"/>
        </w:rPr>
        <w:t>市容管理行政部门应当向社会公布本条第二款规定的有资质的企业名录。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从事食品贮存、运输的，应当遵守食品安全法第三十三条第一款第六项的规定，并不得在贮存、运输过程中添加任何非食用物质等危害人体健康的物质；对易交叉污染的食品，应当专库贮存，不得混装、拼箱装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贮存、运输、销售按照规定需要低温保存的食品的，应当配备与其经营规模和食品种类相适应的冷藏冷冻设备设施以及具有连续测量和记录温度功能的装置，并保证正常运转，不得无故关停；有关设备设施或者装置发生故障后，应当对受到影响的食品进行检验，确保食品未因故障发生品质变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食品生产经营者不得有下列行为：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（一）以废弃油脂为原料加工制作食用油或者以此类食用油为原料加工制作食品的；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（二）在食用动物及其产品中注水或者注入其他物质的；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（三）提供不符合食品安全要求的或者虚假的证明文件的；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（四）使用不符合标准的食品添加剂或者超范围、超限量使用食品添加剂的；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（五）生产经营国家和本市明令禁止生产经营的食品的。</w:t>
      </w:r>
    </w:p>
    <w:p>
      <w:pPr>
        <w:pStyle w:val="63"/>
        <w:spacing w:before="218" w:after="218" w:line="412" w:lineRule="exact"/>
        <w:rPr>
          <w:b/>
        </w:rPr>
      </w:pPr>
      <w:r>
        <w:t xml:space="preserve">第四章 </w:t>
      </w:r>
      <w:r>
        <w:rPr>
          <w:rFonts w:hint="eastAsia"/>
        </w:rPr>
        <w:t xml:space="preserve"> </w:t>
      </w:r>
      <w:r>
        <w:t>食用农产品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市农业、园林绿化等行政部门应当采取措施加强食用农产品产地环境监测、管理和保护。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区、县人民政府应当根据产地环境监测结果加强食用农产品产地环境保护和污染治理，并根据生产环境治理情况调整生产结构。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食用农产品生产者应当在农业生产环境、农用灌溉水符合相关标准的条件下，从事食用农产品生产。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食用农产品生产者应当按照生产技术要求和操作规程从事食用农产品生产，按照规定正确、合理使用农业投入品，不得超范围、超剂量使用，保证生产的食用农产品符合农产品质量安全标准。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食用农产品生产企业和农民专业合作组织的主要负责人应当组织建立健全本单位的农产品质量安全管理制度、农产品质量安全控制体系以及农产品生产记录，并对本单位的食用农产品质量安全全面负责。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区、县人民政府应当明确涉及食用农产品生产的乡镇人民政府和街道办事处承担农产品质量安全监管公共服务职责的相应机构，做好农产品质量安全知识培训、质量安全控制技术推广、生产环节质量安全日常巡查等农产品质量安全监管服务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乡镇农业、林业技术推广机构应当指导从事食用农产品生产的个人逐步建立食用农产品生产记录，如实记录生产的品种、数量、投入品使用、销售去向等生产销售情况。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本市鼓励农业标准化生产；鼓励农业企业、专业合作社建设食用农产品生产标准化基地。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食用农产品生产标准化基地应当建立食用农产品质量管理制度，按照国家有关规定在食用农产品生产过程中全面贯彻实施各项标准的要求，对食用农产品生产实行全程质量安全控制。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猪及其他畜禽屠宰企业应当建立稳定的货源基地，并按照有关标准规范养殖行为，记录养殖者、防疫、检疫、饲料等相关信息，并按照操作规范实施屠宰加工；不得收购无固定养殖基地或者无法追溯来源的生猪及有关畜禽或者接受他人委托进行屠宰加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进入本市批发市场和超市销售的食用农产品应当附具相应的产地证明、检疫证明、检验报告等食用农产品质量证明文件。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本市实行严格的农药管理制度。农药经营者经营农药应当符合国家农药管理法规规定的条件和有关法律、法规规定的食品安全要求。市农业行政部门制定并公布符合国家和本市农药管理法规规定要求的农药经营者名录和名录管理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使用农药应当遵守国家和本市有关农药安全使用的规范，不得销售和使用国家禁止的农药品种。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区、县农业行政主管部门应当组织推广安全、高效农药，采取措施落实农药补贴政策，引导使用者购买安全农药，并加强对安全、合理使用农药的监督和指导，开展免费培训活动，提高使用者施药技术水平。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农药、兽药、饲料和饲料添加剂、肥料等农业投入品经营者应当建立经营记录，记录投入品名称、来源、进货日期、生产企业、销售时间、销售对象、销售数量等内容，保存期限不得少于2年；销售农业投入品时，应当向购买者提供产品说明书，明确提示购买者注意产品说明书中有关投入品用法、用量和使用范围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本市鼓励和支持农业技术推广机构和有关科研机构开展高效低毒农药和生物防治技术的科学研究，推广新型安全农业投入品的使用，提高食用农产品质量和安全管理水平。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有关监督管理部门应当采取保障措施，加强检验机构能力建设，改善技术条件，提高检验技术水平。</w:t>
      </w:r>
    </w:p>
    <w:p>
      <w:pPr>
        <w:pStyle w:val="63"/>
        <w:spacing w:before="218" w:after="218" w:line="412" w:lineRule="exact"/>
      </w:pPr>
      <w:r>
        <w:t>第五章</w:t>
      </w:r>
      <w:r>
        <w:rPr>
          <w:rFonts w:hint="eastAsia"/>
        </w:rPr>
        <w:t xml:space="preserve"> </w:t>
      </w:r>
      <w:r>
        <w:t xml:space="preserve"> 食品安全保障</w:t>
      </w:r>
    </w:p>
    <w:p>
      <w:pPr>
        <w:pStyle w:val="64"/>
        <w:spacing w:before="156" w:after="156"/>
      </w:pPr>
      <w:r>
        <w:t>第一节</w:t>
      </w:r>
      <w:r>
        <w:rPr>
          <w:rFonts w:hint="eastAsia"/>
        </w:rPr>
        <w:t xml:space="preserve">  </w:t>
      </w:r>
      <w:r>
        <w:t>风险管理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市食品办应当会同有关食品安全监督管理部门制定本市食品安全风险监测计划，加强食品安全风险评估能力建设，建立健全食品安全风险监测和风险评估体系，确定技术机构开展食品安全风险监测。开展食品安全风险监测所需经费列入财政预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市食品办组织协调食品安全监督管理部门在大型农副产品批发市场、大型食品物流配送中心以及本市重点监督管理的食品生产企业设食品安全督察员，实施驻点食品安全监督管理。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市食品办确定的技术机构开展的食品安全风险监测结果表明食品可能存在安全隐患的，有关食品安全监督管理部门应当立即组织检验。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市卫生行政部门按照国家监测计划承担相应的食品安全风险监测职责，有关食品安全监督管理部门应当配合。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本市成立食品安全专家委员会，对下列事项开展风险评估：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（一）有关食品没有食品安全标准，但有证据表明可能对公众身体健康和生命安全造成危害的；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（二）为制定或者修订本市食品安全地方标准提供科学依据的；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（三）对存在安全隐患的食品经组织检验后认为需要进行风险评估的；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（四）食品生产加工环境、条件、工艺流程、操作规范、管理规程等方面存在风险隐患，需要进行风险评估的；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（五）处理或者应对重大食品安全事件需要进行风险评估的；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（六）其他需要进行风险评估的。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食品安全风险评估结果作为食品安全监督管理的参考依据。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市食品办应当会同有关食品安全监督管理部门，根据风险评估结果采取相应的措施预防和控制风险。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食品安全风险监测和评估结果表明可能具有较高程度安全风险的食品，市食品办应当及时提出食品安全风险警示，并向社会公布；发生食品安全事故或者情况紧急、可能引发突发事件的，市食品安全监督管理部门应当根据需要实施责令暂停购进、销售相关食品等临时控制措施。必要时，经市人民政府批准，可以对相关企业、区域生产的同类食品采取相应的临时控制措施。食品安全风险消除或者采取临时控制措施的条件和原因消除后，相关部门应当及时解除风险警示和临时控制措施并向社会公布。</w:t>
      </w:r>
    </w:p>
    <w:p>
      <w:pPr>
        <w:pStyle w:val="64"/>
        <w:spacing w:before="156" w:after="156"/>
      </w:pPr>
      <w:r>
        <w:t>第二节</w:t>
      </w:r>
      <w:r>
        <w:rPr>
          <w:rFonts w:hint="eastAsia"/>
        </w:rPr>
        <w:t xml:space="preserve">  </w:t>
      </w:r>
      <w:r>
        <w:t>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食品安全监督管理部门应当依法履行食品安全监督管理职责，加强对食品和食用农产品生产经营者的日常监督检查，如实记录监督检查情况和处理结果，对存在食品安全风险隐患的生产经营单位主要负责人可以采取约谈的方式予以警示；对经检验不合格的食品应当立即采取处置措施，防止造成食品安全事故；食品办应当组织食品安全监督管理部门与相关执法部门建立执法协作机制，共享检验检测结果，互相通报执法信息，完善案件移送程序，提高食品安全执法实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品、食品添加剂和食品相关产品的生产经营者，有关市场开办者、柜台出租者，有关展销会、庙会、游园会等活动的举办者，食用农产品生产经营者，农业投入品生产经营者等任何单位和个人对食品安全监督管理部门依法进行的监督检查、抽样检验、事故调查以及疾病预防控制机构依法进行的卫生处理和流行病学调查活动应当予以配合，不得拒绝、阻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生食品安全事故时，所在地人民政府食品办应当及时通知同级卫生行政部门协调疾病预防控制机构启动食品安全事故流行病学调查程序。食品安全事故流行病学调查工作应当与相关食品安全监督管理部门的事故调查工作同步进行。疾病预防控制机构依法进行卫生处理和流行病学调查活动时，有关监督管理部门应当予以配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乡镇人民政府和街道办事处发现辖区内的食品生产经营违法行为，应当予以制止，并及时向区、县食品办和有关食品安全监督管理部门报告。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接到报告的食品办和食品安全监督管理部门应当及时调查处理，并反馈结果。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市和区、县食品办应当组织市和区、县食品安全监督管理部门制定食品安全年度监督管理和抽检计划，食品安全监督管理部门应当按照计划开展食品安全监督管理。对本市重点监督管理的食品，市食品办应当组织有关食品安全监督管理部门进行风险监测和抽样检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受检单位对检验结论有异议的，应当以书面形式提出复检申请。复检样品应当是初检机构抽检的备份样品。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有下列情形之一的，不予复检：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（一）逾期提出复检申请或者已进行过复检的；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（二）私自拆封、调换或者损毁备份样品的；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（三）备份样品超过保质期的；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（四）初检结果显示微生物指标超标的；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（五）备份样品的生产单位对样品的真实性提出异议，但不能提供有关证明文件的；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（六）备份样品在正常储存过程中可能发生改变、影响检验结果的；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（七）其他非人为原因可能导致备份样品无法实现复检目的的。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食品安全监督管理部门现场发现食品腐败变质、油脂酸败、霉变生虫、掺杂异物或者其他感官性状明显异常的，可以通过视听图像、文字描述等方式记录现场情况，经当事人签字确认，可以作为证据。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食品安全监督管理部门有权责令食品生产者召回、食品经营者停止销售不符合食品安全标准的食品，并及时公布有关信息。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除因标签标识或者说明书不符合食品安全标准的以外，食品安全监督管理部门应当监督食品生产者销毁被召回的食品或者实施无害化处理。监督销毁或者实施无害化处理后，现场监督人员应当作完整记录、签字确认并及时上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食品安全监督管理部门在监督检查中发现食品或者食用农产品生产经营者存在严重违法行为的，可以将载明违法生产经营者名称、违法事项和行政处理决定等内容的公示书张贴在该违法生产经营者的生产经营场所明显位置；在规定时间内履行行政处理决定规定义务的，食品安全监督管理部门可以撤销现场公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对本条前款规定的违法生产经营者擅自揭除、撕毁、遮挡、污损公示书的，可以从重或者加重行政处罚。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对食品生产经营者存在严重违法行为、造成恶劣社会影响的，食品安全监督管理部门可以通过电视、报刊、广播、互联网等媒体予以曝光。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本市实行食品安全和食用农产品质量安全追溯制度。在整合现有食品安全追溯信息平台基础上建立统一的食品安全追溯信息归集、共享、公布平台，开展食品安全全过程追溯的区域合作。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市根据食品安全存在风险的状况，对本市重点监督管理的食品和食用农产品的生产经营加强监管，实现生产、收购、加工、贮存、运输、销售全过程的食品安全信息可追溯。食品和食用农产品生产经营者应当按照规定记录和报送相关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市食品办应当建立全市统一的食品安全信用信息平台，统一归集食品生产经营者的身份信息、提示信息、警示信息、良好信息和违法信息等信用信息，并向社会公开。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品安全监督管理部门应当依法建立食品生产经营者食品安全信用档案，记录许可证颁发、日常监督检查结果、违法行为查处等监督管理过程中获取的有关食品生产经营者食品安全状况的信息，并将相关信息纳入食品安全信用信息平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食品安全监督管理部门可以根据食品生产经营者信用状况、食品的风险程度对食品生产经营者实行分级分类或者积分管理，对有不良信用记录的、发生食品安全事故风险较高的食品生产经营者重点加强管理，增加监督检查频次；食品生产经营者食品安全信用状况可以作为食品安全监督管理部门是否批准延续相关行政许可申请的重要评价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本市实行食品安全信息公开制度，定期向社会公布抽查监测结果、执法检查情况等信息。对食品安全突发事件和社会关注的食品安全热点问题，有关食品安全监督管理部门应当及时公布事件进展、应急处置措施、公众防范措施和调查处理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下列食品安全信息由市食品办统一公布：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（一）本市食品安全总体情况；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（二）本市食品安全风险评估信息和风险警示信息；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（三）本市重大食品安全事件及其处理信息；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（四）市人民政府确定的需要统一公布的信息。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有关食品安全监督管理部门依据各自职责公布食品安全和农产品质量安全日常监督管理信息，同时向市食品办通报。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食品安全监督管理部门在监督检查中发现违法行为涉嫌构成刑事犯罪的，应当及时移送公安机关。公安机关应当及时调查，对符合立案标准的立案侦查，食品安全监督管理部门予以配合。</w:t>
      </w:r>
    </w:p>
    <w:p>
      <w:pPr>
        <w:pStyle w:val="40"/>
        <w:topLinePunct/>
        <w:spacing w:line="412" w:lineRule="exact"/>
        <w:ind w:firstLine="480" w:firstLineChars="200"/>
        <w:jc w:val="both"/>
        <w:outlineLvl w:val="9"/>
        <w:rPr>
          <w:rFonts w:cs="Times New Roman" w:asciiTheme="minorEastAsia" w:hAnsiTheme="minorEastAsia" w:eastAsiaTheme="minorEastAsia"/>
          <w:b/>
          <w:sz w:val="24"/>
          <w:szCs w:val="24"/>
        </w:rPr>
      </w:pPr>
      <w:r>
        <w:rPr>
          <w:rFonts w:cs="Times New Roman" w:asciiTheme="minorEastAsia" w:hAnsiTheme="minorEastAsia" w:eastAsiaTheme="minorEastAsia"/>
          <w:sz w:val="24"/>
          <w:szCs w:val="24"/>
        </w:rPr>
        <w:t>第六章 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本市建立健全食品安全执法责任追究制度。市和区、县食品办、食品安全监督管理部门及其工作人员违反本条例规定，违法履行、不履行或者不当履行行政职责的，按照国家和本市有关规定给予行政问责和行政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有下列情形之一的，由有关主管部门责令限期改正，没收违法所得、违法生产经营的食品和用于违法生产经营的工具、设备、原料等物品；违法生产经营的食品货值金额不足1万元的，并处2000元以上5万元以下罚款；货值金额1万元以上的，并处货值金额5倍以上10倍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（一）违反本条例第十一条规定，未获得许可擅自从事食品生产经营活动的；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（二）违反本条例第十二条第二款的规定，未按照许可证上标明的业态从事食品生产经营的；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（三）违反本条例第十三条第二款的规定，食品生产加工作坊生产加工食品品种目录以外的食品的；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（四）违反本条例第十五条第二款的规定，食品摊贩经营食品品种目录以外的食品的；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（五）违反本条例第二十六条第一款的规定，食品生产经营者委托无生产许可证的企业生产食品的。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有前款第二项至第五项所列情形之一，情节严重的，由有关主管部门吊销许可证、准许证或者取消登记。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食品生产加工作坊、食品摊贩生产经营条件发生变化，未采取整改措施以符合本条例第十三条第二款、第三款和第十五条第一款、第三款规定的生产经营条件和要求的，由有关主管部门责令限期改正，给予警告；造成后果的，没收违法所得、违法生产经营的食品和用于违法生产经营的工具、设备、原料等物品；违法生产经营的食品货值金额不足1万元的，并处2000元以上5万元以下罚款；货值金额1万元以上的，并处货值金额5倍以上10倍以下罚款；情节严重的，吊销准许证或者取消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违反本条例的规定，有下列情形之一的，由所在地主管部门按照各自职责分工，责令限期改正；逾期不改正的，责令停产停业：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（一）从事食品经营的摊贩未按照本条例第十六条第一款的规定向有关乡镇人民政府或者街道办事处登记相关信息的；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（二）食品生产经营企业的主要负责人不履行本条例第二十一条第二款第一项至第四项规定的职责的；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（三）食品安全管理员违反本条例第二十二条的规定，不按照岗位职责要求具体负责组织落实本单位的食品安全管理制度，或者落实不力的；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（四）食品经营者违反本条例第二十七条第一款的规定，未按要求经营散装食品的；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（五）无店铺食品经营者违反本条例第二十八条的规定，未履行公示或者告知义务的。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食品和食品添加剂生产经营者、贮存和运输服务提供者违反本条例第二十五条的规定的，由有关主管部门责令限期改正，给予警告；逾期不改正的，处2000元以上2万元以下罚款；情节严重的，责令停产停业，直至吊销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违反本条例第二十九条的规定，市场开办者、活动举办者或者柜台出租者未执行相关规定的，由有关主管部门处2000元以上5万元以下罚款；造成严重后果的，责令停业，由原发证部门吊销许可证。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餐饮服务提供者和集体用餐配送单位违反本条例第三十条第一款、第二款的规定的，由卫生行政部门责令限期改正，给予警告；造成后果的，没收违法所得、违法经营的食品和用于违法经营的工具、设备、原料等物品；违法经营的食品货值金额不足1万元的，并处2000元以上5万元以下罚款；货值金额1万元以上的，并处货值金额5倍以上10倍以下罚款；情节严重的，吊销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违反本条例第三十条第三款的规定，购买、存放和使用亚硝酸盐等易滥用的食品添加剂的，由有关主管部门没收违法所得、违法生产经营的食品和用于违法生产经营的工具、设备、原料等物品；违法生产经营的食品货值金额不足1万元的，并处2000元以上5万元以下罚款；货值金额1万元以上的，并处货值金额2倍以上5倍以下罚款；情节严重的，责令停产停业，直至吊销许可证、准许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餐饮具清洗消毒企业和服务提供者违反本条例第三十条第四款的规定，不按照规范要求从事餐饮具清洗消毒，提供不符合食品安全标准的餐饮具的，由卫生行政部门责令改正，给予警告；拒不改正的，处2000元以上2万元以下罚款；情节严重的，责令停产停业，直至吊销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违反本条例第三十一条第一款的规定，餐饮服务提供者未按照环境影响评价要求设置油水分离器、收集容器、隔油池等设备设施的，由环境保护部门依法责令停止使用产生废弃油脂的器具或者设备设施，可以处2万元以上10万元以下的罚款；未保持油水分离器、收集容器、隔油池等设备设施正常运转的，由环境保护部门依法责令限期改正，处应缴纳排污费数额1倍以上3倍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违反本条例第三十一条第二款的规定，餐饮服务提供者未按照规定收集、处理餐厨垃圾的，由城市管理综合执法部门依法责令停业，并可处5000元以上5万元以下罚款。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违反本条例第三十二条、第三十三条的规定贮存食品的，由有关主管部门责令限期改正，给予警告；逾期不改正的，处2000元以上2万元以下罚款；情节严重的，责令停产停业；运输食品的，由有关主管部门责令限期改正，给予警告；逾期不改正的，责令停产停业，并处2000元以上5万元以下罚款；情节严重的，由原发证部门吊销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违反本条例第三十四条第一项至第四项的规定的，由有关主管部门没收违法所得、违法生产经营的食品和用于违法生产经营的工具、设备、原料等物品；违法生产经营的食品货值金额不足1万元的，并处2000元以上5万元以下罚款；货值金额1万元以上的，并处货值金额5倍以上10倍以下罚款；情节严重的，责令停产停业，直至吊销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条例第三十四条第五项的规定生产经营食品的，由有关主管部门依法责令停止生产经营，没收违法生产经营的食品，并处违法生产经营的食品货值金额1倍以上3倍以下罚款；有违法所得的，并处没收违法所得；情节严重的，吊销营业执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违反本条例第三十七条第三款的规定，生猪及其他畜禽屠宰企业未按照规定记录养殖者、防疫、检疫、饲料等相关信息，或者未按照操作规范实施屠宰加工，或者收购无固定养殖基地、无法追溯来源的生猪及有关畜禽，或者接受他人委托进行屠宰加工的，由商务行政部门或者农业行政部门责令限期改正，处2万元以上5万元以下罚款；逾期不改正的，责令停业整顿，对其主要负责人处5000元以上1万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违反本条例第三十九条第二款的规定经营农药的，由农业行政部门责令限期改正；逾期不改正的，没收违法所得和违法经营的农药，违法经营的农药货值金额不足1万元的，并处2000元以上2万元以下罚款；违法经营的农药货值金额1万元以上的，并处货值金额2倍以上5倍以下罚款；逾期不改正，经营范围和经营条件仍不符合有关规定和食品安全要求的，农业行政部门可以提出吊销其营业执照的建议，由工商行政管理部门依法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农药、兽药、饲料和饲料添加剂、肥料等农业投入品经营者违反本条例第四十条的规定的，由农业行政部门责令限期改正，没收违法所得和违法经营的投入品，并处2000元以上1万元以下罚款。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对单位被吊销食品生产许可证、食品经营许可证负有责任的单位主要负责人、直接负责的主管人员、直接责任人员自吊销许可证的行政处罚决定作出之日起5年内不得从事食品生产、经营和管理工作。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食品生产经营者生产经营不符合安全标准或者有毒、有害食品，对人体健康造成严重后果、构成犯罪的，终身不得从事食品生产经营活动。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食品生产经营者违反本条第一款、第二款的规定，聘用不得从事食品生产经营管理工作的人员从事食品生产经营管理工作的，由原发证部门吊销许可证。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sz w:val="24"/>
          <w:szCs w:val="24"/>
        </w:rPr>
        <w:t>违反本条例规定，拒绝或者阻碍食品安全监督管理部门监督检查和抽样检验的，由有关部门责令改正；逾期不改正的，对其生产经营的食品按不符合食品安全标准论处。拒绝或者阻碍食品安全事故调查、事故现场卫生处理和流行病学调查的，由有关部门责令改正；违反治安管理规定的，由公安机关依法实施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sz w:val="24"/>
          <w:szCs w:val="24"/>
        </w:rPr>
        <w:t>对违反本条例规定的行为，法律、法规已规定法律责任的，从其规定。</w:t>
      </w:r>
    </w:p>
    <w:p>
      <w:pPr>
        <w:pStyle w:val="63"/>
        <w:spacing w:before="218" w:after="218" w:line="412" w:lineRule="exact"/>
        <w:rPr>
          <w:b/>
        </w:rPr>
      </w:pPr>
      <w:r>
        <w:t xml:space="preserve">第七章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sz w:val="24"/>
          <w:szCs w:val="24"/>
        </w:rPr>
        <w:t>药品监督部门依照有关法律、行政法规的规定对声称具有特定保健功能的食品实行监管。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sz w:val="24"/>
          <w:szCs w:val="24"/>
        </w:rPr>
        <w:t>本条例自2013年4月1日起施行。1996年5月30日北京市第十届人民代表大会常务委员会第二十七次会议通过的《北京市实施〈中华人民共和国食品卫生法〉办法》同时废止。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492" w:name="_Toc24617"/>
      <w:bookmarkStart w:id="493" w:name="_Toc466579816"/>
      <w:bookmarkStart w:id="494" w:name="_Toc18916295"/>
    </w:p>
    <w:p>
      <w:pPr>
        <w:pStyle w:val="3"/>
        <w:topLinePunct/>
        <w:spacing w:line="416" w:lineRule="exact"/>
        <w:ind w:firstLine="480"/>
        <w:rPr>
          <w:rFonts w:asciiTheme="minorEastAsia" w:hAnsiTheme="minorEastAsia" w:eastAsiaTheme="minorEastAsia"/>
          <w:sz w:val="24"/>
          <w:szCs w:val="24"/>
        </w:rPr>
      </w:pPr>
    </w:p>
    <w:p>
      <w:pPr>
        <w:pStyle w:val="61"/>
        <w:rPr>
          <w:kern w:val="2"/>
        </w:rPr>
      </w:pPr>
      <w:bookmarkStart w:id="495" w:name="_Toc25653695"/>
      <w:bookmarkStart w:id="496" w:name="_Toc26347959"/>
      <w:bookmarkStart w:id="497" w:name="_Toc28156981"/>
      <w:bookmarkStart w:id="498" w:name="_Toc28252182"/>
      <w:bookmarkStart w:id="499" w:name="_Toc25648200"/>
      <w:bookmarkStart w:id="500" w:name="_Toc28250909"/>
      <w:r>
        <w:rPr>
          <w:kern w:val="2"/>
        </w:rPr>
        <w:t>国务院关于加强食品等产品安全</w:t>
      </w:r>
      <w:r>
        <w:rPr>
          <w:rFonts w:hint="eastAsia"/>
          <w:kern w:val="2"/>
        </w:rPr>
        <w:br w:type="textWrapping"/>
      </w:r>
      <w:r>
        <w:rPr>
          <w:kern w:val="2"/>
        </w:rPr>
        <w:t>监督管理的特别规定</w:t>
      </w:r>
      <w:bookmarkEnd w:id="492"/>
      <w:bookmarkEnd w:id="493"/>
      <w:bookmarkEnd w:id="494"/>
      <w:bookmarkEnd w:id="495"/>
      <w:bookmarkEnd w:id="496"/>
      <w:bookmarkEnd w:id="497"/>
      <w:bookmarkEnd w:id="498"/>
      <w:bookmarkEnd w:id="499"/>
      <w:bookmarkEnd w:id="500"/>
    </w:p>
    <w:p>
      <w:pPr>
        <w:pStyle w:val="62"/>
        <w:ind w:left="0" w:leftChars="0" w:right="0" w:rightChars="0" w:firstLine="0" w:firstLineChars="0"/>
        <w:jc w:val="center"/>
        <w:rPr>
          <w:b/>
        </w:rPr>
      </w:pPr>
      <w:r>
        <w:t>（</w:t>
      </w:r>
      <w:r>
        <w:rPr>
          <w:rFonts w:hint="eastAsia"/>
        </w:rPr>
        <w:t>2007年7月26日中华人民共和国国务院令第503号</w:t>
      </w:r>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为了加强食品等产品安全监督管理，进一步明确生产经营者、监督管理部门和地方人民政府的责任，加强各监督管理部门的协调、配合，保障人体健康和生命安全，制定本规定。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bCs/>
          <w:sz w:val="24"/>
          <w:szCs w:val="24"/>
        </w:rPr>
        <w:t xml:space="preserve">第二条  </w:t>
      </w:r>
      <w:r>
        <w:rPr>
          <w:rFonts w:asciiTheme="minorEastAsia" w:hAnsiTheme="minorEastAsia" w:eastAsiaTheme="minorEastAsia"/>
          <w:sz w:val="24"/>
          <w:szCs w:val="24"/>
        </w:rPr>
        <w:t>本规定所称产品除食品外，还包括食用农产品、药品等与人体健康和生命安全有关的产品。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对产品安全监督管理，法律有规定的，适用法律规定；法律没有规定或者规定不明确的，适用本规定。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生产经营者应当对其生产、销售的产品安全负责，不得生产、销售不符合法定要求的产品。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法应当取得许可证照而未取得许可证照从事生产经营活动的，由农业、卫生、质检、商务、工商、药品等监督管理部门依据各自职责，没收违法所得、产品和用于违法生产的工具、设备、原材料等物品，货值金额不足1万元的，并处10万元罚款；货值金额1万元以上的，并处货值金额10倍以上20倍以下的罚款；构成非法经营罪的，依法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有关行业协会应当加强行业自律，监督生产经营者的生产经营活动；加强公众健康知识的普及、宣传，引导消费者选择合法生产经营者生产、销售的产品以及有合法标识的产品。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生产者生产产品所使用的原料、辅料、添加剂、农业投入品，应当符合法律、行政法规的规定和国家强制性标准。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销售者必须建立并执行进货检查验收制度，审验供货商的经营资格，验明产品合格证明和产品标识，并建立产品进货台账，如实记录产品名称、规格、数量、供货商及其联系方式、进货时间等内容。从事产品批发业务的销售企业应当建立产品销售台账，如实记录批发的产品品种、规格、数量、流向等内容。在产品集中交易场所销售自制产品的生产企业应当比照从事产品批发业务的销售企业的规定，履行建立产品销售台账的义务。进货台账和销售台账保存期限不得少于2年。销售者应当向供货商按照产品生产批次索要符合法定条件的检验机构出具的检验报告或者由供货商签字或者盖章的检验报告复印件；不能提供检验报告或者检验报告复印件的产品，不得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前款规定的，由工商、药品监督管理部门依据各自职责责令停止销售；不能提供检验报告或者检验报告复印件销售产品的，没收违法所得和违法销售的产品，并处货值金额3倍的罚款；造成严重后果的，由原发证部门吊销许可证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产品集中交易市场的开办企业、产品经营柜台出租企业、产品展销会的举办企业，应当审查入场销售者的经营资格，明确入场销售者的产品安全管理责任，定期对入场销售者的经营环境、条件、内部安全管理制度和经营产品是否符合法定要求进行检查，发现销售不符合法定要求产品或者其他违法行为的，应当及时制止并立即报告所在地工商行政管理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违反前款规定的，由工商行政管理部门处以1000元以上5万元以下的罚款；情节严重的，责令停业整顿；造成严重后果的，吊销营业执照。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出口产品的生产经营者应当保证其出口产品符合进口国（地区）的标准或者合同要求。法律规定产品必须经过检验方可出口的，应当经符合法律规定的机构检验合格。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出口产品检验人员应当依照法律、行政法规规定和有关标准、程序、方法进行检验，对其出具的检验证单等负责。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出入境检验检疫机构和商务、药品等监督管理部门应当建立出口产品的生产经营者良好记录和不良记录，并予以公布。对有良好记录的出口产品的生产经营者，简化检验检疫手续。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出口产品的生产经营者逃避产品检验或者弄虚作假的，由出入境检验检疫机构和药品监督管理部门依据各自职责，没收违法所得和产品，并处货值金额3倍的罚款；构成犯罪的，依法追究刑事责任。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进口产品应当符合我国国家技术规范的强制性要求以及我国与出口国（地区）签订的协议规定的检验要求。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检、药品监督管理部门依据生产经营者的诚信度和质量管理水平以及进口产品风险评估的结果，对进口产品实施分类管理，并对进口产品的收货人实施备案管理。进口产品的收货人应当如实记录进口产品流向。记录保存期限不得少于2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质检、药品监督管理部门发现不符合法定要求产品时，可以将不符合法定要求产品的进货人、报检人、代理人列入不良记录名单。进口产品的进货人、销售者弄虚作假的，由质检、药品监督管理部门依据各自职责，没收违法所得和产品，并处货值金额3倍的罚款；构成犯罪的，依法追究刑事责任。进口产品的报检人、代理人弄虚作假的，取消报检资格，并处货值金额等值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企业和销售者不履行前款规定义务的，由农业、卫生、质检、商务、工商、药品等监督管理部门依据各自职责，责令生产企业召回产品、销售者停止销售，对生产企业并处货值金额3倍的罚款，对销售者并处1000元以上5万元以下的罚款；造成严重后果的，由原发证部门吊销许可证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县级以上地方人民政府应当将产品安全监督管理纳入政府工作考核目标，对本行政区域内的产品安全监督管理负总责，统一领导、协调本行政区域内的监督管理工作，建立健全监督管理协调机制，加强对行政执法的协调、监督；统一领导、指挥产品安全突发事件应对工作，依法组织查处产品安全事故；建立监督管理责任制，对各监督管理部门进行评议、考核。质检、工商和药品等监督管理部门应当在所在地同级人民政府的统一协调下，依法做好产品安全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不履行产品安全监督管理的领导、协调职责，本行政区域内一年多次出现产品安全事故、造成严重社会影响的，由监察机关或者任免机关对政府的主要负责人和直接负责的主管人员给予记大过、降级或者撤职的处分。</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国务院质检、卫生、农业等主管部门在各自职责范围内尽快制定、修改或者起草相关国家标准，加快建立统一管理、协调配套、符合实际、科学合理的产品标准体系。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bCs/>
          <w:sz w:val="24"/>
          <w:szCs w:val="24"/>
        </w:rPr>
        <w:t xml:space="preserve">第十二条  </w:t>
      </w:r>
      <w:r>
        <w:rPr>
          <w:rFonts w:asciiTheme="minorEastAsia" w:hAnsiTheme="minorEastAsia" w:eastAsiaTheme="minorEastAsia"/>
          <w:sz w:val="24"/>
          <w:szCs w:val="24"/>
        </w:rPr>
        <w:t>县级以上人民政府及其部门对产品安全实施监督管理，应当按照法定权限和程序履行职责，做到公开、公平、公正。对生产经营者同一违法行为，不得给予2次以上罚款的行政处罚；对涉嫌构成犯罪、依法需要追究刑事责任的，应当依照《行政执法机关移送涉嫌犯罪案件的规定》，向公安机关移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卫生、质检、商务、工商、药品等监督管理部门应当依据各自职责对生产经营者进行监督检查，并对其遵守强制性标准、法定要求的情况予以记录，由监督检查人员签字后归档。监督检查记录应当作为其直接负责主管人员定期考核的内容。公众有权查阅监督检查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生产经营者有下列情形之一的，农业、卫生、质检、商务、工商、药品等监督管理部门应当依据各自职责采取措施，纠正违法行为，防止或者减少危害发生，并依照本规定予以处罚：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（一）依法应当取得许可证照而未取得许可证照从事生产经营活动的；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（二）取得许可证照或者经过认证后，不按照法定条件、要求从事生产经营活动或者生产、销售不符合法定要求产品的；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（三）生产经营者不再符合法定条件、要求继续从事生产经营活动的；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（四）生产者生产产品不按照法律、行政法规的规定和国家强制性标准使用原料、辅料、添加剂、农业投入品的；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（五）销售者没有建立并执行进货检查验收制度，并建立产品进货台账的；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（六）生产企业和销售者发现其生产、销售的产品存在安全隐患，可能对人体健康和生命安全造成损害，不履行本规定的义务的；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（七）生产经营者违反法律、行政法规和本规定的其他有关规定的。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卫生、质检、商务、工商、药品等监督管理部门不履行前款规定职责、造成后果的，由监察机关或者任免机关对其主要负责人、直接负责的主管人员和其他直接责任人员给予记大过或者降级的处分；造成严重后果的，给予其主要负责人、直接负责的主管人员和其他直接责任人员撤职或者开除的处分；其主要负责人、直接负责的主管人员和其他直接责任人员构成渎职罪的，依法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规定，滥用职权或者有其他渎职行为的，由监察机关或者任免机关对其主要负责人、直接负责的主管人员和其他直接责任人员给予记过或者记大过的处分；造成严重后果的，给予其主要负责人、直接负责的主管人员和其他直接责任人员降级或者撤职的处分；其主要负责人、直接负责的主管人员和其他直接责任人员构成渎职罪的，依法追究刑事责任。</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业、卫生、质检、商务、工商、药品等监督管理部门发现违反本规定的行为，属于其他监督管理部门职责的，应当立即书面通知并移交有权处理的监督管理部门处理。有权处理的部门应当立即处理，不得推诿；因不立即处理或者推诿造成后果的，由监察机关或者任免机关对其主要负责人、直接负责的主管人员和其他直接责任人员给予记大过或者降级的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bCs/>
          <w:sz w:val="24"/>
          <w:szCs w:val="24"/>
        </w:rPr>
        <w:t xml:space="preserve">第十五条  </w:t>
      </w:r>
      <w:r>
        <w:rPr>
          <w:rFonts w:asciiTheme="minorEastAsia" w:hAnsiTheme="minorEastAsia" w:eastAsiaTheme="minorEastAsia"/>
          <w:sz w:val="24"/>
          <w:szCs w:val="24"/>
        </w:rPr>
        <w:t>农业、卫生、质检、商务、工商、药品等监督管理部门履行各自产品安全监督管理职责，有下列职权：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（一）进入生产经营场所实施现场检查；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（二）查阅、复制、查封、扣押有关合同、票据、账簿以及其他有关资料；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（三）查封、扣押不符合法定要求的产品，违法使用的原料、辅料、添加剂、农业投入品以及用于违法生产的工具、设备；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（四）查封存在危害人体健康和生命安全重大隐患的生产经营场所。</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农业、卫生、质检、商务、工商、药品等监督管理部门应当建立生产经营者违法行为记录制度，对违法行为的情况予以记录并公布；对有多次违法行为记录的生产经营者，吊销许可证照。</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第十七条  </w:t>
      </w:r>
      <w:r>
        <w:rPr>
          <w:rFonts w:asciiTheme="minorEastAsia" w:hAnsiTheme="minorEastAsia" w:eastAsiaTheme="minorEastAsia"/>
          <w:sz w:val="24"/>
          <w:szCs w:val="24"/>
        </w:rPr>
        <w:t>检验检测机构出具虚假检验报告，造成严重后果的，由授予其资质的部门吊销其检验检测资质；构成犯罪的，对直接负责的主管人员和其他直接责任人员依法追究刑事责任。</w:t>
      </w:r>
    </w:p>
    <w:p>
      <w:pPr>
        <w:pStyle w:val="3"/>
        <w:topLinePunct/>
        <w:spacing w:line="412" w:lineRule="exact"/>
        <w:ind w:firstLine="482"/>
        <w:rPr>
          <w:rFonts w:asciiTheme="minorEastAsia" w:hAnsiTheme="minorEastAsia" w:eastAsiaTheme="minorEastAsia"/>
          <w:b/>
          <w:bCs/>
          <w:sz w:val="24"/>
          <w:szCs w:val="24"/>
        </w:rPr>
      </w:pPr>
      <w:r>
        <w:rPr>
          <w:rFonts w:asciiTheme="minorEastAsia" w:hAnsiTheme="minorEastAsia" w:eastAsiaTheme="minorEastAsia"/>
          <w:b/>
          <w:bCs/>
          <w:sz w:val="24"/>
          <w:szCs w:val="24"/>
        </w:rPr>
        <w:t xml:space="preserve">第十八条  </w:t>
      </w:r>
      <w:r>
        <w:rPr>
          <w:rFonts w:asciiTheme="minorEastAsia" w:hAnsiTheme="minorEastAsia" w:eastAsiaTheme="minorEastAsia"/>
          <w:sz w:val="24"/>
          <w:szCs w:val="24"/>
        </w:rPr>
        <w:t>发生产品安全事故或者其他对社会造成严重影响的产品安全事件时，农业、卫生、质检、商务、工商、药品等监督管理部门必须在各自职责范围内及时作出反应，采取措施，控制事态发展，减少损失，依照国务院规定发布信息，做好有关善后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bCs/>
          <w:sz w:val="24"/>
          <w:szCs w:val="24"/>
        </w:rPr>
        <w:t xml:space="preserve">第十九条  </w:t>
      </w:r>
      <w:r>
        <w:rPr>
          <w:rFonts w:asciiTheme="minorEastAsia" w:hAnsiTheme="minorEastAsia" w:eastAsiaTheme="minorEastAsia"/>
          <w:sz w:val="24"/>
          <w:szCs w:val="24"/>
        </w:rPr>
        <w:t>任何组织或者个人对违反本规定的行为有权举报。接到举报的部门应当为举报人保密。举报经调查属实的，受理举报的部门应当给予举报人奖励。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卫生、质检、商务、工商、药品等监督管理部门应当公布本单位的电子邮件地址或者举报电话；对接到的举报，应当及时、完整地进行记录并妥善保存。举报的事项属于本部门职责的，应当受理，并依法进行核实、处理、答复；不属于本部门职责的，应当转交有权处理的部门，并告知举报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本规定自公布之日起施行。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501" w:name="_Toc13212"/>
      <w:bookmarkStart w:id="502" w:name="_Toc18916296"/>
      <w:bookmarkStart w:id="503" w:name="_Toc466579818"/>
    </w:p>
    <w:p>
      <w:pPr>
        <w:pStyle w:val="3"/>
        <w:topLinePunct/>
        <w:spacing w:line="416" w:lineRule="exact"/>
        <w:ind w:firstLine="480"/>
        <w:rPr>
          <w:rFonts w:asciiTheme="minorEastAsia" w:hAnsiTheme="minorEastAsia" w:eastAsiaTheme="minorEastAsia"/>
          <w:sz w:val="24"/>
          <w:szCs w:val="24"/>
        </w:rPr>
      </w:pPr>
    </w:p>
    <w:p>
      <w:pPr>
        <w:pStyle w:val="61"/>
        <w:rPr>
          <w:kern w:val="2"/>
        </w:rPr>
      </w:pPr>
      <w:bookmarkStart w:id="504" w:name="_Toc28252183"/>
      <w:bookmarkStart w:id="505" w:name="_Toc25648201"/>
      <w:bookmarkStart w:id="506" w:name="_Toc25653696"/>
      <w:bookmarkStart w:id="507" w:name="_Toc26347960"/>
      <w:bookmarkStart w:id="508" w:name="_Toc28156982"/>
      <w:bookmarkStart w:id="509" w:name="_Toc28250910"/>
      <w:r>
        <w:rPr>
          <w:kern w:val="2"/>
        </w:rPr>
        <w:t>无公害农产品管理办法</w:t>
      </w:r>
      <w:bookmarkEnd w:id="501"/>
      <w:bookmarkEnd w:id="502"/>
      <w:bookmarkEnd w:id="503"/>
      <w:bookmarkEnd w:id="504"/>
      <w:bookmarkEnd w:id="505"/>
      <w:bookmarkEnd w:id="506"/>
      <w:bookmarkEnd w:id="507"/>
      <w:bookmarkEnd w:id="508"/>
      <w:bookmarkEnd w:id="509"/>
    </w:p>
    <w:p>
      <w:pPr>
        <w:pStyle w:val="62"/>
      </w:pPr>
      <w:r>
        <w:t>（</w:t>
      </w:r>
      <w:r>
        <w:rPr>
          <w:rFonts w:hint="eastAsia"/>
        </w:rPr>
        <w:t>2002年4月29日农业部、国家质检总局令第12号公布，2007年11月8日农业部令第6号修订</w:t>
      </w:r>
      <w:r>
        <w:t>）</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为加强对无公害农产品的管理，维护消费者权益，提高农产品质量，保护农业生态环境，促进农业可持续发展，制定本办法。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本办法所称无公害农产品，是指产地环境、生产过程和产品质量符合国家有关标准和规范的要求，经认证合格获得认证证书并允许使用无公害农产品标志的未经加工或者初加工的食用农产品。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无公害农产品管理工作，由政府推动，并实行产地认定和产品认证的工作模式。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在中华人民共和国境内从事无公害农产品生产、产地认定、产品认证和监督管理等活动，适用本办法。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全国无公害农产品的管理及质量监督工作，由农业部门、国家质量监督检验检疫部门和国家认证认可监督管理委员会按照“三定”方案赋予的职责和国务院的有关规定，分工负责，共同做好工作。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各级农业行政主管部门和质量监督检验检疫部门应当在政策、资金、技术等方面扶持无公害农产品的发展，组织无公害农产品新技术的研究、开发和推广。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国家鼓励生产单位和个人申请无公害农产品产地认定和产品认证。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实施无公害农产品认证的产品范围由农业部、国家认证认可监督管理委员会共同确定、调整。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国家适时推行强制性无公害农产品认证制度。</w:t>
      </w:r>
    </w:p>
    <w:p>
      <w:pPr>
        <w:pStyle w:val="63"/>
        <w:spacing w:before="218" w:after="218" w:line="412" w:lineRule="exact"/>
        <w:rPr>
          <w:b/>
        </w:rPr>
      </w:pPr>
      <w:r>
        <w:t xml:space="preserve">第二章 </w:t>
      </w:r>
      <w:r>
        <w:rPr>
          <w:rFonts w:hint="eastAsia"/>
        </w:rPr>
        <w:t xml:space="preserve"> </w:t>
      </w:r>
      <w:r>
        <w:t>产地条件与生产管理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无公害农产品产地应当符合下列条件：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（一）产地环境符合无公害农产品产地环境的标准要求；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（二）区域范围明确；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（三）具备一定的生产规模。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无公害农产品的生产管理应当符合下列条件：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（一）生产过程符合无公害农产品生产技术的标准要求；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（二）有相应的专业技术和管理人员；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（三）有完善的质量控制措施，并有完整的生产和销售记录档案。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从事无公害农产品生产的单位或者个人，应当严格按规定使用农业投入品。禁止使用国家禁用、淘汰的农业投入品。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无公害农产品产地应当树立标示牌，标明范围、产品品种、责任人。</w:t>
      </w:r>
    </w:p>
    <w:p>
      <w:pPr>
        <w:pStyle w:val="63"/>
        <w:spacing w:before="218" w:after="218" w:line="412" w:lineRule="exact"/>
        <w:rPr>
          <w:b/>
        </w:rPr>
      </w:pPr>
      <w:r>
        <w:t xml:space="preserve">第三章 </w:t>
      </w:r>
      <w:r>
        <w:rPr>
          <w:rFonts w:hint="eastAsia"/>
        </w:rPr>
        <w:t xml:space="preserve"> </w:t>
      </w:r>
      <w:r>
        <w:t>产地认定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省级农业行政主管部门根据本办法的规定负责组织实施本辖区内无公害农产品产地的认定工作。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申请无公害农产品产地认定的单位或者个人（以下简称申请人），应当向县级农业行政主管部门提交书面申请，书面申请应当包括以下内容：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（一）申请人的姓名（名称）、地址、电话号码；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（二）产地的区域范围、生产规模；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（三）无公害农产品生产计划；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（四）产地环境说明；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（五）无公害农产品质量控制措施；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（六）有关专业技术和管理人员的资质证明材料；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（七）保证执行无公害农产品标准和规范的声明；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（八）其他有关材料。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县级农业行政主管部门自收到申请之日起，在10个工作日内完成对申请材料的初审工作。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申请材料初审不符合要求的，应当书面通知申请人。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申请材料初审符合要求的，县级农业行政主管部门应当逐级将推荐意见和有关材料上报省级农业行政主管部门。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省级农业行政主管部门自收到推荐意见和有关材料之日起，在10个工作日内完成对有关材料的审核工作，符合要求的，组织有关人员对产地环境、区域范围、生产规模、质量控制措施、生产计划等进行现场检查。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现场检查不符合要求的，应当书面通知申请人。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现场检查符合要求的，应当通知申请人委托具有资质资格的检测机构，对产地环境进行检测。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承担产地环境检测任务的机构，根据检测结果出具产地环境检测报告。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省级农业行政主管部门对材料审核、现场检查和产地环境检测结果符合要求的，应当自收到现场检查报告和产地环境检测报告之日起，30个工作日内颁发无公害农产品产地认定证书，并报农业部和国家认证认可监督管理委员会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不符合要求的，应当书面通知申请人。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无公害农产品产地认定证书有效期为3年。期满需要继续使用的，应当在有效期满90日前按照本办法规定的无公害农产品产地认定程序，重新办理。</w:t>
      </w:r>
    </w:p>
    <w:p>
      <w:pPr>
        <w:pStyle w:val="63"/>
        <w:spacing w:before="218" w:after="218" w:line="412" w:lineRule="exact"/>
      </w:pPr>
      <w:r>
        <w:t xml:space="preserve">第四章 </w:t>
      </w:r>
      <w:r>
        <w:rPr>
          <w:rFonts w:hint="eastAsia"/>
        </w:rPr>
        <w:t xml:space="preserve"> </w:t>
      </w:r>
      <w:r>
        <w:t>无公害农产品认证</w:t>
      </w:r>
    </w:p>
    <w:p>
      <w:pPr>
        <w:pStyle w:val="3"/>
        <w:topLinePunct/>
        <w:spacing w:line="396"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无公害农产品的认证机构，由国家认证认可监督管理委员会审批，并获得国家认证认可监督管理委员会授权的认可机构的资格认可后，方可从事无公害农产品认证活动。</w:t>
      </w:r>
    </w:p>
    <w:p>
      <w:pPr>
        <w:pStyle w:val="3"/>
        <w:topLinePunct/>
        <w:spacing w:line="39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申请无公害产品认证的单位或者个人（以下简称申请人），应当向认证机构提交书面申请，书面申请应当包括以下内容：</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（一）申请人的姓名（名称）、地址、电话号码；</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（二）产品品种、产地的区域范围和生产规模；</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（三）无公害农产品生产计划；</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（四）产地环境说明；</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（五）无公害农产品质量控制措施；</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（六）有关专业技术和管理人员的资质证明材料;</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（七）保证执行无公害农产品标准和规范的声明；</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（八）无公害农产品产地认定证书；</w:t>
      </w:r>
    </w:p>
    <w:p>
      <w:pPr>
        <w:pStyle w:val="3"/>
        <w:topLinePunct/>
        <w:spacing w:line="39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（九）生产过程记录档案；</w:t>
      </w:r>
    </w:p>
    <w:p>
      <w:pPr>
        <w:pStyle w:val="3"/>
        <w:topLinePunct/>
        <w:spacing w:line="39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（十）认证机构要求提交的其他材料。</w:t>
      </w:r>
    </w:p>
    <w:p>
      <w:pPr>
        <w:pStyle w:val="3"/>
        <w:topLinePunct/>
        <w:spacing w:line="39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认证机构自收到无公害农产品认证申请之日起，应当在15个工作日内完成对申请材料的审核。</w:t>
      </w:r>
    </w:p>
    <w:p>
      <w:pPr>
        <w:pStyle w:val="3"/>
        <w:topLinePunct/>
        <w:spacing w:line="39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材料审核不符合要求的，应当书面通知申请人。</w:t>
      </w:r>
    </w:p>
    <w:p>
      <w:pPr>
        <w:pStyle w:val="3"/>
        <w:topLinePunct/>
        <w:spacing w:line="39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符合要求的，认证机构可以根据需要派员对产地环境、区域范围、生产规模、质量控制措施、生产计划、标准和规范的执行情况等进行现场检查。</w:t>
      </w:r>
    </w:p>
    <w:p>
      <w:pPr>
        <w:pStyle w:val="3"/>
        <w:topLinePunct/>
        <w:spacing w:line="39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现场检查不符合要求的，应当书面通知申请人。</w:t>
      </w:r>
    </w:p>
    <w:p>
      <w:pPr>
        <w:pStyle w:val="3"/>
        <w:topLinePunct/>
        <w:spacing w:line="396"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材料审核符合要求的、或者材料审核和现场检查符合要求的（限于需要对现场进行检查时），认证机构应当通知申请人委托具有资质资格的检测机构对产品进行检测。</w:t>
      </w:r>
    </w:p>
    <w:p>
      <w:pPr>
        <w:pStyle w:val="3"/>
        <w:topLinePunct/>
        <w:spacing w:line="396"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承担产品检测任务的机构，根据检测结果出具产品检测报告。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认证机构对材料审核、现场检查（限于需要对现场进行检查时）和产品检测结果符合要求的，应当在自收到现场检查报告和产品检测报告之日起，30个工作日内颁发无公害农产品认证证书。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不符合要求的，应当书面通知申请人。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认证机构应当自颁发无公害农产品认证证书后30个工作日内，将其颁发的认证证书副本同时报农业部和国家认证认可监督管理委员会备案，由农业部和国家认证认可监督管理委员会公告。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无公害农产品认证证书有效期为3年。期满需要继续使用的，应当在有效期满90日前按照本办法规定的无公害农产品认证程序，重新办理。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在有效期内生产无公害农产品认证证书以外的产品品种的，应当向原无公害农产品认证机构办理认证证书的变更手续。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无公害农产品产地认定证书、产品认证证书格式由农业部、国家认证认可监督管理委员会规定。</w:t>
      </w:r>
    </w:p>
    <w:p>
      <w:pPr>
        <w:pStyle w:val="63"/>
        <w:spacing w:before="218" w:after="218" w:line="412" w:lineRule="exact"/>
        <w:rPr>
          <w:b/>
        </w:rPr>
      </w:pPr>
      <w:r>
        <w:t xml:space="preserve">第五章 </w:t>
      </w:r>
      <w:r>
        <w:rPr>
          <w:rFonts w:hint="eastAsia"/>
        </w:rPr>
        <w:t xml:space="preserve"> </w:t>
      </w:r>
      <w:r>
        <w:t>标志管理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农业部和国家认证认可监督管理委员会制定并发布《无公害农产品标志管理办法》。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无公害农产品标志应当在认证的品种、数量等范围内使用。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获得无公害农产品认证证书的单位或者个人，可以在证书规定的产品、包装、标签、广告、说明书上使用无公害农产品标志。</w:t>
      </w:r>
    </w:p>
    <w:p>
      <w:pPr>
        <w:pStyle w:val="63"/>
        <w:spacing w:before="218" w:after="218" w:line="412" w:lineRule="exact"/>
        <w:rPr>
          <w:b/>
        </w:rPr>
      </w:pPr>
      <w:r>
        <w:t xml:space="preserve">第六章 </w:t>
      </w:r>
      <w:r>
        <w:rPr>
          <w:rFonts w:hint="eastAsia"/>
        </w:rPr>
        <w:t xml:space="preserve"> </w:t>
      </w:r>
      <w:r>
        <w:t>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农业部、国家质量监督检验检疫总局、国家认证认可监督管理委员会和国务院有关部门根据职责分工依法组织对无公害农产品的生产、销售和无公害农产品标志使用等活动进行监督管理。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（一）查阅或者要求生产者、销售者提供有关材料；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（二）对无公害农产品产地认定工作进行监督；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（三）对无公害农产品认证机构的认证工作进行监督；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（四）对无公害农产品的检测机构的检测工作进行检查；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（五）对使用无公害农产品标志的产品进行检查、检验和鉴定；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（六）必要时对无公害农产品经营场所进行检查。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认证机构对获得认证的产品进行跟踪检查，受理有关的投诉、申诉工作。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任何单位和个人不得伪造、冒用、转让、买卖无公害农产品产地认定证书、产品认证证书和标志。</w:t>
      </w:r>
    </w:p>
    <w:p>
      <w:pPr>
        <w:pStyle w:val="63"/>
        <w:spacing w:before="218" w:after="218" w:line="412" w:lineRule="exact"/>
        <w:rPr>
          <w:b/>
        </w:rPr>
      </w:pPr>
      <w:r>
        <w:t xml:space="preserve">第七章 </w:t>
      </w:r>
      <w:r>
        <w:rPr>
          <w:rFonts w:hint="eastAsia"/>
        </w:rPr>
        <w:t xml:space="preserve"> </w:t>
      </w:r>
      <w:r>
        <w:t>罚</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获得无公害农产品产地认定证书的单位或者个人违反本办法，有下列情形之一的，由省级农业行政主管部门予以警告，并责令限期改正；逾期未改正的，撤销其无公害农产品产地认定证书：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（一）无公害农产品产地被污染或者产地环境达不到标准要求的；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（二）无公害农产品产地使用的农业投入品不符合无公害农产品相关标准要求的；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（三）擅自扩大无公害农产品产地范围的。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获得无公害农产品认证并加贴标志的产品，经检查、检测、鉴定，不符合无公害农产品质量标准要求的，由县级以上农业行政主管部门或者各地质量监督检验检疫部门责令停止使用无公害农产品标志，由认证机构暂停或者撤销认证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从事无公害农产品管理的工作人员滥用职权、徇私舞弊、玩忽职守的，由所在单位或者所在单位的上级行政主管部门给予行政处分；构成犯罪的，依法追究刑事责任。</w:t>
      </w:r>
    </w:p>
    <w:p>
      <w:pPr>
        <w:pStyle w:val="63"/>
        <w:spacing w:before="218" w:after="218" w:line="412" w:lineRule="exact"/>
        <w:rPr>
          <w:b/>
        </w:rPr>
      </w:pPr>
      <w:r>
        <w:t xml:space="preserve">第八章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从事无公害农产品的产地认定的部门和产品认证的机构不得收取费用。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检测机构的检测、无公害农产品标志按国家规定收取费用。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本办法由农业部、国家质量监督检验检疫总局和国家认证认可监督管理委员会负责解释。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本办法自发布之日起施行。</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510" w:name="_Toc466579820"/>
      <w:bookmarkStart w:id="511" w:name="_Toc24134"/>
      <w:bookmarkStart w:id="512" w:name="_Toc18916297"/>
      <w:bookmarkStart w:id="513" w:name="_Toc466579819"/>
      <w:bookmarkStart w:id="514" w:name="_Toc332804713"/>
      <w:bookmarkStart w:id="515" w:name="_Toc11424"/>
    </w:p>
    <w:p>
      <w:pPr>
        <w:pStyle w:val="61"/>
      </w:pPr>
      <w:bookmarkStart w:id="516" w:name="_Toc28252184"/>
      <w:bookmarkStart w:id="517" w:name="_Toc25648202"/>
      <w:bookmarkStart w:id="518" w:name="_Toc25653697"/>
      <w:bookmarkStart w:id="519" w:name="_Toc26347961"/>
      <w:bookmarkStart w:id="520" w:name="_Toc28250911"/>
      <w:bookmarkStart w:id="521" w:name="_Toc28156983"/>
      <w:r>
        <w:t>农产品产地安全管理办法</w:t>
      </w:r>
      <w:bookmarkEnd w:id="510"/>
      <w:bookmarkEnd w:id="511"/>
      <w:bookmarkEnd w:id="512"/>
      <w:bookmarkEnd w:id="516"/>
      <w:bookmarkEnd w:id="517"/>
      <w:bookmarkEnd w:id="518"/>
      <w:bookmarkEnd w:id="519"/>
      <w:bookmarkEnd w:id="520"/>
      <w:bookmarkEnd w:id="521"/>
    </w:p>
    <w:p>
      <w:pPr>
        <w:pStyle w:val="62"/>
        <w:topLinePunct w:val="0"/>
        <w:ind w:firstLine="0" w:firstLineChars="0"/>
        <w:jc w:val="center"/>
      </w:pPr>
      <w:r>
        <w:t>（2006年10月17日中华人民共和国</w:t>
      </w:r>
      <w:r>
        <w:rPr>
          <w:shd w:val="clear" w:color="auto" w:fill="FFFFFF"/>
        </w:rPr>
        <w:t>农业部</w:t>
      </w:r>
      <w:r>
        <w:t>令第71号公布）</w:t>
      </w:r>
    </w:p>
    <w:p>
      <w:pPr>
        <w:pStyle w:val="63"/>
        <w:spacing w:before="218" w:after="218" w:line="412" w:lineRule="exact"/>
        <w:rPr>
          <w:b/>
        </w:rPr>
      </w:pPr>
      <w:bookmarkStart w:id="522" w:name="_Toc332804720"/>
      <w:r>
        <w:t>第一章  总  则</w:t>
      </w:r>
      <w:bookmarkEnd w:id="522"/>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为加强农产品产地管理，改善产地条件，保障产地安全，依据《中华人民共和国农产品质量安全法》，制定本办法。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本办法所称农产品产地，是指植物、动物、微生物及其产品生产的相关区域。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本办法所称农产品产地安全，是指农产品产地的土壤、水体和大气环境质量等符合生产质量安全农产品要求。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农业部负责全国农产品产地安全的监督管理。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县级以上地方人民政府农业行政主管部门负责本行政区域内农产品产地的划分和监督管理。</w:t>
      </w:r>
    </w:p>
    <w:p>
      <w:pPr>
        <w:pStyle w:val="63"/>
        <w:spacing w:before="218" w:after="218" w:line="412" w:lineRule="exact"/>
        <w:rPr>
          <w:b/>
        </w:rPr>
      </w:pPr>
      <w:bookmarkStart w:id="523" w:name="_Toc332804721"/>
      <w:r>
        <w:t>第二章  产地监测与评价</w:t>
      </w:r>
      <w:bookmarkEnd w:id="523"/>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县级以上人民政府农业行政主管部门应当建立健全农产品产地安全监测管理制度，加强农产品产地安全调查、监测和评价工作，编制农产品产地安全状况及发展趋势年度报告，并报上级农业行政主管部门备案。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省级以</w:t>
      </w:r>
      <w:r>
        <w:rPr>
          <w:rFonts w:asciiTheme="minorEastAsia" w:hAnsiTheme="minorEastAsia" w:eastAsiaTheme="minorEastAsia"/>
          <w:spacing w:val="4"/>
          <w:sz w:val="24"/>
          <w:szCs w:val="24"/>
        </w:rPr>
        <w:t>上人民政府农业行政主管部门应当在下列地区分别设置国家和省级监测点，监控农产品产地安全变化动态，指导农产品产地安全管理和保护工作。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（一）工矿企业周边的农产品生产区；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（二）污水灌溉区；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（三）大中城市郊区农产品生产区；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（四）重要农产品生产区；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（五）其他需要监测的区域。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农产品产地安全调查、监测和评价应当执行国家有关标准等技术规范。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监测点的设置、变更、撤销应当通过专家论证。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县级以上人民政府农业行政主管部门应当加强农产品产地安全信息统计工作，健全农产品产地安全监测档案。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监测档案应当准确记载产地安全变化状况，并长期保存。</w:t>
      </w:r>
    </w:p>
    <w:p>
      <w:pPr>
        <w:pStyle w:val="63"/>
        <w:spacing w:before="218" w:after="218" w:line="412" w:lineRule="exact"/>
        <w:rPr>
          <w:b/>
        </w:rPr>
      </w:pPr>
      <w:bookmarkStart w:id="524" w:name="_Toc332804722"/>
      <w:r>
        <w:t>第三章  禁止生产区划定与调整</w:t>
      </w:r>
      <w:bookmarkEnd w:id="524"/>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农产品产地有毒有害物质不符合产地安全标准，并导致农产品中有毒有害物质不符合农产品质量安全标准的，应当划定为农产品禁止生产区。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禁止生产食用农产品的区域可以生产非食用农产品。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符合本办法第八条规定情形的，由县级以上地方人民政府农业行政主管部门提出划定禁止生产区的建议，报省级农业行政主管部门。省级农业行政主管部门应当组织专家论证，并附具下列材料报本级人民政府批准后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（一）产地安全监测结果和农产品检测结果；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（二）产地安全监测评价报告，包括产地污染原因分析、产地与农产品污染的相关性分析、评价方法与结论等；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（三）专家论证报告；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（四）农业生产结构调整及相关处理措施的建议。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禁止生产区划定后，不得改变耕地、基本农田的性质，不得降低农用地征地补偿标准。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县级人民政府农业行政主管部门应当在禁止生产区设置标示牌，载明禁止生产区地点、四至范围、面积、禁止生产的农产品种类、主要污染物种类、批准单位、立牌日期等。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任何单位和个人不得擅自移动和损毁标示牌。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禁止生产区安全状况改善并符合相关标准的，县级以上地方人民政府农业行政主管部门应当及时提出调整建议。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禁止生产区的调整依照本办法第九条的规定执行。禁止生产区调整的，应当变更标示牌内容或者撤除标示牌。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县级以上地方人民政府农业行政主管部门应当及时将本行政区域内农产品禁止生产区划定与调整结果逐级上报农业部备案。</w:t>
      </w:r>
    </w:p>
    <w:p>
      <w:pPr>
        <w:pStyle w:val="63"/>
        <w:spacing w:before="218" w:after="218" w:line="412" w:lineRule="exact"/>
        <w:rPr>
          <w:b/>
        </w:rPr>
      </w:pPr>
      <w:bookmarkStart w:id="525" w:name="_Toc332804723"/>
      <w:r>
        <w:t>第四章  产地保护</w:t>
      </w:r>
      <w:bookmarkEnd w:id="525"/>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县级以上人民政府农业行政主管部门应当推广清洁生产技术和方法，发展生态农业。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县级以上地方人民政府农业行政主管部门应当制定农产品产地污染防治与保护规划，并纳入本地农业和农村经济发展规划。</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县级以上人民政府农业行政主管部门应当采取生物、化学、工程等措施，对农产品禁止生产区和有毒有害物质不符合产地安全标准的其他农产品生产区域进行修复和治理。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县级以上人民政府农业行政主管部门应当采取措施，加强产地污染修复和治理的科学研究、技术推广、宣传培训工作。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农业建设项目的环境影响评价文件应当经县级以上人民政府农业行政主管部门依法审核后，报有关部门审批。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已经建成的企业或者项目污染农产品产地的，当地人民政府农业行政主管部门应当报请本级人民政府采取措施，减少或消除污染危害。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任何单位和个人不得在禁止生产区生产、捕捞、采集禁止的食用农产品和建立农产品生产基地。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禁止任何单位和个人向农产品产地排放或者倾倒废气、废水、固体废物或者其他有毒有害物质。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禁止在农产品产地堆放、贮存、处置工业固体废物。在农产品产地周围堆放、贮存、处置工业固体废物的，应当采取有效措施，防止对农产品产地安全造成危害。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任何单位和个人提供或者使用农业用水和用作肥料的城镇垃圾、污泥等固体废物，应当经过无害化处理并符合国家有关标准。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农产品生产者应当合理使用肥料、农药、兽药、饲料和饲料添加剂、农用薄膜等农业投入品。禁止使用国家明令禁止、淘汰的或者未经许可的农业投入品。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农产品生产者应当及时清除、回收农用薄膜、农业投入品包装物等，防止污染农产品产地环境。</w:t>
      </w:r>
    </w:p>
    <w:p>
      <w:pPr>
        <w:pStyle w:val="63"/>
        <w:spacing w:before="218" w:after="218" w:line="412" w:lineRule="exact"/>
        <w:rPr>
          <w:b/>
        </w:rPr>
      </w:pPr>
      <w:bookmarkStart w:id="526" w:name="_Toc332804724"/>
      <w:r>
        <w:t>第五章  监督检查</w:t>
      </w:r>
      <w:bookmarkEnd w:id="526"/>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县级以上人民政府农业行政主管部门负责农产品产地安全的监督检查。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农业行政执法人员履行监督检查职责时，应当向被检查单位或者个人出示行政执法证件。有关单位或者个人应当如实提供有关情况和资料，不得拒绝检查或者提供虚假情况。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县级以上人民政府农业行政主管部门发现农产品产地受到污染威胁时，应当责令致害单位或者个人采取措施，减少或者消除污染威胁。有关单位或者个人拒不采取措施的，应当报请本级人民政府处理。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农产品产地发生污染事故时，县级以上人民政府农业行政主管部门应当依法调查处理。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发生农业环境污染突发事件时，应当依照农业环境污染突发事件应急预案的规定处理。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产地安全监测和监督检查经费应当纳入本级人民政府农业行政主管部门年度预算。开展产地安全监测和监督检查不得向被检查单位或者个人收取任何费用。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违反《中华人民共和国农产品质量安全法》和本办法规定的划定标准和程序划定的禁止生产区无效。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违反本办法规定，擅自移动、损毁禁止生产区标牌的，由县级以上地方人民政府农业行政主管部门责令限期改正，可处以一千元以下罚款。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其他违反本办法规定的，依照有关法律法规处罚。</w:t>
      </w:r>
    </w:p>
    <w:p>
      <w:pPr>
        <w:pStyle w:val="63"/>
        <w:spacing w:before="218" w:after="218" w:line="412" w:lineRule="exact"/>
      </w:pPr>
      <w:bookmarkStart w:id="527" w:name="_Toc332804725"/>
      <w:r>
        <w:t>第六章  附  则</w:t>
      </w:r>
      <w:bookmarkEnd w:id="527"/>
    </w:p>
    <w:p>
      <w:pPr>
        <w:topLinePunct/>
        <w:spacing w:beforeLines="0" w:afterLines="0" w:line="412" w:lineRule="exact"/>
        <w:ind w:firstLine="482" w:firstLineChars="200"/>
        <w:rPr>
          <w:rFonts w:cs="Times New Roman" w:asciiTheme="minorEastAsia" w:hAnsiTheme="minorEastAsia"/>
          <w:sz w:val="24"/>
          <w:szCs w:val="24"/>
        </w:rPr>
      </w:pPr>
      <w:r>
        <w:rPr>
          <w:rFonts w:cs="Times New Roman" w:asciiTheme="minorEastAsia" w:hAnsiTheme="minorEastAsia"/>
          <w:b/>
          <w:sz w:val="24"/>
          <w:szCs w:val="24"/>
        </w:rPr>
        <w:t>第二十七条</w:t>
      </w:r>
      <w:r>
        <w:rPr>
          <w:rFonts w:cs="Times New Roman" w:asciiTheme="minorEastAsia" w:hAnsiTheme="minorEastAsia"/>
          <w:sz w:val="24"/>
          <w:szCs w:val="24"/>
        </w:rPr>
        <w:t xml:space="preserve"> </w:t>
      </w:r>
      <w:r>
        <w:rPr>
          <w:rFonts w:hint="eastAsia" w:cs="Times New Roman" w:asciiTheme="minorEastAsia" w:hAnsiTheme="minorEastAsia"/>
          <w:sz w:val="24"/>
          <w:szCs w:val="24"/>
        </w:rPr>
        <w:t xml:space="preserve"> </w:t>
      </w:r>
      <w:r>
        <w:rPr>
          <w:rFonts w:cs="Times New Roman" w:asciiTheme="minorEastAsia" w:hAnsiTheme="minorEastAsia"/>
          <w:sz w:val="24"/>
          <w:szCs w:val="24"/>
        </w:rPr>
        <w:t>本办法自2006年11月1日起施行。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528" w:name="_Toc466579822"/>
      <w:bookmarkStart w:id="529" w:name="_Toc5385"/>
      <w:bookmarkStart w:id="530" w:name="_Toc18916298"/>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531" w:name="_Toc25653698"/>
      <w:bookmarkStart w:id="532" w:name="_Toc28250912"/>
      <w:bookmarkStart w:id="533" w:name="_Toc28156984"/>
      <w:bookmarkStart w:id="534" w:name="_Toc28252185"/>
      <w:bookmarkStart w:id="535" w:name="_Toc26347962"/>
      <w:bookmarkStart w:id="536" w:name="_Toc25648203"/>
      <w:r>
        <w:t>农产品地理标志管理办法</w:t>
      </w:r>
      <w:bookmarkEnd w:id="528"/>
      <w:bookmarkEnd w:id="529"/>
      <w:bookmarkEnd w:id="530"/>
      <w:bookmarkEnd w:id="531"/>
      <w:bookmarkEnd w:id="532"/>
      <w:bookmarkEnd w:id="533"/>
      <w:bookmarkEnd w:id="534"/>
      <w:bookmarkEnd w:id="535"/>
      <w:bookmarkEnd w:id="536"/>
    </w:p>
    <w:p>
      <w:pPr>
        <w:pStyle w:val="62"/>
      </w:pPr>
      <w:r>
        <w:t>（2007年12月25日中华人民共和国农业部令第11号公布，根据2019年4月25日农业农村部令第2号修订）</w:t>
      </w:r>
    </w:p>
    <w:p>
      <w:pPr>
        <w:pStyle w:val="63"/>
        <w:spacing w:before="218" w:after="218" w:line="412" w:lineRule="exact"/>
        <w:rPr>
          <w:b/>
        </w:rPr>
      </w:pPr>
      <w:bookmarkStart w:id="537" w:name="_Toc332804727"/>
      <w:r>
        <w:t>第一章  总</w:t>
      </w:r>
      <w:r>
        <w:rPr>
          <w:rFonts w:hint="eastAsia"/>
        </w:rPr>
        <w:t xml:space="preserve">  </w:t>
      </w:r>
      <w:r>
        <w:t>则</w:t>
      </w:r>
      <w:bookmarkEnd w:id="537"/>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为规范农产品地理标志的使用，保证地理标志农产品的品质和特色，提升农产品市场竞争力，依据《中华人民共和国农业法》、《中华人民共和国农产品质量安全法》相关规定，制定本办法。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本办法所称农产品是指来源于农业的初级产品，即在农业活动中获得的植物、动物、微生物及其产品。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本办法所称农产品地理标志，是指标示农产品来源于特定地域，产品品质和相关特征主要取决于自然生态环境和历史人文因素，并以地域名称冠名的特有农产品标志。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国家对农产品地理标志实行登记制度。经登记的农产品地理标志受法律保护。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农业部负责全国农产品地理标志的登记工作，农业部农产品质量安全中心负责农产品地理标志登记的审查和专家评审工作。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省级人民政府农业行政主管部门负责本行政区域内农产品地理标志登记申请的受理和初审工作。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农业部设立的农产品地理标志登记专家评审委员会,负责专家评审。农产品地理标志登记专家评审委员会由种植业、畜牧业、渔业和农产品质量安全等方面的专家组成。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农产品地理标志登记不收取费用。县级以上人民政府农业行政主管部门应当将农产品地理标志管理经费编入本部门年度预算。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县级以上地方人民政府农业行政主管部门应当将农产品地理标志保护和利用纳入本地区的农业和农村经济发展规划，并在政策、资金等方面予以支持。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国家鼓励社会力量参与推动地理标志农产品发展。</w:t>
      </w:r>
    </w:p>
    <w:p>
      <w:pPr>
        <w:pStyle w:val="63"/>
        <w:spacing w:before="218" w:after="218" w:line="412" w:lineRule="exact"/>
        <w:rPr>
          <w:b/>
        </w:rPr>
      </w:pPr>
      <w:bookmarkStart w:id="538" w:name="_Toc332804728"/>
      <w:r>
        <w:t>第二章  登记</w:t>
      </w:r>
      <w:bookmarkEnd w:id="538"/>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申请地理标志登记的农产品，应当符合下列条件：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（一）称谓由地理区域名称和农产品通用名称构成；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（二）产品有独特的品质特性或者特定的生产方式；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（三）产品品质和特色主要取决于独特的自然生态环境和人文历史因素；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（四）产品有限定的生产区域范围；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（五）产地环境、产品质量符合国家强制性技术规范要求。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农产品地理标志登记申请人为县级以上地方人民政府根据下列条件择优确定的农民专业合作经济组织、行业协会等组织。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（一）具有监督和管理农产品地理标志及其产品的能力；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（二）具有为地理标志农产品生产、加工、营销提供指导服务的能力；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（三）具有独立承担民事责任的能力。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符合农产品地理标志登记条件的申请人，可以向省级人民政府农业行政主管部门提出登记申请，并提交下列申请材料：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（一）登记申请书；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（二）产品典型特征特性描述和相应产品品质鉴定报告；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（三）产地环境条件、生产技术规范和产品质量安全技术规范；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（四）地域范围确定性文件和生产地域分布图；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（五）产品实物样品或者样品图片；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（六）其它必要的说明性或者证明性材料。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省级人民政府农业行政主管部门自受理农产品地理标志登记申请之日起，应当在45个工作日内完成申请材料的初审和现场核查，并提出初审意见。符合条件的，将申请材料和初审意见报送农业部农产品质量安全中心；不符合条件的，应当在提出初审意见之日起10个工作日内将相关意见和建议通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农业部农产品质量安全中心应当自收到申请材料和初审意见之日起20个工作日内，对申请材料进行审查，提出审查意见，并组织专家评审。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专家评审工作由农产品地理标志登记评审委员会承担。农产品地理标志登记专家评审委员会应当独立做出评审结论，并对评审结论负责。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经专家评审通过的，由农业部农产品质量安全中心代表农业部对社会公示。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单位和个人有异议的，应当自公示截止日起20日内向农业部农产品质量安全中心提出。公示无异议的，由农业部做出登记决定并公告，颁发《中华人民共和国农产品地理标志登记证书》，公布登记产品相关技术规范和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专家评审没有通过的,由农业部做出不予登记的决定，书面通知申请人，并说明理由。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农产品地理标志登记证书长期有效。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有下列情形之一的，登记证书持有人应当按照规定程序提出变更申请：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（一）登记证书持有人或者法定代表人发生变化的；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（二）地域范围或者相应自然生态环境发生变化的。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农产品地理标志实行公共标识与地域产品名称相结合的标注制度。公共标识基本图案见附图。农产品地理标志使用规范由农业部另行制定公布。</w:t>
      </w:r>
    </w:p>
    <w:p>
      <w:pPr>
        <w:pStyle w:val="63"/>
        <w:spacing w:before="218" w:after="218" w:line="412" w:lineRule="exact"/>
        <w:rPr>
          <w:b/>
        </w:rPr>
      </w:pPr>
      <w:bookmarkStart w:id="539" w:name="_Toc332804729"/>
      <w:r>
        <w:t>第三章  标志使用</w:t>
      </w:r>
      <w:bookmarkEnd w:id="539"/>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符合下列条件的单位和个人，可以向登记证书持有人申请使用农产品地理标志：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（一）生产经营的农产品产自登记确定的地域范围；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（二）已取得登记农产品相关的生产经营资质；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（三）能够严格按照规定的质量技术规范组织开展生产经营活动；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（四）具有地理标志农产品市场开发经营能力。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使用农产品地理标志，应当按照生产经营年度与登记证书持有人签订农产品地理标志使用协议，在协议中载明使用的数量、范围及相关的责任义务。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农产品地理标志登记证书持有人不得向农产品地理标志使用人收取使用费。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农产品地理标志使用人享有以下权利：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（一）可以在产品及其包装上使用农产品地理标志；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（二）可以使用登记的农产品地理标志进行宣传和参加展览、展示及展销。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农产品地理标志使用人应当履行以下义务：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（一）自觉接受登记证书持有人的监督检查；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（二）保证地理标志农产品的品质和信誉；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（三）正确规范地使用农产品地理标志。</w:t>
      </w:r>
    </w:p>
    <w:p>
      <w:pPr>
        <w:pStyle w:val="63"/>
        <w:spacing w:before="218" w:after="218" w:line="412" w:lineRule="exact"/>
        <w:rPr>
          <w:b/>
        </w:rPr>
      </w:pPr>
      <w:bookmarkStart w:id="540" w:name="_Toc332804730"/>
      <w:r>
        <w:t>第四章  监督管理</w:t>
      </w:r>
      <w:bookmarkEnd w:id="540"/>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县级以上人民政府农业行政主管部门应当加强农产品地理标志监督管理工作，定期对登记的地理标志农产品的地域范围、标志使用等进行监督检查。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登记的地理标志农产品或登记证书持有人不符合本办法第七条、第八条规定的，由农业部注销其地理标志登记证书并对外公告。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地理标志农产品的生产经营者，应当建立质量控制追溯体系。农产品地理标志登记证书持有人和标志使用人，对地理标志农产品的质量和信誉负责。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任何单位和个人不得伪造、冒用农产品地理标志和登记证书。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国家鼓励单位和个人对农产品地理标志进行社会监督。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从事农产品地理标志登记管理和监督检查的工作人员滥用职权、玩忽职守、徇私舞弊的，依法给予处分；涉嫌犯罪的，依法移送司法机关追究刑事责任。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违反本办法规定的，由县级以上人民政府农业行政主管部门依照《中华人民共和国农产品质量安全法》有关规定处罚。</w:t>
      </w:r>
    </w:p>
    <w:p>
      <w:pPr>
        <w:pStyle w:val="63"/>
        <w:spacing w:before="218" w:after="218" w:line="412" w:lineRule="exact"/>
        <w:rPr>
          <w:b/>
        </w:rPr>
      </w:pPr>
      <w:bookmarkStart w:id="541" w:name="_Toc332804731"/>
      <w:r>
        <w:t>第五章  附</w:t>
      </w:r>
      <w:r>
        <w:rPr>
          <w:rFonts w:hint="eastAsia"/>
        </w:rPr>
        <w:t xml:space="preserve">  </w:t>
      </w:r>
      <w:r>
        <w:t>则</w:t>
      </w:r>
      <w:bookmarkEnd w:id="541"/>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农业部接受国外农产品地理标志在中华人民共和国的登记并给予保护，具体办法另行规定。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本办法自2008年2月1日起施行。</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附图：</w:t>
      </w:r>
    </w:p>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1245235" cy="1166495"/>
            <wp:effectExtent l="19050" t="0" r="0" b="0"/>
            <wp:docPr id="1" name="图片 1" descr="W0200801095828094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080109582809410779"/>
                    <pic:cNvPicPr>
                      <a:picLocks noChangeAspect="1" noChangeArrowheads="1"/>
                    </pic:cNvPicPr>
                  </pic:nvPicPr>
                  <pic:blipFill>
                    <a:blip r:embed="rId65"/>
                    <a:srcRect/>
                    <a:stretch>
                      <a:fillRect/>
                    </a:stretch>
                  </pic:blipFill>
                  <pic:spPr>
                    <a:xfrm>
                      <a:off x="0" y="0"/>
                      <a:ext cx="1245235" cy="1166495"/>
                    </a:xfrm>
                    <a:prstGeom prst="rect">
                      <a:avLst/>
                    </a:prstGeom>
                    <a:noFill/>
                    <a:ln w="9525">
                      <a:noFill/>
                      <a:miter lim="800000"/>
                      <a:headEnd/>
                      <a:tailEnd/>
                    </a:ln>
                  </pic:spPr>
                </pic:pic>
              </a:graphicData>
            </a:graphic>
          </wp:inline>
        </w:drawing>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542" w:name="_Toc30370"/>
      <w:bookmarkStart w:id="543" w:name="_Toc18916299"/>
      <w:bookmarkStart w:id="544" w:name="_Toc466579823"/>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545" w:name="_Toc28250913"/>
      <w:bookmarkStart w:id="546" w:name="_Toc25653699"/>
      <w:bookmarkStart w:id="547" w:name="_Toc26347963"/>
      <w:bookmarkStart w:id="548" w:name="_Toc28156985"/>
      <w:bookmarkStart w:id="549" w:name="_Toc25648204"/>
      <w:bookmarkStart w:id="550" w:name="_Toc28252186"/>
      <w:r>
        <w:t>绿色食品标志管理办法</w:t>
      </w:r>
      <w:bookmarkEnd w:id="542"/>
      <w:bookmarkEnd w:id="543"/>
      <w:bookmarkEnd w:id="544"/>
      <w:bookmarkEnd w:id="545"/>
      <w:bookmarkEnd w:id="546"/>
      <w:bookmarkEnd w:id="547"/>
      <w:bookmarkEnd w:id="548"/>
      <w:bookmarkEnd w:id="549"/>
      <w:bookmarkEnd w:id="550"/>
    </w:p>
    <w:p>
      <w:pPr>
        <w:pStyle w:val="62"/>
      </w:pPr>
      <w:r>
        <w:t>（2012年7月30日中华人民共和国农业部令第6号公布，根据2019年4月25日农业农村部令第2号修订）</w:t>
      </w:r>
    </w:p>
    <w:p>
      <w:pPr>
        <w:pStyle w:val="63"/>
        <w:spacing w:before="218" w:after="218" w:line="412" w:lineRule="exact"/>
        <w:rPr>
          <w:b/>
        </w:rPr>
      </w:pPr>
      <w:bookmarkStart w:id="551" w:name="_Toc332804733"/>
      <w:r>
        <w:t xml:space="preserve">第一章 </w:t>
      </w:r>
      <w:r>
        <w:rPr>
          <w:rFonts w:hint="eastAsia"/>
        </w:rPr>
        <w:t xml:space="preserve"> </w:t>
      </w:r>
      <w:r>
        <w:t>总</w:t>
      </w:r>
      <w:r>
        <w:rPr>
          <w:rFonts w:hint="eastAsia"/>
        </w:rPr>
        <w:t xml:space="preserve">  </w:t>
      </w:r>
      <w:r>
        <w:t>则</w:t>
      </w:r>
      <w:bookmarkEnd w:id="551"/>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绿色食品标志使用管理，确保绿色食品信誉，促进绿色食品事业健康发展，维护生产经营者和消费者合法权益，根据《中华人民共和国农业法》、《中华人民共和国食品安全法》、《中华人民共和国农产品质量安全法》和《中华人民共和国商标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本办法所称绿色食品，是指产自优良生态环境、按照绿色食品标准生产、实行全程质量控制并获得绿色食品标志使用权的安全、优质食用农产品及相关产品。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绿色食品标志依法注册为证明商标，受法律保护。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县级以上人民政府农业行政主管部门依法对绿色食品及绿色食品标志进行监督管理。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中国绿色食品发展中心负责全国绿色食品标志使用申请的审查、颁证和颁证后跟踪检查工作。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省级人民政府农业行政主管部门所属绿色食品工作机构（以下简称省级工作机构）负责本行政区域绿色食品标志使用申请的受理、初审和颁证后跟踪检查工作。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绿色食品产地环境、生产技术、产品质量、包装贮运等标准和规范，由农业部制定并发布。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承担绿色食品产品和产地环境检测工作的技术机构，应当具备相应的检测条件和能力，并依法经过资质认定，由中国绿色食品发展中心按照公平、公正、竞争的原则择优指定并报农业部备案。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县级以上地方人民政府农业行政主管部门应当鼓励和扶持绿色食品生产，将其纳入本地农业和农村经济发展规划，支持绿色食品生产基地建设。</w:t>
      </w:r>
    </w:p>
    <w:p>
      <w:pPr>
        <w:pStyle w:val="63"/>
        <w:spacing w:before="218" w:after="218" w:line="412" w:lineRule="exact"/>
        <w:rPr>
          <w:b/>
        </w:rPr>
      </w:pPr>
      <w:bookmarkStart w:id="552" w:name="_Toc332804734"/>
      <w:r>
        <w:t xml:space="preserve">第二章 </w:t>
      </w:r>
      <w:r>
        <w:rPr>
          <w:rFonts w:hint="eastAsia"/>
        </w:rPr>
        <w:t xml:space="preserve"> </w:t>
      </w:r>
      <w:r>
        <w:t>标志使用申请与核准</w:t>
      </w:r>
      <w:bookmarkEnd w:id="552"/>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申请使用绿色食品标志的产品，应当符合《中华人民共和国食品安全法》和《中华人民共和国农产品质量安全法》等法律法规规定，在国家工商总局商标局核定的范围内，并具备下列条件：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（一）产品或产品原料产地环境符合绿色食品产地环境质量标准；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（二）农药、肥料、饲料、兽药等投入品使用符合绿色食品投入品使用准则；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（三）产品质量符合绿色食品产品质量标准；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（四）包装贮运符合绿色食品包装贮运标准。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申请使用绿色食品标志的生产单位（以下简称申请人），应当具备下列条件：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（一）能够独立承担民事责任；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（二）具有绿色食品生产的环境条件和生产技术；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（三）具有完善的质量管理和质量保证体系；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（四）具有与生产规模相适应的生产技术人员和质量控制人员；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（五）具有稳定的生产基地；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（六）申请前三年内无质量安全事故和不良诚信记录。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申请人应当向省级工作机构提出申请，并提交下列材料：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（一）标志使用申请书；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（二）产品生产技术规程和质量控制规范；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（三）预包装产品包装标签或其设计样张；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（四）中国绿色食品发展中心规定提交的其他证明材料。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省级工作机构应当自收到申请之日起十个工作日内完成材料审查。符合要求的，予以受理，并在产品及产品原料生产期内组织有资质的检查员完成现场检查；不符合要求的，不予受理，书面通知申请人并告知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现场检查合格的，省级工作机构应当书面通知申请人，由申请人委托符合第七条规定的检测机构对申请产品和相应的产地环境进行检测；现场检查不合格的，省级工作机构应当退回申请并书面告知理由。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检测机构接受申请人委托后，应当及时安排现场抽样，并自产品样品抽样之日起二十个工作日内、环境样品抽样之日起三十个工作日内完成检测工作，出具产品质量检验报告和产地环境监测报告，提交省级工作机构和申请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检测机构应当对检测结果负责。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省级工作机构应当自收到产品检验报告和产地环境监测报告之日起二十个工作日内提出初审意见。初审合格的，将初审意见及相关材料报送中国绿色食品发展中心。初审不合格的，退回申请并书面告知理由。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省级工作机构应当对初审结果负责。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中国绿色食品发展中心应当自收到省级工作机构报送的申请材料之日起三十个工作日内完成书面审查，并在二十个工作日内组织专家评审。必要时，应当进行现场核查。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中国绿色食品发展中心应当根据专家评审的意见，在五个工作日内作出是否颁证的决定。同意颁证的，与申请人签订绿色食品标志使用合同，颁发绿色食品标志使用证书，并公告；不同意颁证的，书面通知申请人并告知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绿色食品标志使用证书是申请人合法使用绿色食品标志的凭证，应当载明准许使用的产品名称、商标名称、获证单位及其信息编码、核准产量、产品编号、标志使用有效期、颁证机构等内容。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绿色食品标志使用证书分中文、英文版本，具有同等效力。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绿色食品标志使用证书有效期三年。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证书有效期满，需要继续使用绿色食品标志的，标志使用人应当在有效期满三个月前向省级工作机构书面提出续展申请。省级工作机构应当在四十个工作日内组织完成相关检查、检测及材料审核。初审合格的，由中国绿色食品发展中心在十个工作日内作出是否准予续展的决定。准予续展的，与标志使用人续签绿色食品标志使用合同，颁发新的绿色食品标志使用证书并公告；不予续展的，书面通知标志使用人并告知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标志使用人逾期未提出续展申请，或者申请续展未获通过的，不得继续使用绿色食品标志。</w:t>
      </w:r>
    </w:p>
    <w:p>
      <w:pPr>
        <w:pStyle w:val="63"/>
        <w:spacing w:before="218" w:after="218" w:line="412" w:lineRule="exact"/>
        <w:rPr>
          <w:b/>
        </w:rPr>
      </w:pPr>
      <w:bookmarkStart w:id="553" w:name="_Toc332804735"/>
      <w:r>
        <w:t xml:space="preserve">第三章 </w:t>
      </w:r>
      <w:r>
        <w:rPr>
          <w:rFonts w:hint="eastAsia"/>
        </w:rPr>
        <w:t xml:space="preserve"> </w:t>
      </w:r>
      <w:r>
        <w:t>标志使用管理</w:t>
      </w:r>
      <w:bookmarkEnd w:id="553"/>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标志使用人在证书有效期内享有下列权利：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（一）在获证产品及其包装、标签、说明书上使用绿色食品标志；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（二）在获证产品的广告宣传、展览展销等市场营销活动中使用绿色食品标志；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（三）在农产品生产基地建设、农业标准化生产、产业化经营、农产品市场营销等方面优先享受相关扶持政策。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标志使用人在证书有效期内应当履行下列义务：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（一）严格执行绿色食品标准，保持绿色食品产地环境和产品质量稳定可靠；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（二）遵守标志使用合同及相关规定，规范使用绿色食品标志；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（三）积极配合县级以上人民政府农业行政主管部门的监督检查及其所属绿色食品工作机构的跟踪检查。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未经中国绿色食品发展中心许可，任何单位和个人不得使用绿色食品标志。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禁止将绿色食品标志用于非许可产品及其经营性活动。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在证书有效期内，标志使用人的单位名称、产品名称、产品商标等发生变化的，应当经省级工作机构审核后向中国绿色食品发展中心申请办理变更手续。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产地环境、生产技术等条件发生变化，导致产品不再符合绿色食品标准要求的，标志使用人应当立即停止标志使用，并通过省级工作机构向中国绿色食品发展中心报告。</w:t>
      </w:r>
    </w:p>
    <w:p>
      <w:pPr>
        <w:pStyle w:val="63"/>
        <w:spacing w:before="218" w:after="218" w:line="412" w:lineRule="exact"/>
        <w:rPr>
          <w:b/>
        </w:rPr>
      </w:pPr>
      <w:bookmarkStart w:id="554" w:name="_Toc332804736"/>
      <w:r>
        <w:t xml:space="preserve">第四章 </w:t>
      </w:r>
      <w:r>
        <w:rPr>
          <w:rFonts w:hint="eastAsia"/>
        </w:rPr>
        <w:t xml:space="preserve"> </w:t>
      </w:r>
      <w:r>
        <w:t>监督检查</w:t>
      </w:r>
      <w:bookmarkEnd w:id="554"/>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标志使用人应当健全和实施产品质量控制体系，对其生产的绿色食品质量和信誉负责。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县级以上地方人民政府农业行政主管部门应当加强绿色食品标志的监督管理工作，依法对辖区内绿色食品产地环境、产品质量、包装标识、标志使用等情况进行监督检查。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中国绿色食品发展中心和省级工作机构应当建立绿色食品风险防范及应急处置制度，组织对绿色食品及标志使用情况进行跟踪检查。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省级工作机构应当组织对辖区内绿色食品标志使用人使用绿色食品标志的情况实施年度检查。检查合格的，在标志使用证书上加盖年度检查合格章。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标志使用人有下列情形之一的，由中国绿色食品发展中心取消其标志使用权，收回标志使用证书，并予公告：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（一）生产环境不符合绿色食品环境质量标准的；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（二）产品质量不符合绿色食品产品质量标准的；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（三）年度检查不合格的；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（四）未遵守标志使用合同约定的；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（五）违反规定使用标志和证书的；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（六）以欺骗、贿赂等不正当手段取得标志使用权的。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标志使用人依照前款规定被取消标志使用权的，三年内中国绿色食品发展中心不再受理其申请；情节严重的，永久不再受理其申请。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任何单位和个人不得伪造、转让绿色食品标志和标志使用证书。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国家鼓励单位和个人对绿色食品和标志使用情况进行社会监督。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从事绿色食品检测、审核、监管工作的人员，滥用职权、徇私舞弊和玩忽职守的，依照有关规定给予行政处罚或行政处分；构成犯罪的，依法移送司法机关追究刑事责任。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承担绿色食品产品和产地环境检测工作的技术机构伪造检测结果的，除依法予以处罚外，由中国绿色食品发展中心取消指定，永久不得再承担绿色食品产品和产地环境检测工作。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其他违反本办法规定的行为，依照《中华人民共和国食品安全法》、《中华人民共和国农产品质量安全法》和《中华人民共和国商标法》等法律法规处罚。</w:t>
      </w:r>
    </w:p>
    <w:p>
      <w:pPr>
        <w:pStyle w:val="63"/>
        <w:spacing w:before="218" w:after="218" w:line="412" w:lineRule="exact"/>
        <w:rPr>
          <w:b/>
        </w:rPr>
      </w:pPr>
      <w:bookmarkStart w:id="555" w:name="_Toc332804737"/>
      <w:r>
        <w:t>第五章</w:t>
      </w:r>
      <w:r>
        <w:rPr>
          <w:rFonts w:hint="eastAsia"/>
        </w:rPr>
        <w:t xml:space="preserve"> </w:t>
      </w:r>
      <w:r>
        <w:t xml:space="preserve"> 附</w:t>
      </w:r>
      <w:r>
        <w:rPr>
          <w:rFonts w:hint="eastAsia"/>
        </w:rPr>
        <w:t xml:space="preserve">  </w:t>
      </w:r>
      <w:r>
        <w:t>则</w:t>
      </w:r>
      <w:bookmarkEnd w:id="555"/>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绿色食品标志有关收费办法及标准,依照国家相关规定执行。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本办法自2012年10月1日起施行。农业部1993年1月11日印发的《绿色食品标志管理办法》（1993农（绿）字第1号）同时废止。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556" w:name="_Toc18916300"/>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557" w:name="_Toc28156986"/>
      <w:bookmarkStart w:id="558" w:name="_Toc28250914"/>
      <w:bookmarkStart w:id="559" w:name="_Toc25648205"/>
      <w:bookmarkStart w:id="560" w:name="_Toc25653700"/>
      <w:bookmarkStart w:id="561" w:name="_Toc28252187"/>
      <w:bookmarkStart w:id="562" w:name="_Toc26347964"/>
      <w:r>
        <w:t>农产品包装和标识管理办法</w:t>
      </w:r>
      <w:bookmarkEnd w:id="513"/>
      <w:bookmarkEnd w:id="514"/>
      <w:bookmarkEnd w:id="515"/>
      <w:bookmarkEnd w:id="556"/>
      <w:bookmarkEnd w:id="557"/>
      <w:bookmarkEnd w:id="558"/>
      <w:bookmarkEnd w:id="559"/>
      <w:bookmarkEnd w:id="560"/>
      <w:bookmarkEnd w:id="561"/>
      <w:bookmarkEnd w:id="562"/>
    </w:p>
    <w:p>
      <w:pPr>
        <w:pStyle w:val="62"/>
        <w:topLinePunct w:val="0"/>
        <w:ind w:firstLine="0" w:firstLineChars="0"/>
        <w:jc w:val="center"/>
      </w:pPr>
      <w:r>
        <w:t>（2006年10月17日中华人民共和国农业部令第70号公布）</w:t>
      </w:r>
    </w:p>
    <w:p>
      <w:pPr>
        <w:pStyle w:val="63"/>
        <w:spacing w:before="218" w:after="218" w:line="412" w:lineRule="exact"/>
        <w:rPr>
          <w:b/>
        </w:rPr>
      </w:pPr>
      <w:bookmarkStart w:id="563" w:name="_Toc332804714"/>
      <w:r>
        <w:t>第一章  总  则</w:t>
      </w:r>
      <w:bookmarkEnd w:id="563"/>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为规范农产品生产经营行为，加强农产品包装和标识管理，建立健全农产品可追溯制度，保障农产品质量安全，依据《中华人民共和国农产品质量安全法》，制定本办法。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农产品的包装和标识活动应当符合本办法规定。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农业部负责全国农产品包装和标识的监督管理工作。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县级以上地方人民政府农业行政主管部门负责本行政区域内农产品包装和标识的监督管理工作。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国家支持农产品包装和标识科学研究，推行科学的包装方法，推广先进的标识技术。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县级以上人民政府农业行政主管部门应当将农产品包装和标识管理经费纳入年度预算。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县级以上人民政府农业行政主管部门对在农产品包装和标识工作中做出突出贡献的单位和个人，予以表彰和奖励。</w:t>
      </w:r>
    </w:p>
    <w:p>
      <w:pPr>
        <w:pStyle w:val="63"/>
        <w:spacing w:before="218" w:after="218" w:line="412" w:lineRule="exact"/>
        <w:rPr>
          <w:b/>
        </w:rPr>
      </w:pPr>
      <w:bookmarkStart w:id="564" w:name="_Toc332804715"/>
      <w:r>
        <w:t>第二章  农产品包装</w:t>
      </w:r>
      <w:bookmarkEnd w:id="564"/>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农产品生产企业、农民专业合作经济组织以及从事农产品收购的单位或者个人，用于销售的下列农产品必须包装：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（一）获得无公害农产品、绿色食品、有机农产品等认证的农产品，但鲜活畜、禽、水产品除外。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（二）省级以上人民政府农业行政主管部门规定的其他需要包装销售的农产品。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符合规定包装的农产品拆包后直接向消费者销售的，可以不再另行包装。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农产品包装应当符合农产品储藏、运输、销售及保障安全的要求，便于拆卸和搬运。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包装农产品的材料和使用的保鲜剂、防腐剂、添加剂等物质必须符合国家强制性技术规范要求。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包装农产品应当防止机械损伤和二次污染。</w:t>
      </w:r>
    </w:p>
    <w:p>
      <w:pPr>
        <w:pStyle w:val="63"/>
        <w:spacing w:before="218" w:after="218" w:line="412" w:lineRule="exact"/>
        <w:rPr>
          <w:b/>
        </w:rPr>
      </w:pPr>
      <w:bookmarkStart w:id="565" w:name="_Toc332804716"/>
      <w:r>
        <w:t>第三章  农产品标识</w:t>
      </w:r>
      <w:bookmarkEnd w:id="565"/>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农产品生产企业、农民专业合作经济组织以及从事农产品收购的单位或者个人包装销售的农产品，应当在包装物上标注或者附加标识标明品名、产地、生产者或者销售者名称、生产日期。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有分级标准或者使用添加剂的，还应当标明产品质量等级或者添加剂名称。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未包装的农产品，应当采取附加标签、标识牌、标识带、说明书等形式标明农产品的品名、生产地、生产者或者销售者名称等内容。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农产品标识所用文字应当使用规范的中文。标识标注的内容应当准确、清晰、显著。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销售获得无公害农产品、绿色食品、有机农产品等质量标志使用权的农产品，应当标注相应标志和发证机构。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禁止冒用无公害农产品、绿色食品、有机农产品等质量标志。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畜禽及其产品、属于农业转基因生物的农产品，还应当按照有关规定进行标识。</w:t>
      </w:r>
    </w:p>
    <w:p>
      <w:pPr>
        <w:pStyle w:val="63"/>
        <w:spacing w:before="218" w:after="218" w:line="412" w:lineRule="exact"/>
        <w:rPr>
          <w:b/>
        </w:rPr>
      </w:pPr>
      <w:bookmarkStart w:id="566" w:name="_Toc332804717"/>
      <w:r>
        <w:t>第四章  监督检查</w:t>
      </w:r>
      <w:bookmarkEnd w:id="566"/>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农产品生产企业、农民专业合作经济组织以及从事农产品收购的单位或者个人，应当对其销售农产品的包装质量和标识内容负责。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县级以上人民政府农业行政主管部门依照《中华人民共和国农产品质量安全法》对农产品包装和标识进行监督检查。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有下列情形之一的，由县级以上人民政府农业行政主管部门按照《中华人民共和国农产品质量安全法》第四十八条、四十九条、五十一条、五十二条的规定处理、处罚：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（一）使用的农产品包装材料不符合强制性技术规范要求的；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（二）农产品包装过程中使用的保鲜剂、防腐剂、添加剂等材料不符合强制性技术规范要求的；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（三）应当包装的农产品未经包装销售的；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（四）冒用无公害农产品、绿色食品等质量标志的；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（五）农产品未按照规定标识的。</w:t>
      </w:r>
    </w:p>
    <w:p>
      <w:pPr>
        <w:pStyle w:val="63"/>
        <w:spacing w:before="218" w:after="218" w:line="412" w:lineRule="exact"/>
        <w:rPr>
          <w:b/>
        </w:rPr>
      </w:pPr>
      <w:bookmarkStart w:id="567" w:name="_Toc332804718"/>
      <w:r>
        <w:t>第五章  附  则</w:t>
      </w:r>
      <w:bookmarkEnd w:id="567"/>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本办法下列用语的含义：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（一）农产品包装：是指对农产品实施装箱、装盒、装袋、包裹、捆扎等。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（二）保鲜剂：是指保持农产品新鲜品质，减少流通损失，延长贮存时间的人工合成化学物质或者天然物质。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（三）防腐剂：是指防止农产品腐烂变质的人工合成化学物质或者天然物质。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（四）添加剂：是指为改善农产品品质和色、香、味以及加工性能加入的人工合成化学物质或者天然物质。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（五）生产日期：植物产品是指收获日期；畜禽产品是指屠宰或者产出日期；水产品是指起捕日期；其他产品是指包装或者销售时的日期。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本办法自2006年11月1日起施行。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bookmarkStart w:id="568" w:name="_Toc332804719"/>
    </w:p>
    <w:bookmarkEnd w:id="568"/>
    <w:p>
      <w:pPr>
        <w:pStyle w:val="61"/>
      </w:pPr>
      <w:bookmarkStart w:id="569" w:name="_Toc25648206"/>
      <w:bookmarkStart w:id="570" w:name="_Toc26347965"/>
      <w:bookmarkStart w:id="571" w:name="_Toc28252188"/>
      <w:bookmarkStart w:id="572" w:name="_Toc28530"/>
      <w:bookmarkStart w:id="573" w:name="_Toc466579821"/>
      <w:bookmarkStart w:id="574" w:name="_Toc28156987"/>
      <w:bookmarkStart w:id="575" w:name="_Toc28250915"/>
      <w:bookmarkStart w:id="576" w:name="_Toc18916301"/>
      <w:bookmarkStart w:id="577" w:name="_Toc25653701"/>
      <w:r>
        <w:t>农产品质量安全检测机构考核办法</w:t>
      </w:r>
      <w:bookmarkEnd w:id="569"/>
      <w:bookmarkEnd w:id="570"/>
      <w:bookmarkEnd w:id="571"/>
      <w:bookmarkEnd w:id="572"/>
      <w:bookmarkEnd w:id="573"/>
      <w:bookmarkEnd w:id="574"/>
      <w:bookmarkEnd w:id="575"/>
      <w:bookmarkEnd w:id="576"/>
      <w:bookmarkEnd w:id="577"/>
    </w:p>
    <w:p>
      <w:pPr>
        <w:pStyle w:val="62"/>
      </w:pPr>
      <w:r>
        <w:t>（2007年12月12日农业部令第7号发布，根据2017年11月30日中华人民共和国农业部令第8号公布的、自公布之日起施行《农业部关于修改和废止部分规章、规范性文件的决定》修订）</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为加强农产品质量安全检测机构管理，规范农产品质量安全检测机构考核，根据《中华人民共和国农产品质量安全法》等有关法律、行政法规的规定，制定本办法。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考核，是指省级以上人民政府农业行政主管部门按照法律、法规以及相关标准和技术规范的要求，对向社会出具具有证明作用的数据和结果的农产品质量安全检测机构进行条件与能力评审和确认的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农产品质量安全检测机构经考核和计量认证合格后，方可对外从事农产品、农业投入品和产地环境检测工作。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农业部负责全国农产品质量安全检测机构考核的监督管理工作。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省、自治区、直辖市人民政府农业行政主管部门（以下简称省级农业行政主管部门）负责本行政区域农产品质量安全检测机构考核的监督管理工作。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农产品质量安全检测机构建设，应当统筹规划，合理布局。鼓励检测资源共享，推进县级农产品综合性质检测机构建设。</w:t>
      </w:r>
    </w:p>
    <w:p>
      <w:pPr>
        <w:pStyle w:val="63"/>
        <w:spacing w:before="218" w:after="218" w:line="412" w:lineRule="exact"/>
        <w:rPr>
          <w:b/>
        </w:rPr>
      </w:pPr>
      <w:r>
        <w:t>第二章  基本条件与能力要求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农产品质量安全检测机构应当依法设立，保证客观、公正和独立地从事检测活动，并承担相应的法律责任。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农产品质量安全检测机构应当具有与其从事的农产品质量安全检测活动相适应的管理和技术人员。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从事农产品质量安全检测的技术人员应当具有相关专业中专以上学历，并经所在机构考核合格，持证上岗。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产品质量安全检测机构的技术人员应当不少于5人，其中中级以上技术职称或同等能力的人员比例不低于40%。技术负责人、质量负责人和授权签字人应当具有中级以上技术职称或同等能力，并从事农产品质量安全相关工作5年以上。博士研究生毕业，从事相关专业检验检测工作1年及以上；硕士研究生毕业，从事相关专业检验检测工作3年及以上；大学本科毕业，从事相关专业检验检测工作5年及以上；大学专科毕业，从事相关专业检验检测工作8年及以上，可视为同等能力。</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农产品质量安全检测机构应当具有与其从事的农产品质量安全检测活动相适应的检测仪器设备，仪器设备配备率达到98%，在用仪器设备完好率达到100%。</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农产品质量安全检测机构应当具有与检测活动相适应的固定工作场所，并具备保证检测数据准确的环境条件。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从事相关田间试验和饲养实验动物试验检测的，还应当符合检疫、防疫和环保的要求。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从事农业转基因生物及其产品检测的，还应当具备防范对人体、动植物和环境产生危害的条件。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农产品质量安全检测机构应当建立质量管理与质量保证体系。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农产品质量安全检测机构应当具有相对稳定的工作经费。</w:t>
      </w:r>
    </w:p>
    <w:p>
      <w:pPr>
        <w:pStyle w:val="63"/>
        <w:spacing w:before="218" w:after="218" w:line="412" w:lineRule="exact"/>
        <w:rPr>
          <w:b/>
        </w:rPr>
      </w:pPr>
      <w:r>
        <w:t>第三章  申请与评审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申请考核的农产品质量安全检测机构（以下简称申请人），应当向农业部或者省级人民政府农业行政主管部门（以下简称考核机关）提出书面申请。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国务院有关部门依法设立或者授权的农产品质量安全检测机构，经有关部门审核同意后向农业部提出申请。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其他农产品质量安全检测机构，向所在地省级人民政府农业行政主管部门提出申请。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申请人应当向考核机关提交下列材料：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（二）机构法人资格证书或者其授权的证明文件；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（三）上级或者有关部门批准机构设置的证明文件；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（四）质量体系文件；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（五）计量认证情况；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（六）近两年内的典型性检验报告2份；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（七）其他证明材料。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考核机关设立或者委托的技术审查机构，负责对申请材料进行初审。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考核机关受理申请的，应当及时通知申请人，并将申请材料送技术审查机构；不予受理的，应当及时通知申请人并说明理由。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技术审查机构应当自收到申请材料之日起10个工作日内完成对申请材料的初审，并向考核机关提交初审报告。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通过初审的，考核机关安排现场评审；未通过初审的，考核机关应当出具初审不合格通知书。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现场评审实行评审专家组负责制。专家组由3-5名评审员组成，必要时可聘请其他技术专家参加。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评审员应当具有高级以上技术职称、从事农产品质量安全检测或相关工作5年以上，并经农业部考核合格。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评审专家组应当在3个工作日内完成评审工作，并向考核机关提交现场评审报告。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现场评审应当包括以下内容：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（一）质量体系运行情况；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（二）检测仪器设备和设施条件；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（三）检测能力。</w:t>
      </w:r>
    </w:p>
    <w:p>
      <w:pPr>
        <w:pStyle w:val="63"/>
        <w:spacing w:before="218" w:after="218" w:line="412" w:lineRule="exact"/>
        <w:rPr>
          <w:b/>
        </w:rPr>
      </w:pPr>
      <w:r>
        <w:t>第四章  审批与颁证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考核机关应当自收到现场评审报告之日起10个工作日内，做出申请人是否通过考核的决定。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通过考核的，颁发《中华人民共和国农产品质量安全检测机构考核合格证书》（以下简称《考核合格证书》），准许使用农产品质量安全检测考核标志，并予以公告。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未通过考核的，书面通知申请人并说明理由。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《考核合格证书》应当载明农产品质量安全检测机构名称、检测范围和有效期等内容。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省级农业行政主管部门应当自颁发《考核合格证书》之日起15个工作日内向农业部备案。</w:t>
      </w:r>
    </w:p>
    <w:p>
      <w:pPr>
        <w:pStyle w:val="63"/>
        <w:spacing w:before="218" w:after="218" w:line="412" w:lineRule="exact"/>
        <w:rPr>
          <w:b/>
        </w:rPr>
      </w:pPr>
      <w:r>
        <w:t>第五章  延续与变更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《考核合格证书》有效期为6年。证书期满继续从事农产品质量安全检测工作的，应当在有效期届满3个月前提出申请，重新办理《考核合格证书》。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在证书有效期内，农产品质量安全检测机构法定代表人、名称或者地址变更的，应当向原考核机关办理变更手续。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在证书有效期内，农产品质量安全检测机构有下列情形之一的，应当向原考核机关重新申请考核：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（一）检测机构分设或者合并的；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（二）检测仪器设备和设施条件发生重大变化的；</w:t>
      </w:r>
    </w:p>
    <w:p>
      <w:pPr>
        <w:pStyle w:val="3"/>
        <w:topLinePunct/>
        <w:spacing w:line="412" w:lineRule="exact"/>
        <w:ind w:firstLine="480"/>
        <w:rPr>
          <w:rFonts w:asciiTheme="minorEastAsia" w:hAnsiTheme="minorEastAsia" w:eastAsiaTheme="minorEastAsia"/>
          <w:b/>
          <w:bCs/>
          <w:sz w:val="24"/>
          <w:szCs w:val="24"/>
        </w:rPr>
      </w:pPr>
      <w:r>
        <w:rPr>
          <w:rFonts w:asciiTheme="minorEastAsia" w:hAnsiTheme="minorEastAsia" w:eastAsiaTheme="minorEastAsia"/>
          <w:sz w:val="24"/>
          <w:szCs w:val="24"/>
        </w:rPr>
        <w:t>（三）检测场所变更的；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（四）检测项目增加的。</w:t>
      </w:r>
    </w:p>
    <w:p>
      <w:pPr>
        <w:pStyle w:val="63"/>
        <w:spacing w:before="218" w:after="218" w:line="412" w:lineRule="exact"/>
        <w:rPr>
          <w:b/>
        </w:rPr>
      </w:pPr>
      <w:r>
        <w:t>第六章  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考核机关通过年度报告、能力验证、现场检查等方式，对农产品质量安全检测机构进行监督管理。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农产品质量安全检测机构应当按照考核机关的要求，参加其组织开展的能力验证或者比对，以保证持续符合机构考核条件和要求。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对于农产品质量安全检测机构考核工作中的违法行为，任何单位和个人均可以向考核机关举报。考核机关应当对举报内容进行调查核实，并为举报人保密。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产品质量安全检测机构在考核中隐瞒有关情况或者弄虚作假的，考核机关应当予以警告，取消考核资格，一年内不再受理其考核申请；采取欺骗、贿赂等不正当手段取得考核证书的，撤销考核证书，三年内不再受理其考核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农产品质量安全检测机构伪造检测结果或者出具虚假证明的，或擅自发布检测数据和结果，并造成不良后果的，依照《中华人民共和国农产品质量安全法》相关规定处罚，三年内不受理其机构考核申请。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农产品质量安全检测机构有下列情形之一的，由考核机关责令其1个月内改正；逾期未改正或改正后仍不符合要求的，由考核机关暂停其检测工作：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（一）未按规定对人员、仪器设备、设施条件、质量管理体系、检测工作等实施有效管理的；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（二）未按规定办理变更手续的；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（三）检验报告、原始记录及其他档案管理不规范的。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农产品质量安全检测机构有下列情形之一的，由考核机关责令其3个月内整改，整改期间不得向社会出具具有证明作用的检验检测数据、结果；逾期未整改或整改后仍不符合要求的，由考核机关撤销其《考核合格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（一）超出批准的检测能力范围，擅自向社会出具检验数据、结果的；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（二）非授权签字人签发检验报告的；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（三）检测工作存在较大风险隐患的。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农产品质量安全检测机构有下列行为之一的，考核机关应当视情况注销其《考核合格证书》：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（一）所在单位撤销或者法人资格终结的；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（二）检测仪器设备和设施条件发生重大变化，不具备相应检测能力，未按本办法规定重新申请考核的；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（三）《考核合格证书》有效期届满，未申请延续或者依法不予延续批准的；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（四）无正当理由未按照考核机关要求参加能力验证的；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（五）无正当理由不接受、不配合监督检查的；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（六）依法可注销检测机构资格的其他情形。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农产品质量安全检测机构伪造检测结果或者出具虚假证明的，依照《中华人民共和国农产品质量安全法》第四十四条的规定处罚。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从事考核工作的人员不履行职责或者滥用职权的，依法给予处分。</w:t>
      </w:r>
    </w:p>
    <w:p>
      <w:pPr>
        <w:pStyle w:val="63"/>
        <w:spacing w:before="218" w:after="218" w:line="412" w:lineRule="exact"/>
        <w:rPr>
          <w:b/>
        </w:rPr>
      </w:pPr>
      <w:r>
        <w:t>第七章  附则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法律、行政法规和农业部规章对农业投入品检测机构考核另有规定的，从其规定。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本办法自2008年1月12日起施行。</w:t>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bookmarkStart w:id="578" w:name="_Toc332804732"/>
    </w:p>
    <w:bookmarkEnd w:id="578"/>
    <w:p>
      <w:pPr>
        <w:pStyle w:val="61"/>
      </w:pPr>
      <w:bookmarkStart w:id="579" w:name="_Toc25653702"/>
      <w:bookmarkStart w:id="580" w:name="_Toc431"/>
      <w:bookmarkStart w:id="581" w:name="_Toc25648207"/>
      <w:bookmarkStart w:id="582" w:name="_Toc28250916"/>
      <w:bookmarkStart w:id="583" w:name="_Toc28156988"/>
      <w:bookmarkStart w:id="584" w:name="_Toc18916302"/>
      <w:bookmarkStart w:id="585" w:name="_Toc466579824"/>
      <w:bookmarkStart w:id="586" w:name="_Toc28252189"/>
      <w:bookmarkStart w:id="587" w:name="_Toc26347966"/>
      <w:r>
        <w:t>农产品质量安全监测管理办法</w:t>
      </w:r>
      <w:bookmarkEnd w:id="579"/>
      <w:bookmarkEnd w:id="580"/>
      <w:bookmarkEnd w:id="581"/>
      <w:bookmarkEnd w:id="582"/>
      <w:bookmarkEnd w:id="583"/>
      <w:bookmarkEnd w:id="584"/>
      <w:bookmarkEnd w:id="585"/>
      <w:bookmarkEnd w:id="586"/>
      <w:bookmarkEnd w:id="587"/>
    </w:p>
    <w:p>
      <w:pPr>
        <w:pStyle w:val="62"/>
        <w:topLinePunct w:val="0"/>
        <w:ind w:firstLine="0" w:firstLineChars="0"/>
        <w:jc w:val="center"/>
      </w:pPr>
      <w:r>
        <w:t>（2012年8月14日中华人民共和国农业部令</w:t>
      </w:r>
      <w:r>
        <w:rPr>
          <w:shd w:val="clear" w:color="auto" w:fill="FFFFFF"/>
        </w:rPr>
        <w:t>第7</w:t>
      </w:r>
      <w:r>
        <w:t>号公布）</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为加强农产品质量安全管理，规范农产品质量安全监测工作，根据《中华人民共和国农产品质量安全法》、《中华人民共和国食品安全法》和《中华人民共和国食品安全法实施条例》，制定本办法。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县级以上人民政府农业行政主管部门开展农产品质量安全监测工作，应当遵守本办法。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农产品质量安全监测，包括农产品质量安全风险监测和农产品质量安全监督抽查。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产品质量安全风险监测，是指为了掌握农产品质量安全状况和开展农产品质量安全风险评估，系统和持续地对影响农产品质量安全的有害因素进行检验、分析和评价的活动，包括农产品质量安全例行监测、普查和专项监测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农产品质量安全监督抽查，是指为了监督农产品质量安全，依法对生产中或市场上销售的农产品进行抽样检测的活动。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农业部根据农产品质量安全风险评估、农产品质量安全监督管理等工作需要，制定全国农产品质量安全监测计划并组织实施。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县级以上地方人民政府农业行政主管部门应当根据全国农产品质量安全监测计划和本行政区域的实际情况，制定本级农产品质量安全监测计划并组织实施。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农产品质量安全检测工作,由符合《中华人民共和国农产品质量安全法》第三十五条规定条件的检测机构承担。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县级以上人民政府农业行政主管部门应当加强农产品质量安全检测机构建设，提升其检测能力。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农业部统一管理全国农产品质量安全监测数据和信息，并指定机构建立国家农产品质量安全监测数据库和信息管理平台，承担全国农产品质量安全监测数据和信息的采集、整理、综合分析、结果上报等工作。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县级以上地方人民政府农业行政主管部门负责管理本行政区域内的农产品质量安全监测数据和信息。鼓励县级以上地方人民政府农业行政主管部门建立本行政区域的农产品质量安全监测数据库。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县级以上人民政府农业行政主管部门应当将农产品质量安全监测工作经费列入本部门财政预算，保证监测工作的正常开展。</w:t>
      </w:r>
    </w:p>
    <w:p>
      <w:pPr>
        <w:pStyle w:val="63"/>
        <w:spacing w:before="218" w:after="218" w:line="412" w:lineRule="exact"/>
        <w:rPr>
          <w:b/>
        </w:rPr>
      </w:pPr>
      <w:r>
        <w:t xml:space="preserve">第二章 </w:t>
      </w:r>
      <w:r>
        <w:rPr>
          <w:rFonts w:hint="eastAsia"/>
        </w:rPr>
        <w:t xml:space="preserve"> </w:t>
      </w:r>
      <w:r>
        <w:t>风险监测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农产品质量安全风险监测应当定期开展。根据农产品质量安全监管需要，可以随时开展专项风险监测。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省级以上人民政府农业行政主管部门应当根据农产品质量安全风险监测工作的需要，制定并实施农产品质量安全风险监测网络建设规划，建立健全农产品质量安全风险监测网络。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县级以上人民政府农业行政主管部门根据监测计划向承担农产品质量安全监测工作的机构下达工作任务。接受任务的机构应当根据农产品质量安全监测计划编制工作方案，并报下达监测任务的农业行政主管部门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工作方案应当包括下列内容：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（一）监测任务分工，明确具体承担抽样、检测、结果汇总等的机构；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（二）各机构承担的具体监测内容，包括样品种类、来源、数量、检测项目等；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（三）样品的封装、传递及保存条件；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（四）任务下达部门指定的抽样方法、检测方法及判定依据；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（五）监测完成时间及结果报送日期。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县级以上人民政府农业行政主管部门应当根据农产品质量安全风险隐患分布及变化情况，适时调整监测品种、监测区域、监测参数和监测频率。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农产品质量安全风险监测抽样应当采取符合统计学要求的抽样方法，确保样品的代表性。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农产品质量安全风险监测应当按照公布的标准方法检测。没有标准方法的可以采用非标准方法，但应当遵循先进技术手段与成熟技术相结合的原则，并经方法学研究确认和专家组认定。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承担农产品质量安全监测任务的机构应当按要求向下达任务的农业行政主管部门报送监测数据和分析结果。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省级以上人民政府农业行政主管部门应当建立风险监测形势会商制度，对风险监测结果进行会商分析，查找问题原因，研究监管措施。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县级以上地方人民政府农业行政主管部门应当及时向上级农业行政主管部门报送监测数据和分析结果，并向同级食品安全委员会办公室、卫生行政、质量监督、工商行政管理、食品药品监督管理等有关部门通报。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农业部及时向国务院食品安全委员会办公室和卫生行政、质量监督、工商行政管理、食品药品监督管理等有关部门及各省、自治区、直辖市、计划单列市人民政府农业行政主管部门通报监测结果。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县级以上人民政府农业行政主管部门应当按照法定权限和程序发布农产品质量安全监测结果及相关信息。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风险监测工作的抽样程序、检测方法等符合本办法第三章规定的，监测结果可以作为执法依据。</w:t>
      </w:r>
    </w:p>
    <w:p>
      <w:pPr>
        <w:pStyle w:val="63"/>
        <w:spacing w:before="218" w:after="218" w:line="412" w:lineRule="exact"/>
        <w:rPr>
          <w:b/>
        </w:rPr>
      </w:pPr>
      <w:r>
        <w:t xml:space="preserve">第三章 </w:t>
      </w:r>
      <w:r>
        <w:rPr>
          <w:rFonts w:hint="eastAsia"/>
        </w:rPr>
        <w:t xml:space="preserve"> </w:t>
      </w:r>
      <w:r>
        <w:t>监督抽查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县级以上人民政府农业行政主管部门应当重点针对农产品质量安全风险监测结果和农产品质量安全监管中发现的突出问题，及时开展农产品质量安全监督抽查工作。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监督抽查按照抽样机构和检测机构分离的原则实施。抽样工作由当地农业行政主管部门或其执法机构负责，检测工作由农产品质量安全检测机构负责。检测机构根据需要可以协助实施抽样和样品预处理等工作。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采用快速检测方法实施监督抽查的，不受前款规定的限制。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抽样人员在抽样前应当向被抽查人出示执法证件或工作证件。具有执法证件的抽样人员不得少于两名。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抽样人员应当准确、客观、完整地填写抽样单。抽样单应当加盖抽样单位印章，并由抽样人员和被抽查人签字或捺印；被抽查人为单位的，应当加盖被抽查人印章或者由其工作人员签字或捺印。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抽样单一式四份，分别留存抽样单位、被抽查人、检测单位和下达任务的农业行政主管部门。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抽取的样品应当经抽样人员和被抽查人签字或捺印确认后现场封样。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有下列情形之一的，被抽查人可以拒绝抽样：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（一）具有执法证件的抽样人员少于两名的；（二）抽样人员未出示执法证件或工作证件的。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被抽查人无正当理由拒绝抽样的，抽样人员应当告知拒绝抽样的后果和处理措施。被抽查人仍拒绝抽样的，抽样人员应当现场填写监督抽查拒检确认文书，由抽样人员和见证人共同签字，并及时向当地农业行政主管部门报告情况，对被抽查农产品以不合格论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上级农业行政主管部门监督抽查的同一批次农产品，下级农业行政主管部门不得重复抽查。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检测机构接收样品，应当检查、记录样品的外观、状态、封条有无破损及其他可能对检测结果或者综合判定产生影响的情况，并确认样品与抽样单的记录是否相符，对检测和备份样品分别加贴相应标识后入库。必要时，在不影响样品检测结果的情况下，可以对检测样品分装或者重新包装编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检测机构应当按照任务下达部门指定的方法和判定依据进行检测与判定。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采用快速检测方法检测的，应当遵守相关操作规范。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检测过程中遇有样品失效或者其他情况致使检测无法进行时，检测机构应当如实记录，并出具书面证明。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检测机构不得将监督抽查检测任务委托其他检测机构承担。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检测机构应当将检测结果及时报送下达任务的农业行政主管部门。检测结果不合格的，应当在确认后二十四小时内将检测报告报送下达任务的农业行政主管部门和抽查地农业行政主管部门，抽查地农业行政主管部门应当及时书面通知被抽查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被抽查人对检测结果有异议的，可以自收到检测结果之日起五日内，向下达任务的农业行政主管部门或者其上级农业行政主管部门书面申请复检。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采用快速检测方法进行监督抽查检测，被抽查人对检测结果有异议的，可以自收到检测结果时起四小时内书面申请复检。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复检由农业行政主管部门指定具有资质的检测机构承担。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复检不得采用快速检测方法。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复检结论与原检测结论一致的，复检费用由申请人承担；不一致的，复检费用由原检测机构承担。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县级以上地方人民政府农业行政主管部门对抽检不合格的农产品，应当及时依法查处，或依法移交工商行政管理等有关部门查处。</w:t>
      </w:r>
    </w:p>
    <w:p>
      <w:pPr>
        <w:pStyle w:val="63"/>
        <w:spacing w:before="218" w:after="218" w:line="412" w:lineRule="exact"/>
        <w:rPr>
          <w:b/>
        </w:rPr>
      </w:pPr>
      <w:r>
        <w:t xml:space="preserve">第四章 </w:t>
      </w:r>
      <w:r>
        <w:rPr>
          <w:rFonts w:hint="eastAsia"/>
        </w:rPr>
        <w:t xml:space="preserve"> </w:t>
      </w:r>
      <w:r>
        <w:t>工作纪律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农产品质量安全监测不得向被抽查人收取费用，监测样品由抽样单位向被抽查人购买。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参与监测工作的人员应当秉公守法、廉洁公正，不得弄虚作假、以权谋私。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被抽查人或者与其有利害关系的人员不得参与抽样、检测工作。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抽样应当严格按照工作方案进行，不得擅自改变。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抽样人员不得事先通知被抽查人，不得接受被抽查人的馈赠，不得利用抽样之便牟取非法利益。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检测机构应当对检测结果的真实性负责，不得瞒报、谎报、迟报检测数据和分析结果。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检测机构不得利用检测结果参与有偿活动。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监测任务承担单位和参与监测工作的人员应当对监测工作方案和检测结果保密，未经任务下达部门同意，不得向任何单位和个人透露。</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任何单位和个人对农产品质量安全监测工作中的违法行为，有权向农业行政主管部门举报，接到举报的部门应当及时调查处理。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对违反抽样和检测工作纪律的工作人员，由任务承担单位作出相应处理，并报上级主管部门备案。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违反监测数据保密规定的，由上级主管部门对任务承担单位的负责人通报批评，对直接责任人员依法予以处分、处罚。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检测机构无正当理由未按时间要求上报数据结果的，由上级主管部门通报批评并责令改正；情节严重的，取消其承担检测任务的资格。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检测机构伪造检测结果或者出具检测结果不实的，依照《中华人民共和国农产品质量安全法》第四十四条规定处罚。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违反本办法规定，构成犯罪的，依法移送司法机关追究刑事责任。</w:t>
      </w:r>
    </w:p>
    <w:p>
      <w:pPr>
        <w:pStyle w:val="63"/>
        <w:spacing w:before="218" w:after="218" w:line="412" w:lineRule="exact"/>
        <w:rPr>
          <w:b/>
        </w:rPr>
      </w:pPr>
      <w:r>
        <w:t>第五章</w:t>
      </w:r>
      <w:r>
        <w:rPr>
          <w:rFonts w:hint="eastAsia"/>
        </w:rPr>
        <w:t xml:space="preserve"> </w:t>
      </w:r>
      <w:r>
        <w:t xml:space="preserve"> 附则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本规定自2012年10月1日起施行。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588" w:name="_Toc7212"/>
      <w:bookmarkStart w:id="589" w:name="_Toc466579825"/>
      <w:bookmarkStart w:id="590" w:name="_Toc18916303"/>
    </w:p>
    <w:bookmarkEnd w:id="588"/>
    <w:bookmarkEnd w:id="589"/>
    <w:bookmarkEnd w:id="590"/>
    <w:p>
      <w:pPr>
        <w:pStyle w:val="4"/>
        <w:keepNext w:val="0"/>
        <w:keepLines w:val="0"/>
        <w:topLinePunct/>
        <w:spacing w:line="416" w:lineRule="exact"/>
        <w:ind w:firstLine="482" w:firstLineChars="200"/>
        <w:rPr>
          <w:rFonts w:asciiTheme="minorEastAsia" w:hAnsiTheme="minorEastAsia" w:eastAsiaTheme="minorEastAsia"/>
          <w:sz w:val="24"/>
          <w:szCs w:val="24"/>
        </w:rPr>
      </w:pPr>
      <w:bookmarkStart w:id="591" w:name="_Toc18942600"/>
    </w:p>
    <w:bookmarkEnd w:id="591"/>
    <w:p>
      <w:pPr>
        <w:pStyle w:val="61"/>
      </w:pPr>
      <w:bookmarkStart w:id="592" w:name="_Toc25653704"/>
      <w:bookmarkStart w:id="593" w:name="_Toc28250917"/>
      <w:bookmarkStart w:id="594" w:name="_Toc25648209"/>
      <w:bookmarkStart w:id="595" w:name="_Toc28156989"/>
      <w:bookmarkStart w:id="596" w:name="_Toc28252190"/>
      <w:bookmarkStart w:id="597" w:name="_Toc26347967"/>
      <w:r>
        <w:rPr>
          <w:shd w:val="clear" w:color="auto" w:fill="FFFFFF"/>
        </w:rPr>
        <w:t>农业保险条例</w:t>
      </w:r>
      <w:bookmarkEnd w:id="592"/>
      <w:bookmarkEnd w:id="593"/>
      <w:bookmarkEnd w:id="594"/>
      <w:bookmarkEnd w:id="595"/>
      <w:bookmarkEnd w:id="596"/>
      <w:bookmarkEnd w:id="597"/>
    </w:p>
    <w:p>
      <w:pPr>
        <w:pStyle w:val="62"/>
      </w:pPr>
      <w:r>
        <w:rPr>
          <w:rFonts w:hint="eastAsia"/>
        </w:rPr>
        <w:t>（</w:t>
      </w:r>
      <w:r>
        <w:t>2012年11月12日中华人民共和国国务院令第629号公布</w:t>
      </w:r>
      <w:r>
        <w:rPr>
          <w:rFonts w:hint="eastAsia"/>
        </w:rPr>
        <w:t>，</w:t>
      </w:r>
      <w:r>
        <w:t>根据2016年2月6日《国务院关于修改部分行政法规的决定》修订</w:t>
      </w:r>
      <w:r>
        <w:rPr>
          <w:rFonts w:hint="eastAsia"/>
        </w:rPr>
        <w:t>）</w:t>
      </w:r>
    </w:p>
    <w:p>
      <w:pPr>
        <w:pStyle w:val="63"/>
        <w:spacing w:before="218" w:after="218" w:line="412" w:lineRule="exact"/>
        <w:rPr>
          <w:szCs w:val="26"/>
        </w:rPr>
      </w:pPr>
      <w:r>
        <w:rPr>
          <w:rStyle w:val="30"/>
          <w:rFonts w:hint="eastAsia"/>
          <w:b w:val="0"/>
          <w:bCs/>
          <w:szCs w:val="23"/>
        </w:rPr>
        <w:t>第一章  总  则</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第一条</w:t>
      </w:r>
      <w:r>
        <w:rPr>
          <w:rStyle w:val="30"/>
          <w:rFonts w:ascii="Times New Roman" w:hAnsi="Times New Roman" w:cs="Times New Roman" w:eastAsiaTheme="minorEastAsia"/>
        </w:rPr>
        <w:t xml:space="preserve">  </w:t>
      </w:r>
      <w:r>
        <w:rPr>
          <w:rFonts w:ascii="Times New Roman" w:cs="Times New Roman"/>
        </w:rPr>
        <w:t>为了规范农业保险活动，保护农业保险活动当事人的合法权益，提高农业生产抗风险能力，促进农业保险事业健康发展，根据《中华人民共和国保险法》、《中华人民共和国农业法》等法律，制定本条例。</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第二条</w:t>
      </w:r>
      <w:r>
        <w:rPr>
          <w:rStyle w:val="30"/>
          <w:rFonts w:ascii="Times New Roman" w:hAnsi="Times New Roman" w:cs="Times New Roman" w:eastAsiaTheme="minorEastAsia"/>
        </w:rPr>
        <w:t xml:space="preserve">  </w:t>
      </w:r>
      <w:r>
        <w:rPr>
          <w:rFonts w:ascii="Times New Roman" w:cs="Times New Roman"/>
        </w:rPr>
        <w:t>本条例所称农业保险，是指保险机构根据农业保险合同，对被保险人在种植业、林业、畜牧业和渔业生产中因保险标的遭受约定的自然灾害、意外事故、疫病、疾病等保险事故所造成的财产损失，承担赔偿保险金责任的保险活动。</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本条例所称保险机构，是指保险公司以及依法设立的农业互助保险等保险组织。</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第三条</w:t>
      </w:r>
      <w:r>
        <w:rPr>
          <w:rFonts w:ascii="Times New Roman" w:cs="Times New Roman" w:hAnsiTheme="minorEastAsia" w:eastAsiaTheme="minorEastAsia"/>
        </w:rPr>
        <w:t xml:space="preserve">  </w:t>
      </w:r>
      <w:r>
        <w:rPr>
          <w:rFonts w:ascii="Times New Roman" w:cs="Times New Roman"/>
        </w:rPr>
        <w:t>国家支持发展多种形式的农业保险，健全政策性农业保险制度。</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农业保险实行政府引导、市场运作、自主自愿和协同推进的原则。</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省、自治区、直辖市人民政府可以确定适合本地区实际的农业保险经营模式。</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任何单位和个人不得利用行政权力、职务或者职业便利以及其他方式强迫、限制农民或者农业生产经营组织参加农业保险。</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第四条</w:t>
      </w:r>
      <w:r>
        <w:rPr>
          <w:rStyle w:val="30"/>
          <w:rFonts w:ascii="Times New Roman" w:hAnsi="Times New Roman" w:cs="Times New Roman" w:eastAsiaTheme="minorEastAsia"/>
        </w:rPr>
        <w:t xml:space="preserve">  </w:t>
      </w:r>
      <w:r>
        <w:rPr>
          <w:rFonts w:ascii="Times New Roman" w:cs="Times New Roman"/>
        </w:rPr>
        <w:t>国务院保险监督管理机构对农业保险业务实施监督管理。国务院财政、农业、林业、发展改革、税务、民政等有关部门按照各自的职责，负责农业保险推进、管理的相关工作。</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财政、保险监督管理、国土资源、农业、林业、气象等有关部门、机构应当建立农业保险相关信息的共享机制。</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第五条</w:t>
      </w:r>
      <w:r>
        <w:rPr>
          <w:rFonts w:ascii="Times New Roman" w:cs="Times New Roman" w:hAnsiTheme="minorEastAsia" w:eastAsiaTheme="minorEastAsia"/>
        </w:rPr>
        <w:t xml:space="preserve">  </w:t>
      </w:r>
      <w:r>
        <w:rPr>
          <w:rFonts w:ascii="Times New Roman" w:cs="Times New Roman"/>
        </w:rPr>
        <w:t>县级以上地方人民政府统一领导、组织、协调本行政区域的农业保险工作，建立健全推进农业保险发展的工作机制。县级以上地方人民政府有关部门按照本级人民政府规定的职责，负责本行政区域农业保险推进、管理的相关工作。</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第六条</w:t>
      </w:r>
      <w:r>
        <w:rPr>
          <w:rFonts w:ascii="Times New Roman" w:cs="Times New Roman" w:hAnsiTheme="minorEastAsia" w:eastAsiaTheme="minorEastAsia"/>
        </w:rPr>
        <w:t xml:space="preserve">  </w:t>
      </w:r>
      <w:r>
        <w:rPr>
          <w:rFonts w:ascii="Times New Roman" w:cs="Times New Roman"/>
        </w:rPr>
        <w:t>国务院有关部门、机构和地方各级人民政府及其有关部门应当采取多种形式，加强对农业保险的宣传，提高农民和农业生产经营组织的保险意识，组织引导农民和农业生产经营组织积极参加农业保险。</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第七条</w:t>
      </w:r>
      <w:r>
        <w:rPr>
          <w:rStyle w:val="30"/>
          <w:rFonts w:ascii="Times New Roman" w:hAnsi="Times New Roman" w:cs="Times New Roman" w:eastAsiaTheme="minorEastAsia"/>
        </w:rPr>
        <w:t xml:space="preserve">  </w:t>
      </w:r>
      <w:r>
        <w:rPr>
          <w:rFonts w:ascii="Times New Roman" w:cs="Times New Roman"/>
        </w:rPr>
        <w:t>农民或者农业生产经营组织投保的农业保险标的属于财政给予保险费补贴范围的，由财政部门按照规定给予保险费补贴，具体办法由国务院财政部门商国务院农业、林业主管部门和保险监督管理机构制定。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国家鼓励地方人民政府采取由地方财政给予保险费补贴等措施，支持发展农业保险。</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第八条</w:t>
      </w:r>
      <w:r>
        <w:rPr>
          <w:rFonts w:ascii="Times New Roman" w:cs="Times New Roman" w:hAnsiTheme="minorEastAsia" w:eastAsiaTheme="minorEastAsia"/>
        </w:rPr>
        <w:t xml:space="preserve">  </w:t>
      </w:r>
      <w:r>
        <w:rPr>
          <w:rFonts w:ascii="Times New Roman" w:cs="Times New Roman"/>
        </w:rPr>
        <w:t>国家建立财政支持的农业保险大灾风险分散机制，具体办法由国务院财政部门会同国务院有关部门制定。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国家鼓励地方人民政府建立地方财政支持的农业保险大灾风险分散机制。</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第九条</w:t>
      </w:r>
      <w:r>
        <w:rPr>
          <w:rFonts w:ascii="Times New Roman" w:cs="Times New Roman" w:hAnsiTheme="minorEastAsia" w:eastAsiaTheme="minorEastAsia"/>
        </w:rPr>
        <w:t xml:space="preserve">  </w:t>
      </w:r>
      <w:r>
        <w:rPr>
          <w:rFonts w:ascii="Times New Roman" w:cs="Times New Roman"/>
        </w:rPr>
        <w:t>保险机构经营农业保险业务依法享受税收优惠。</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国家支持保险机构建立适应农业保险业务发展需要的基层服务体系。</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国家鼓励金融机构对投保农业保险的农民和农业生产经营组织加大信贷支持力度。</w:t>
      </w:r>
    </w:p>
    <w:p>
      <w:pPr>
        <w:pStyle w:val="63"/>
        <w:spacing w:before="218" w:after="218" w:line="412" w:lineRule="exact"/>
        <w:rPr>
          <w:rStyle w:val="30"/>
          <w:bCs w:val="0"/>
          <w:szCs w:val="23"/>
        </w:rPr>
      </w:pPr>
      <w:r>
        <w:rPr>
          <w:rStyle w:val="30"/>
          <w:b w:val="0"/>
          <w:bCs/>
          <w:szCs w:val="23"/>
        </w:rPr>
        <w:t>第二章  农业保险合同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 xml:space="preserve">第十条  </w:t>
      </w:r>
      <w:r>
        <w:rPr>
          <w:rFonts w:cs="Times New Roman" w:asciiTheme="minorEastAsia" w:hAnsiTheme="minorEastAsia" w:eastAsiaTheme="minorEastAsia"/>
        </w:rPr>
        <w:t>农业保险可以由农民、农业生产经营组织自行投保，也可以由农业生产经营组织、村民委员会等单位组织农民投保。</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由农业生产经营组织、村民委员会等单位组织农民投保的，保险机构应当在订立农业保险合同时，制定投保清单，详细列明被保险人的投保信息，并由被保险人签字确认。保险机构应当将承保情况予以公示。</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第十一条</w:t>
      </w:r>
      <w:r>
        <w:rPr>
          <w:rFonts w:cs="Times New Roman" w:asciiTheme="minorEastAsia" w:hAnsiTheme="minorEastAsia" w:eastAsiaTheme="minorEastAsia"/>
        </w:rPr>
        <w:t xml:space="preserve">  在农业保险合同有效期内，合同当事人不得因保险标的的危险程度发生变化增加保险费或者解除农业保险合同。</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第十二条</w:t>
      </w:r>
      <w:r>
        <w:rPr>
          <w:rFonts w:cs="Times New Roman" w:asciiTheme="minorEastAsia" w:hAnsiTheme="minorEastAsia" w:eastAsiaTheme="minorEastAsia"/>
        </w:rPr>
        <w:t xml:space="preserve">  保险机构接到发生保险事故的通知后，应当及时进行现场查勘，会同被保险人核定保险标的的受损情况。由农业生产经营组织、村民委员会等单位组织农民投保的，保险机构应当将查勘定损结果予以公示。</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保险机构按照农业保险合同约定，可以采取抽样方式或者其他方式核定保险标的的损失程度。采用抽样方式核定损失程度的，应当符合有关部门规定的抽样技术规范。</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第十三条</w:t>
      </w:r>
      <w:r>
        <w:rPr>
          <w:rFonts w:cs="Times New Roman" w:asciiTheme="minorEastAsia" w:hAnsiTheme="minorEastAsia" w:eastAsiaTheme="minorEastAsia"/>
        </w:rPr>
        <w:t xml:space="preserve">  法律、行政法规对受损的农业保险标的的处理有规定的，理赔时应当取得受损保险标的已依法处理的证据或者证明材料。</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保险机构不得主张对受损的保险标的残余价值的权利，农业保险合同另有约定的除外。</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第十四条</w:t>
      </w:r>
      <w:r>
        <w:rPr>
          <w:rFonts w:cs="Times New Roman" w:asciiTheme="minorEastAsia" w:hAnsiTheme="minorEastAsia" w:eastAsiaTheme="minorEastAsia"/>
        </w:rPr>
        <w:t xml:space="preserve">  保险机构应当在与被保险人达成赔偿协议后10日内，将应赔偿的保险金支付给被保险人。农业保险合同对赔偿保险金的期限有约定的，保险机构应当按照约定履行赔偿保险金义务。</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第十五条</w:t>
      </w:r>
      <w:r>
        <w:rPr>
          <w:rFonts w:cs="Times New Roman" w:asciiTheme="minorEastAsia" w:hAnsiTheme="minorEastAsia" w:eastAsiaTheme="minorEastAsia"/>
        </w:rPr>
        <w:t xml:space="preserve">  保险机构应当按照农业保险合同约定，根据核定的保险标的的损失程度足额支付应赔偿的保险金。</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任何单位和个人不得非法干预保险机构履行赔偿保险金的义务，不得限制被保险人取得保险金的权利。</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农业生产经营组织、村民委员会等单位组织农民投保的，理赔清单应当由被保险人签字确认，保险机构应当将理赔结果予以公示。</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cs="Times New Roman" w:asciiTheme="minorEastAsia" w:hAnsiTheme="minorEastAsia" w:eastAsiaTheme="minorEastAsia"/>
        </w:rPr>
        <w:t>第十六条</w:t>
      </w:r>
      <w:r>
        <w:rPr>
          <w:rFonts w:cs="Times New Roman" w:asciiTheme="minorEastAsia" w:hAnsiTheme="minorEastAsia" w:eastAsiaTheme="minorEastAsia"/>
        </w:rPr>
        <w:t xml:space="preserve">  本条例对农业保险合同未作规定的，参照适用《中华人民共和国保险法》中保险合同的有关规定。</w:t>
      </w:r>
    </w:p>
    <w:p>
      <w:pPr>
        <w:pStyle w:val="63"/>
        <w:spacing w:before="218" w:after="218" w:line="412" w:lineRule="exact"/>
        <w:rPr>
          <w:rStyle w:val="30"/>
          <w:bCs w:val="0"/>
          <w:szCs w:val="23"/>
        </w:rPr>
      </w:pPr>
      <w:r>
        <w:rPr>
          <w:rStyle w:val="30"/>
          <w:b w:val="0"/>
          <w:bCs/>
          <w:szCs w:val="23"/>
        </w:rPr>
        <w:t>第三章  经营规则</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第十七条</w:t>
      </w:r>
      <w:r>
        <w:rPr>
          <w:rStyle w:val="30"/>
          <w:rFonts w:ascii="Times New Roman" w:hAnsi="Times New Roman" w:cs="Times New Roman" w:eastAsiaTheme="minorEastAsia"/>
        </w:rPr>
        <w:t xml:space="preserve">  </w:t>
      </w:r>
      <w:r>
        <w:rPr>
          <w:rFonts w:ascii="Times New Roman" w:cs="Times New Roman"/>
        </w:rPr>
        <w:t>保险机构经营农业保险业务，应当符合下列条件：</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（一）有完善的基层服务网络；</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（二）有专门的农业保险经营部门并配备相应的专业人员；</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（三）有完善的农业保险内控制度；</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（四）有稳健的农业再保险和大灾风险安排以及风险应对预案；</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（五）偿付能力符合国务院保险监督管理机构的规定；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（六）国务院保险监督管理机构规定的其他条件。</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除保险机构外，任何单位和个人不得经营农业保险业务。</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第十八条</w:t>
      </w:r>
      <w:r>
        <w:rPr>
          <w:rFonts w:ascii="Times New Roman" w:cs="Times New Roman" w:hAnsiTheme="minorEastAsia" w:eastAsiaTheme="minorEastAsia"/>
        </w:rPr>
        <w:t xml:space="preserve">  </w:t>
      </w:r>
      <w:r>
        <w:rPr>
          <w:rFonts w:ascii="Times New Roman" w:cs="Times New Roman"/>
        </w:rPr>
        <w:t>保险机构经营农业保险业务，实行自主经营、自负盈亏。</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保险机构经营农业保险业务，应当与其他保险业务分开管理，单独核算损益。</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第十九条</w:t>
      </w:r>
      <w:r>
        <w:rPr>
          <w:rFonts w:ascii="Times New Roman" w:cs="Times New Roman" w:hAnsiTheme="minorEastAsia" w:eastAsiaTheme="minorEastAsia"/>
        </w:rPr>
        <w:t xml:space="preserve">  </w:t>
      </w:r>
      <w:r>
        <w:rPr>
          <w:rFonts w:ascii="Times New Roman" w:cs="Times New Roman"/>
        </w:rPr>
        <w:t>保险机构应当公平、合理地拟订农业保险条款和保险费率。属于财政给予保险费补贴的险种的保险条款和保险费率，保险机构应当在充分听取省、自治区、直辖市人民政府财政、农业、林业部门和农民代表意见的基础上拟订。</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农业保险条款和保险费率应当依法报保险监督管理机构审批或者备案。</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第二十条</w:t>
      </w:r>
      <w:r>
        <w:rPr>
          <w:rFonts w:ascii="Times New Roman" w:cs="Times New Roman" w:hAnsiTheme="minorEastAsia" w:eastAsiaTheme="minorEastAsia"/>
        </w:rPr>
        <w:t xml:space="preserve">  </w:t>
      </w:r>
      <w:r>
        <w:rPr>
          <w:rFonts w:ascii="Times New Roman" w:cs="Times New Roman"/>
        </w:rPr>
        <w:t>保险机构经营农业保险业务的准备金评估和偿付能力报告的编制，应当符合国务院保险监督管理机构的规定。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农业保险业务的财务管理和会计核算需要采取特殊原则和方法的，由国务院财政部门制定具体办法。</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第二十一条</w:t>
      </w:r>
      <w:r>
        <w:rPr>
          <w:rFonts w:ascii="Times New Roman" w:cs="Times New Roman" w:hAnsiTheme="minorEastAsia" w:eastAsiaTheme="minorEastAsia"/>
        </w:rPr>
        <w:t xml:space="preserve">  </w:t>
      </w:r>
      <w:r>
        <w:rPr>
          <w:rFonts w:ascii="Times New Roman" w:cs="Times New Roman"/>
        </w:rPr>
        <w:t>保险机构可以委托基层农业技术推广等机构协助办理农业保险业务。保险机构应当与被委托协助办理农业保险业务的机构签订书面合同，明确双方权利义务，约定费用支付，并对协助办理农业保险业务的机构进行业务指导。</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第二十二条</w:t>
      </w:r>
      <w:r>
        <w:rPr>
          <w:rStyle w:val="30"/>
          <w:rFonts w:ascii="Times New Roman" w:hAnsi="Times New Roman" w:cs="Times New Roman" w:eastAsiaTheme="minorEastAsia"/>
        </w:rPr>
        <w:t xml:space="preserve">  </w:t>
      </w:r>
      <w:r>
        <w:rPr>
          <w:rFonts w:ascii="Times New Roman" w:cs="Times New Roman"/>
        </w:rPr>
        <w:t>保险机构应当按照国务院保险监督管理机构的规定妥善保存农业保险查勘定损的原始资料。</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禁止任何单位和个人涂改、伪造、隐匿或者违反规定销毁查勘定损的原始资料。</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第二十三条</w:t>
      </w:r>
      <w:r>
        <w:rPr>
          <w:rFonts w:ascii="Times New Roman" w:cs="Times New Roman" w:hAnsiTheme="minorEastAsia" w:eastAsiaTheme="minorEastAsia"/>
        </w:rPr>
        <w:t xml:space="preserve">  </w:t>
      </w:r>
      <w:r>
        <w:rPr>
          <w:rFonts w:ascii="Times New Roman" w:cs="Times New Roman"/>
        </w:rPr>
        <w:t>保险费补贴的取得和使用，应当遵守依照本条例第七条制定的具体办法的规定。</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禁止以下列方式或者其他任何方式骗取农业保险的保险费补贴：</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（一）虚构或者虚增保险标的或者以同一保险标的进行多次投保；</w:t>
      </w:r>
    </w:p>
    <w:p>
      <w:pPr>
        <w:pStyle w:val="25"/>
        <w:widowControl w:val="0"/>
        <w:shd w:val="clear" w:color="auto" w:fill="FFFFFF"/>
        <w:topLinePunct/>
        <w:spacing w:beforeAutospacing="0" w:afterAutospacing="0" w:line="412" w:lineRule="exact"/>
        <w:ind w:firstLine="480" w:firstLineChars="200"/>
        <w:jc w:val="both"/>
        <w:rPr>
          <w:rFonts w:ascii="Times New Roman" w:hAnsi="Times New Roman" w:cs="Times New Roman" w:eastAsiaTheme="minorEastAsia"/>
        </w:rPr>
      </w:pPr>
      <w:r>
        <w:rPr>
          <w:rFonts w:ascii="Times New Roman" w:cs="Times New Roman"/>
        </w:rPr>
        <w:t>（二）以虚假理赔、虚列费用、虚假退保或者截留、挪用保险金、挪用经营费用等方式冲销投保人应缴的保险费或者财政给予的保险费补贴。</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第二十四条</w:t>
      </w:r>
      <w:r>
        <w:rPr>
          <w:rFonts w:ascii="Times New Roman" w:cs="Times New Roman" w:hAnsiTheme="minorEastAsia" w:eastAsiaTheme="minorEastAsia"/>
        </w:rPr>
        <w:t xml:space="preserve">  </w:t>
      </w:r>
      <w:r>
        <w:rPr>
          <w:rFonts w:ascii="Times New Roman" w:cs="Times New Roman"/>
        </w:rPr>
        <w:t>禁止任何单位和个人挪用、截留、侵占保险机构应当赔偿被保险人的保险金。</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ascii="Times New Roman" w:cs="Times New Roman"/>
        </w:rPr>
        <w:t>第二十五条</w:t>
      </w:r>
      <w:r>
        <w:rPr>
          <w:rFonts w:ascii="Times New Roman" w:cs="Times New Roman" w:hAnsiTheme="minorEastAsia" w:eastAsiaTheme="minorEastAsia"/>
        </w:rPr>
        <w:t xml:space="preserve">  </w:t>
      </w:r>
      <w:r>
        <w:rPr>
          <w:rFonts w:ascii="Times New Roman" w:cs="Times New Roman"/>
        </w:rPr>
        <w:t>本条例对农业保险经营规则未作规定的，适用《中华人民共和国保险法》中保险经营规则及监督管理的有关规定。</w:t>
      </w:r>
    </w:p>
    <w:p>
      <w:pPr>
        <w:pStyle w:val="63"/>
        <w:spacing w:before="218" w:after="218" w:line="412" w:lineRule="exact"/>
        <w:rPr>
          <w:rStyle w:val="30"/>
          <w:bCs w:val="0"/>
          <w:szCs w:val="23"/>
        </w:rPr>
      </w:pPr>
      <w:r>
        <w:rPr>
          <w:rStyle w:val="30"/>
          <w:b w:val="0"/>
          <w:bCs/>
          <w:szCs w:val="23"/>
        </w:rPr>
        <w:t>第四章  法律责任</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第二十六条</w:t>
      </w:r>
      <w:r>
        <w:rPr>
          <w:rFonts w:cs="Times New Roman" w:asciiTheme="minorEastAsia" w:hAnsiTheme="minorEastAsia" w:eastAsiaTheme="minorEastAsia"/>
        </w:rPr>
        <w:t xml:space="preserve">  保险机构不符合本条例第十七条第一款规定条件经营农业保险业务的，由保险监督管理机构责令限期改正，停止接受新业务；逾期不改正或者造成严重后果的，处10万元以上50万元以下的罚款，可以责令停业整顿或者吊销经营保险业务许可证。</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保险机构以外的其他组织或者个人非法经营农业保险业务的，由保险监督管理机构予以取缔，没收违法所得，并处违法所得1倍以上5倍以下的罚款；没有违法所得或者违法所得不足20万元的，处20万元以上100万元以下的罚款。</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第二十七条</w:t>
      </w:r>
      <w:r>
        <w:rPr>
          <w:rFonts w:cs="Times New Roman" w:asciiTheme="minorEastAsia" w:hAnsiTheme="minorEastAsia" w:eastAsiaTheme="minorEastAsia"/>
        </w:rPr>
        <w:t xml:space="preserve">  保险机构经营农业保险业务，有下列行为之一的，由保险监督管理机构责令改正，处10万元以上50万元以下的罚款；情节严重的，可以限制其业务范围、责令停止接受新业务：</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（一）编制或者提供虚假的报告、报表、文件、资料；</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（二）拒绝或者妨碍依法监督检查；</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（三）未按照规定使用经批准或者备案的农业保险条款、保险费率。</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第二十八条</w:t>
      </w:r>
      <w:r>
        <w:rPr>
          <w:rFonts w:cs="Times New Roman" w:asciiTheme="minorEastAsia" w:hAnsiTheme="minorEastAsia" w:eastAsiaTheme="minorEastAsia"/>
        </w:rPr>
        <w:t xml:space="preserve">  保险机构经营农业保险业务，违反本条例规定，有下列行为之一的，由保险监督管理机构责令改正，处5万元以上30万元以下的罚款；情节严重的，可以限制其业务范围、责令停止接受新业务：</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（一）未按照规定将农业保险业务与其他保险业务分开管理，单独核算损益；</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（二）利用开展农业保险业务为其他机构或者个人牟取不正当利益；</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（三）未按照规定申请批准农业保险条款、保险费率。</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保险机构经营农业保险业务，未按照规定报送农业保险条款、保险费率备案的，由保险监督管理机构责令限期改正；逾期不改正的，处1万元以上10万元以下的罚款。</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第二十九条</w:t>
      </w:r>
      <w:r>
        <w:rPr>
          <w:rFonts w:cs="Times New Roman" w:asciiTheme="minorEastAsia" w:hAnsiTheme="minorEastAsia" w:eastAsiaTheme="minorEastAsia"/>
        </w:rPr>
        <w:t xml:space="preserve">  保险机构违反本条例规定，保险监督管理机构除依照本条例的规定给予处罚外，对其直接负责的主管人员和其他直接责任人员给予警告，并处1万元以上10万元以下的罚款；情节严重的，对取得任职资格或者从业资格的人员撤销其相应资格。</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第三十条</w:t>
      </w:r>
      <w:r>
        <w:rPr>
          <w:rFonts w:cs="Times New Roman" w:asciiTheme="minorEastAsia" w:hAnsiTheme="minorEastAsia" w:eastAsiaTheme="minorEastAsia"/>
        </w:rPr>
        <w:t xml:space="preserve">  违反本条例第二十三条规定，骗取保险费补贴的，由财政部门依照《财政违法行为处罚处分条例》的有关规定予以处理；构成犯罪的，依法追究刑事责任。</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违反本条例第二十四条规定，挪用、截留、侵占保险金的，由有关部门依法处理；构成犯罪的，依法追究刑事责任。</w:t>
      </w:r>
    </w:p>
    <w:p>
      <w:pPr>
        <w:pStyle w:val="25"/>
        <w:widowControl w:val="0"/>
        <w:shd w:val="clear" w:color="auto" w:fill="FFFFFF"/>
        <w:topLinePunct/>
        <w:spacing w:beforeAutospacing="0" w:afterAutospacing="0" w:line="412" w:lineRule="exact"/>
        <w:ind w:firstLine="482" w:firstLineChars="200"/>
        <w:jc w:val="both"/>
        <w:rPr>
          <w:rFonts w:ascii="Times New Roman" w:hAnsi="Times New Roman" w:cs="Times New Roman" w:eastAsiaTheme="minorEastAsia"/>
        </w:rPr>
      </w:pPr>
      <w:r>
        <w:rPr>
          <w:rStyle w:val="30"/>
          <w:rFonts w:cs="Times New Roman" w:asciiTheme="minorEastAsia" w:hAnsiTheme="minorEastAsia" w:eastAsiaTheme="minorEastAsia"/>
        </w:rPr>
        <w:t>第三十一条</w:t>
      </w:r>
      <w:r>
        <w:rPr>
          <w:rFonts w:cs="Times New Roman" w:asciiTheme="minorEastAsia" w:hAnsiTheme="minorEastAsia" w:eastAsiaTheme="minorEastAsia"/>
        </w:rPr>
        <w:t xml:space="preserve">  保险机构违反本条例规定的法律责任，本条例未作规定的，适用《中华人民共和国保险法》的有关规定。</w:t>
      </w:r>
    </w:p>
    <w:p>
      <w:pPr>
        <w:pStyle w:val="63"/>
        <w:spacing w:before="218" w:after="218" w:line="412" w:lineRule="exact"/>
        <w:rPr>
          <w:rStyle w:val="30"/>
          <w:bCs w:val="0"/>
          <w:szCs w:val="23"/>
        </w:rPr>
      </w:pPr>
      <w:r>
        <w:rPr>
          <w:rStyle w:val="30"/>
          <w:b w:val="0"/>
          <w:bCs/>
          <w:szCs w:val="23"/>
        </w:rPr>
        <w:t>第五章  附  则</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Style w:val="30"/>
          <w:rFonts w:cs="Times New Roman" w:asciiTheme="minorEastAsia" w:hAnsiTheme="minorEastAsia" w:eastAsiaTheme="minorEastAsia"/>
        </w:rPr>
        <w:t>第三十二条</w:t>
      </w:r>
      <w:r>
        <w:rPr>
          <w:rFonts w:cs="Times New Roman" w:asciiTheme="minorEastAsia" w:hAnsiTheme="minorEastAsia" w:eastAsiaTheme="minorEastAsia"/>
        </w:rPr>
        <w:t xml:space="preserve">  保险机构经营有政策支持的涉农保险，参照适用本条例有关规定。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涉农保险是指农业保险以外、为农民在农业生产生活中提供保险保障的保险，包括农房、农机具、渔船等财产保险，涉及农民的生命和身体等方面的短期意外伤害保险。</w:t>
      </w:r>
    </w:p>
    <w:p>
      <w:pPr>
        <w:pStyle w:val="3"/>
        <w:topLinePunct/>
        <w:spacing w:line="412" w:lineRule="exact"/>
        <w:ind w:firstLine="482"/>
        <w:rPr>
          <w:kern w:val="0"/>
          <w:sz w:val="24"/>
          <w:szCs w:val="24"/>
        </w:rPr>
      </w:pPr>
      <w:r>
        <w:rPr>
          <w:rStyle w:val="30"/>
          <w:rFonts w:asciiTheme="minorEastAsia" w:hAnsiTheme="minorEastAsia" w:eastAsiaTheme="minorEastAsia"/>
          <w:sz w:val="24"/>
          <w:szCs w:val="24"/>
        </w:rPr>
        <w:t>第三十三条</w:t>
      </w:r>
      <w:r>
        <w:rPr>
          <w:rFonts w:asciiTheme="minorEastAsia" w:hAnsiTheme="minorEastAsia" w:eastAsiaTheme="minorEastAsia"/>
        </w:rPr>
        <w:t xml:space="preserve">  </w:t>
      </w:r>
      <w:r>
        <w:rPr>
          <w:rFonts w:asciiTheme="minorEastAsia" w:hAnsiTheme="minorEastAsia" w:eastAsiaTheme="minorEastAsia"/>
          <w:sz w:val="24"/>
          <w:szCs w:val="24"/>
        </w:rPr>
        <w:t>本条例自2013年3月1日起施行。</w:t>
      </w:r>
    </w:p>
    <w:p>
      <w:pPr>
        <w:pStyle w:val="3"/>
        <w:topLinePunct/>
        <w:spacing w:line="412" w:lineRule="exact"/>
        <w:ind w:firstLine="480"/>
        <w:rPr>
          <w:kern w:val="0"/>
          <w:sz w:val="24"/>
          <w:szCs w:val="24"/>
        </w:rPr>
      </w:pPr>
    </w:p>
    <w:p>
      <w:pPr>
        <w:widowControl/>
        <w:spacing w:before="156" w:after="156"/>
        <w:ind w:firstLine="240"/>
        <w:rPr>
          <w:rFonts w:cs="Times New Roman" w:asciiTheme="minorEastAsia" w:hAnsiTheme="minorEastAsia"/>
          <w:sz w:val="24"/>
          <w:szCs w:val="24"/>
        </w:rPr>
        <w:sectPr>
          <w:headerReference r:id="rId21" w:type="default"/>
          <w:headerReference r:id="rId22" w:type="even"/>
          <w:pgSz w:w="12247" w:h="17180"/>
          <w:pgMar w:top="1814" w:right="1701" w:bottom="1701" w:left="1701" w:header="851" w:footer="1134" w:gutter="0"/>
          <w:cols w:space="425" w:num="1"/>
          <w:docGrid w:type="lines" w:linePitch="312" w:charSpace="0"/>
        </w:sect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bookmarkStart w:id="598" w:name="_Toc12751"/>
      <w:bookmarkStart w:id="599" w:name="_Toc18916793"/>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600" w:name="_Toc28252191"/>
      <w:bookmarkStart w:id="601" w:name="_Toc25648210"/>
      <w:bookmarkStart w:id="602" w:name="_Toc25653705"/>
      <w:r>
        <w:t>五、种</w:t>
      </w:r>
      <w:r>
        <w:rPr>
          <w:rFonts w:hint="eastAsia"/>
        </w:rPr>
        <w:t xml:space="preserve">  </w:t>
      </w:r>
      <w:r>
        <w:t>业</w:t>
      </w:r>
      <w:bookmarkEnd w:id="600"/>
      <w:bookmarkEnd w:id="601"/>
      <w:bookmarkEnd w:id="602"/>
    </w:p>
    <w:p>
      <w:pPr>
        <w:topLinePunct/>
        <w:spacing w:beforeLines="0" w:afterLines="0" w:line="416" w:lineRule="exact"/>
        <w:ind w:firstLine="480" w:firstLineChars="200"/>
        <w:rPr>
          <w:rFonts w:cs="Times New Roman" w:asciiTheme="minorEastAsia" w:hAnsiTheme="minorEastAsia"/>
          <w:sz w:val="24"/>
          <w:szCs w:val="24"/>
        </w:rPr>
      </w:pPr>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603" w:name="_Toc26347968"/>
      <w:bookmarkStart w:id="604" w:name="_Toc28156990"/>
      <w:bookmarkStart w:id="605" w:name="_Toc28252192"/>
      <w:bookmarkStart w:id="606" w:name="_Toc25648211"/>
      <w:bookmarkStart w:id="607" w:name="_Toc28250918"/>
      <w:bookmarkStart w:id="608" w:name="_Toc25653706"/>
      <w:r>
        <w:t>中华人民共和国种子法</w:t>
      </w:r>
      <w:bookmarkEnd w:id="598"/>
      <w:bookmarkEnd w:id="599"/>
      <w:bookmarkEnd w:id="603"/>
      <w:bookmarkEnd w:id="604"/>
      <w:bookmarkEnd w:id="605"/>
      <w:bookmarkEnd w:id="606"/>
      <w:bookmarkEnd w:id="607"/>
      <w:bookmarkEnd w:id="608"/>
    </w:p>
    <w:p>
      <w:pPr>
        <w:pStyle w:val="62"/>
      </w:pPr>
      <w:r>
        <w:t>（</w:t>
      </w:r>
      <w:r>
        <w:rPr>
          <w:rFonts w:hint="eastAsia"/>
        </w:rPr>
        <w:t>2000年7月8日主席令第34号发布，根据2004年8月28日主席令第26号第一次修正，根据2013年6月29日主席令第5号第二次修正，根据2015年11月4日主席令第35号第三次修订</w:t>
      </w:r>
      <w:r>
        <w:t>）</w:t>
      </w:r>
    </w:p>
    <w:p>
      <w:pPr>
        <w:pStyle w:val="63"/>
        <w:spacing w:before="218" w:after="218" w:line="412" w:lineRule="exact"/>
        <w:rPr>
          <w:b/>
        </w:rPr>
      </w:pPr>
      <w:r>
        <w:t>第一章  总则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护和合理利用种质资源，规范品种选育、种子生产经营和管理行为，保护植物新品种权，维护种子生产经营者、使用者的合法权益，提高种子质量，推动种子产业化，发展现代种业，保障国家粮食安全，促进农业和林业的发展，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在中华人民共和国境内从事品种选育、种子生产经营和管理等活动，适用本法。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本法所称种子，是指农作物和林木的种植材料或者繁殖材料，包括籽粒、果实、根、茎、苗、芽、叶、花等。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国务院农业、林业主管部门分别主管全国农作物种子和林木种子工作；县级以上地方人民政府农业、林业主管部门分别主管本行政区域内农作物种子和林木种子工作。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各级人民政府及其有关部门应当采取措施，加强种子执法和监督，依法惩处侵害农民权益的种子违法行为。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国家扶持种质资源保护工作和选育、生产、更新、推广使用良种，鼓励品种选育和种子生产经营相结合，奖励在种质资源保护工作和良种选育、推广等工作中成绩显著的单位和个人。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省级以上人民政府应当根据科教兴农方针和农业、林业发展的需要制定种业发展规划并组织实施。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省级以上人民政府建立种子储备制度，主要用于发生灾害时的生产需要及余缺调剂，保障农业和林业生产安全。对储备的种子应当定期检验和更新。种子储备的具体办法由国务院规定。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转基因植物品种的选育、试验、审定和推广应当进行安全性评价，并采取严格的安全控制措施。国务院农业、林业主管部门应当加强跟踪监管并及时公告有关转基因植物品种审定和推广的信息。具体办法由国务院规定。</w:t>
      </w:r>
    </w:p>
    <w:p>
      <w:pPr>
        <w:widowControl/>
        <w:spacing w:before="156" w:after="156"/>
        <w:ind w:firstLine="210"/>
        <w:rPr>
          <w:rFonts w:ascii="黑体" w:hAnsi="黑体" w:eastAsia="黑体" w:cs="Times New Roman"/>
          <w:bCs/>
          <w:sz w:val="28"/>
          <w:szCs w:val="28"/>
        </w:rPr>
      </w:pPr>
      <w:r>
        <w:br w:type="page"/>
      </w:r>
    </w:p>
    <w:p>
      <w:pPr>
        <w:pStyle w:val="63"/>
        <w:spacing w:before="218" w:after="218" w:line="412" w:lineRule="exact"/>
        <w:rPr>
          <w:b/>
        </w:rPr>
      </w:pPr>
      <w:r>
        <w:t>第二章  种质资源保护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国家依法保护种质资源，任何单位和个人不得侵占和破坏种质资源。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禁止采集或者采伐国家重点保护的天然种质资源。因科研等特殊情况需要采集或者采伐的，应当经国务院或者省、自治区、直辖市人民政府的农业、林业主管部门批准。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国家有计划地普查、收集、整理、鉴定、登记、保存、交流和利用种质资源，定期公布可供利用的种质资源目录。具体办法由国务院农业、林业主管部门规定。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务院农业、林业主管部门应当建立种质资源库、种质资源保护区或者种质资源保护地。省、自治区、直辖市人民政府农业、林业主管部门可以根据需要建立种质资源库、种质资源保护区、种质资源保护地。种质资源库、种质资源保护区、种质资源保护地的种质资源属公共资源，依法开放利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占用种质资源库、种质资源保护区或者种质资源保护地的，需经原设立机关同意。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家对种质资源享有主权，任何单位和个人向境外提供种质资源，或者与境外机构、个人开展合作研究利用种质资源的，应当向省、自治区、直辖市人民政府农业、林业主管部门提出申请，并提交国家共享惠益的方案；受理申请的农业、林业主管部门经审核，报国务院农业、林业主管部门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从境外引进种质资源的，依照国务院农业、林业主管部门的有关规定办理。</w:t>
      </w:r>
    </w:p>
    <w:p>
      <w:pPr>
        <w:pStyle w:val="63"/>
        <w:spacing w:before="218" w:after="218" w:line="412" w:lineRule="exact"/>
        <w:rPr>
          <w:b/>
        </w:rPr>
      </w:pPr>
      <w:r>
        <w:t>第三章  品种选育、审定与登记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国家支持科研院所及高等院校重点开展育种的基础性、前沿性和应用技术研究，以及常规作物、主要造林树种育种和无性繁殖材料选育等公益性研究。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种子企业充分利用公益性研究成果，培育具有自主知识产权的优良品种；鼓励种子企业与科研院所及高等院校构建技术研发平台，建立以市场为导向、资本为纽带、利益共享、风险共担的产学研相结合的种业技术创新体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国家加强种业科技创新能力建设，促进种业科技成果转化，维护种业科技人员的合法权益。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由财政资金支持形成的育种发明专利权和植物新品种权，除涉及国家安全、国家利益和重大社会公共利益的外，授权项目承担者依法取得。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由财政资金支持为主形成的育种成果的转让、许可等应当依法公开进行，禁止私自交易。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单位和个人因林业主管部门为选育林木良种建立测定林、试验林、优树收集区、基因库等而减少经济收入的，批准建立的林业主管部门应当按照国家有关规定给予经济补偿。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国家对主要农作物和主要林木实行品种审定制度。主要农作物品种和主要林木品种在推广前应当通过国家级或者省级审定。由省、自治区、直辖市人民政府林业主管部门确定的主要林木品种实行省级审定。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申请审定的品种应当符合特异性、一致性、稳定性要求。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主要农作物品种和主要林木品种的审定办法由国务院农业、林业主管部门规定。审定办法应当体现公正、公开、科学、效率的原则，有利于产量、品质、抗性等的提高与协调，有利于适应市场和生活消费需要的品种的推广。在制定、修改审定办法时，应当充分听取育种者、种子使用者、生产经营者和相关行业代表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国务院和省、自治区、直辖市人民政府的农业、林业主管部门分别设立由专业人员组成的农作物品种和林木品种审定委员会。品种审定委员会承担主要农作物品种和主要林木品种的审定工作，建立包括申请文件、品种审定试验数据、种子样品、审定意见和审定结论等内容的审定档案，保证可追溯。在审定通过的品种依法公布的相关信息中应当包括审定意见情况，接受监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品种审定实行回避制度。品种审定委员会委员、工作人员及相关测试、试验人员应当忠于职守，公正廉洁。对单位和个人举报或者监督检查发现的上述人员的违法行为，省级以上人民政府农业、林业主管部门和有关机关应当及时依法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实行选育生产经营相结合，符合国务院农业、林业主管部门规定条件的种子企业，对其自主研发的主要农作物品种、主要林木品种可以按照审定办法自行完成试验，达到审定标准的，品种审定委员会应当颁发审定证书。种子企业对试验数据的真实性负责，保证可追溯，接受省级以上人民政府农业、林业主管部门和社会的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审定未通过的农作物品种和林木品种，申请人有异议的，可以向原审定委员会或者国家级审定委员会申请复审。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通过国家级审定的农作物品种和林木良种由国务院农业、林业主管部门公告，可以在全国适宜的生态区域推广。通过省级审定的农作物品种和林木良种由省、自治区、直辖市人民政府农业、林业主管部门公告，可以在本行政区域内适宜的生态区域推广；其他省、自治区、直辖市属于同一适宜生态区的地域引种农作物品种、林木良种的，引种者应当将引种的品种和区域报所在省、自治区、直辖市人民政府农业、林业主管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引种本地区没有自然分布的林木品种，应当按照国家引种标准通过试验。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省、自治区、直辖市人民政府农业、林业主管部门应当完善品种选育、审定工作的区域协作机制，促进优良品种的选育和推广。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审定通过的农作物品种和林木良种出现不可克服的严重缺陷等情形不宜继续推广、销售的，经原审定委员会审核确认后，撤销审定，由原公告部门发布公告，停止推广、销售。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国家对部分非主要农作物实行品种登记制度。列入非主要农作物登记目录的品种在推广前应当登记。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实行品种登记的农作物范围应当严格控制，并根据保护生物多样性、保证消费安全和用种安全的原则确定。登记目录由国务院农业主管部门制定和调整。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者申请品种登记应当向省、自治区、直辖市人民政府农业主管部门提交申请文件和种子样品，并对其真实性负责，保证可追溯，接受监督检查。申请文件包括品种的种类、名称、来源、特性、育种过程以及特异性、一致性、稳定性测试报告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省、自治区、直辖市人民政府农业主管部门自受理品种登记申请之日起二十个工作日内，对申请者提交的申请文件进行书面审查，符合要求的，报国务院农业主管部门予以登记公告。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已登记品种存在申请文件、种子样品不实的，由国务院农业主管部门撤销该品种登记，并将该申请者的违法信息记入社会诚信档案，向社会公布；给种子使用者和其他种子生产经营者造成损失的，依法承担赔偿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对已登记品种出现不可克服的严重缺陷等情形的，由国务院农业主管部门撤销登记，并发布公告，停止推广。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非主要农作物品种登记办法由国务院农业主管部门规定。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应当审定的农作物品种未经审定的，不得发布广告、推广、销售。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应当审定的林木品种未经审定通过的，不得作为良种推广、销售，但生产确需使用的，应当经林木品种审定委员会认定。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应当登记的农作物品种未经登记的，不得发布广告、推广，不得以登记品种的名义销售。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在中国境内没有经常居所或者营业场所的境外机构、个人在境内申请品种审定或者登记的，应当委托具有法人资格的境内种子企业代理。</w:t>
      </w:r>
    </w:p>
    <w:p>
      <w:pPr>
        <w:pStyle w:val="63"/>
        <w:spacing w:before="218" w:after="218" w:line="412" w:lineRule="exact"/>
        <w:rPr>
          <w:b/>
        </w:rPr>
      </w:pPr>
      <w:r>
        <w:t>第四章  新品种保护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国家实行植物新品种保护制度。对国家植物品种保护名录内经过人工选育或者发现的野生植物加以改良，具备新颖性、特异性、一致性、稳定性和适当命名的植物品种，由国务院农业、林业主管部门授予植物新品种权，保护植物新品种权所有人的合法权益。植物新品种权的内容和归属、授予条件、申请和受理、审查与批准，以及期限、终止和无效等依照本法、有关法律和行政法规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国家鼓励和支持种业科技创新、植物新品种培育及成果转化。取得植物新品种权的品种得到推广应用的，育种者依法获得相应的经济利益。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一个植物新品种只能授予一项植物新品种权。两个以上的申请人分别就同一个品种申请植物新品种权的，植物新品种权授予最先申请的人；同时申请的，植物新品种权授予最先完成该品种育种的人。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对违反法律，危害社会公共利益、生态环境的植物新品种，不授予植物新品种权。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授予植物新品种权的植物新品种名称，应当与相同或者相近的植物属或者种中已知品种的名称相区别。该名称经授权后即为该植物新品种的通用名称。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下列名称不得用于授权品种的命名：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（一）仅以数字表示的；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（二）违反社会公德的；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（三）对植物新品种的特征、特性或者育种者身份等容易引起误解的。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同一植物品种在申请新品种保护、品种审定、品种登记、推广、销售时只能使用同一个名称。生产推广、销售的种子应当与申请植物新品种保护、品种审定、品种登记时提供的样品相符。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完成育种的单位或者个人对其授权品种，享有排他的独占权。任何单位或者个人未经植物新品种权所有人许可，不得生产、繁殖或者销售该授权品种的繁殖材料，不得为商业目的将该授权品种的繁殖材料重复使用于生产另一品种的繁殖材料；但是本法、有关法律、行政法规另有规定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在下列情况下使用授权品种的，可以不经植物新品种权所有人许可，不向其支付使用费，但不得侵犯植物新品种权所有人依照本法、有关法律、行政法规享有的其他权利：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（一）利用授权品种进行育种及其他科研活动；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（二）农民自繁自用授权品种的繁殖材料。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为了国家利益或者社会公共利益，国务院农业、林业主管部门可以作出实施植物新品种权强制许可的决定，并予以登记和公告。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取得实施强制许可的单位或者个人不享有独占的实施权，并且无权允许他人实施。</w:t>
      </w:r>
    </w:p>
    <w:p>
      <w:pPr>
        <w:pStyle w:val="63"/>
        <w:spacing w:before="218" w:after="218" w:line="412" w:lineRule="exact"/>
        <w:rPr>
          <w:b/>
        </w:rPr>
      </w:pPr>
      <w:r>
        <w:t>第五章  种子生产经营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从事种子进出口业务的种子生产经营许可证，由省、自治区、直辖市人民政府农业、林业主管部门审核，国务院农业、林业主管部门核发。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前两款规定以外的其他种子的生产经营许可证，由生产经营者所在地县级以上地方人民政府农业、林业主管部门核发。</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只从事非主要农作物种子和非主要林木种子生产的，不需要办理种子生产经营许可证。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申请取得种子生产经营许可证的，应当具有与种子生产经营相适应的生产经营设施、设备及专业技术人员，以及法规和国务院农业、林业主管部门规定的其他条件。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从事种子生产的，还应当同时具有繁殖种子的隔离和培育条件，具有无检疫性有害生物的种子生产地点或者县级以上人民政府林业主管部门确定的采种林。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申请领取具有植物新品种权的种子生产经营许可证的，应当征得植物新品种权所有人的书面同意。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种子生产经营许可证应当载明生产经营者名称、地址、法定代表人、生产种子的品种、地点和种子经营的范围、有效期限、有效区域等事项。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前款事项发生变更的，应当自变更之日起三十日内，向原核发许可证机关申请变更登记。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除本法另有规定外，禁止任何单位和个人无种子生产经营许可证或者违反种子生产经营许可证的规定生产、经营种子。禁止伪造、变造、买卖、租借种子生产经营许可证。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种子生产应当执行种子生产技术规程和种子检验、检疫规程。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在林木种子生产基地内采集种子的，由种子生产基地的经营者组织进行，采集种子应当按照国家有关标准进行。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禁止抢采掠青、损坏母树，禁止在劣质林内、劣质母树上采集种子。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种子生产经营者应当建立和保存包括种子来源、产地、数量、质量、销售去向、销售日期和有关责任人员等内容的生产经营档案，保证可追溯。种子生产经营档案的具体载明事项，种子生产经营档案及种子样品的保存期限由国务院农业、林业主管部门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农民个人自繁自用的常规种子有剩余的，可以在当地集贸市场上出售、串换，不需要办理种子生产经营许可证。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种子生产经营许可证的有效区域由发证机关在其管辖范围内确定。种子生产经营者在种子生产经营许可证载明的有效区域设立分支机构的，专门经营不再分装的包装种子的，或者受具有种子生产经营许可证的种子生产经营者以书面委托生产、代销其种子的，不需要办理种子生产经营许可证，但应当向当地农业、林业主管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实行选育生产经营相结合，符合国务院农业、林业主管部门规定条件的种子企业的生产经营许可证的有效区域为全国。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未经省、自治区、直辖市人民政府林业主管部门批准，不得收购珍贵树木种子和本级人民政府规定限制收购的林木种子。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销售的种子应当加工、分级、包装。但是不能加工、包装的除外。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大包装或者进口种子可以分装；实行分装的，应当标注分装单位，并对种子质量负责。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销售的种子应当符合国家或者行业标准，附有标签和使用说明。标签和使用说明标注的内容应当与销售的种子相符。种子生产经营者对标注内容的真实性和种子质量负责。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标签应当标注种子类别、品种名称、品种审定或者登记编号、品种适宜种植区域及季节、生产经营者及注册地、质量指标、检疫证明编号、种子生产经营许可证编号和信息代码，以及国务院农业、林业主管部门规定的其他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销售授权品种种子的，应当标注品种权号。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销售进口种子的，应当附有进口审批文号和中文标签。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销售转基因植物品种种子的，必须用明显的文字标注，并应当提示使用时的安全控制措施。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种子生产经营者应当遵守有关法律、法规的规定，诚实守信，向种子使用者提供种子生产者信息、种子的主要性状、主要栽培措施、适应性等使用条件的说明、风险提示与有关咨询服务，不得作虚假或者引人误解的宣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任何单位和个人不得非法干预种子生产经营者的生产经营自主权。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种子广告的内容应当符合本法和有关广告的法律、法规的规定，主要性状描述等应当与审定、登记公告一致。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运输或者邮寄种子应当依照有关法律、行政法规的规定进行检疫。</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种子使用者有权按照自己的意愿购买种子，任何单位和个人不得非法干预。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国家对推广使用林木良种造林给予扶持。国家投资或者国家投资为主的造林项目和国有林业单位造林，应当根据林业主管部门制定的计划使用林木良种。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种子使用者因种子质量问题或者因种子的标签和使用说明标注的内容不真实，遭受损失的，种子使用者可以向出售种子的经营者要求赔偿，也可以向种子生产者或者其他经营者要求赔偿。赔偿额包括购种价款、可得利益损失和其他损失。属于种子生产者或者其他经营者责任的，出售种子的经营者赔偿后，有权向种子生产者或者其他经营者追偿；属于出售种子的经营者责任的，种子生产者或者其他经营者赔偿后，有权向出售种子的经营者追偿。</w:t>
      </w:r>
    </w:p>
    <w:p>
      <w:pPr>
        <w:pStyle w:val="63"/>
        <w:spacing w:before="218" w:after="218" w:line="412" w:lineRule="exact"/>
        <w:rPr>
          <w:b/>
        </w:rPr>
      </w:pPr>
      <w:r>
        <w:t>第六章  种子监督管理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农业、林业主管部门应当加强对种子质量的监督检查。种子质量管理办法、行业标准和检验方法，由国务院农业、林业主管部门制定。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林业主管部门可以采用国家规定的快速检测方法对生产经营的种子品种进行检测，检测结果可以作为行政处罚依据。被检查人对检测结果有异议的，可以申请复检，复检不得采用同一检测方法。因检测结果错误给当事人造成损失的，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农业、林业主管部门可以委托种子质量检验机构对种子质量进行检验。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承担种子质量检验的机构应当具备相应的检测条件、能力，并经省级以上人民政府有关主管部门考核合格。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种子质量检验机构应当配备种子检验员。种子检验员应当具有中专以上有关专业学历，具备相应的种子检验技术能力和水平。</w:t>
      </w:r>
    </w:p>
    <w:p>
      <w:pPr>
        <w:pStyle w:val="3"/>
        <w:topLinePunct/>
        <w:spacing w:line="412" w:lineRule="exact"/>
        <w:ind w:firstLine="482"/>
        <w:rPr>
          <w:rFonts w:asciiTheme="minorEastAsia" w:hAnsiTheme="minorEastAsia" w:eastAsiaTheme="minorEastAsia"/>
          <w:spacing w:val="4"/>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禁止生产经</w:t>
      </w:r>
      <w:r>
        <w:rPr>
          <w:rFonts w:asciiTheme="minorEastAsia" w:hAnsiTheme="minorEastAsia" w:eastAsiaTheme="minorEastAsia"/>
          <w:spacing w:val="4"/>
          <w:sz w:val="24"/>
          <w:szCs w:val="24"/>
        </w:rPr>
        <w:t>营假、劣种子。农业、林业主管部门和有关部门依法打击生产经营假、劣种子的违法行为，保护农民合法权益，维护公平竞争的市场秩序。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下列种子为假种子：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（一）以非种子冒充种子或者以此种品种种子冒充其他品种种子的；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（二）种子种类、品种与标签标注的内容不符或者没有标签的。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下列种子为劣种子：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（一）质量低于国家规定标准的；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（二）质量低于标签标注指标的；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（三）带有国家规定的检疫性有害生物的。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农业、林业主管部门是种子行政执法机关。种子执法人员依法执行公务时应当出示行政执法证件。农业、林业主管部门依法履行种子监督检查职责时，有权采取下列措施：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（一）进入生产经营场所进行现场检查；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（二）对种子进行取样测试、试验或者检验；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（三）查阅、复制有关合同、票据、账簿、生产经营档案及其他有关资料；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（四）查封、扣押有证据证明违法生产经营的种子，以及用于违法生产经营的工具、设备及运输工具等；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（五）查封违法从事种子生产经营活动的场所。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农业、林业主管部门依照本法规定行使职权，当事人应当协助、配合，不得拒绝、阻挠。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农业、林业主管部门所属的综合执法机构或者受其委托的种子管理机构，可以开展种子执法相关工作。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种子生产经营者依法自愿成立种子行业协会，加强行业自律管理，维护成员合法权益，为成员和行业发展提供信息交流、技术培训、信用建设、市场营销和咨询等服务。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种子生产经营者可自愿向具有资质的认证机构申请种子质量认证。经认证合格的，可以在包装上使用认证标识。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由于不可抗力原因，为生产需要必须使用低于国家或者地方规定标准的农作物种子的，应当经用种地县级以上地方人民政府批准；林木种子应当经用种地省、自治区、直辖市人民政府批准。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从事品种选育和种子生产经营以及管理的单位和个人应当遵守有关植物检疫法律、行政法规的规定，防止植物危险性病、虫、杂草及其他有害生物的传播和蔓延。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禁止任何单位和个人在种子生产基地从事检疫性有害生物接种试验。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省级</w:t>
      </w:r>
      <w:r>
        <w:rPr>
          <w:rFonts w:asciiTheme="minorEastAsia" w:hAnsiTheme="minorEastAsia" w:eastAsiaTheme="minorEastAsia"/>
          <w:spacing w:val="4"/>
          <w:sz w:val="24"/>
          <w:szCs w:val="24"/>
        </w:rPr>
        <w:t>以上人民政府农业、林业主管部门应当在统一的政府信息发布平台上发布品种审定、品种登记、新品种保护、种子生产经营许可、监督管理等信息。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国务院农业、林业主管部门建立植物品种标准样品库，为种子监督管理提供依据。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农业、林业主管部门及其工作人员，不得参与和从事种子生产经营活动。</w:t>
      </w:r>
    </w:p>
    <w:p>
      <w:pPr>
        <w:pStyle w:val="63"/>
        <w:spacing w:before="218" w:after="218" w:line="412" w:lineRule="exact"/>
        <w:rPr>
          <w:b/>
        </w:rPr>
      </w:pPr>
      <w:r>
        <w:t>第七章  种子进出口和对外合作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进口种子和出口种子必须实施检疫，防止植物危险性病、虫、杂草及其他有害生物传入境内和传出境外，具体检疫工作按照有关植物进出境检疫法律、行政法规的规定执行。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从事种子进出口业务的，除具备种子生产经营许可证外，还应当依照国家有关规定取得种子进出口许可。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从境外引进农作物、林木种子的审定权限，农作物、林木种子的进口审批办法，引进转基因植物品种的管理办法，由国务院规定。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进口种子的质量，应当达到国家标准或者行业标准。没有国家标准或者行业标准的，可以按照合同约定的标准执行。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为境外制种进口种子的，可以不受本法第五十八条第一款的限制，但应当具有对外制种合同，进口的种子只能用于制种，其产品不得在境内销售。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从境外引进农作物或者林木试验用种，应当隔离栽培，收获物也不得作为种子销售。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禁止进出口假、劣种子以及属于国家规定不得进出口的种子。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国家建立种业国家安全审查机制。境外机构、个人投资、并购境内种子企业，或者与境内科研院所、种子企业开展技术合作，从事品种研发、种子生产经营的审批管理依照有关法律、行政法规的规定执行。</w:t>
      </w:r>
    </w:p>
    <w:p>
      <w:pPr>
        <w:pStyle w:val="63"/>
        <w:spacing w:before="218" w:after="218" w:line="412" w:lineRule="exact"/>
        <w:rPr>
          <w:b/>
        </w:rPr>
      </w:pPr>
      <w:r>
        <w:t>第八章  扶持措施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国家加大对种业发展的支持。对品种选育、生产、示范推广、种质资源保护、种子储备以及制种大县给予扶持。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国家鼓励推广使用高效、安全制种采种技术和先进适用的制种采种机械，将先进适用的制种采种机械纳入农机具购置补贴范围。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国家积极引导社会资金投资种业。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国家加强种业公益性基础设施建设。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对优势种子繁育基地内的耕地，划入基本农田保护区，实行永久保护。优势种子繁育基地由国务院农业主管部门商所在省、自治区、直辖市人民政府确定。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对从事农作物和林木品种选育、生产的种子企业，按照国家有关规定给予扶持。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国家鼓励和引导金融机构为种子生产经营和收储提供信贷支持。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国家支持保险机构开展种子生产保险。省级以上人民政府可以采取保险费补贴等措施，支持发展种业生产保险。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国家鼓励科研院所及高等院校与种子企业开展育种科技人员交流，支持本单位的科技人员到种子企业从事育种成果转化活动；鼓励育种科研人才创新创业。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国务院农业、林业主管部门和异地繁育种子所在地的省、自治区、直辖市人民政府应当加强对异地繁育种子工作的管理和协调，交通运输部门应当优先保证种子的运输。</w:t>
      </w:r>
    </w:p>
    <w:p>
      <w:pPr>
        <w:pStyle w:val="63"/>
        <w:spacing w:before="218" w:after="218" w:line="412" w:lineRule="exact"/>
        <w:rPr>
          <w:b/>
        </w:rPr>
      </w:pPr>
      <w:r>
        <w:t>第九章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农业、林业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违反本法第五十六条规定，农业、林业主管部门工作人员从事种子生产经营活动的，依法给予处分。</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违反本法第十六条规定，品种审定委员会委员和工作人员不依法履行职责，弄虚作假、徇私舞弊的，依法给予处分；自处分决定作出之日起五年内不得从事品种审定工作。</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品种测试、试验和种子质量检验机构伪造测试、试验、检验数据或者出具虚假证明的，由县级以上人民政府农业、林业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由省级以上人民政府有关主管部门取消种子质量检验资格。</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sz w:val="24"/>
          <w:szCs w:val="24"/>
        </w:rPr>
        <w:t>违反本法第二十八条规定，有侵犯植物新品种权行为的，由当事人协商解决，不愿协商或者协商不成的，植物新品种权所有人或者利害关系人可以请求县级以上人民政府农业、林业主管部门进行处理，也可以直接向人民法院提起诉讼。</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农业、林业主管部门，根据当事人自愿的原则，对侵犯植物新品种权所造成的损害赔偿可以进行调解。调解达成协议的，当事人应当履行；当事人不履行协议或者调解未达成协议的，植物新品种权所有人或者利害关系人可以依法向人民法院提起诉讼。</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侵犯植物新品种权的赔偿数额按照权利人因被侵权所受到的实际损失确定；实际损失难以确定的，可以按照侵权人因侵权所获得的利益确定。权利人的损失或者侵权人获得的利益难以确定的，可以参照该植物新品种权许可使用费的倍数合理确定。赔偿数额应当包括权利人为制止侵权行为所支付的合理开支。侵犯植物新品种权，情节严重的，可以在按照上述方法确定数额的一倍以上三倍以下确定赔偿数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权利人的损失、侵权人获得的利益和植物新品种权许可使用费均难以确定的，人民法院可以根据植物新品种权的类型、侵权行为的性质和情节等因素，确定给予三百万元以下的赔偿。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农业、林业主管部门处理侵犯植物新品种权案件时，为了维护社会公共利益，责令侵权人停止侵权行为，没收违法所得和种子；货值金额不足五万元的，并处一万元以上二十五万元以下罚款；货值金额五万元以上的，并处货值金额五倍以上十倍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假冒授权品种的，由县级以上人民政府农业、林业主管部门责令停止假冒行为，没收违法所得和种子；货值金额不足五万元的，并处一万元以上二十五万元以下罚款；货值金额五万元以上的，并处货值金额五倍以上十倍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sz w:val="24"/>
          <w:szCs w:val="24"/>
        </w:rPr>
        <w:t>当事人就植物新品种的申请权和植物新品种权的权属发生争议的，可以向人民法院提起诉讼。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sz w:val="24"/>
          <w:szCs w:val="24"/>
        </w:rPr>
        <w:t>违反本法第四十九条规定，生产经营假种子的，由县级以上人民政府农业、林业主管部门责令停止生产经营，没收违法所得和种子，吊销种子生产经营许可证；违法生产经营的货值金额不足一万元的，并处一万元以上十万元以下罚款；货值金额一万元以上的，并处货值金额十倍以上二十倍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因生产经营假种子犯罪被判处有期徒刑以上刑罚的，种子企业或者其他单位的法定代表人、直接负责的主管人员自刑罚执行完毕之日起五年内不得担任种子企业的法定代表人、高级管理人员。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sz w:val="24"/>
          <w:szCs w:val="24"/>
        </w:rPr>
        <w:t>违反本法第四十九条规定，生产经营劣种子的，由县级以上人民政府农业、林业主管部门责令停止生产经营，没收违法所得和种子；违法生产经营的货值金额不足一万元的，并处五千元以上五万元以下罚款；货值金额一万元以上的，并处货值金额五倍以上十倍以下罚款；情节严重的，吊销种子生产经营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因生产经营劣种子犯罪被判处有期徒刑以上刑罚的，种子企业或者其他单位的法定代表人、直接负责的主管人员自刑罚执行完毕之日起五年内不得担任种子企业的法定代表人、高级管理人员。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第七十七条  </w:t>
      </w:r>
      <w:r>
        <w:rPr>
          <w:rFonts w:asciiTheme="minorEastAsia" w:hAnsiTheme="minorEastAsia" w:eastAsiaTheme="minorEastAsia"/>
          <w:sz w:val="24"/>
          <w:szCs w:val="24"/>
        </w:rPr>
        <w:t>违反本法第三十二条、第三十三条规定，有下列行为之一的，由县级以上人民政府农业、林业主管部门责令改正，没收违法所得和种子；违法生产经营的货值金额不足一万元的，并处三千元以上三万元以下罚款；货值金额一万元以上的，并处货值金额三倍以上五倍以下罚款；可以吊销种子生产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（一）未取得种子生产经营许可证生产经营种子的；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（二）以欺骗、贿赂等不正当手段取得种子生产经营许可证的；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（三）未按照种子生产经营许可证的规定生产经营种子的；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（四）伪造、变造、买卖、租借种子生产经营许可证的。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被吊销种子生产经营许可证的单位，其法定代表人、直接负责的主管人员自处罚决定作出之日起五年内不得担任种子企业的法定代表人、高级管理人员。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第七十八条  </w:t>
      </w:r>
      <w:r>
        <w:rPr>
          <w:rFonts w:asciiTheme="minorEastAsia" w:hAnsiTheme="minorEastAsia" w:eastAsiaTheme="minorEastAsia"/>
          <w:sz w:val="24"/>
          <w:szCs w:val="24"/>
        </w:rPr>
        <w:t>违反本法第二十一条、第二十二条、第二十三条规定，有下列行为之一的，由县级以上人民政府农业、林业主管部门责令停止违法行为，没收违法所得和种子，并处二万元以上二十万元以下罚款：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（一）对应当审定未经审定的农作物品种进行推广、销售的；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（二）作为良种推广、销售应当审定未经审定的林木品种的；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（三）推广、销售应当停止推广、销售的农作物品种或者林木良种的；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（四）对应当登记未经登记的农作物品种进行推广，或者以登记品种的名义进行销售的；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（五）对已</w:t>
      </w:r>
      <w:r>
        <w:rPr>
          <w:rFonts w:asciiTheme="minorEastAsia" w:hAnsiTheme="minorEastAsia" w:eastAsiaTheme="minorEastAsia"/>
          <w:spacing w:val="-4"/>
          <w:sz w:val="24"/>
          <w:szCs w:val="24"/>
        </w:rPr>
        <w:t>撤销登记的农作物品种进行推广，或者以登记品种的名义进行销售的。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违反本法</w:t>
      </w:r>
      <w:r>
        <w:rPr>
          <w:rFonts w:asciiTheme="minorEastAsia" w:hAnsiTheme="minorEastAsia" w:eastAsiaTheme="minorEastAsia"/>
          <w:spacing w:val="-4"/>
          <w:sz w:val="24"/>
          <w:szCs w:val="24"/>
        </w:rPr>
        <w:t>第二十三条、第四十二条规定，对应当审定未经审定或者应当登记未经登记的农作物品种发布广告，或者广告中有关品种的主要性状描述的内容与审定、登记公告不一致的，依照《中华人民共和国广告法》的有关规定追究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第七十九条  </w:t>
      </w:r>
      <w:r>
        <w:rPr>
          <w:rFonts w:asciiTheme="minorEastAsia" w:hAnsiTheme="minorEastAsia" w:eastAsiaTheme="minorEastAsia"/>
          <w:sz w:val="24"/>
          <w:szCs w:val="24"/>
        </w:rPr>
        <w:t>违反本法第五十八条、第六十条、第六十一条规定，有下列行为之一的，由县级以上人民政府农业、林业主管部门责令改正，没收违法所得和种子；违法生产经营的货值金额不足一万元的，并处三千元以上三万元以下罚款；货值金额一万元以上的，并处货值金额三倍以上五倍以下罚款；情节严重的，吊销种子生产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（一）未经许可进出口种子的；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（二）为境外制种的种子在境内销售的；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（三）从境外引进农作物或者林木种子进行引种试验的收获物作为种子在境内销售的；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（四）进出口假、劣种子或者属于国家规定不得进出口的种子的。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第八十条  </w:t>
      </w:r>
      <w:r>
        <w:rPr>
          <w:rFonts w:asciiTheme="minorEastAsia" w:hAnsiTheme="minorEastAsia" w:eastAsiaTheme="minorEastAsia"/>
          <w:sz w:val="24"/>
          <w:szCs w:val="24"/>
        </w:rPr>
        <w:t>违反本法第三十六条、第三十八条、第四十条、第四十一条规定，有下列行为之一的，由县级以上人民政府农业、林业主管部门责令改正，处二千元以上二万元以下罚款：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（一）销售的种子应当包装而没有包装的；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（二）销售的种子没有使用说明或者标签内容不符合规定的；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（三）涂改标签的；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（四）未按规定建立、保存种子生产经营档案的；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（五）种子生产经营者在异地设立分支机构、专门经营不再分装的包装种子或者受委托生产、代销种子，未按规定备案的。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第八十一条  </w:t>
      </w:r>
      <w:r>
        <w:rPr>
          <w:rFonts w:asciiTheme="minorEastAsia" w:hAnsiTheme="minorEastAsia" w:eastAsiaTheme="minorEastAsia"/>
          <w:sz w:val="24"/>
          <w:szCs w:val="24"/>
        </w:rPr>
        <w:t>违反本法第八条规定，侵占、破坏种质资源，私自采集或者采伐国家重点保护的天然种质资源的，由县级以上人民政府农业、林业主管部门责令停止违法行为，没收种质资源和违法所得，并处五千元以上五万元以下罚款；造成损失的，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第八十二条  </w:t>
      </w:r>
      <w:r>
        <w:rPr>
          <w:rFonts w:asciiTheme="minorEastAsia" w:hAnsiTheme="minorEastAsia" w:eastAsiaTheme="minorEastAsia"/>
          <w:sz w:val="24"/>
          <w:szCs w:val="24"/>
        </w:rPr>
        <w:t>违反本法第十一条规定，向境外提供或者从境外引进种质资源，或者与境外机构、个人开展合作研究利用种质资源的，由国务院或者省、自治区、直辖市人民政府的农业、林业主管部门没收种质资源和违法所得，并处二万元以上二十万元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未取得</w:t>
      </w:r>
      <w:r>
        <w:rPr>
          <w:rFonts w:asciiTheme="minorEastAsia" w:hAnsiTheme="minorEastAsia" w:eastAsiaTheme="minorEastAsia"/>
          <w:spacing w:val="-4"/>
          <w:sz w:val="24"/>
          <w:szCs w:val="24"/>
        </w:rPr>
        <w:t>农业、林业主管部门的批准文件携带、运输种质资源出境的，海关应当将该种质资源扣留，并移送省、自治区、直辖市人民政府农业、林业主管部门处理。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第八十三条  </w:t>
      </w:r>
      <w:r>
        <w:rPr>
          <w:rFonts w:asciiTheme="minorEastAsia" w:hAnsiTheme="minorEastAsia" w:eastAsiaTheme="minorEastAsia"/>
          <w:sz w:val="24"/>
          <w:szCs w:val="24"/>
        </w:rPr>
        <w:t>违反本法第三十五条规定，抢采掠青、损坏母树或者在劣质林内、劣质母树上采种的，由县级以上人民政府林业主管部门责令停止采种行为，没收所采种子，并处所采种子货值金额二倍以上五倍以下罚款。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第八十四条  </w:t>
      </w:r>
      <w:r>
        <w:rPr>
          <w:rFonts w:asciiTheme="minorEastAsia" w:hAnsiTheme="minorEastAsia" w:eastAsiaTheme="minorEastAsia"/>
          <w:sz w:val="24"/>
          <w:szCs w:val="24"/>
        </w:rPr>
        <w:t>违反本法第三十九条规定，收购珍贵树木种子或者限制收购的林木种子的，由县级以上人民政府林业主管部门没收所收购的种子，并处收购种子货值金额二倍以上五倍以下罚款。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第八十五条  </w:t>
      </w:r>
      <w:r>
        <w:rPr>
          <w:rFonts w:asciiTheme="minorEastAsia" w:hAnsiTheme="minorEastAsia" w:eastAsiaTheme="minorEastAsia"/>
          <w:sz w:val="24"/>
          <w:szCs w:val="24"/>
        </w:rPr>
        <w:t>违反本法第十七条规定，种子企业有造假行为的，由省级以上人民政府农业、林业主管部门处一百万元以上五百万元以下罚款；不得再依照本法第十七条的规定申请品种审定；给种子使用者和其他种子生产经营者造成损失的，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第八十六条  </w:t>
      </w:r>
      <w:r>
        <w:rPr>
          <w:rFonts w:asciiTheme="minorEastAsia" w:hAnsiTheme="minorEastAsia" w:eastAsiaTheme="minorEastAsia"/>
          <w:sz w:val="24"/>
          <w:szCs w:val="24"/>
        </w:rPr>
        <w:t>违反本法第四十五条规定，未根据林业主管部门制定的计划使用林木良种的，由同级人民政府林业主管部门责令限期改正；逾期未改正的，处三千元以上三万元以下罚款。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第八十七条  </w:t>
      </w:r>
      <w:r>
        <w:rPr>
          <w:rFonts w:asciiTheme="minorEastAsia" w:hAnsiTheme="minorEastAsia" w:eastAsiaTheme="minorEastAsia"/>
          <w:sz w:val="24"/>
          <w:szCs w:val="24"/>
        </w:rPr>
        <w:t>违反本法第五十四条规定，在种子生产基地进行检疫性有害生物接种试验的，由县级以上人民政府农业、林业主管部门责令停止试验，处五千元以上五万元以下罚款。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第八十八条  </w:t>
      </w:r>
      <w:r>
        <w:rPr>
          <w:rFonts w:asciiTheme="minorEastAsia" w:hAnsiTheme="minorEastAsia" w:eastAsiaTheme="minorEastAsia"/>
          <w:sz w:val="24"/>
          <w:szCs w:val="24"/>
        </w:rPr>
        <w:t>违反本法第五十条规定，拒绝、阻挠农业、林业主管部门依法实施监督检查的，处二千元以上五万元以下罚款，可以责令停产停业整顿；构成违反治安管理行为的，由公安机关依法给予治安管理处罚。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第八十九条  </w:t>
      </w:r>
      <w:r>
        <w:rPr>
          <w:rFonts w:asciiTheme="minorEastAsia" w:hAnsiTheme="minorEastAsia" w:eastAsiaTheme="minorEastAsia"/>
          <w:sz w:val="24"/>
          <w:szCs w:val="24"/>
        </w:rPr>
        <w:t>违反本法第十三条规定，私自交易育种成果，给本单位造成经济损失的，依法承担赔偿责任。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第九十条  </w:t>
      </w:r>
      <w:r>
        <w:rPr>
          <w:rFonts w:asciiTheme="minorEastAsia" w:hAnsiTheme="minorEastAsia" w:eastAsiaTheme="minorEastAsia"/>
          <w:sz w:val="24"/>
          <w:szCs w:val="24"/>
        </w:rPr>
        <w:t>违反本法第四十四条规定，强迫种子使用者违背自己的意愿购买、使用种子，给使用者造成损失的，应当承担赔偿责任。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第九十一条  </w:t>
      </w:r>
      <w:r>
        <w:rPr>
          <w:rFonts w:asciiTheme="minorEastAsia" w:hAnsiTheme="minorEastAsia" w:eastAsiaTheme="minorEastAsia"/>
          <w:sz w:val="24"/>
          <w:szCs w:val="24"/>
        </w:rPr>
        <w:t>违反本法规定，构成犯罪的，依法追究刑事责任。</w:t>
      </w:r>
    </w:p>
    <w:p>
      <w:pPr>
        <w:pStyle w:val="63"/>
        <w:spacing w:before="218" w:after="218" w:line="412" w:lineRule="exact"/>
        <w:rPr>
          <w:b/>
        </w:rPr>
      </w:pPr>
      <w:r>
        <w:t>第十章  附则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第九十二条  </w:t>
      </w:r>
      <w:r>
        <w:rPr>
          <w:rFonts w:asciiTheme="minorEastAsia" w:hAnsiTheme="minorEastAsia" w:eastAsiaTheme="minorEastAsia"/>
          <w:sz w:val="24"/>
          <w:szCs w:val="24"/>
        </w:rPr>
        <w:t>本法下列用语的含义是：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（一）种质资源是指选育植物新品种的基础材料，包括各种植物的栽培种、野生种的繁殖材料以及利用上述繁殖材料人工创造的各种植物的遗传材料。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（二）品种是指经过人工选育或者发现并经过改良，形态特征和生物学特性一致，遗传性状相对稳定的植物群体。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（三）主要农作物是指稻、小麦、玉米、棉花、大豆。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（四）主要林木由国务院林业主管部门确定并公布；省、自治区、直辖市人民政府林业主管部门可以在国务院林业主管部门确定的主要林木之外确定其他八种以下的主要林木。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（五）林木良种是指通过审定的主要林木品种，在一定的区域内，其产量、适应性、抗性等方面明显优于当前主栽材料的繁殖材料和种植材料。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（六）新颖性是指申请植物新品种权的品种在申请日前，经申请权人自行或者同意销售、推广其种子，在中国境内未超过一年；在境外，木本或者藤本植物未超过六年，其他植物未超过四年。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本法施行后新列入国家植物品种保护名录的植物的属或者种，从名录公布之日起一年内提出植物新品种权申请的，在境内销售、推广该品种种子未超过四年的，具备新颖性。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除销售、推广行为丧失新颖性外，下列情形视为已丧失新颖性：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1．品种经省、自治区、直辖市人民政府农业、林业主管部门依据播种面积确认已经形成事实扩散的；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2．农作物品种已审定或者登记两年以上未申请植物新品种权的。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（七）特异性是指一个植物品种有一个以上性状明显区别于已知品种。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（八）一致性是指一个植物品种的特性除可预期的自然变异外，群体内个体间相关的特征或者特性表现一致。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（九）稳定性是指一个植物品种经过反复繁殖后或者在特定繁殖周期结束时，其主要性状保持不变。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（十）已知品种是指已受理申请或者已通过品种审定、品种登记、新品种保护，或者已经销售、推广的植物品种。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（十一）标签是指印制、粘贴、固定或者附着在种子、种子包装物表面的特定图案及文字说明。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第九十三条  </w:t>
      </w:r>
      <w:r>
        <w:rPr>
          <w:rFonts w:asciiTheme="minorEastAsia" w:hAnsiTheme="minorEastAsia" w:eastAsiaTheme="minorEastAsia"/>
          <w:sz w:val="24"/>
          <w:szCs w:val="24"/>
        </w:rPr>
        <w:t>草种、烟草种、中药材种、食用菌菌种的种质资源管理和选育、生产经营、管理等活动，参照本法执行。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第九十四条  </w:t>
      </w:r>
      <w:r>
        <w:rPr>
          <w:rFonts w:asciiTheme="minorEastAsia" w:hAnsiTheme="minorEastAsia" w:eastAsiaTheme="minorEastAsia"/>
          <w:sz w:val="24"/>
          <w:szCs w:val="24"/>
        </w:rPr>
        <w:t>本法自2016年1月1日起施行。</w:t>
      </w: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609" w:name="_Toc28252193"/>
      <w:bookmarkStart w:id="610" w:name="_Toc25648212"/>
      <w:bookmarkStart w:id="611" w:name="_Toc26347969"/>
      <w:bookmarkStart w:id="612" w:name="_Toc18811"/>
      <w:bookmarkStart w:id="613" w:name="_Toc18916794"/>
      <w:bookmarkStart w:id="614" w:name="_Toc25653707"/>
      <w:bookmarkStart w:id="615" w:name="_Toc28156991"/>
      <w:bookmarkStart w:id="616" w:name="_Toc466579932"/>
      <w:bookmarkStart w:id="617" w:name="_Toc28250919"/>
      <w:r>
        <w:t>北京市实施</w:t>
      </w:r>
      <w:r>
        <w:rPr>
          <w:rFonts w:hint="eastAsia"/>
        </w:rPr>
        <w:t>《</w:t>
      </w:r>
      <w:r>
        <w:t>中华人民共和国种子法</w:t>
      </w:r>
      <w:r>
        <w:rPr>
          <w:rFonts w:hint="eastAsia"/>
        </w:rPr>
        <w:t>》</w:t>
      </w:r>
      <w:r>
        <w:t>办法</w:t>
      </w:r>
      <w:bookmarkEnd w:id="609"/>
      <w:bookmarkEnd w:id="610"/>
      <w:bookmarkEnd w:id="611"/>
      <w:bookmarkEnd w:id="612"/>
      <w:bookmarkEnd w:id="613"/>
      <w:bookmarkEnd w:id="614"/>
      <w:bookmarkEnd w:id="615"/>
      <w:bookmarkEnd w:id="616"/>
      <w:bookmarkEnd w:id="617"/>
    </w:p>
    <w:p>
      <w:pPr>
        <w:pStyle w:val="62"/>
      </w:pPr>
      <w:r>
        <w:t>（2006年9月15日北京市第十二届人民代表大会常务委员会第三十次会议通过，</w:t>
      </w:r>
      <w:bookmarkStart w:id="618" w:name="OLE_LINK38"/>
      <w:r>
        <w:t>根据2018年3月30日北京市第十五届人民代表大会常务委员会公告第2号公布、自公布之日起施行的《北京市人民代表大会常务委员会关于修改〈北京市大气污染防治条例〉等七部地方性法规的决定》修订</w:t>
      </w:r>
      <w:bookmarkEnd w:id="618"/>
      <w:r>
        <w:t>）</w:t>
      </w:r>
    </w:p>
    <w:p>
      <w:pPr>
        <w:pStyle w:val="63"/>
        <w:spacing w:before="218" w:after="218" w:line="412" w:lineRule="exact"/>
        <w:rPr>
          <w:kern w:val="0"/>
        </w:rPr>
      </w:pPr>
      <w:r>
        <w:rPr>
          <w:kern w:val="0"/>
        </w:rPr>
        <w:t>第一章  总  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第一条</w:t>
      </w:r>
      <w:r>
        <w:rPr>
          <w:rFonts w:asciiTheme="minorEastAsia" w:hAnsiTheme="minorEastAsia" w:eastAsiaTheme="minorEastAsia"/>
          <w:kern w:val="0"/>
          <w:sz w:val="24"/>
          <w:szCs w:val="24"/>
        </w:rPr>
        <w:t xml:space="preserve">  为了实施《中华人民共和国种子法》（以下简称《种子法》），结合本市实际情况，制定本办法。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第二条</w:t>
      </w:r>
      <w:r>
        <w:rPr>
          <w:rFonts w:asciiTheme="minorEastAsia" w:hAnsiTheme="minorEastAsia" w:eastAsiaTheme="minorEastAsia"/>
          <w:kern w:val="0"/>
          <w:sz w:val="24"/>
          <w:szCs w:val="24"/>
        </w:rPr>
        <w:t xml:space="preserve">  本办法适用于本市行政区域内从事品种选育和种子生产、经营、使用以及相关监督管理的活动。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本办法所称种子，是指农作物和林木的种植材料或者繁殖材料，包括籽粒、果实和根、茎、苗、芽、叶等。</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第三条</w:t>
      </w:r>
      <w:r>
        <w:rPr>
          <w:rFonts w:asciiTheme="minorEastAsia" w:hAnsiTheme="minorEastAsia" w:eastAsiaTheme="minorEastAsia"/>
          <w:kern w:val="0"/>
          <w:sz w:val="24"/>
          <w:szCs w:val="24"/>
        </w:rPr>
        <w:t xml:space="preserve">  市和区人民政府应当制定种子发展规划，扶持种子生产基地和种子市场体系建设，按照国家有关规定在财政、信贷和税收等方面采取措施，促进种子产业发展。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市和区人民政府应当采取措施，扶持农作物、林木新品种的培育、开发和良种推广，保护植物新品种权，鼓励种子选育、生产、经营一体化。</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第四条</w:t>
      </w:r>
      <w:r>
        <w:rPr>
          <w:rFonts w:asciiTheme="minorEastAsia" w:hAnsiTheme="minorEastAsia" w:eastAsiaTheme="minorEastAsia"/>
          <w:kern w:val="0"/>
          <w:sz w:val="24"/>
          <w:szCs w:val="24"/>
        </w:rPr>
        <w:t xml:space="preserve">  市人民政府设立种子专项资金，用于种质资源保护与利用、种子技术研究与应用、种子基地建设、品种试验及良种选育、示范和推广。</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第五条</w:t>
      </w:r>
      <w:r>
        <w:rPr>
          <w:rFonts w:asciiTheme="minorEastAsia" w:hAnsiTheme="minorEastAsia" w:eastAsiaTheme="minorEastAsia"/>
          <w:kern w:val="0"/>
          <w:sz w:val="24"/>
          <w:szCs w:val="24"/>
        </w:rPr>
        <w:t xml:space="preserve">  市和区农业、林业行政主管部门分别主管本行政区域内农作物种子和林木种子工作。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市和区种子管理机构具体负责种子管理和监督工作。市种子管理机构对区种子管理机构进行指导和监督。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第六条</w:t>
      </w:r>
      <w:r>
        <w:rPr>
          <w:rFonts w:asciiTheme="minorEastAsia" w:hAnsiTheme="minorEastAsia" w:eastAsiaTheme="minorEastAsia"/>
          <w:kern w:val="0"/>
          <w:sz w:val="24"/>
          <w:szCs w:val="24"/>
        </w:rPr>
        <w:t xml:space="preserve">  本市建立种子贮备制度，主要用于发生灾害时的生产需要，保障农业、林业安全。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第七条</w:t>
      </w:r>
      <w:r>
        <w:rPr>
          <w:rFonts w:asciiTheme="minorEastAsia" w:hAnsiTheme="minorEastAsia" w:eastAsiaTheme="minorEastAsia"/>
          <w:kern w:val="0"/>
          <w:sz w:val="24"/>
          <w:szCs w:val="24"/>
        </w:rPr>
        <w:t xml:space="preserve">  种子进出口和对外合作应当严格执行国家规定，有关行政主管部门应当依法加强监督检查。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第八条</w:t>
      </w:r>
      <w:r>
        <w:rPr>
          <w:rFonts w:asciiTheme="minorEastAsia" w:hAnsiTheme="minorEastAsia" w:eastAsiaTheme="minorEastAsia"/>
          <w:kern w:val="0"/>
          <w:sz w:val="24"/>
          <w:szCs w:val="24"/>
        </w:rPr>
        <w:t xml:space="preserve">  市和区人民政府和政府有关部门对在种质资源保护、良种选育、推广和种子管理等工作中成绩显著的单位和个人，给予奖励。</w:t>
      </w:r>
    </w:p>
    <w:p>
      <w:pPr>
        <w:widowControl/>
        <w:spacing w:before="156" w:after="156"/>
        <w:ind w:firstLine="210"/>
        <w:rPr>
          <w:rFonts w:ascii="黑体" w:hAnsi="黑体" w:eastAsia="黑体" w:cs="Times New Roman"/>
          <w:bCs/>
          <w:kern w:val="0"/>
          <w:sz w:val="28"/>
          <w:szCs w:val="28"/>
        </w:rPr>
      </w:pPr>
      <w:r>
        <w:rPr>
          <w:kern w:val="0"/>
        </w:rPr>
        <w:br w:type="page"/>
      </w:r>
    </w:p>
    <w:p>
      <w:pPr>
        <w:pStyle w:val="63"/>
        <w:spacing w:before="218" w:after="218" w:line="412" w:lineRule="exact"/>
        <w:rPr>
          <w:kern w:val="0"/>
        </w:rPr>
      </w:pPr>
      <w:r>
        <w:rPr>
          <w:kern w:val="0"/>
        </w:rPr>
        <w:t>第二章  种质资源保护</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第九条</w:t>
      </w:r>
      <w:r>
        <w:rPr>
          <w:rFonts w:asciiTheme="minorEastAsia" w:hAnsiTheme="minorEastAsia" w:eastAsiaTheme="minorEastAsia"/>
          <w:kern w:val="0"/>
          <w:sz w:val="24"/>
          <w:szCs w:val="24"/>
        </w:rPr>
        <w:t xml:space="preserve">  市农业、林业行政主管部门应当加强种质资源的保护，建立种质资源库、种质资源保护区或者种质资源保护地，确定并公布本市重点保护的种质资源目录。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市农业、林业行政主管部门应当有计划地组织调查本市种质资源情况，并公布可供利用的种质资源目录。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第十条</w:t>
      </w:r>
      <w:r>
        <w:rPr>
          <w:rFonts w:asciiTheme="minorEastAsia" w:hAnsiTheme="minorEastAsia" w:eastAsiaTheme="minorEastAsia"/>
          <w:kern w:val="0"/>
          <w:sz w:val="24"/>
          <w:szCs w:val="24"/>
        </w:rPr>
        <w:t xml:space="preserve">  鼓励单位和个人依法保护、交流与利用种质资源。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市和区农业、林业行政主管部门对符合本市种质资源保护需求，承担种质资源保护工作的单位和个人，应当给予适当的扶持和补偿。</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第十一条</w:t>
      </w:r>
      <w:r>
        <w:rPr>
          <w:rFonts w:asciiTheme="minorEastAsia" w:hAnsiTheme="minorEastAsia" w:eastAsiaTheme="minorEastAsia"/>
          <w:kern w:val="0"/>
          <w:sz w:val="24"/>
          <w:szCs w:val="24"/>
        </w:rPr>
        <w:t xml:space="preserve">  市农业、林业行政主管部门应当根据本市种质资源的实际情况，对下列种质资源确定保护范围，设立保护标志，加强保护管理：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（一）农作物、林木的栽培种、野生种和濒危稀有的繁殖材料；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（二）人工培育的遗传材料；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（三）其他具有保护价值的种质资源。</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第十二条</w:t>
      </w:r>
      <w:r>
        <w:rPr>
          <w:rFonts w:asciiTheme="minorEastAsia" w:hAnsiTheme="minorEastAsia" w:eastAsiaTheme="minorEastAsia"/>
          <w:kern w:val="0"/>
          <w:sz w:val="24"/>
          <w:szCs w:val="24"/>
        </w:rPr>
        <w:t xml:space="preserve">  禁止采集或者采伐国家和本市重点保护的天然种质资源。因科研、教学、人工繁育等特殊情况需要，经国务院农业、林业行政主管部门或者市农业、林业行政主管部门批准采集或者采伐的除外。</w:t>
      </w:r>
    </w:p>
    <w:p>
      <w:pPr>
        <w:pStyle w:val="63"/>
        <w:spacing w:before="218" w:after="218" w:line="412" w:lineRule="exact"/>
        <w:rPr>
          <w:kern w:val="0"/>
        </w:rPr>
      </w:pPr>
      <w:r>
        <w:rPr>
          <w:kern w:val="0"/>
        </w:rPr>
        <w:t>第三章  品种选育与审定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第十三条</w:t>
      </w:r>
      <w:r>
        <w:rPr>
          <w:rFonts w:asciiTheme="minorEastAsia" w:hAnsiTheme="minorEastAsia" w:eastAsiaTheme="minorEastAsia"/>
          <w:kern w:val="0"/>
          <w:sz w:val="24"/>
          <w:szCs w:val="24"/>
        </w:rPr>
        <w:t xml:space="preserve">  本市依法保护植物新品种权所有人（以下简称品种权人）的合法权益。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任何单位或者个人未经品种权人许可，不得为商业目的生产、销售该品种的繁殖材料。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第十四条</w:t>
      </w:r>
      <w:r>
        <w:rPr>
          <w:rFonts w:asciiTheme="minorEastAsia" w:hAnsiTheme="minorEastAsia" w:eastAsiaTheme="minorEastAsia"/>
          <w:kern w:val="0"/>
          <w:sz w:val="24"/>
          <w:szCs w:val="24"/>
        </w:rPr>
        <w:t xml:space="preserve">  单位或者个人所有的育种材料、育种技术，他人不得侵占，未经该单位或者个人同意，他人不得使用、转让、赠与、披露。</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第十五条</w:t>
      </w:r>
      <w:r>
        <w:rPr>
          <w:rFonts w:asciiTheme="minorEastAsia" w:hAnsiTheme="minorEastAsia" w:eastAsiaTheme="minorEastAsia"/>
          <w:kern w:val="0"/>
          <w:sz w:val="24"/>
          <w:szCs w:val="24"/>
        </w:rPr>
        <w:t xml:space="preserve">  鼓励种子企业独立育种或者与科研单位、学校合作育种，或者委托科研单位、学校育种。合作育种或者委托育种的，当事人双方应当签订书面合同。合同内容包括育种目标、完成期限、投资、新品种权益、违约责任等。</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第十六条</w:t>
      </w:r>
      <w:r>
        <w:rPr>
          <w:rFonts w:asciiTheme="minorEastAsia" w:hAnsiTheme="minorEastAsia" w:eastAsiaTheme="minorEastAsia"/>
          <w:kern w:val="0"/>
          <w:sz w:val="24"/>
          <w:szCs w:val="24"/>
        </w:rPr>
        <w:t xml:space="preserve">  主要农作物品种、主要林木品种经国家或者本市审定通过并公告后，可以在本市适宜生态区域推广。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从与本市属于同一适宜生态区的地区引种主要农作物品种、主要林木品种的，应当经该地区省级审定通过，并报经市农业、林业行政主管部门备案。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第十七条</w:t>
      </w:r>
      <w:r>
        <w:rPr>
          <w:rFonts w:asciiTheme="minorEastAsia" w:hAnsiTheme="minorEastAsia" w:eastAsiaTheme="minorEastAsia"/>
          <w:kern w:val="0"/>
          <w:sz w:val="24"/>
          <w:szCs w:val="24"/>
        </w:rPr>
        <w:t xml:space="preserve">  应当审定的农作物品种未经审定通过的，不得发布广告，不得经营、推广，也不得以试验、示范等方式经营、推广。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应当审定的主要林木品种未经审定通过的，不得作为良种经营、推广，也不得以试验、示范等方式作为良种经营、推广；但生产确需使用的，应当经市林木品种审定委员会认定，并在规定的期限和生态区域内使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第十八条</w:t>
      </w:r>
      <w:r>
        <w:rPr>
          <w:rFonts w:asciiTheme="minorEastAsia" w:hAnsiTheme="minorEastAsia" w:eastAsiaTheme="minorEastAsia"/>
          <w:kern w:val="0"/>
          <w:sz w:val="24"/>
          <w:szCs w:val="24"/>
        </w:rPr>
        <w:t xml:space="preserve">  在本市推广非主要农作物品种和非主要林木品种的，应当经过试验、示范，并控制在适宜区域内。</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第十九条</w:t>
      </w:r>
      <w:r>
        <w:rPr>
          <w:rFonts w:asciiTheme="minorEastAsia" w:hAnsiTheme="minorEastAsia" w:eastAsiaTheme="minorEastAsia"/>
          <w:kern w:val="0"/>
          <w:sz w:val="24"/>
          <w:szCs w:val="24"/>
        </w:rPr>
        <w:t xml:space="preserve">  经营、推广的农作物品种和林木品种，同一个品种应当使用同一个名称。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经营、推广审定通过的主要农作物品种、主要林木品种应当使用审定公告确定的品种名称。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第二十条</w:t>
      </w:r>
      <w:r>
        <w:rPr>
          <w:rFonts w:asciiTheme="minorEastAsia" w:hAnsiTheme="minorEastAsia" w:eastAsiaTheme="minorEastAsia"/>
          <w:kern w:val="0"/>
          <w:sz w:val="24"/>
          <w:szCs w:val="24"/>
        </w:rPr>
        <w:t xml:space="preserve">  审定通过的主要农作物品种、主要林木品种，在使用过程中出现不可克服的缺点的，经市农作物品种审定委员会或者市林木品种审定委员会确认，由市农业行政主管部门或者市林业行政主管部门发布公告后，停止经营、推广。</w:t>
      </w:r>
    </w:p>
    <w:p>
      <w:pPr>
        <w:pStyle w:val="63"/>
        <w:spacing w:before="218" w:after="218" w:line="412" w:lineRule="exact"/>
        <w:rPr>
          <w:kern w:val="0"/>
        </w:rPr>
      </w:pPr>
      <w:r>
        <w:rPr>
          <w:kern w:val="0"/>
        </w:rPr>
        <w:t>第四章  种子生产</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第二十一条</w:t>
      </w:r>
      <w:r>
        <w:rPr>
          <w:rFonts w:asciiTheme="minorEastAsia" w:hAnsiTheme="minorEastAsia" w:eastAsiaTheme="minorEastAsia"/>
          <w:kern w:val="0"/>
          <w:sz w:val="24"/>
          <w:szCs w:val="24"/>
        </w:rPr>
        <w:t xml:space="preserve">  主要农作物和主要林木的商品种子生产应当执行种子生产经营许可制度。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第二十二条</w:t>
      </w:r>
      <w:r>
        <w:rPr>
          <w:rFonts w:asciiTheme="minorEastAsia" w:hAnsiTheme="minorEastAsia" w:eastAsiaTheme="minorEastAsia"/>
          <w:kern w:val="0"/>
          <w:sz w:val="24"/>
          <w:szCs w:val="24"/>
        </w:rPr>
        <w:t xml:space="preserve">  鼓励和支持种子生产基地建设，推进种子标准化生产，提高种子质量。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种子生产基地应当具备与种子生产相适应的生产条件、设施以及技术人员，有符合技术规范要求的隔离条件。</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第二十三条</w:t>
      </w:r>
      <w:r>
        <w:rPr>
          <w:rFonts w:asciiTheme="minorEastAsia" w:hAnsiTheme="minorEastAsia" w:eastAsiaTheme="minorEastAsia"/>
          <w:kern w:val="0"/>
          <w:sz w:val="24"/>
          <w:szCs w:val="24"/>
        </w:rPr>
        <w:t xml:space="preserve">  种子企业委托农村集体经济组织或者农户生产种子的，应当签订书面合同。</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委托方有义务提供合格的亲本或者原种，负责种子生产技术指导，并按照合同约定收购种子；受托方有义务按照生产技术规程或者合同约定的技术要求进行种子生产，接受委托方的技术指导，并不得违反合同约定将种子或者繁殖材料出售给他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委托方有权拒绝收购因受托方未按种子技术规程或者合同约定的技术要求生产的不合格种子，但因委托方原因造成种子不合格的除外；受托方有权按照合同约定获得种子生产的收益，有权获得因委托方责任造成的损失补偿。</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第二十四条</w:t>
      </w:r>
      <w:r>
        <w:rPr>
          <w:rFonts w:asciiTheme="minorEastAsia" w:hAnsiTheme="minorEastAsia" w:eastAsiaTheme="minorEastAsia"/>
          <w:kern w:val="0"/>
          <w:sz w:val="24"/>
          <w:szCs w:val="24"/>
        </w:rPr>
        <w:t xml:space="preserve">  有下列情形之一的农作物种子，不得投入商品种子生产：</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（一）应当审定而未经审定通过的；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（二）亲本或者原种不合格的；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（三）品种性状尚不稳定的；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（四）法律、法规规定的其他情形。</w:t>
      </w:r>
    </w:p>
    <w:p>
      <w:pPr>
        <w:pStyle w:val="63"/>
        <w:spacing w:before="218" w:after="218" w:line="412" w:lineRule="exact"/>
        <w:rPr>
          <w:kern w:val="0"/>
        </w:rPr>
      </w:pPr>
      <w:r>
        <w:rPr>
          <w:kern w:val="0"/>
        </w:rPr>
        <w:t>第五章  种子经营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第二十五条</w:t>
      </w:r>
      <w:r>
        <w:rPr>
          <w:rFonts w:asciiTheme="minorEastAsia" w:hAnsiTheme="minorEastAsia" w:eastAsiaTheme="minorEastAsia"/>
          <w:kern w:val="0"/>
          <w:sz w:val="24"/>
          <w:szCs w:val="24"/>
        </w:rPr>
        <w:t xml:space="preserve">  种子经营应当执行种子生产经营许可制度。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第二十六条</w:t>
      </w:r>
      <w:r>
        <w:rPr>
          <w:rFonts w:asciiTheme="minorEastAsia" w:hAnsiTheme="minorEastAsia" w:eastAsiaTheme="minorEastAsia"/>
          <w:kern w:val="0"/>
          <w:sz w:val="24"/>
          <w:szCs w:val="24"/>
        </w:rPr>
        <w:t xml:space="preserve">  种子经营者在生产经营许可证规定的有效区域内设立分支机构的，应当在办理或者变更营业执照后15日内，向当地种子管理机构和原发证机关备案。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第二十七条</w:t>
      </w:r>
      <w:r>
        <w:rPr>
          <w:rFonts w:asciiTheme="minorEastAsia" w:hAnsiTheme="minorEastAsia" w:eastAsiaTheme="minorEastAsia"/>
          <w:kern w:val="0"/>
          <w:sz w:val="24"/>
          <w:szCs w:val="24"/>
        </w:rPr>
        <w:t xml:space="preserve">  禁止销售下列种子：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（一）应当审定而未经审定通过的农作物种子；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（二）应当包装而未包装的；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（三）没有标签或者标签内容、样式不符合规定的；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（四）假种子；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（五）劣种子；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（六）未作明显文字标注的转基因种子；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（七）法律、法规规定的其他情形。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第二十八条</w:t>
      </w:r>
      <w:r>
        <w:rPr>
          <w:rFonts w:asciiTheme="minorEastAsia" w:hAnsiTheme="minorEastAsia" w:eastAsiaTheme="minorEastAsia"/>
          <w:kern w:val="0"/>
          <w:sz w:val="24"/>
          <w:szCs w:val="24"/>
        </w:rPr>
        <w:t xml:space="preserve">  收购珍贵树木种子和市人民政府规定的限制收购的林木种子，应当经市林业行政主管部门批准。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珍贵树木和限制收购的林木种子名录，由市林业行政主管部门提出，经市人民政府批准后，向社会公布。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第二十九条</w:t>
      </w:r>
      <w:r>
        <w:rPr>
          <w:rFonts w:asciiTheme="minorEastAsia" w:hAnsiTheme="minorEastAsia" w:eastAsiaTheme="minorEastAsia"/>
          <w:kern w:val="0"/>
          <w:sz w:val="24"/>
          <w:szCs w:val="24"/>
        </w:rPr>
        <w:t xml:space="preserve">  农民在集贸市场上出售、串换自繁自用剩余常规种子的，不需要办理种子生产经营许可证；种子买受人要求开具销售凭据的，种子出售人应当如实开具并出示有效身份证明。销售凭据应当注明售出种子的品种名称、产地、生产日期、数量、价格以及出售人的姓名、住址和联系方式。</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第三十条</w:t>
      </w:r>
      <w:r>
        <w:rPr>
          <w:rFonts w:asciiTheme="minorEastAsia" w:hAnsiTheme="minorEastAsia" w:eastAsiaTheme="minorEastAsia"/>
          <w:kern w:val="0"/>
          <w:sz w:val="24"/>
          <w:szCs w:val="24"/>
        </w:rPr>
        <w:t xml:space="preserve">  在种子交易市场中经营或者参加种子交易会的种子经营者应当具有合法的种子经营资质证明，并依法开展经营活动。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第三十一条</w:t>
      </w:r>
      <w:r>
        <w:rPr>
          <w:rFonts w:asciiTheme="minorEastAsia" w:hAnsiTheme="minorEastAsia" w:eastAsiaTheme="minorEastAsia"/>
          <w:kern w:val="0"/>
          <w:sz w:val="24"/>
          <w:szCs w:val="24"/>
        </w:rPr>
        <w:t xml:space="preserve">  种子广告的内容应当符合《种子法》《广告法》和本办法的规定。种子广告内容应当与种子审定公告一致。</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林木种子广告中涉及专业技术的，广告主应当按照有关规定提交市或者区林木种子管理机构出具的专业技术证明。</w:t>
      </w:r>
    </w:p>
    <w:p>
      <w:pPr>
        <w:pStyle w:val="63"/>
        <w:spacing w:before="218" w:after="218" w:line="412" w:lineRule="exact"/>
        <w:rPr>
          <w:kern w:val="0"/>
        </w:rPr>
      </w:pPr>
      <w:r>
        <w:rPr>
          <w:kern w:val="0"/>
        </w:rPr>
        <w:t>第六章  种子使用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第三十二条</w:t>
      </w:r>
      <w:r>
        <w:rPr>
          <w:rFonts w:asciiTheme="minorEastAsia" w:hAnsiTheme="minorEastAsia" w:eastAsiaTheme="minorEastAsia"/>
          <w:kern w:val="0"/>
          <w:sz w:val="24"/>
          <w:szCs w:val="24"/>
        </w:rPr>
        <w:t xml:space="preserve">  种子使用者有权依照自己的意愿购买、使用种子，任何单位和个人不得非法干预。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第三十三条</w:t>
      </w:r>
      <w:r>
        <w:rPr>
          <w:rFonts w:asciiTheme="minorEastAsia" w:hAnsiTheme="minorEastAsia" w:eastAsiaTheme="minorEastAsia"/>
          <w:kern w:val="0"/>
          <w:sz w:val="24"/>
          <w:szCs w:val="24"/>
        </w:rPr>
        <w:t xml:space="preserve">  重点造林项目、政府投资或者以政府投资为主的造林项目，应当根据林业行政主管部门制定的计划使用林木良种。</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第三十四条</w:t>
      </w:r>
      <w:r>
        <w:rPr>
          <w:rFonts w:asciiTheme="minorEastAsia" w:hAnsiTheme="minorEastAsia" w:eastAsiaTheme="minorEastAsia"/>
          <w:kern w:val="0"/>
          <w:sz w:val="24"/>
          <w:szCs w:val="24"/>
        </w:rPr>
        <w:t xml:space="preserve">  种子使用者因种子质量问题遭受损失的，出售种子的经营者应当予以赔偿，赔偿额包括购种价款、有关费用和可得利益损失；经营者赔偿后，属于种子生产者或者其他经营者责任的，经营者有权向生产者或者其他经营者追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种子使用者在种子交易市场或者种子交易会购买种子，因种子质量问题遭受损失的，可以要求种子经营者赔偿；种子交易市场柜台租赁期满或者种子交易会结束的，可以向种子交易市场、种子交易会的举办者要求赔偿；种子交易市场、种子交易会的举办者给予赔偿后，有权向种子经营者追偿。</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第三十五条</w:t>
      </w:r>
      <w:r>
        <w:rPr>
          <w:rFonts w:asciiTheme="minorEastAsia" w:hAnsiTheme="minorEastAsia" w:eastAsiaTheme="minorEastAsia"/>
          <w:kern w:val="0"/>
          <w:sz w:val="24"/>
          <w:szCs w:val="24"/>
        </w:rPr>
        <w:t xml:space="preserve">  种子使用者因种子质量问题遭受损失的，赔偿额中的有关费用包括购买和使用种子过程中实际支出的交通费、食宿费、误工费、保管费、鉴定费、种植费等费用。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第三十六条</w:t>
      </w:r>
      <w:r>
        <w:rPr>
          <w:rFonts w:asciiTheme="minorEastAsia" w:hAnsiTheme="minorEastAsia" w:eastAsiaTheme="minorEastAsia"/>
          <w:kern w:val="0"/>
          <w:sz w:val="24"/>
          <w:szCs w:val="24"/>
        </w:rPr>
        <w:t xml:space="preserve">  农作物种子使用者因种子质量问题遭受损失的，赔偿额中的可得利益损失按其所在乡（镇）前三年同种作物的平均产值扣除其当年实际收入计算；无统计资料的，可以参照当地当年同种作物的平均产值扣除其实际收入计算；无参照农作物的，按照资金投入和劳动力投入的1.2至1.5倍计算。</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林木种子使用者因种子质量问题遭受损失的，赔偿额中的可得利益损失，按照购种价款和有关费用的3至5倍计算。</w:t>
      </w:r>
    </w:p>
    <w:p>
      <w:pPr>
        <w:pStyle w:val="63"/>
        <w:spacing w:before="218" w:after="218" w:line="412" w:lineRule="exact"/>
        <w:rPr>
          <w:kern w:val="0"/>
        </w:rPr>
      </w:pPr>
      <w:r>
        <w:rPr>
          <w:kern w:val="0"/>
        </w:rPr>
        <w:t>第七章  种子质量</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第三十七条</w:t>
      </w:r>
      <w:r>
        <w:rPr>
          <w:rFonts w:asciiTheme="minorEastAsia" w:hAnsiTheme="minorEastAsia" w:eastAsiaTheme="minorEastAsia"/>
          <w:kern w:val="0"/>
          <w:sz w:val="24"/>
          <w:szCs w:val="24"/>
        </w:rPr>
        <w:t xml:space="preserve">  种子的生产、加工、包装、检验、贮藏应当执行国家规定的标准。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第三十八条</w:t>
      </w:r>
      <w:r>
        <w:rPr>
          <w:rFonts w:asciiTheme="minorEastAsia" w:hAnsiTheme="minorEastAsia" w:eastAsiaTheme="minorEastAsia"/>
          <w:kern w:val="0"/>
          <w:sz w:val="24"/>
          <w:szCs w:val="24"/>
        </w:rPr>
        <w:t xml:space="preserve">  种子生产、经营单位应当建立健全企业种子质量内部控制制度。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第三十九条</w:t>
      </w:r>
      <w:r>
        <w:rPr>
          <w:rFonts w:asciiTheme="minorEastAsia" w:hAnsiTheme="minorEastAsia" w:eastAsiaTheme="minorEastAsia"/>
          <w:kern w:val="0"/>
          <w:sz w:val="24"/>
          <w:szCs w:val="24"/>
        </w:rPr>
        <w:t xml:space="preserve">  市和区种子管理机构应当加强种子质量监督，组织开展种子质量监督检验，检验结果由农业、林业行政主管部门向社会公布。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第四十条</w:t>
      </w:r>
      <w:r>
        <w:rPr>
          <w:rFonts w:asciiTheme="minorEastAsia" w:hAnsiTheme="minorEastAsia" w:eastAsiaTheme="minorEastAsia"/>
          <w:kern w:val="0"/>
          <w:sz w:val="24"/>
          <w:szCs w:val="24"/>
        </w:rPr>
        <w:t xml:space="preserve">  单位或者个人可以申请设立种子质量检验机构。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种子质量检验机构应当具备相应的检测条件和能力，经市质量技术监督部门计量认证，并经市农业、林业行政主管部门考核合格核发证书后，方可接受委托开展种子质量检验。</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第四十一条</w:t>
      </w:r>
      <w:r>
        <w:rPr>
          <w:rFonts w:asciiTheme="minorEastAsia" w:hAnsiTheme="minorEastAsia" w:eastAsiaTheme="minorEastAsia"/>
          <w:kern w:val="0"/>
          <w:sz w:val="24"/>
          <w:szCs w:val="24"/>
        </w:rPr>
        <w:t xml:space="preserve">  种子使用者认为种子质量有问题的，可以向种子质量检验机构提出质量检验申请，种子质量检验机构应当依据国家有关规定实施检验，并如实出具质量检验报告。</w:t>
      </w:r>
    </w:p>
    <w:p>
      <w:pPr>
        <w:pStyle w:val="63"/>
        <w:spacing w:before="218" w:after="218" w:line="412" w:lineRule="exact"/>
        <w:rPr>
          <w:kern w:val="0"/>
        </w:rPr>
      </w:pPr>
      <w:r>
        <w:rPr>
          <w:kern w:val="0"/>
        </w:rPr>
        <w:t>第八章  监督管理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第四十二条</w:t>
      </w:r>
      <w:r>
        <w:rPr>
          <w:rFonts w:asciiTheme="minorEastAsia" w:hAnsiTheme="minorEastAsia" w:eastAsiaTheme="minorEastAsia"/>
          <w:kern w:val="0"/>
          <w:sz w:val="24"/>
          <w:szCs w:val="24"/>
        </w:rPr>
        <w:t xml:space="preserve">  农业、林业行政主管部门及其所属的种子管理机构和工商行政管理、质量技术监督、公安等其他有关部门，应当加强对种子市场的监督管理，维护种子市场秩序，依法查处违法的种子生产、经营活动。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第四十三条</w:t>
      </w:r>
      <w:r>
        <w:rPr>
          <w:rFonts w:asciiTheme="minorEastAsia" w:hAnsiTheme="minorEastAsia" w:eastAsiaTheme="minorEastAsia"/>
          <w:kern w:val="0"/>
          <w:sz w:val="24"/>
          <w:szCs w:val="24"/>
        </w:rPr>
        <w:t xml:space="preserve">  农业、林业行政主管部门及其所属的种子管理机构在实施监督检查过程中，有权采取下列措施：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（一）对种子的生产、经营等活动进行现场检查；</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（二）在市场上或者企业成品库的待销种子中，按照种子质量检验规程抽取样品；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（三）对有根据认为种子不符合保障人体健康、人身安全的标准或者有其他严重质量问题的，责令当事人予以封存或者依法采取其他措施；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（四）查处涉嫌种子违法行为的，可以查阅、复制当事人有关合同、发票、账簿；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（五）查封、扣押有证据证明违法生产经营的种子，以及用于违法生产经营的工具、设备及运输工具等，查封违法从事种子生产经营活动的场所。</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第四十四条</w:t>
      </w:r>
      <w:r>
        <w:rPr>
          <w:rFonts w:asciiTheme="minorEastAsia" w:hAnsiTheme="minorEastAsia" w:eastAsiaTheme="minorEastAsia"/>
          <w:kern w:val="0"/>
          <w:sz w:val="24"/>
          <w:szCs w:val="24"/>
        </w:rPr>
        <w:t xml:space="preserve">  种子生产者和经营者不得拒绝、阻挠、妨碍种子执法人员依法进行监督检查。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第四十五条</w:t>
      </w:r>
      <w:r>
        <w:rPr>
          <w:rFonts w:asciiTheme="minorEastAsia" w:hAnsiTheme="minorEastAsia" w:eastAsiaTheme="minorEastAsia"/>
          <w:kern w:val="0"/>
          <w:sz w:val="24"/>
          <w:szCs w:val="24"/>
        </w:rPr>
        <w:t xml:space="preserve">  任何单位和个人有权举报种子违法行为。接到举报的农业、林业行政主管部门及其所属的种子管理机构和其他有关部门，应当及时调查处理。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第四十六条</w:t>
      </w:r>
      <w:r>
        <w:rPr>
          <w:rFonts w:asciiTheme="minorEastAsia" w:hAnsiTheme="minorEastAsia" w:eastAsiaTheme="minorEastAsia"/>
          <w:kern w:val="0"/>
          <w:sz w:val="24"/>
          <w:szCs w:val="24"/>
        </w:rPr>
        <w:t xml:space="preserve">  农业、林业行政主管部门及其所属的种子管理机构必须遵循政企分开的原则，与种子生产经营机构在人员和财务上分开。</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农业、林业行政主管部门及其所属的种子管理机构和工作人员不得参与和从事种子生产、经营活动；种子生产经营机构不得参与和从事种子行政管理工作。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种子管理和监督工作所需经费由市和区人民政府予以保障。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第四十七条</w:t>
      </w:r>
      <w:r>
        <w:rPr>
          <w:rFonts w:asciiTheme="minorEastAsia" w:hAnsiTheme="minorEastAsia" w:eastAsiaTheme="minorEastAsia"/>
          <w:kern w:val="0"/>
          <w:sz w:val="24"/>
          <w:szCs w:val="24"/>
        </w:rPr>
        <w:t xml:space="preserve">  市农业、林业行政主管部门应当加强对种子管理机构人员的培训。</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种子执法人员应当经过资格考核，持证上岗。</w:t>
      </w:r>
    </w:p>
    <w:p>
      <w:pPr>
        <w:pStyle w:val="63"/>
        <w:spacing w:before="218" w:after="218" w:line="412" w:lineRule="exact"/>
        <w:rPr>
          <w:kern w:val="0"/>
        </w:rPr>
      </w:pPr>
      <w:r>
        <w:rPr>
          <w:kern w:val="0"/>
        </w:rPr>
        <w:t>第九章  法律责任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第四十八条</w:t>
      </w:r>
      <w:r>
        <w:rPr>
          <w:rFonts w:asciiTheme="minorEastAsia" w:hAnsiTheme="minorEastAsia" w:eastAsiaTheme="minorEastAsia"/>
          <w:kern w:val="0"/>
          <w:sz w:val="24"/>
          <w:szCs w:val="24"/>
        </w:rPr>
        <w:t xml:space="preserve">  违反本办法第十二条规定，未经批准采集或者采伐国家和本市重点保护的天然种质资源的，责令停止违法行为，没收种质资源和违法所得，并处5000元以上5万元以下罚款；造成损失的，依法承担赔偿责任。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第四十九条</w:t>
      </w:r>
      <w:r>
        <w:rPr>
          <w:rFonts w:asciiTheme="minorEastAsia" w:hAnsiTheme="minorEastAsia" w:eastAsiaTheme="minorEastAsia"/>
          <w:kern w:val="0"/>
          <w:sz w:val="24"/>
          <w:szCs w:val="24"/>
        </w:rPr>
        <w:t xml:space="preserve">  违</w:t>
      </w:r>
      <w:r>
        <w:rPr>
          <w:rFonts w:asciiTheme="minorEastAsia" w:hAnsiTheme="minorEastAsia" w:eastAsiaTheme="minorEastAsia"/>
          <w:spacing w:val="4"/>
          <w:kern w:val="0"/>
          <w:sz w:val="24"/>
          <w:szCs w:val="24"/>
        </w:rPr>
        <w:t>反本办法第十七条规定，经营、推广或者以试验、示范等方式经营、推广应当审定而未经审定通过的主要农作物品种的，责令停止经营、推广，没收违法所得和种子，并处2万元以上20万元以下罚款；作为良种经营、推广或者以试验、示范等方式作为良种经营、推广应当审定而未经审定通过的主要林木品种的，责令停止经营、推广，没收违法所得和种子，并处2万元以上20万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第五十条</w:t>
      </w:r>
      <w:r>
        <w:rPr>
          <w:rFonts w:asciiTheme="minorEastAsia" w:hAnsiTheme="minorEastAsia" w:eastAsiaTheme="minorEastAsia"/>
          <w:kern w:val="0"/>
          <w:sz w:val="24"/>
          <w:szCs w:val="24"/>
        </w:rPr>
        <w:t xml:space="preserve">  违</w:t>
      </w:r>
      <w:r>
        <w:rPr>
          <w:rFonts w:asciiTheme="minorEastAsia" w:hAnsiTheme="minorEastAsia" w:eastAsiaTheme="minorEastAsia"/>
          <w:spacing w:val="6"/>
          <w:kern w:val="0"/>
          <w:sz w:val="24"/>
          <w:szCs w:val="24"/>
        </w:rPr>
        <w:t>反本办法第十九条规定，同一个农作物品种或者林木品种在经营、推广过程中，未使用同一个名称的，或者审定通过的主要农作物品种和主要林木良种未使用审定公告确定的品种名称的，责令改正，处1000元以上1万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第五十一条</w:t>
      </w:r>
      <w:r>
        <w:rPr>
          <w:rFonts w:asciiTheme="minorEastAsia" w:hAnsiTheme="minorEastAsia" w:eastAsiaTheme="minorEastAsia"/>
          <w:kern w:val="0"/>
          <w:sz w:val="24"/>
          <w:szCs w:val="24"/>
        </w:rPr>
        <w:t xml:space="preserve">  违反本办法第三十一条的规定，由广告监督管理机关依照《广告法》的有关规定追究法律责任。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第五十二条</w:t>
      </w:r>
      <w:r>
        <w:rPr>
          <w:rFonts w:asciiTheme="minorEastAsia" w:hAnsiTheme="minorEastAsia" w:eastAsiaTheme="minorEastAsia"/>
          <w:kern w:val="0"/>
          <w:sz w:val="24"/>
          <w:szCs w:val="24"/>
        </w:rPr>
        <w:t xml:space="preserve">  违反本办法第三十三条规定，在重点造林项目、政府投资或者以政府投资为主的造林项目中，未根据林业行政主管部门制定的计划使用林木良种的，责令限期改正；逾期未改正的，对责任者处3万元以下罚款。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第五十三条</w:t>
      </w:r>
      <w:r>
        <w:rPr>
          <w:rFonts w:asciiTheme="minorEastAsia" w:hAnsiTheme="minorEastAsia" w:eastAsiaTheme="minorEastAsia"/>
          <w:kern w:val="0"/>
          <w:sz w:val="24"/>
          <w:szCs w:val="24"/>
        </w:rPr>
        <w:t xml:space="preserve">  弄虚作假、采取欺骗手段取得种子生产经营许可证的，由原发证机关撤销其许可证并予以公告。被许可人3年内不得申领种子生产经营许可证。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第五十四条</w:t>
      </w:r>
      <w:r>
        <w:rPr>
          <w:rFonts w:asciiTheme="minorEastAsia" w:hAnsiTheme="minorEastAsia" w:eastAsiaTheme="minorEastAsia"/>
          <w:kern w:val="0"/>
          <w:sz w:val="24"/>
          <w:szCs w:val="24"/>
        </w:rPr>
        <w:t xml:space="preserve">  违反本办法规定，有下列情形之一，给种子使用者造成损失的，责任人应当依法承担赔偿责任：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（一）未经审定、认定将主要林木品种作为良种经营、推广的；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（二）未经市林业行政主管部门备案，将相邻省市审定的本市主要林木品种作为良种推广的；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（三）未经试验、示范，经营、推广非主要农作物品种和非主要林木品种的；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（四）侵占或者私自使用、转让、赠与、披露他人所有的育种材料、育种技术的；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（五）农民出售、串换的种子存在质量问题的；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（六）销售禁止销售的种子的；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（七）强迫种子使用者购买、使用种子的。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赔偿额参照本办法第三十四条第一款的规定。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第五十五条</w:t>
      </w:r>
      <w:r>
        <w:rPr>
          <w:rFonts w:asciiTheme="minorEastAsia" w:hAnsiTheme="minorEastAsia" w:eastAsiaTheme="minorEastAsia"/>
          <w:kern w:val="0"/>
          <w:sz w:val="24"/>
          <w:szCs w:val="24"/>
        </w:rPr>
        <w:t xml:space="preserve">  《种子法》和本办法规定的对种子违法行为的行政处罚，由市和区农业、林业种子管理机构实施。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第五十六条</w:t>
      </w:r>
      <w:r>
        <w:rPr>
          <w:rFonts w:asciiTheme="minorEastAsia" w:hAnsiTheme="minorEastAsia" w:eastAsiaTheme="minorEastAsia"/>
          <w:kern w:val="0"/>
          <w:sz w:val="24"/>
          <w:szCs w:val="24"/>
        </w:rPr>
        <w:t xml:space="preserve">  在品种选育、种子生产和经营活动中发生民事纠纷的，当事人可以协商解决，也可以向当地农业、林业行政主管部门或者其所属的种子管理机构申请调解，当事人不愿协商、调解或者协商、调解不成的，可以根据当事人之间的协议向仲裁机构申请仲裁，没有仲裁协议的，可以直接向人民法院提起诉讼。</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第五十七条</w:t>
      </w:r>
      <w:r>
        <w:rPr>
          <w:rFonts w:asciiTheme="minorEastAsia" w:hAnsiTheme="minorEastAsia" w:eastAsiaTheme="minorEastAsia"/>
          <w:kern w:val="0"/>
          <w:sz w:val="24"/>
          <w:szCs w:val="24"/>
        </w:rPr>
        <w:t xml:space="preserve">  种子管理机构违反规定，对不具备条件的种子生产者、经营者核发种子生产经营许可证的，对直接负责的主管人员和其他直接责任人员，依法给予行政处分；构成犯罪的，依法追究刑事责任。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第五十八条</w:t>
      </w:r>
      <w:r>
        <w:rPr>
          <w:rFonts w:asciiTheme="minorEastAsia" w:hAnsiTheme="minorEastAsia" w:eastAsiaTheme="minorEastAsia"/>
          <w:kern w:val="0"/>
          <w:sz w:val="24"/>
          <w:szCs w:val="24"/>
        </w:rPr>
        <w:t xml:space="preserve">  农业、林业行政主管部门的工作人员或者种子管理机构的种子管理人员徇私舞弊、滥用职权、玩忽职守的，或者违反规定从事种子生产、经营活动的，依法给予行政处分；构成犯罪的，依法追究刑事责任。</w:t>
      </w:r>
    </w:p>
    <w:p>
      <w:pPr>
        <w:pStyle w:val="63"/>
        <w:spacing w:before="218" w:after="218" w:line="412" w:lineRule="exact"/>
        <w:rPr>
          <w:kern w:val="0"/>
        </w:rPr>
      </w:pPr>
      <w:r>
        <w:rPr>
          <w:kern w:val="0"/>
        </w:rPr>
        <w:t>第十章  附  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第五十九条</w:t>
      </w:r>
      <w:r>
        <w:rPr>
          <w:rFonts w:asciiTheme="minorEastAsia" w:hAnsiTheme="minorEastAsia" w:eastAsiaTheme="minorEastAsia"/>
          <w:kern w:val="0"/>
          <w:sz w:val="24"/>
          <w:szCs w:val="24"/>
        </w:rPr>
        <w:t xml:space="preserve">  本办法自2006年11月1日起施行。2002年9月6日北京市第十一届人民代表大会常务委员会第三十六次会议通过的《北京市农作物种子条例》同时废止。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619" w:name="_Toc18916795"/>
      <w:bookmarkStart w:id="620" w:name="_Toc55"/>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621" w:name="_Toc28156992"/>
      <w:bookmarkStart w:id="622" w:name="_Toc26347970"/>
      <w:bookmarkStart w:id="623" w:name="_Toc28252194"/>
      <w:bookmarkStart w:id="624" w:name="_Toc25653708"/>
      <w:bookmarkStart w:id="625" w:name="_Toc25648213"/>
      <w:bookmarkStart w:id="626" w:name="_Toc28250920"/>
      <w:r>
        <w:t>农作物种子生产经营许可管理办法</w:t>
      </w:r>
      <w:bookmarkEnd w:id="619"/>
      <w:bookmarkEnd w:id="620"/>
      <w:bookmarkEnd w:id="621"/>
      <w:bookmarkEnd w:id="622"/>
      <w:bookmarkEnd w:id="623"/>
      <w:bookmarkEnd w:id="624"/>
      <w:bookmarkEnd w:id="625"/>
      <w:bookmarkEnd w:id="626"/>
    </w:p>
    <w:p>
      <w:pPr>
        <w:pStyle w:val="62"/>
      </w:pPr>
      <w:r>
        <w:t>（</w:t>
      </w:r>
      <w:bookmarkStart w:id="627" w:name="OLE_LINK111"/>
      <w:r>
        <w:t>2016年7月8日中华人民共和国农业部令第5号公布，根据2017年11月30日中华人民共和国农业部令第8号公布的、自公布之日起施行《农业部关于修改和废止部分规章、规范性文件的决定》第一次修订</w:t>
      </w:r>
      <w:bookmarkEnd w:id="627"/>
      <w:r>
        <w:t>，根据2019年4月25日农业农村部令第2号第二次修订）</w:t>
      </w:r>
    </w:p>
    <w:p>
      <w:pPr>
        <w:pStyle w:val="63"/>
        <w:spacing w:before="218" w:after="218" w:line="412" w:lineRule="exact"/>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asciiTheme="minorEastAsia" w:hAnsiTheme="minorEastAsia" w:eastAsiaTheme="minorEastAsia"/>
          <w:sz w:val="24"/>
          <w:szCs w:val="24"/>
        </w:rPr>
        <w:t xml:space="preserve">  为加强农作物种子生产经营许可管理，规范农作物种子生产经营秩序，根据《中华人民共和国种子法》，制定本办法。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农作物种子生产经营许可证的申请、审核、核发和监管，适用本办法。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县级以上人民政府农业主管部门按照职责分工，负责农作物种子生产经营许可证的受理、审核、核发和监管工作。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负责审核、核发农作物种子生产经营许可证的农业主管部门，应当将农作物种子生产经营许可证的办理条件、程序等在办公场所公开。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农业主管部门应当按照保障农业生产安全、提升农作物品种选育和种子生产经营水平、促进公平竞争、强化事中事后监管的原则，依法加强农作物种子生产经营许可管理。</w:t>
      </w:r>
    </w:p>
    <w:p>
      <w:pPr>
        <w:pStyle w:val="63"/>
        <w:spacing w:before="218" w:after="218" w:line="412" w:lineRule="exact"/>
        <w:rPr>
          <w:b/>
        </w:rPr>
      </w:pPr>
      <w:r>
        <w:t>第二章  申请条件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申请领取种子生产经营许可证的企业，应当具有与种子生产经营相适应的设施、设备、品种及人员，符合本办法规定的条件。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申请领取主要农作物常规种子或非主要农作物种子生产经营许可证的企业，应当具备以下条件：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基本设施。生产经营主要农作物常规种子的，具有办公场所150平方米以上、检验室100平方米以上、加工厂房500平方米以上、仓库500平方米以上；生产经营非主要农作物种子的，具有办公场所100平方米以上、检验室50平方米以上、加工厂房100平方米以上、仓库100平方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（二）检验仪器。具有净度分析台、电子秤、样品粉碎机、烘箱、生物显微镜、电子天平、扦样器、分样器、发芽箱等检验仪器，满足种子质量常规检测需要；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加工设备。具有与其规模相适应的种子加工、包装等设备。其中，生产经营主要农作物常规种子的，应当具有种子加工成套设备，生产经营常规小麦种子的，成套设备总加工能力10吨/小时以上；生产经营常规稻种子的，成套设备总加工能力5吨/小时以上；生产经营常规大豆种子的，成套设备总加工能力3吨/小时以上；生产经营常规棉花种子的，成套设备总加工能力1吨/小时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（四）人员。具有种子生产、加工贮藏和检验专业技术人员各2名以上；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生产经营主要农作物常规种子的，生产经营的品种应当通过审定，并具有1个以上与申请作物类别相应的审定品种；生产经营登记作物种子的，应当具有1个以上的登记品种。生产经营授权品种种子的，应当征得品种权人的书面同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（六）生产环境。生产地点无检疫性有害生物，并具有种子生产的隔离和培育条件；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（七）农业部规定的其他条件。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asciiTheme="minorEastAsia" w:hAnsiTheme="minorEastAsia" w:eastAsiaTheme="minorEastAsia"/>
          <w:sz w:val="24"/>
          <w:szCs w:val="24"/>
        </w:rPr>
        <w:t xml:space="preserve">  申请领取主要农作物杂交种子及其亲本种子生产经营许可证的企业，应当具备以下条件：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（一）基本设施。具有办公场所200平方米以上、检验室150平方米以上、加工厂房500平方米以上、仓库500平方米以上；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验仪器。除具备本办法第七条第二项规定的条件外，还应当具有PCR扩增仪及产物检测配套设备、酸度计、高压灭菌锅、磁力搅拌器、恒温水浴锅、高速冷冻离心机、成套移液器等仪器设备，能够开展种子水分、净度、纯度、发芽率四项指标检测及品种分子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加工设备。具有种子加工成套设备，生产经营杂交玉米种子的，成套设备总加工能力10吨/小时以上；生产经营杂交稻种子的，成套设备总加工能力5吨/小时以上；生产经营其他主要农作物杂交种子的，成套设备总加工能力1吨/小时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（四）人员。具有种子生产、加工贮藏和检验专业技术人员各5名以上；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（五）品种。生产经营的品种应当通过审定，并</w:t>
      </w:r>
      <w:r>
        <w:rPr>
          <w:rFonts w:asciiTheme="minorEastAsia" w:hAnsiTheme="minorEastAsia" w:eastAsiaTheme="minorEastAsia"/>
          <w:b/>
          <w:bCs/>
          <w:sz w:val="24"/>
          <w:szCs w:val="24"/>
        </w:rPr>
        <w:t>具有与申请作物类别相应的自育品种</w:t>
      </w:r>
      <w:r>
        <w:rPr>
          <w:rFonts w:asciiTheme="minorEastAsia" w:hAnsiTheme="minorEastAsia" w:eastAsiaTheme="minorEastAsia"/>
          <w:sz w:val="24"/>
          <w:szCs w:val="24"/>
        </w:rPr>
        <w:t>或作为第一选育人的审定品种1个以上，或者合作选育的审定品种2个以上，或者受让品种权的品种3个以上。生产经营授权品种种子的，应当征得品种权人的书面同意；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（六）具有本办法第七条第六项规定的条件；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（七）农业部规定的其他条件。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申请领取实行选育生产经营相结合、有效区域为全国的种子生产经营许可证的企业,应当具备以下条件: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基本设施。具有办公场所500平方米以上，冷藏库200平方米以上。生产经营主要农作物种子或马铃薯种薯的，具有检验室300平方米以上；生产经营其他农作物种子的，具有检验室200平方米以上。生产经营杂交玉米、杂交稻、小麦种子或马铃薯种薯的，具有加工厂房1000平方米以上、仓库2000平方米以上；生产经营棉花、大豆种子的，具有加工厂房500平方米以上、仓库500平方米以上；生产经营其他农作物种子的，具有加工厂房200平方米以上、仓库500平方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育种机构及测试网络。具有专门的育种机构和相应的育种材料，建有完整的科研育种档案。生产经营杂交玉米、杂交稻种子的，在全国不同生态区有测试点30个以上和相应的播种、收获、考种设施设备；生产经营其他农作物种子的，在全国不同生态区有测试点10个以上和相应的播种、收获、考种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育种基地。具有自有或租用（租期不少于5年）的科研育种基地。生产经营杂交玉米、杂交稻种子的，具有分布在不同生态区的育种基地5处以上、总面积200亩以上；生产经营其他农作物种子的，具有分布在不同生态区的育种基地3处以上、总面积100亩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科研投入。在申请之日前3年内，年均科研投入不低于年种子销售收入的5%，同时，生产经营杂交玉米种子的，年均科研投入不低于1500万元；生产经营杂交稻种子的，年均科研投入不低于800万元；生产经营其他种子的，年均科研投入不低于300万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生产经营主要农作物种子的，生产经营的品种应当通过审定，并具有相应作物的作为第一育种者的国家级审定品种3个以上，或者省级审定品种6个以上（至少包含3个省份审定通过），或者国家级审定品种2个和省级审定品种3个以上，或者国家级审定品种1个和省级审定品种5个以上。生产经营杂交稻种子同时生产经营常规稻种子的，除具有杂交稻要求的品种条件外，还应当具有常规稻的作为第一育种者的国家级审定品种1个以上或者省级审定品种3个以上。生产经营非主要农作物种子的，应当具有相应作物的以本企业名义单独申请获得植物新品种权的品种5个以上。生产经营授权品种种子的，应当征得品种权人的书面同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生产规模。生产经营杂交玉米种子的，近3年年均种子生产面积2万亩以上；生产经营杂交稻种子的，近3年年均种子生产面积1万亩以上；生产经营其他农作物种子的，近3年年均种子生产的数量不低于该类作物100万亩的大田用种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种子经营。具有健全的销售网络和售后服务体系。生产经营杂交玉米种子的，在申请之日前3年内至少有1年，杂交玉米种子销售额2亿元以上或占该类种子全国市场份额的1%以上；生产经营杂交稻种子的，在申请之日前3年内至少有1年，杂交稻种子销售额1.2亿元以上或占该类种子全国市场份额的1%以上；生产经营蔬菜种子的，在申请之日前3年内至少有1年，蔬菜种子销售额8000万元以上或占该类种子全国市场份额的1%以上；生产经营其他农作物种子的，在申请之日前3年内至少有1年，其种子销售额占该类种子全国市场份额的1%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种子加工。具有种子加工成套设备，生产经营杂交玉米、小麦种子的，总加工能力20吨/小时以上；生产经营杂交稻种子的，总加工能力10吨/小时以上（含窝眼清选设备）；生产经营大豆种子的，总加工能力5吨/小时以上；生产经营其他农作物种子的，总加工能力1吨/小时以上。生产经营杂交玉米、杂交稻、小麦种子的，还应当具有相应的干燥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人员。生产经营杂交玉米、杂交稻种子的，具有本科以上学历或中级以上职称的专业育种人员10人以上；生产经营其他农作物种子的，具有本科以上学历或中级以上职称的专业育种人员6人以上。生产经营主要农作物种子的，具有专职的种子生产、加工贮藏和检验专业技术人员各5名以上；生产经营非主要农作物种子的，具有专职的种子生产、加工贮藏和检验专业技术人员各3名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（十）具有本办法第七条第六项、第八条第二项规定的条件；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（十一）农业部规定的其他条件。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从事种子进出口业务的企业和外商投资企业申请领取种子生产经营许可证, 除具备本办法规定的相应农作物种子生产经营许可证核发的条件外，还应当符合有关法律、行政法规规定的其他条件。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申请领取种子生产经营许可证，应当提交以下材料：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（一）种子生产经营许可证申请表（式样见附件1）；</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（二）单位性质、股权结构等基本情况，公司章程、营业执照复印件，设立分支机构、委托生产种子、委托代销种子以及以购销方式销售种子等情况说明；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（三）种子生产、加工贮藏、检验专业技术人员的基本情况，企业法定代表人和高级管理人员名单及其种业从业简历；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种子检验室、加工厂房、仓库和其他设施的自有产权或自有资产的说明材料；办公场所自有产权证明复印件或租赁合同；种子检验、加工等设备清单和购置发票复印件；相关设施设备的情况说明及实景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（五）品种审定证书复印件；生产经营授权品种种子的，提交植物新品种权证书复印件及品种权人的书面同意证明；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（六）委托种子生产合同复印件或自行组织种子生产的情况说明和证明材料；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（七）种子生产地点检疫证明；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（八）农业部规定的其他材料。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申请领取选育生产经营相结合、有效区域为全国的种子生产经营许可证，除提交本办法第十一条所规定的材料外，还应当提交以下材料：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（一）自有科研育种基地证明或租用科研育种基地的合同复印件；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（二）品种试验测试网络和测试点情况说明，以及相应的播种、收获、烘干等设备设施的自有产权证明复印件及实景照片；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（三）育种机构、科研投入及育种材料、科研活动等情况说明和证明材料，育种人员基本情况；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（四）近三年种子生产地点、面积和基地联系人等情况说明和证明材料；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（五）种子经营量、经营额及其市场份额的情况说明和证明材料；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（六）销售网络和售后服务体系的建设情况。</w:t>
      </w:r>
    </w:p>
    <w:p>
      <w:pPr>
        <w:pStyle w:val="63"/>
        <w:spacing w:before="218" w:after="218" w:line="412" w:lineRule="exact"/>
      </w:pPr>
      <w:r>
        <w:t>第三章  受理、审核与核发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种子生产经营许可证实行分级审核、核发。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（一）从事主要农作物常规种子生产经营及非主要农作物种子经营的，其种子生产经营许可证由企业所在地县级以上地方农业主管部门核发；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从事主要农作物杂交种子及其亲本种子生产经营以及实行选育生产经营相结合、有效区域为全国的种子企业，其种子生产经营许可证由企业所在地县级农业主管部门审核，省、自治区、直辖市农业主管部门核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（三）从事农作物种子进出口业务的，其种子生产经营许可证由企业所在地省、自治区、直辖市农业主管部门审核，农业部核发。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农业主管部门对申请人提出的种子生产经营许可申请，应当根据下列情况分别作出处理：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（一）不需要取得种子生产经营许可的，应当即时告知申请人不受理；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（二）不属于本部门职权范围的，应当即时作出不予受理的决定，并告知申请人向有关部门申请；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（三）申请材料存在可以当场更正的错误的，应当允许申请人当场更正；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（四）申请材料不齐全或者不符合法定形式的，应当当场或者在五个工作日内一次告知申请人需要补正的全部内容，逾期不告知的，自收到申请材料之日起即为受理；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（五）申请材料齐全、符合法定形式，或者申请人按照要求提交全部补正申请材料的，应当予以受理。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审核机关应当对申请人提交的材料进行审查，并对申请人的办公场所和种子加工、检验、仓储等设施设备进行实地考察，查验相关申请材料原件。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审核机关应当自受理申请之日起二十个工作日内完成审核工作。具备本办法规定条件的，签署审核意见，上报核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发机关；审核不予通过的，书面通知申请人并说明理由。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核发机关应当自受理申请或收到审核意见之日起二十个工作日内完成核发工作。核发机关认为有必要的，可以进行实地考察并查验原件。符合条件的，发给种子生产经营许可证并予公告；不符合条件的，书面通知申请人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选育生产经营相结合、有效区域为全国的种子生产经营许可证，核发机关应当在核发前在中国种业信息网公示五个工作日。</w:t>
      </w:r>
    </w:p>
    <w:p>
      <w:pPr>
        <w:pStyle w:val="63"/>
        <w:spacing w:before="218" w:after="218" w:line="412" w:lineRule="exact"/>
        <w:rPr>
          <w:b/>
        </w:rPr>
      </w:pPr>
      <w:r>
        <w:t>第四章  许可证管理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种子生产经营许可证设主证、副证（式样见附件2）。主证注明许可证编号、企业名称、统一社会信用代码、住所、法定代表人、生产经营范围、生产经营方式、有效区域、有效期至、发证机关、发证日期；</w:t>
      </w:r>
      <w:r>
        <w:rPr>
          <w:rFonts w:asciiTheme="minorEastAsia" w:hAnsiTheme="minorEastAsia" w:eastAsiaTheme="minorEastAsia"/>
          <w:b/>
          <w:bCs/>
          <w:sz w:val="24"/>
          <w:szCs w:val="24"/>
        </w:rPr>
        <w:t>副证注明作物种类</w:t>
      </w:r>
      <w:r>
        <w:rPr>
          <w:rFonts w:asciiTheme="minorEastAsia" w:hAnsiTheme="minorEastAsia" w:eastAsiaTheme="minorEastAsia"/>
          <w:sz w:val="24"/>
          <w:szCs w:val="24"/>
        </w:rPr>
        <w:t>、种子类别、品种名称及审定（登记）编号、种子生产地点等内容。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许可证编号为“__（xxxx）农种许字（xxxx）第xxxx号”。“__”上标注生产经营类型，A为实行选育生产经营相结合，B为主要农作物杂交种子及其亲本种子，C为其他主要农作物种子，D为非主要农作物种子，E为种子进出口，F为外商投资企业；第一个括号内为发证机关所在地简称，格式为“省地县”；第二个括号内为首次发证时的年号；“第xxxx号”为四位顺序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（二）生产经营范围按生产经营种子的作物名称填写，蔬菜、花卉、麻类按作物类别填写；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（三）生产经营方式按生产、加工、包装、批发、零售或进出口填写；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（四）有效区域。实行选育生产经营相结合的种子生产经营许可证的有效区域为全国。其他种子生产经营许可证的有效区域由发证机关在其管辖范围内确定；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（五）生产地点为种子生产所在地，主要农作物杂交种子标注至县级行政区域，其他作物标注至省级行政区域。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种子生产经营许可证加注许可信息代码。许可信息代码应当包括种子生产经营许可相关内容，由发证机关打印许可证书时自动生成。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种子生产经营许可证载明的有效区域是指企业设立分支机构的区域。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种子生产地点不受种子生产经营许可证载明的有效区域限制，由发证机关根据申请人提交的种子生产合同复印件及无检疫性有害生物证明确定。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种子销售活动不受种子生产经营许可证载明的有效区域限制，但种子的终端销售地应当在品种审定、品种登记或标签标注的适宜区域内。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种子生产经营许可证有效期为五年。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在有效期内变更主证载明事项的，应当向原发证机关申请变更并提交相应材料，原发证机关应当依法进行审查，办理变更手续。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在有效期内变更副证载明的生产种子的品种、地点等事项的，应当在播种三十日前向原发证机关申请变更并提交相应材料，申请材料齐全且符合法定形式的，原发证机关应当当场予以变更登记。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种子生产经营许可证期满后继续从事种子生产经营的，企业应当在期满六个月前重新提出申请。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在种子生产经营许可证有效期内，有下列情形之一的，发证机关应当注销许可证，并予以公告：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（一）企业停止生产经营活动一年以上的；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（二）企业不再具备本办法规定的许可条件，经限期整改仍达不到要求的。</w:t>
      </w:r>
    </w:p>
    <w:p>
      <w:pPr>
        <w:pStyle w:val="63"/>
        <w:spacing w:before="218" w:after="218" w:line="412" w:lineRule="exact"/>
      </w:pPr>
      <w:r>
        <w:t>第五章  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asciiTheme="minorEastAsia" w:hAnsiTheme="minorEastAsia" w:eastAsiaTheme="minorEastAsia"/>
          <w:sz w:val="24"/>
          <w:szCs w:val="24"/>
        </w:rPr>
        <w:t xml:space="preserve">  有下列情形之一的，不需要办理种子生产经营许可证：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（一）农民个人自繁自用常规种子有剩余，在当地集贸市场上出售、串换的；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（二）在种子生产经营许可证载明的有效区域设立分支机构的；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（三）专门经营不再分装的包装种子的；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（四）受具有种子生产经营许可证的企业书面委托生产、代销其种子的。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第一项所称农民，是指以家庭联产承包责任制的形式签订农村土地承包合同的农民；所称当地集贸市场，是指农民所在的乡（镇）区域。农民个人出售、串换的种子数量不应超过其家庭联产承包土地的年度用种量。违反本款规定出售、串换种子的，视为无证生产经营种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种子生产经营者在种子生产经营许可证载明有效区域设立的分支机构，应当在取得或变更分支机构营业执照后十五个工作日内向当地县级农业主管部门备案。备案时应当提交分支机构的营业执照复印件、设立企业的种子生产经营许可证复印件以及分支机构名称、住所、负责人、联系方式等材料（式样见附件3）。</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专门经营不再分装的包装种子或者受具有种子生产经营许可证的企业书面委托代销其种子的，应当在种子销售前向当地县级农业主管部门备案，并建立种子销售台账。备案时应当提交种子销售者的营业执照复印件、种子购销凭证或委托代销合同复印件，以及种子销售者名称、住所、经营方式、负责人、联系方式、销售地点、品种名称、种子数量等材料（式样见附件4）。种子销售台账应当如实记录销售种子的品种名称、种子数量、种子来源和种子去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受具有</w:t>
      </w:r>
      <w:r>
        <w:rPr>
          <w:rFonts w:asciiTheme="minorEastAsia" w:hAnsiTheme="minorEastAsia" w:eastAsiaTheme="minorEastAsia"/>
          <w:spacing w:val="-4"/>
          <w:sz w:val="24"/>
          <w:szCs w:val="24"/>
        </w:rPr>
        <w:t>种子生产经营许可证的企业书面委托生产其种子的，应当在种子播种前向当地县级农业主管部门备案。备案时应当提交委托企业的种子生产经营许可证复印件、委托生产合同，以及种子生产者名称、住所、负责人、联系方式、品种名称、生产地点、生产面积等材料（式样见附件5）。受托生产杂交玉米、杂交稻种子的,还应当提交与生产所在地农户、农民合作组织或村委会的生产协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种子生产经营者应当建立包括种子田间生产、加工包装、销售流通等环节形成的原始记载或凭证的种子生产经营档案，具体内容如下：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田间生产方面：技术负责人，作物类别、品种名称、亲本（原种）名称、亲本（原种）来源，生产地点、生产面积、播种日期、隔离措施、产地检疫、收获日期、种子产量等。委托种子生产的，还应当包括种子委托生产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（二）加工包装方面：技术负责人，品种名称、生产地点，加工时间、加工地点、包装规格、种子批次、标签标注，入库时间、种子数量、质量检验报告等。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（三）流通销售方面：经办人，种子销售对象姓名及地址、品种名称、包装规格、销售数量、销售时间、销售票据。批量购销的，还应包括种子购销合同。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种子生产经营者应当至少保存种子生产经营档案五年，确保档案记载信息连续、完整、真实，保证可追溯。档案材料含有复印件的，应当注明复印时间并经相关责任人签章。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种子生产经营者应当按批次保存所生产经营的种子样品，样品至少保存该类作物两个生产周期。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申请人故意隐瞒有关情况或者提供虚假材料申请种子生产经营许可证的，农业主管部门应当不予许可，并将申请人的不良行为记录在案，纳入征信系统。申请人在一年内不得再次申请种子生产经营许可证。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申请人以欺骗、贿赂等不正当手段取得种子生产经营许可证的，农业主管部门应当撤销种子生产经营许可证，并将申请人的不良行为记录在案，纳入征信系统。申请人在三年内不得再次申请种子生产经营许可证。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农业主管部门应当对种子生产经营行为进行监督检查，发现不符合本办法的违法行为，按照《中华人民共和国种子法》有关规定进行处理。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核发、撤销、吊销、注销种子生产经营许可证的有关信息，农业主管部门应当依法予以公布，并在中国种业信息网上及时更新信息。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对管理过程中获知的种子生产经营者的商业秘密，农业主管部门及其工作人员应当依法保密。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上级农业主管部门应当对下级农业主管部门的种子生产经营许可行为进行监督检查。有下列情形的，责令改正，对直接负责的主管人员和其他直接责任人依法给予行政处分；构成犯罪的，依法移送司法机关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（一）未按核发权限发放种子生产经营许可证的；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（二）擅自降低核发标准发放种子生产经营许可证的；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（三）其他未依法核发种子生产经营许可证的。</w:t>
      </w:r>
    </w:p>
    <w:p>
      <w:pPr>
        <w:pStyle w:val="63"/>
        <w:spacing w:before="218" w:after="218" w:line="412" w:lineRule="exact"/>
      </w:pPr>
      <w:r>
        <w:t>第六章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asciiTheme="minorEastAsia" w:hAnsiTheme="minorEastAsia" w:eastAsiaTheme="minorEastAsia"/>
          <w:sz w:val="24"/>
          <w:szCs w:val="24"/>
        </w:rPr>
        <w:t xml:space="preserve">  本办法所称种子生产经营，是指种植、采收、干燥、清选、分级、包衣、包装、标识、贮藏、销售及进出口种子的活动；种子生产是指繁（制）种的种植、采收的田间活动。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第三十一条</w:t>
      </w:r>
      <w:r>
        <w:rPr>
          <w:rFonts w:asciiTheme="minorEastAsia" w:hAnsiTheme="minorEastAsia" w:eastAsiaTheme="minorEastAsia"/>
          <w:sz w:val="24"/>
          <w:szCs w:val="24"/>
        </w:rPr>
        <w:t xml:space="preserve">  本办法所称种子加工成套设备，是指主机和配套系统相互匹配并固定安装在加工厂房内，实现种子精选、包衣、计量和包装基本功能的加工系统。主机主要包括风筛清选机（风选部分应具有前后吸风道，双沉降室；筛选部分应具有三层以上筛片）、比重式清选机和电脑计量包装设备；配套系统主要包括输送系统、储存系统、除尘系统、除杂系统和电控系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本办法规定的科研育种、生产、加工、检验、贮藏等设施设备，应为申请企业自有产权或自有资产，或者为其绝对控股子公司的自有产权或自有资产。办公场所应在种子生产经营许可证核发机关所辖行政区域，可以租赁。对申请企业绝对控股子公司的自有品种可以视为申请企业的自有品种。申请企业的绝对控股子公司不可重复利用上述办证条件申请办理种子生产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asciiTheme="minorEastAsia" w:hAnsiTheme="minorEastAsia" w:eastAsiaTheme="minorEastAsia"/>
          <w:sz w:val="24"/>
          <w:szCs w:val="24"/>
        </w:rPr>
        <w:t xml:space="preserve">  本办法所称不再分装的包装种子，是指按有关规定和标准包装的、不再分拆的最小包装种子。分装种子的，应当取得种子生产经营许可证，保证种子包装的完整性，并对其所分装种子负责。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有性繁殖作物的籽粒、果实，包括颖果、荚果、蒴果、核果等以及马铃薯微型脱毒种薯应当包装。无性繁殖的器官和组织、种苗以及不宜包装的非籽粒种子可以不包装。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种子包装应当符合有关国家标准或者行业标准。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asciiTheme="minorEastAsia" w:hAnsiTheme="minorEastAsia" w:eastAsiaTheme="minorEastAsia"/>
          <w:sz w:val="24"/>
          <w:szCs w:val="24"/>
        </w:rPr>
        <w:t xml:space="preserve">  转基因农作物种子生产经营许可管理规定，由农业部另行制定。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第三十五条</w:t>
      </w:r>
      <w:r>
        <w:rPr>
          <w:rFonts w:asciiTheme="minorEastAsia" w:hAnsiTheme="minorEastAsia" w:eastAsiaTheme="minorEastAsia"/>
          <w:sz w:val="24"/>
          <w:szCs w:val="24"/>
        </w:rPr>
        <w:t xml:space="preserve">  申请领取鲜食、爆裂玉米的种子生产经营许可证的，按非主要农作物种子的许可条件办理。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生产经营无性繁殖的器官和组织、种苗、种薯以及不宜包装的非籽粒种子的，应当具有相适应的设施、设备、品种及人员，具体办法由省级农业主管部门制定，报农业部备案。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没有设立农业主管部门的行政区域，种子生产经营许可证由上级行政区域农业主管部门审核、核发。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种子生产经营许可证由农业部统一印制，相关表格格式由农业部统一制定。种子生产经营许可证的申请、受理、审核、核发和打印，以及种子生产经营备案管理，在中国种业信息网统一进行。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第三十九条</w:t>
      </w:r>
      <w:r>
        <w:rPr>
          <w:rFonts w:asciiTheme="minorEastAsia" w:hAnsiTheme="minorEastAsia" w:eastAsiaTheme="minorEastAsia"/>
          <w:sz w:val="24"/>
          <w:szCs w:val="24"/>
        </w:rPr>
        <w:t xml:space="preserve">  本办法自2016年8月15日起施行。农业部2011年8月22日公布、2015年4月29日修订的《农作物种子生产经营许可管理办法》（农业部令2011年第3号）和2001年2月26日公布的《农作物商品种子加工包装规定》（农业部令第50号）同时废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本办法施行之日前已取得的农作物种子生产、经营许可证有效期不变，有效期在本办法发布之日至2016年8月15日届满的企业，其原有种子生产、经营许可证的有效期自动延展至2016年12月31日。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本办法施行之日前已取得农作物种子生产、经营许可证且在有效期内，申请变更许可证载明事项的，按本办法第十三条规定程序办理。</w:t>
      </w:r>
    </w:p>
    <w:p>
      <w:pPr>
        <w:pStyle w:val="3"/>
        <w:topLinePunct/>
        <w:spacing w:line="412" w:lineRule="exact"/>
        <w:ind w:firstLine="480"/>
        <w:rPr>
          <w:rFonts w:asciiTheme="minorEastAsia" w:hAnsiTheme="minorEastAsia" w:eastAsiaTheme="minorEastAsia"/>
          <w:sz w:val="24"/>
          <w:szCs w:val="24"/>
        </w:rPr>
      </w:pP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附件：1.农作物种子生产经营许可证申请表（式样）</w:t>
      </w:r>
    </w:p>
    <w:p>
      <w:pPr>
        <w:pStyle w:val="3"/>
        <w:topLinePunct/>
        <w:spacing w:line="412" w:lineRule="exact"/>
        <w:ind w:firstLine="1200" w:firstLineChars="500"/>
        <w:rPr>
          <w:rFonts w:asciiTheme="minorEastAsia" w:hAnsiTheme="minorEastAsia" w:eastAsiaTheme="minorEastAsia"/>
          <w:sz w:val="24"/>
          <w:szCs w:val="24"/>
        </w:rPr>
      </w:pPr>
      <w:r>
        <w:rPr>
          <w:rFonts w:asciiTheme="minorEastAsia" w:hAnsiTheme="minorEastAsia" w:eastAsiaTheme="minorEastAsia"/>
          <w:sz w:val="24"/>
          <w:szCs w:val="24"/>
        </w:rPr>
        <w:t>2.农作物种子生产经营许可证（式样）</w:t>
      </w:r>
    </w:p>
    <w:p>
      <w:pPr>
        <w:pStyle w:val="3"/>
        <w:topLinePunct/>
        <w:spacing w:line="412" w:lineRule="exact"/>
        <w:ind w:firstLine="1200" w:firstLineChars="500"/>
        <w:rPr>
          <w:rFonts w:asciiTheme="minorEastAsia" w:hAnsiTheme="minorEastAsia" w:eastAsiaTheme="minorEastAsia"/>
          <w:sz w:val="24"/>
          <w:szCs w:val="24"/>
        </w:rPr>
      </w:pPr>
      <w:r>
        <w:rPr>
          <w:rFonts w:asciiTheme="minorEastAsia" w:hAnsiTheme="minorEastAsia" w:eastAsiaTheme="minorEastAsia"/>
          <w:sz w:val="24"/>
          <w:szCs w:val="24"/>
        </w:rPr>
        <w:t>3.农作物种子生产经营备案表（分支机构）（式样）</w:t>
      </w:r>
    </w:p>
    <w:p>
      <w:pPr>
        <w:pStyle w:val="3"/>
        <w:topLinePunct/>
        <w:spacing w:line="412" w:lineRule="exact"/>
        <w:ind w:firstLine="1200" w:firstLineChars="500"/>
        <w:rPr>
          <w:rFonts w:asciiTheme="minorEastAsia" w:hAnsiTheme="minorEastAsia" w:eastAsiaTheme="minorEastAsia"/>
          <w:sz w:val="24"/>
          <w:szCs w:val="24"/>
        </w:rPr>
      </w:pPr>
      <w:r>
        <w:rPr>
          <w:rFonts w:asciiTheme="minorEastAsia" w:hAnsiTheme="minorEastAsia" w:eastAsiaTheme="minorEastAsia"/>
          <w:sz w:val="24"/>
          <w:szCs w:val="24"/>
        </w:rPr>
        <w:t>4.农作物种</w:t>
      </w:r>
      <w:r>
        <w:rPr>
          <w:rFonts w:asciiTheme="minorEastAsia" w:hAnsiTheme="minorEastAsia" w:eastAsiaTheme="minorEastAsia"/>
          <w:spacing w:val="-4"/>
          <w:sz w:val="24"/>
          <w:szCs w:val="24"/>
        </w:rPr>
        <w:t>子生产经营备案表（经营代销种子/经营不分装种子）（式样）</w:t>
      </w:r>
    </w:p>
    <w:p>
      <w:pPr>
        <w:topLinePunct/>
        <w:spacing w:beforeLines="0" w:afterLines="0" w:line="412" w:lineRule="exact"/>
        <w:ind w:firstLine="1200" w:firstLineChars="500"/>
        <w:rPr>
          <w:rFonts w:cs="Times New Roman" w:asciiTheme="minorEastAsia" w:hAnsiTheme="minorEastAsia"/>
          <w:sz w:val="24"/>
          <w:szCs w:val="24"/>
        </w:rPr>
      </w:pPr>
      <w:r>
        <w:rPr>
          <w:rFonts w:cs="Times New Roman" w:asciiTheme="minorEastAsia" w:hAnsiTheme="minorEastAsia"/>
          <w:sz w:val="24"/>
          <w:szCs w:val="24"/>
        </w:rPr>
        <w:t>5.农作物种子生产经营备案表（种子生产者）（式样）</w:t>
      </w:r>
      <w:r>
        <w:rPr>
          <w:rFonts w:cs="Times New Roman"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628" w:name="_Toc25653709"/>
      <w:bookmarkStart w:id="629" w:name="_Toc466579938"/>
      <w:bookmarkStart w:id="630" w:name="_Toc28156993"/>
      <w:bookmarkStart w:id="631" w:name="_Toc18916798"/>
      <w:bookmarkStart w:id="632" w:name="_Toc26347971"/>
      <w:bookmarkStart w:id="633" w:name="_Toc25648214"/>
      <w:bookmarkStart w:id="634" w:name="_Toc28252195"/>
      <w:bookmarkStart w:id="635" w:name="_Toc28250921"/>
      <w:bookmarkStart w:id="636" w:name="_Toc1637"/>
      <w:r>
        <w:t>农作物种质资源管理办法</w:t>
      </w:r>
      <w:bookmarkEnd w:id="628"/>
      <w:bookmarkEnd w:id="629"/>
      <w:bookmarkEnd w:id="630"/>
      <w:bookmarkEnd w:id="631"/>
      <w:bookmarkEnd w:id="632"/>
      <w:bookmarkEnd w:id="633"/>
      <w:bookmarkEnd w:id="634"/>
      <w:bookmarkEnd w:id="635"/>
      <w:bookmarkEnd w:id="636"/>
    </w:p>
    <w:p>
      <w:pPr>
        <w:pStyle w:val="62"/>
      </w:pPr>
      <w:r>
        <w:t>（2003年7月8日农业部令第30号公布，根据2004年7月1日农业部令第30号修订）</w:t>
      </w:r>
    </w:p>
    <w:p>
      <w:pPr>
        <w:pStyle w:val="63"/>
        <w:spacing w:before="218" w:after="218" w:line="412" w:lineRule="exact"/>
        <w:rPr>
          <w:b/>
        </w:rPr>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为了加强农作物种质资源的保护，促进农作物种质资源的交流和利用，根据《中华人民共和国种子法》的规定,制定本办法。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在中华人民共和国境内从事农作物种质资源收集、整理、鉴定、登记、保存、交流、利用和管理等活动，适用本办法。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农作物种质资源，是指选育农作物新品种的基础材料，包括农作物的栽培种、野生种和濒危稀有种的繁殖材料，以及利用上述繁殖材料人工创造的各种遗传材料，其形态包括果实、籽粒、苗、根、茎、叶、芽、花、组织、细胞和DNA、DNA片段及基因等有生命的物质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农业部设立国家农作物种质资源委员会，研究提出国家农作物种质资源发展战略和方针政策，协调全国农作物种质资源的管理工作。委员会办公室设在农业部种植业管理司，负责委员会的日常工作。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各省、自治区、直辖市农业行政主管部门可根据需要，确定相应的农作物种质资源管理单位。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农作物种质资源工作属于公益性事业，国家及地方政府有关部门应当采取措施，保障农作物种质资源工作的稳定和经费来源。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国家对在农作物种质资源收集、整理、鉴定、登记、保存、交流、引进、利用和管理过程中成绩显著的单位和个人，给予表彰和奖励。</w:t>
      </w:r>
    </w:p>
    <w:p>
      <w:pPr>
        <w:pStyle w:val="63"/>
        <w:spacing w:before="218" w:after="218" w:line="412" w:lineRule="exact"/>
        <w:rPr>
          <w:b/>
        </w:rPr>
      </w:pPr>
      <w:r>
        <w:t>第二章</w:t>
      </w:r>
      <w:r>
        <w:rPr>
          <w:rFonts w:hint="eastAsia"/>
        </w:rPr>
        <w:t xml:space="preserve"> </w:t>
      </w:r>
      <w:r>
        <w:t xml:space="preserve"> 农作物种质资源收集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国家有计划地组织农作物种质资源普查、重点考察和收集工作。因工程建设、环境变化等情况可能造成农作物种质资源灭绝的，应当及时组织抢救收集。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禁止采集或采伐列入国家重点保护野生植物名录的野生种、野生近缘种、濒危稀有种和保护区、保护地、种质圃内的农作物种质资源。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科研等特殊情况需要采集或采伐列入国家重点保护野生植物名录的野生种、野生近缘种、濒危稀有种种质资源的，应当按照国务院及农业部有关野生植物管理的规定，办理审批手续；需要采集或采伐保护区、保护地、种质圃内种质资源的，应当经建立该保护区、保护地、种质圃的农业行政主管部门批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农作物种质资源的采集数量应当以不影响原始居群的遗传完整性及其正常生长为标准。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未经批准，境外人员不得在中国境内采集农作物种质资源。中外科学家联合考察我国农作物种质资源的，应当提前6个月报经农业部批准。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采集的农作物种质资源需要带出境外的，应当按照本办法的规定办理对外提供农作物种质资源审批手续。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收集种质资源应当建立原始档案，详细记载材料名称、基本特征特性、采集地点和时间、采集数量、采集人等。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收集的所有农作物种质资源及其原始档案应当送交国家种质库登记保存。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申请品种审定的单位和个人，应当将适量繁殖材料（包括杂交亲本繁殖材料）交国家种质库登记保存。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单位和个人持有国家尚未登记保存的种质资源的，有义务送交国家种质库保存。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当事人可以将种质资源送交当地农业行政主管部门或农业科研机构，地方农业行政主管部门或农业科研机构应当及时将收到的种质资源送交国家种质库保存。</w:t>
      </w:r>
    </w:p>
    <w:p>
      <w:pPr>
        <w:pStyle w:val="63"/>
        <w:spacing w:before="218" w:after="218" w:line="412" w:lineRule="exact"/>
        <w:rPr>
          <w:b/>
        </w:rPr>
      </w:pPr>
      <w:r>
        <w:t xml:space="preserve">第三章 </w:t>
      </w:r>
      <w:r>
        <w:rPr>
          <w:rFonts w:hint="eastAsia"/>
        </w:rPr>
        <w:t xml:space="preserve"> </w:t>
      </w:r>
      <w:r>
        <w:t>农作物种质资源鉴定、登记和保存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对收集的所有农作物种质资源应当进行植物学类别和主要农艺性状鉴定。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农作物种质资源的鉴定实行国家统一标准制度，具体标准由农业部根据国家农作物种质资源委员会的建议制定和公布。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农作物种质资源的登记实行统一编号制度，任何单位和个人不得更改国家统一编号和名称。</w:t>
      </w:r>
    </w:p>
    <w:p>
      <w:pPr>
        <w:pStyle w:val="3"/>
        <w:topLinePunct/>
        <w:spacing w:line="412" w:lineRule="exact"/>
        <w:ind w:firstLine="482"/>
        <w:rPr>
          <w:rFonts w:asciiTheme="minorEastAsia" w:hAnsiTheme="minorEastAsia" w:eastAsiaTheme="minorEastAsia"/>
          <w:spacing w:val="4"/>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农作</w:t>
      </w:r>
      <w:r>
        <w:rPr>
          <w:rFonts w:asciiTheme="minorEastAsia" w:hAnsiTheme="minorEastAsia" w:eastAsiaTheme="minorEastAsia"/>
          <w:spacing w:val="4"/>
          <w:sz w:val="24"/>
          <w:szCs w:val="24"/>
        </w:rPr>
        <w:t>物种质资源保存实行原生境保存和非原生境保存相结合的制度。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原生境保存包括建立农作物种质资源保护区和保护地，非原生境保存包括建立各种类型的种质库、种质圃及试管苗库。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农业部在农业植物多样性中心、重要农作物野生种及野生近缘植物原生地以及其他农业野生资源富集区，建立农作物种质资源保护区或保护地。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农业部建立国家农作物种质库，包括长期种质库及其复份库、中期种质库、种质圃及试管苗库。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长期种质库负责全国农作物种质资源的长期保存；复份库负责长期种质库贮存种质的备份保存；中期种质库负责种质的中期保存、特性鉴定、繁殖和分发；种质圃及试管苗库负责无性繁殖作物及多年生作物种质的保存、特性鉴定、繁殖和分发。</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国家和地方</w:t>
      </w:r>
      <w:r>
        <w:rPr>
          <w:rFonts w:asciiTheme="minorEastAsia" w:hAnsiTheme="minorEastAsia" w:eastAsiaTheme="minorEastAsia"/>
          <w:spacing w:val="4"/>
          <w:sz w:val="24"/>
          <w:szCs w:val="24"/>
        </w:rPr>
        <w:t>有关部门应当采取措施，保障国家种质库的正常运转和种质资源安全。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各省、自治区、直辖市根据需要建立本地区的农作物种质资源保护区、保护地、种质圃和中期种质库。</w:t>
      </w:r>
    </w:p>
    <w:p>
      <w:pPr>
        <w:pStyle w:val="63"/>
        <w:spacing w:before="218" w:after="218" w:line="412" w:lineRule="exact"/>
        <w:rPr>
          <w:b/>
        </w:rPr>
      </w:pPr>
      <w:r>
        <w:t xml:space="preserve">第四章 </w:t>
      </w:r>
      <w:r>
        <w:rPr>
          <w:rFonts w:hint="eastAsia"/>
        </w:rPr>
        <w:t xml:space="preserve"> </w:t>
      </w:r>
      <w:r>
        <w:t>农作物种质资源繁殖和利用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国家鼓励单位和个人从事农作物种质资源研究和创新。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国家长期种质库保存的种质资源属国家战略资源，未经农业部批准，任何单位和个人不得动用。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因国家中期种质库保存的种质资源绝种，需要从国家长期种质库取种繁殖的，应当报农业部审批。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国家长期种质库应当定期检测库存种质资源，当库存种质资源活力降低或数量减少影响种质资源安全时，应当及时繁殖补充。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国家中期种质库应当定期繁殖更新库存种质资源，保证库存种质资源活力和数量；国家种质圃应当定期更新复壮圃存种质资源，保证圃存种质资源的生长势。国家有关部门应保障其繁殖更新费用。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农业部根据国家农作物种质资源委员会的建议，定期公布可供利用的农作物种质资源目录，并评选推荐优异种质资源。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科研和育种需要目录中农作物种质资源的单位和个人，可以向国家中期种质库、种质圃提出申请。对符合国家中期种质库、种质圃提供种质资源条件的，国家中期种质库、种质圃应当迅速、免费向申请者提供适量种质材料。如需收费，不得超过繁种等所需的最低费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从国家获取的种质资源不得直接申请新品种保护及其他知识产权。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从国家中期种质库、种质圃获取种质资源的单位和个人应当及时向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国家中期种质库、种质圃反馈种质资源利用信息，对不反馈信息者，国家中期种质库、种质圃有权不再向其提供种质资源。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国家中期种质库、种质圃应当定期向国家农作物种质资源委员会办公室上报种质资源发放和利用情况。</w:t>
      </w:r>
    </w:p>
    <w:p>
      <w:pPr>
        <w:pStyle w:val="3"/>
        <w:topLinePunct/>
        <w:spacing w:line="412" w:lineRule="exact"/>
        <w:ind w:firstLine="482"/>
        <w:rPr>
          <w:rFonts w:ascii="黑体" w:hAnsi="黑体" w:eastAsia="黑体"/>
          <w:bCs/>
          <w:sz w:val="28"/>
          <w:szCs w:val="28"/>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各省、自治区、直辖市农业行政主管部门可以根据本办法和本地区实际情况，制定本地区的农作物种质资源发放和利用办法。</w:t>
      </w:r>
      <w:r>
        <w:br w:type="page"/>
      </w:r>
    </w:p>
    <w:p>
      <w:pPr>
        <w:pStyle w:val="63"/>
        <w:spacing w:before="218" w:after="218" w:line="412" w:lineRule="exact"/>
        <w:rPr>
          <w:b/>
        </w:rPr>
      </w:pPr>
      <w:r>
        <w:t xml:space="preserve">第五章 </w:t>
      </w:r>
      <w:r>
        <w:rPr>
          <w:rFonts w:hint="eastAsia"/>
        </w:rPr>
        <w:t xml:space="preserve"> </w:t>
      </w:r>
      <w:r>
        <w:t>农作物种质资源国际交流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国家对农作物种质资源享有主权，任何单位和个人向境外提供种质资源，应当经所在地省、自治区、直辖市农业行政主管部门审核，报农业部审批。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对外提供农作物种质资源实行分类管理制度，农业部定期修订分类管理目录。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对外提供农作物种质资源按以下程序办理：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（一）对外</w:t>
      </w:r>
      <w:r>
        <w:rPr>
          <w:rFonts w:asciiTheme="minorEastAsia" w:hAnsiTheme="minorEastAsia" w:eastAsiaTheme="minorEastAsia"/>
          <w:spacing w:val="4"/>
          <w:sz w:val="24"/>
          <w:szCs w:val="24"/>
        </w:rPr>
        <w:t>提供种质资源的单位和个人按规定的格式及要求填写《对外提供农作物种质资源申请表》（见附件一），提交对外提供种质资源说明，向农业部提出申请。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（二）农业部应当自收到申请材料之日起20日内作出审批决定。审批通过的，开具《对外提供农作物种质资源准许证》（见附件二），加盖“农业部对外提供农作物种质资源审批专用章”。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（三）对外提供种质资源的单位和个人持《对外提供农作物种质资源准许证》到检疫机关办理检疫审批手续。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（四）《对外提供农作物种质资源准许证》和检疫通关证明作为海关放行依据。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对外合作项目中包括农作物种质资源交流的，应当在签订合作协议前，办理对外提供农作物种质资源审批手续。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国家鼓励单位和个人从境外引进农作物种质资源。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从境外引进新物种的，应当进行科学论证，采取有效措施，防止可能造成的生态危害和环境危害。引进前，报经农业部批准，引进后隔离种植1个以上生育周期，经评估，证明确实安全和有利用价值的，方可分散种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单位和个人从境外引进种质资源，应当依照有关植物检疫法律、行政法规的规定，办理植物检疫手续。引进的种质资源，应当隔离试种，经植物检疫机构检疫，证明确实不带危险性病、虫及杂草的，方可分散种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国家实行引种统一登记制度。引种单位和个人应当在引进种质资源入境之日起一年之内向国家农作物种质资源委员会办公室申报备案，并附适量种质材料供国家种质库保存。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可以将引种信息和种质资源送交当地农业行政主管部门或农业科研机构，地方农业行政主管部门或农业科研机构应当及时向国家农作物种质资源委员会办公室申报备案，并将收到的种质资源送交国家种质库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引进的种质资源，由国家农作物种质资源委员会统一编号和译名，任何单位和个人不得更改国家引种编号和译名。</w:t>
      </w:r>
    </w:p>
    <w:p>
      <w:pPr>
        <w:pStyle w:val="63"/>
        <w:spacing w:before="218" w:after="218" w:line="412" w:lineRule="exact"/>
        <w:rPr>
          <w:b/>
        </w:rPr>
      </w:pPr>
      <w:r>
        <w:t xml:space="preserve">第六章 </w:t>
      </w:r>
      <w:r>
        <w:rPr>
          <w:rFonts w:hint="eastAsia"/>
        </w:rPr>
        <w:t xml:space="preserve"> </w:t>
      </w:r>
      <w:r>
        <w:t>农作物种质资源信息管理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国家农作物种质资源委员会办公室应当加强农作物种质资源的信息管理工作，包括种质资源收集、鉴定、保存、利用、国际交流等动态信息，为有关部门提供信息服务，保护国家种质资源信息安全。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负责农作物种质资源收集、鉴定、保存、登记等工作的单位，有义务向国家农作物种质资源委员会办公室提供相关信息，保障种质资源信息共享。</w:t>
      </w:r>
    </w:p>
    <w:p>
      <w:pPr>
        <w:pStyle w:val="63"/>
        <w:spacing w:before="218" w:after="218" w:line="412" w:lineRule="exact"/>
        <w:rPr>
          <w:b/>
        </w:rPr>
      </w:pPr>
      <w:r>
        <w:t>第七章</w:t>
      </w:r>
      <w:r>
        <w:rPr>
          <w:rFonts w:hint="eastAsia"/>
        </w:rPr>
        <w:t xml:space="preserve"> </w:t>
      </w:r>
      <w:r>
        <w:t xml:space="preserve"> 罚</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违反本办法规定，未经批准私自采集或采伐国家重点保护的天然种质资源的，按照《种子法》第六十一条的规定予以处罚。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违反本办法规定，未经批准动用国家长期种质库贮存的种质资源的，对直接负责的主管人员和其他直接责任人员，依法给予行政处分。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违反本办法规定，未经批准向境外提供或者从境外引进种质资源的，按照《种子法》第六十三条的规定予以处罚。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违反本办法规定，农业行政主管部门或者农业科研机构未及时将收到的单位或个人送交的国家未登记的种质资源及引种信息送交国家种质库保存的，或者引进境外种质资源未申报备案的，由本单位或上级主管部门责令改正，对直接负责的主管人员和其他直接责任人员，可以依法给予行政处分。</w:t>
      </w:r>
    </w:p>
    <w:p>
      <w:pPr>
        <w:pStyle w:val="63"/>
        <w:spacing w:before="218" w:after="218" w:line="412" w:lineRule="exact"/>
        <w:rPr>
          <w:b/>
        </w:rPr>
      </w:pPr>
      <w:r>
        <w:t xml:space="preserve">第八章 </w:t>
      </w:r>
      <w:r>
        <w:rPr>
          <w:rFonts w:hint="eastAsia"/>
        </w:rPr>
        <w:t xml:space="preserve"> </w:t>
      </w:r>
      <w:r>
        <w:t>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中外科学家联合考察的农作物种质资源，对外提供的农作物种质资源，以及从境外引进的农作物种质资源，属于列入国家重点保护野生植物名录的野生种、野生近缘种、濒危稀有种的，除按本办法办理审批手续外，还应按照《野生植物保护条例》、《农业野生植物保护办法》的规定，办理相关审批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本办法自2003年10月1日起施行。1997年3月28日农业部发布的《进出口农作物种子（苗）管理暂行办法》有关种质资源进出口管理的内容同时废止。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24" w:lineRule="exact"/>
        <w:ind w:firstLine="482"/>
        <w:rPr>
          <w:rFonts w:asciiTheme="minorEastAsia" w:hAnsiTheme="minorEastAsia" w:eastAsiaTheme="minorEastAsia"/>
          <w:b/>
          <w:sz w:val="24"/>
          <w:szCs w:val="24"/>
        </w:rPr>
      </w:pPr>
      <w:bookmarkStart w:id="637" w:name="_Toc25648215"/>
      <w:bookmarkStart w:id="638" w:name="_Toc13760"/>
      <w:bookmarkStart w:id="639" w:name="_Toc466579933"/>
      <w:bookmarkStart w:id="640" w:name="_Toc18916799"/>
      <w:bookmarkStart w:id="641" w:name="_Toc25653710"/>
    </w:p>
    <w:p>
      <w:pPr>
        <w:pStyle w:val="61"/>
      </w:pPr>
      <w:bookmarkStart w:id="642" w:name="_Toc28252196"/>
      <w:bookmarkStart w:id="643" w:name="_Toc28250922"/>
      <w:bookmarkStart w:id="644" w:name="_Toc26347972"/>
      <w:bookmarkStart w:id="645" w:name="_Toc28156994"/>
      <w:r>
        <w:t>进出口农作物种子（苗）管理暂行办法</w:t>
      </w:r>
      <w:bookmarkEnd w:id="637"/>
      <w:bookmarkEnd w:id="638"/>
      <w:bookmarkEnd w:id="639"/>
      <w:bookmarkEnd w:id="640"/>
      <w:bookmarkEnd w:id="641"/>
      <w:bookmarkEnd w:id="642"/>
      <w:bookmarkEnd w:id="643"/>
      <w:bookmarkEnd w:id="644"/>
      <w:bookmarkEnd w:id="645"/>
    </w:p>
    <w:p>
      <w:pPr>
        <w:pStyle w:val="62"/>
        <w:topLinePunct w:val="0"/>
        <w:ind w:firstLine="0" w:firstLineChars="0"/>
        <w:jc w:val="center"/>
      </w:pPr>
      <w:r>
        <w:t>（1997年3月28日农业部令第14号公布施行）</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为了进一步贯彻有关种子管理法规，加强种质资源管理，促进我国农作物种子（苗）的对外贸易与合作交流，特制定本办法。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w:t>
      </w:r>
      <w:r>
        <w:rPr>
          <w:rFonts w:asciiTheme="minorEastAsia" w:hAnsiTheme="minorEastAsia" w:eastAsiaTheme="minorEastAsia"/>
          <w:spacing w:val="4"/>
          <w:sz w:val="24"/>
          <w:szCs w:val="24"/>
        </w:rPr>
        <w:t>中进出口农作物种子（苗）（以下简称农作物种子）包括从国（境）外引进和与国（境）外交流研究用种质资源（以下简称进出口种质资源）、进出口生产用种子。进出口生产用种子包括试验用种子、大田用商品种子和对外制种用种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从事进出口生产用种子业务和向国（境）外提供种质资源的单位应当具备中国法人资格。禁止个人从事进出口</w:t>
      </w:r>
      <w:r>
        <w:rPr>
          <w:rFonts w:asciiTheme="minorEastAsia" w:hAnsiTheme="minorEastAsia" w:eastAsiaTheme="minorEastAsia"/>
          <w:spacing w:val="4"/>
          <w:sz w:val="24"/>
          <w:szCs w:val="24"/>
        </w:rPr>
        <w:t>生产用种子业务和向国（境）外提供种质资源。进出口大田用商品种子，应当具有与其进出口种子类别相符的种子生产、经营权及进出口权；没有进出口权的，由农业部指定的具有农作物种子进出口权的单位代理。</w:t>
      </w:r>
    </w:p>
    <w:p>
      <w:pPr>
        <w:pStyle w:val="63"/>
        <w:spacing w:before="218" w:after="218" w:line="412" w:lineRule="exact"/>
        <w:rPr>
          <w:b/>
        </w:rPr>
      </w:pPr>
      <w:r>
        <w:t xml:space="preserve">第二章 </w:t>
      </w:r>
      <w:r>
        <w:rPr>
          <w:rFonts w:hint="eastAsia"/>
        </w:rPr>
        <w:t xml:space="preserve"> </w:t>
      </w:r>
      <w:r>
        <w:t>进出口种质资源的管理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向国（境）外提供种质资源，按照作物种质资源分类目录管理。属于“有条件对外交换的”和“可以对外交换的”种质资源由省级农业行政主管部门审核，送交中国农业科学院品种资源研究所（以下简称品资所），品资所征得农业部同意后办理审批手续；属于“不能对外交换的”和未列入目录的种质资源不准对外交流，特殊情况需要提供的，由品资所审核，报农业部审批。引进种质资源的单位和个人，应当向品资所登记，并附适量种子供保存和利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对外交流种质资源的申请和审批：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（一）对外交流单位向审核单位提出申请，按规定的格式及要求填写《对外交流农作物种质资源申请表》（见附件一），提交对外交流种质资源说明。审核单位同意后，再转报审批单位审批。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审批单位审批同意的，由品资所统一开具《对外提供农作物种质资源准许证》（见附件二），加盖“农业部对外交流农作物种质资源审批专用章”。种质资源对外交流单位，持《对外交流农作物种质资源准许证》到植物检疫机关办理检疫审批手续。《对外交流农作物种质资源准许证》作为海关放行的依据。</w:t>
      </w:r>
    </w:p>
    <w:p>
      <w:pPr>
        <w:pStyle w:val="63"/>
        <w:spacing w:before="218" w:after="218" w:line="412" w:lineRule="exact"/>
        <w:rPr>
          <w:b/>
        </w:rPr>
      </w:pPr>
      <w:r>
        <w:t xml:space="preserve">第三章 </w:t>
      </w:r>
      <w:r>
        <w:rPr>
          <w:rFonts w:hint="eastAsia"/>
        </w:rPr>
        <w:t xml:space="preserve"> </w:t>
      </w:r>
      <w:r>
        <w:t>进出口生产用种子的管理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进出口生产用种子，由所在地省级农业行政主管部门审核，农业部审批。</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进口试验用种子应坚持少而精的原则。每个进口品种，种子以10亩播量，苗木以100株为限。</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进口试验用种子应在国家或省品种审定委员会的统一安排指导下进行试验。</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申请进口大田用商品种子，应符合下列条件：</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（一）品种应当经国家或省级农作物品种审定委员会审定通过，国内暂时没有开展审定工作而生产上又急需的作物种类品种，应当提交至少2个生育周期的引种试验报告。</w:t>
      </w:r>
    </w:p>
    <w:p>
      <w:pPr>
        <w:pStyle w:val="3"/>
        <w:topLinePunct/>
        <w:spacing w:line="404"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（二）种子质量应当达到国家标准或行业标准；对没有国家标准或行业标准的，可以在合同中约定或参考有关国际标准。</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进口对外制种用种子，不受本办法第九条限制，但繁殖的种子不得在国内销售。</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从事进口大田用商品种子业务的单位应当在每年八月底以前将下一年度进口种子计划上报所在省级农业行政主管部门，由省级农业行政主管部门汇总后于十月底前报农业部。</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国家鼓励种子出口，但列入种质资源“不对外交换的”和未列入目录的品种及杂交作物亲本种子原则上不允许出口。特殊情况，应报经农业部批准。</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进出口生产用种子的申请和审批：</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出口单位向审核机关提出申请，按规定的格式及要求填写《进（出）口农作物种子（苗）审批表》（见附件三），提交进出口种子品种说明；办理进口对外制种用种子，应提交对外制种合同（或协议书）；办理进出口大田用商品种子，应提交有关《种子经营许可证》、《营业执照》和种子进出口权的证明文件。审核机关同意后，再转报审批机关审批。</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经审批机关审批同意，加盖“中华人民共和国农业部进出口农作物种子审批专用章”。种子进出口单位，持有效《进出口农作物种子（苗）审批表》批件到植物检疫机关办理检疫审批手续。办理进口农作物种子的，由农业部出具《动植物苗种进口免税审批证明》（见附件四），作为海关免税放行的依据。</w:t>
      </w:r>
    </w:p>
    <w:p>
      <w:pPr>
        <w:pStyle w:val="63"/>
        <w:spacing w:before="218" w:after="218" w:line="412" w:lineRule="exact"/>
        <w:rPr>
          <w:b/>
        </w:rPr>
      </w:pPr>
      <w:r>
        <w:t>第四章</w:t>
      </w:r>
      <w:r>
        <w:rPr>
          <w:rFonts w:hint="eastAsia"/>
        </w:rPr>
        <w:t xml:space="preserve"> </w:t>
      </w:r>
      <w:r>
        <w:t xml:space="preserve"> 进出口农作物种子管理的监督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品资所应当在每季度开始的第一个月十日前，将上一季度进出口种质资源审批情况报农业部；每年1月10日前向农业部报上一年度工作总结。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农业行政主管部门和有关部门工作人员违反本办法规定办理进出口审批或检疫审批的，由本单位或上级机关给予行政处分；构成犯罪的，交由司法机关追究其刑事责任。</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《进出口农作物种子（苗）审批表》由农业部统一印制；《对外交流农作物种质资源申请表》、《对外提供农作物种质资源准许证》由农业部委托品资所统一印制。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《进出口农作物种子（苗）审批表》的有效期为6个月，《动植物苗种进口免税审批证明》、 《对外交流农作物种质资源准许证》的有效期为3个月。超过有效期限或需要改变进出口种子的品种、数量、进出口国家或地区的，均需重新办理审批手续。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进出口农作物种子应办理植物检疫手续，具体办法按《中华人民共和国进出境动植物检疫法》、《中华人民共和国植物检疫条例》及有关植物检疫规章规定办理。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本办法自发布之日起施行。</w:t>
      </w:r>
    </w:p>
    <w:p>
      <w:pPr>
        <w:pStyle w:val="3"/>
        <w:topLinePunct/>
        <w:spacing w:line="412" w:lineRule="exact"/>
        <w:ind w:firstLine="480"/>
        <w:rPr>
          <w:rFonts w:asciiTheme="minorEastAsia" w:hAnsiTheme="minorEastAsia" w:eastAsiaTheme="minorEastAsia"/>
          <w:sz w:val="24"/>
          <w:szCs w:val="24"/>
        </w:rPr>
      </w:pP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注：1.本办法附件略。</w:t>
      </w:r>
    </w:p>
    <w:p>
      <w:pPr>
        <w:pStyle w:val="3"/>
        <w:topLinePunct/>
        <w:spacing w:line="412" w:lineRule="exact"/>
        <w:ind w:left="1198" w:leftChars="456" w:hanging="240" w:hangingChars="100"/>
        <w:rPr>
          <w:rFonts w:asciiTheme="minorEastAsia" w:hAnsiTheme="minorEastAsia" w:eastAsiaTheme="minorEastAsia"/>
          <w:sz w:val="24"/>
          <w:szCs w:val="24"/>
        </w:rPr>
      </w:pPr>
      <w:r>
        <w:rPr>
          <w:rFonts w:asciiTheme="minorEastAsia" w:hAnsiTheme="minorEastAsia" w:eastAsiaTheme="minorEastAsia"/>
          <w:sz w:val="24"/>
          <w:szCs w:val="24"/>
        </w:rPr>
        <w:t>2.本办法第二章进出口种质资源的管理已于2003年7月8日由《农作物种质资源管理办法》废止</w:t>
      </w:r>
    </w:p>
    <w:p>
      <w:pPr>
        <w:widowControl/>
        <w:spacing w:before="156" w:after="156"/>
        <w:ind w:firstLine="240"/>
        <w:rPr>
          <w:rFonts w:cs="Times New Roman" w:asciiTheme="minorEastAsia" w:hAnsiTheme="minorEastAsia"/>
          <w:b/>
          <w:bCs/>
          <w:kern w:val="0"/>
          <w:sz w:val="24"/>
          <w:szCs w:val="24"/>
        </w:rPr>
      </w:pPr>
      <w:bookmarkStart w:id="646" w:name="_Toc448"/>
      <w:bookmarkStart w:id="647" w:name="_Toc18916800"/>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648" w:name="_Toc28250923"/>
      <w:bookmarkStart w:id="649" w:name="_Toc28252197"/>
      <w:bookmarkStart w:id="650" w:name="_Toc25653711"/>
      <w:bookmarkStart w:id="651" w:name="_Toc28156995"/>
      <w:bookmarkStart w:id="652" w:name="_Toc26347973"/>
      <w:bookmarkStart w:id="653" w:name="_Toc25648216"/>
      <w:r>
        <w:t>农作物种子标签和使用说明管理办法</w:t>
      </w:r>
      <w:bookmarkEnd w:id="646"/>
      <w:bookmarkEnd w:id="647"/>
      <w:bookmarkEnd w:id="648"/>
      <w:bookmarkEnd w:id="649"/>
      <w:bookmarkEnd w:id="650"/>
      <w:bookmarkEnd w:id="651"/>
      <w:bookmarkEnd w:id="652"/>
      <w:bookmarkEnd w:id="653"/>
    </w:p>
    <w:p>
      <w:pPr>
        <w:pStyle w:val="62"/>
        <w:topLinePunct w:val="0"/>
        <w:ind w:firstLine="0" w:firstLineChars="0"/>
        <w:jc w:val="center"/>
      </w:pPr>
      <w:r>
        <w:t>（2016年7月8日</w:t>
      </w:r>
      <w:r>
        <w:rPr>
          <w:shd w:val="clear" w:color="auto" w:fill="FFFFFF"/>
        </w:rPr>
        <w:t>中华人民共和国</w:t>
      </w:r>
      <w:r>
        <w:t>农业部令第6号公布）</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为了规范农作物种子标签和使用说明的管理，维护种子生产经营者、使用者的合法权益，保障种子质量和农业生产安全，根据《中华人民共和国种子法》，制定本办法。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在中华人民共和国境内销售的农作物种子应当附有种子标签和使用说明。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种子标签和使用说明标注的内容应当与销售的种子相符，符合本办法的规定，不得作虚假或者引人误解的宣传。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种子生产经营者负责种子标签和使用说明的制作，对其标注内容的真实性和种子质量负责。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县级以上人民政府农业主管部门负责农作物种子标签和使用说明的监督管理工作。</w:t>
      </w:r>
    </w:p>
    <w:p>
      <w:pPr>
        <w:pStyle w:val="63"/>
        <w:spacing w:before="218" w:after="218" w:line="412" w:lineRule="exact"/>
        <w:rPr>
          <w:b/>
        </w:rPr>
      </w:pPr>
      <w:r>
        <w:t>第二章  种子标签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种子标签是指印制、粘贴、固定或者附着在种子、种子包装物表面的特定图案及文字说明。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种子标签应当标注下列内容：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（一）作物种类、种子类别、品种名称；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（二）种子生产经营者信息，包括种子生产经营者名称、种子生产经营许可证编号、注册地地址和联系方式；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（三）质量指标、净含量；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（四）检测日期和质量保证期；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（五）品种适宜种植区域、种植季节；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（六）检疫证明编号；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（七）信息代码。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属于下列情形之一的，种子标签除标注本办法第六条规定内容外，应当分别加注以下内容：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（一）主要农作物品种，标注品种审定编号；通过两个以上省级审定的，至少标注种子销售所在地省级品种审定编号；引种的主要农作物品种，标注引种备案公告文号；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（二）授权品种，标注品种权号；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（三）已登记的农作物品种，标注品种登记编号；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（四）进口种子，标注进口审批文号及进口商名称、注册地址和联系方式；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（五）药剂处理种子，标注药剂名称、有效成分、含量及人畜误食后解决方案；依据药剂毒性大小，分别注明“高毒”并附骷髅标志、“中等毒”并附十字骨标志、“低毒”字样；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（六）转基因种子，标注“转基因”字样、农业转基因生物安全证书编号；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作物种类明确至植物分类学的种。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种子类别按照常规种和杂交种标注。类别为常规种的按照育种家种子、原种、大田用种标注。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品种名称应当符合《农业植物品种命名规定》，一个品种只能标注一个品种名称。审定、登记的品种或授权保护的品种应当使用经批准的品种名称。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种子生产经营者名称、种子生产经营许可证编号、注册地地址应当与农作物种子生产经营许可证载明内容一致；联系方式为电话、传真，可以加注网络联系方式。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质量指标是指生产经营者承诺的质量标准，不得低于国家或者行业标准规定；未制定国家标准或行业标准的，按企业标准或者种子生产经营者承诺的质量标准进行标注。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质量指标按照质量特性和特性值进行标注。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质量特性按照下列规定进行标注：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（一）标注品种纯度、净度、发芽率和水分，但不宜标注水分、芽率、净度等指标的无性繁殖材料、种苗等除外；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（二）脱毒繁殖材料按品种纯度、病毒状况和脱毒扩繁代数进行标注；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（三）国家标准、行业标准或农业部对某些农作物种子有其他质量特性要求的，应当加注。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特性值应当标明具体数值，品种纯度、净度、水分百分率保留一位小数，发芽率保留整数。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净含量是指种子的实际重量或者数量，标注内容由“净含量”字样、数字、法定计量单位（kg或者g）或者数量单位（粒或者株）三部分组成。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检测日期是指生产经营者检测质量特性值的年月，年月分别用四位、两位数字完整标示，采用下列示例：检测日期：2016年05月。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质量保证期是指在规定贮存条件下种子生产经营者对种子质量特性值予以保证的承诺时间。标注以月为单位，自检测日期起最长时间不得超过十二个月，采用下列示例：质量保证期6个月。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品种适宜种</w:t>
      </w:r>
      <w:r>
        <w:rPr>
          <w:rFonts w:asciiTheme="minorEastAsia" w:hAnsiTheme="minorEastAsia" w:eastAsiaTheme="minorEastAsia"/>
          <w:spacing w:val="4"/>
          <w:sz w:val="24"/>
          <w:szCs w:val="24"/>
        </w:rPr>
        <w:t>植区域不得超过审定、登记公告及省级农业主管部门引种备案公告公布的区域。审定、登记以外作物的适宜区域由生产经营者根据试验确定。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种植季节是指适宜播种的时间段，由生产经营者根据试验确定，应当具体到日，采用下列示例：5月1日至5月20日。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检疫证明编号标注产地检疫合格证编号或者植物检疫证书编号。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进口种子检疫证明编号标注引进种子、苗木检疫审批单编号。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信息代码以二维码标注，应当包括品种名称、生产经营者名称或进口商名称、单元识别代码、追溯网址等信息。二维码格式及生成要求由农业部另行制定。</w:t>
      </w:r>
    </w:p>
    <w:p>
      <w:pPr>
        <w:pStyle w:val="63"/>
        <w:spacing w:before="218" w:after="218" w:line="412" w:lineRule="exact"/>
        <w:rPr>
          <w:b/>
        </w:rPr>
      </w:pPr>
      <w:r>
        <w:t>第三章  使用说明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使用说明是指对种子的主要性状、主要栽培措施、适应性等使用条件的说明以及风险提示、技术服务等信息。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使用说明应当包括下列内容：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（一）品种主要性状；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（二）主要栽培措施；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（三）适应性；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（四）风险提示；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（五）咨询服务信息。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除前款规定内容外，有下列情形之一的，还应当增加相应内容：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（一）属于转基因种子的，应当提示使用时的安全控制措施；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（二）使用说明与标签分别印制的，应当包括品种名称和种子生产经营者信息。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品种主要性状、主要栽培措施应当如实反映品种的真实状况，主要内容应当与审定或登记公告一致。通过两个以上省级审定的主要农作物品种，标注内容应当与销售地所在省级品种审定公告一致；引种标注内容应当与引种备案信息一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适应性是指品种在适宜种植地区内不同年度间产量的稳定性、丰产性、抗病性、抗逆性等特性，标注值不得高于品种审定、登记公告载明的内容。审定、登记以外作物适应性的说明，参照登记作物有关要求执行。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风险提示包括种子贮藏条件以及销售区域主要病虫害、高低温、倒伏等因素对品种引发风险的提示及注意事项。</w:t>
      </w:r>
    </w:p>
    <w:p>
      <w:pPr>
        <w:pStyle w:val="63"/>
        <w:spacing w:before="218" w:after="218" w:line="412" w:lineRule="exact"/>
      </w:pPr>
      <w:r>
        <w:t>第四章  制作要求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asciiTheme="minorEastAsia" w:hAnsiTheme="minorEastAsia" w:eastAsiaTheme="minorEastAsia"/>
          <w:sz w:val="24"/>
          <w:szCs w:val="24"/>
        </w:rPr>
        <w:t xml:space="preserve">  种子标签可以与使用说明合并印制。种子标签包括使用说明全部内容的，可不另行印制使用说明。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asciiTheme="minorEastAsia" w:hAnsiTheme="minorEastAsia" w:eastAsiaTheme="minorEastAsia"/>
          <w:sz w:val="24"/>
          <w:szCs w:val="24"/>
        </w:rPr>
        <w:t xml:space="preserve">  应当包装的种子，标签应当直接印制在种子包装物表面。可以不包装销售的种子，标签可印制成印刷品粘贴、固定或者附着在种子上，也可以制成印刷品，在销售种子时提供给种子使用者。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asciiTheme="minorEastAsia" w:hAnsiTheme="minorEastAsia" w:eastAsiaTheme="minorEastAsia"/>
          <w:sz w:val="24"/>
          <w:szCs w:val="24"/>
        </w:rPr>
        <w:t xml:space="preserve">  标注文字除注册商标外，应当使用国家语言工作委员会公布的现行规范化汉字。标注的文字、符号、数字的字体高度不得小于1.8毫米。同时标注的汉语拼音或者外文，字体应当小于或者等于相应的汉字字体。信息代码不得小于2平方厘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品种名称应放在显著位置，字号不得小于标签标注的其它文字。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asciiTheme="minorEastAsia" w:hAnsiTheme="minorEastAsia" w:eastAsiaTheme="minorEastAsia"/>
          <w:sz w:val="24"/>
          <w:szCs w:val="24"/>
        </w:rPr>
        <w:t xml:space="preserve">  印刷内容应当清晰、醒目、持久，易于辨认和识读。标注字体、背景和底色应当与基底形成明显的反差，易于识别；警示标志和说明应当醒目，其中“高毒”以红色字体印制。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asciiTheme="minorEastAsia" w:hAnsiTheme="minorEastAsia" w:eastAsiaTheme="minorEastAsia"/>
          <w:sz w:val="24"/>
          <w:szCs w:val="24"/>
        </w:rPr>
        <w:t xml:space="preserve">  检疫证明编号、检测日期、质量保证期，可以采用喷印、压印等印制方式。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asciiTheme="minorEastAsia" w:hAnsiTheme="minorEastAsia" w:eastAsiaTheme="minorEastAsia"/>
          <w:sz w:val="24"/>
          <w:szCs w:val="24"/>
        </w:rPr>
        <w:t xml:space="preserve">  作物种类和种子类别、品种名称、品种审定或者登记编号、净含量、种子生产经营者名称、种子生产经营许可证编号、注册地地址和联系方式、“转基因”字样、警示标志等信息，应当在同一版面标注。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asciiTheme="minorEastAsia" w:hAnsiTheme="minorEastAsia" w:eastAsiaTheme="minorEastAsia"/>
          <w:sz w:val="24"/>
          <w:szCs w:val="24"/>
        </w:rPr>
        <w:t xml:space="preserve">  本办法第二十四条规定的印刷品，应当为长方形，长和宽不得小于11厘米×7厘米。印刷品制作材料应当有足够的强度，确保不易损毁或字迹变得模糊、脱落。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asciiTheme="minorEastAsia" w:hAnsiTheme="minorEastAsia" w:eastAsiaTheme="minorEastAsia"/>
          <w:sz w:val="24"/>
          <w:szCs w:val="24"/>
        </w:rPr>
        <w:t xml:space="preserve">  进口种子应当在原标签外附加符合本办法规定的中文标签和使用说明，使用进（出）口审批表批准的品种中文名称和英文名称、生产经营者。</w:t>
      </w:r>
    </w:p>
    <w:p>
      <w:pPr>
        <w:pStyle w:val="63"/>
        <w:spacing w:before="218" w:after="218" w:line="412" w:lineRule="exact"/>
      </w:pPr>
      <w:r>
        <w:t>第五章  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asciiTheme="minorEastAsia" w:hAnsiTheme="minorEastAsia" w:eastAsiaTheme="minorEastAsia"/>
          <w:sz w:val="24"/>
          <w:szCs w:val="24"/>
        </w:rPr>
        <w:t xml:space="preserve">  法律、行政法规没有特别规定的，种子标签和使用说明不得有下列内容：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（一）在品种名称前后添加修饰性文字；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（二）种子生产经营者、进口商名称以外的其他单位名称；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（三）不符合广告法、商标法等法律法规规定的描述；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（四）未经认证合格使用认证标识；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（五）其他带有夸大宣传、引人误解或者虚假的文字、图案等信息。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asciiTheme="minorEastAsia" w:hAnsiTheme="minorEastAsia" w:eastAsiaTheme="minorEastAsia"/>
          <w:sz w:val="24"/>
          <w:szCs w:val="24"/>
        </w:rPr>
        <w:t xml:space="preserve">  标签缺少品种名称，视为没有种子标签。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使用说明缺少品种主要性状、适应性或风险提示的，视为没有使用说明。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以剪切、粘贴等方式修改或者补充标签内容的，按涂改标签查处。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asciiTheme="minorEastAsia" w:hAnsiTheme="minorEastAsia" w:eastAsiaTheme="minorEastAsia"/>
          <w:sz w:val="24"/>
          <w:szCs w:val="24"/>
        </w:rPr>
        <w:t xml:space="preserve">  县级以上人民政府农业主管部门应当加强监督检查，发现种子标签和使用说明不符合本办法规定的，按照《中华人民共和国种子法》的相关规定进行处罚。</w:t>
      </w:r>
    </w:p>
    <w:p>
      <w:pPr>
        <w:pStyle w:val="63"/>
        <w:spacing w:before="218" w:after="218" w:line="412" w:lineRule="exact"/>
      </w:pPr>
      <w:r>
        <w:t>第六章  附</w:t>
      </w:r>
      <w:r>
        <w:rPr>
          <w:rFonts w:hint="eastAsia"/>
        </w:rPr>
        <w:t xml:space="preserve">  </w:t>
      </w:r>
      <w:r>
        <w:t>则</w:t>
      </w:r>
    </w:p>
    <w:p>
      <w:pPr>
        <w:topLinePunct/>
        <w:spacing w:beforeLines="0" w:afterLines="0" w:line="412" w:lineRule="exact"/>
        <w:ind w:firstLine="482" w:firstLineChars="200"/>
        <w:rPr>
          <w:rFonts w:cs="Times New Roman" w:asciiTheme="minorEastAsia" w:hAnsiTheme="minorEastAsia"/>
          <w:sz w:val="24"/>
          <w:szCs w:val="24"/>
        </w:rPr>
      </w:pPr>
      <w:r>
        <w:rPr>
          <w:rFonts w:cs="Times New Roman" w:asciiTheme="minorEastAsia" w:hAnsiTheme="minorEastAsia"/>
          <w:b/>
          <w:sz w:val="24"/>
          <w:szCs w:val="24"/>
        </w:rPr>
        <w:t>第三十四条</w:t>
      </w:r>
      <w:r>
        <w:rPr>
          <w:rFonts w:cs="Times New Roman" w:asciiTheme="minorEastAsia" w:hAnsiTheme="minorEastAsia"/>
          <w:sz w:val="24"/>
          <w:szCs w:val="24"/>
        </w:rPr>
        <w:t xml:space="preserve"> 本办法自2017年1月1日起施行。农业部2001年2月26日公布的《农作物种子标签管理办法》（农业部令第49号）同时废止。</w:t>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654" w:name="_Toc18916801"/>
      <w:bookmarkStart w:id="655" w:name="_Toc11075"/>
      <w:bookmarkStart w:id="656" w:name="_Toc466579937"/>
    </w:p>
    <w:p>
      <w:pPr>
        <w:pStyle w:val="61"/>
      </w:pPr>
      <w:bookmarkStart w:id="657" w:name="_Toc25648217"/>
      <w:bookmarkStart w:id="658" w:name="_Toc28252198"/>
      <w:bookmarkStart w:id="659" w:name="_Toc28250924"/>
      <w:bookmarkStart w:id="660" w:name="_Toc26347974"/>
      <w:bookmarkStart w:id="661" w:name="_Toc28156996"/>
      <w:bookmarkStart w:id="662" w:name="_Toc25653712"/>
      <w:r>
        <w:t>农作物种子质量纠纷田间现场鉴定办法</w:t>
      </w:r>
      <w:bookmarkEnd w:id="654"/>
      <w:bookmarkEnd w:id="655"/>
      <w:bookmarkEnd w:id="656"/>
      <w:bookmarkEnd w:id="657"/>
      <w:bookmarkEnd w:id="658"/>
      <w:bookmarkEnd w:id="659"/>
      <w:bookmarkEnd w:id="660"/>
      <w:bookmarkEnd w:id="661"/>
      <w:bookmarkEnd w:id="662"/>
    </w:p>
    <w:p>
      <w:pPr>
        <w:pStyle w:val="62"/>
        <w:topLinePunct w:val="0"/>
        <w:ind w:firstLine="0" w:firstLineChars="0"/>
        <w:jc w:val="center"/>
        <w:rPr>
          <w:b/>
        </w:rPr>
      </w:pPr>
      <w:r>
        <w:t>（</w:t>
      </w:r>
      <w:bookmarkStart w:id="663" w:name="OLE_LINK134"/>
      <w:r>
        <w:t>2003年7月8日农业部令第28号公布</w:t>
      </w:r>
      <w:bookmarkEnd w:id="663"/>
      <w:r>
        <w:t>）</w:t>
      </w:r>
    </w:p>
    <w:p>
      <w:pPr>
        <w:pStyle w:val="3"/>
        <w:topLinePunct/>
        <w:spacing w:line="416"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w:t>
      </w:r>
      <w:r>
        <w:rPr>
          <w:rFonts w:asciiTheme="minorEastAsia" w:hAnsiTheme="minorEastAsia" w:eastAsiaTheme="minorEastAsia"/>
          <w:spacing w:val="-4"/>
          <w:sz w:val="24"/>
          <w:szCs w:val="24"/>
        </w:rPr>
        <w:t>范农作物种子质量纠纷田间现场鉴定（以下简称现场鉴定）程序和方法，合理解决农作物种子质量纠纷，维护种子使用者和经营者的合法权益，根据《中华人民共和国种子法》（以下简称《种子法》）及有关法律、法规的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现场鉴定是指农作物种子在大田种植后，因种子质量或者栽培、气候等原因，导致田间出苗、植株生长、作物产量、产品品质等受到影响，双方当事人对造成事故的原因或者损失程度存在分歧，为确定事故原因或（和）损失程度而进行的田间现场技术鉴定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现场鉴定由田间所在地县级以上地方人民政府农业行政主管部门所属的种子管理机构组织实施。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种子质量纠纷处理机构根据需要可以申请现场鉴定；种子质量纠纷当事人可以共同申请现场鉴定，也可以单独申请现场鉴定。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鉴定申请一般以书面形式提出，说明鉴定的内容和理由，并提供相关材料。口头提出鉴定申请的，种子管理机构应当制作笔录，并请申请人签字确认。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种子管理机构对申请人的申请进行审查，符合重要任务的，应当及时组织鉴定。有下列情形之一的，种子管理机构对现场鉴定申请不予受理：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（一）针对所反映的质量问题，申请人提出鉴定申请时，需鉴定地块的作物生长期已错不定期该作物典型性状表现期，从技术上已无法鉴别所涉及质量纠纷起因的；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（二）司法机构、仲裁机构、行政主管部门已对质量纠纷做出生效判决和处理决定的；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（三）受当前技术水平的限制，无法通过田间现场鉴定的方法来判定所提及质量问题起因的；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（四）纠纷涉及的种子没有质量判定标准、规定或者合同约定要求的；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（五）有确凿的理由判定纠纷不是由种子质量所引起的；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（六）不按规定缴纳鉴定费用的。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现场鉴定由种子管理机构组织专家鉴定组进行。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专家鉴定组由鉴定所涉及作的育种、栽培、种子管理等方面专家组成，必要时可邀请植物保护、气象、土壤肥料等方面的专家参加。专家鉴定组名单应当征求申请人和当事人的意见，可以不受行政区域的限制。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参加鉴定的专家应当具有高级专业技术职称、具有相应的专门知识和实际工作经验、从事相关专业领域的工作5年以上。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纠纷所涉品种的选育人为鉴定组成员的，其资格不受前款条件的限制。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专家鉴定组人数应为3人以上的单数，由1名组长和若干成员组成。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专家鉴定组成员有下列情形之一的，应当回避，申请人也可以口头或者书面申请其回避：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（一）是种子质量纠纷当事人或者当事人的近亲属的；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（二）与种子质量纪检有利害关系的；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（三）与种子质量纠纷当事人有其他关系，可能影响公正鉴定的。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专家鉴定组进行现场鉴定时，可以向当事人了解有关情况可以要求申请人提供与现场鉴定有关的材料。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申请人及当事人应予以必要的配合，并提供真实资料和证明。不配合或者提供虚假资料和证明，对鉴定工作造成影响的，京戏承担由此造成的相应后果。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专家鉴定组进行现场鉴定时，应当通知申请人及有关当事人到场。专家鉴定组根据现场情况确定取样方法和鉴定步骤，并独立进行现场鉴定。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任何单位或者个人不得干扰现场鉴定工作，不得威胁、利诱、辱骂、殴打专家鉴定组成员。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专家鉴定组成员不得接受当事人的财物或者其他利益。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有下列情况之一的，终止现场鉴定：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（一）申请人不到场的；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（二）需鉴定的地块已不具备鉴定条件的；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（三）因人为因素使鉴定无法开展的。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专家鉴定组对鉴定地块中种植作物的生长情况进行鉴定时，应当充分考虑以下因素：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（一）作物生长期间的气候环境状况；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（二）当事人对种子处理及田间管理情况；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（三）该批种子室内鉴定结果；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（四）同批次种子在其他地块生长情况；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（五）同品种其他批次种子生长情况；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（六）同类作物其他品种种子生长情况；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（七）鉴定地块地力水平；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（八）影响作物生长的其他因素。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专家鉴定组应当在事实清楚、=证据确凿的基础上，根据有关种子法规、标准，依据相关的专业知识，本着科学、公正、公平的原则，及时作出鉴定结论。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专家鉴定组现场鉴定实行合议制。鉴定结论以专家鉴定组成员半数以上通过有效。专家鉴定组成员在鉴定结论上签名。专家鉴定组成员对鉴定结论的不同意见，应当予以注明。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专家鉴定组应当制作现场鉴定书。现场鉴定书应当包括以下主要内容：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（一）鉴定申请人名称、地址、受理鉴定日期等基本情况；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（二）鉴定的目的、要求；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（三）有关的调查材料；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（四）对鉴定方法、依据、过程的说明；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（五）鉴定结论；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（六）鉴定组成员名单；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（七）其他需要说明的问题。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现场鉴定书制作完成后，专家鉴定组应当及时交给组织鉴定的种子管理机构。种子管理机构应当在5日内将现场鉴定书交付申请人。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对现场鉴定书有异议的，应当在收到现场鉴定书15日内向原受理单位上一级种子管理机构提出再次鉴定申请，并说明理由。上一级种子管理机构对原鉴定的依据、方法、过程等进行审查，认为有必要和可能重新鉴定的，应当按本办法规定重新组织专家鉴定。再次鉴定申请只能提起一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当事人双方共同提出鉴定申请的，再次鉴定申请由双方共同提出。当事人一方单独提出鉴定申请的，另一方当事人不得提出再次鉴定申请。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有下列情形之一的，现场鉴定无效：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（一）专家鉴定组组成不符合本办法规定的；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（二）专家鉴定组成员收受当事人财物或者其他利益，弄虚作假的；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（三）其他违反鉴定程序，可能影响现场鉴定客观、公正的。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现场鉴定无效的，应当重新组织鉴定。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申请现场鉴定，应当按照省级有关主管部门的规定缴纳鉴定费。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参加现场鉴定工作的人员违反本办法的规定，接受鉴定申请人或者当事人的财物或者其他利益，出具虚假现场鉴定书的，由其所在单位或者主管部门给予行政处分；构成犯罪的，依法追究刑事责任。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申请书人、有关当事人或者其他人员干扰田间现场鉴定工作，寻衅滋事，扰乱现场鉴定工作正常进行的，依法给予治安管理处罚或者追究刑事责任。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委托制种发生质量纠纷，需要进行现场鉴定的，参照本办法执行。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本办法自2003年8月1日起施行。</w:t>
      </w: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664" w:name="_Toc466579940"/>
      <w:bookmarkStart w:id="665" w:name="_Toc18916802"/>
      <w:bookmarkStart w:id="666" w:name="_Toc11635"/>
    </w:p>
    <w:p>
      <w:pPr>
        <w:pStyle w:val="61"/>
      </w:pPr>
      <w:bookmarkStart w:id="667" w:name="_Toc26347975"/>
      <w:bookmarkStart w:id="668" w:name="_Toc25653713"/>
      <w:bookmarkStart w:id="669" w:name="_Toc28250925"/>
      <w:bookmarkStart w:id="670" w:name="_Toc28252199"/>
      <w:bookmarkStart w:id="671" w:name="_Toc25648218"/>
      <w:bookmarkStart w:id="672" w:name="_Toc28156997"/>
      <w:r>
        <w:t>农作物种子质量监督抽查管理办法</w:t>
      </w:r>
      <w:bookmarkEnd w:id="664"/>
      <w:bookmarkEnd w:id="665"/>
      <w:bookmarkEnd w:id="666"/>
      <w:bookmarkEnd w:id="667"/>
      <w:bookmarkEnd w:id="668"/>
      <w:bookmarkEnd w:id="669"/>
      <w:bookmarkEnd w:id="670"/>
      <w:bookmarkEnd w:id="671"/>
      <w:bookmarkEnd w:id="672"/>
    </w:p>
    <w:p>
      <w:pPr>
        <w:pStyle w:val="62"/>
        <w:topLinePunct w:val="0"/>
        <w:ind w:firstLine="0" w:firstLineChars="0"/>
        <w:jc w:val="center"/>
      </w:pPr>
      <w:r>
        <w:t>（2005年3月10日农业部令第50号公布）</w:t>
      </w:r>
    </w:p>
    <w:p>
      <w:pPr>
        <w:pStyle w:val="40"/>
        <w:topLinePunct/>
        <w:spacing w:line="416" w:lineRule="exact"/>
        <w:ind w:firstLine="480" w:firstLineChars="200"/>
        <w:jc w:val="both"/>
        <w:outlineLvl w:val="9"/>
        <w:rPr>
          <w:rFonts w:cs="Times New Roman" w:asciiTheme="minorEastAsia" w:hAnsiTheme="minorEastAsia" w:eastAsiaTheme="minorEastAsia"/>
          <w:sz w:val="24"/>
          <w:szCs w:val="24"/>
        </w:rPr>
      </w:pPr>
    </w:p>
    <w:p>
      <w:pPr>
        <w:pStyle w:val="63"/>
        <w:spacing w:before="218" w:after="218" w:line="412" w:lineRule="exact"/>
        <w:rPr>
          <w:b/>
        </w:rPr>
      </w:pPr>
      <w:r>
        <w:t xml:space="preserve">第一章 </w:t>
      </w:r>
      <w:r>
        <w:rPr>
          <w:rFonts w:hint="eastAsia"/>
        </w:rPr>
        <w:t xml:space="preserve"> </w:t>
      </w:r>
      <w:r>
        <w:t>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作物种子质量监督管理，维护种子市场秩序，规范农作物种子质量监督抽查（以下简称监督抽查）工作，根据《中华人民共和国种子法》（以下简称《种子法》）及有关法律、行政法规的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本办法所称监督抽查是指由县级以上人民政府农业行政主管部门组织有关种子管理机构和种子质量检验机构对生产、销售的农作物种子进行扦样、检验，并按规定对抽查结果公布和处理的活动。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行政主管部门负责监督抽查的组织实施和结果处理。农业行政主管部门委托的种子质量检验机构和（或）种子管理机构（以下简称承检机构）负责抽查样品的扦样工作，种子质量检验机构（以下简称检验机构）负责抽查样品的检验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监督抽查的样品，由被抽查企业无偿提供，扦取样品的数量不得超过检验的合理需要。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被抽查企业应当积极配合监督抽查工作，无正当理由不得拒绝监督抽查。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监督抽查所需费用列入农业行政主管部门的预算，不得向被抽查企业收取费用。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w:t>
      </w:r>
      <w:r>
        <w:rPr>
          <w:rFonts w:asciiTheme="minorEastAsia" w:hAnsiTheme="minorEastAsia" w:eastAsiaTheme="minorEastAsia"/>
          <w:spacing w:val="-4"/>
          <w:sz w:val="24"/>
          <w:szCs w:val="24"/>
        </w:rPr>
        <w:t>业行政主管部门已经实施监督抽查的企业，自扦样之日起六个月内，本级或下级农业行政主管部门对该企业的同一作物种子不得重复进行监督抽查。</w:t>
      </w:r>
    </w:p>
    <w:p>
      <w:pPr>
        <w:pStyle w:val="63"/>
        <w:spacing w:before="218" w:after="218" w:line="412" w:lineRule="exact"/>
        <w:rPr>
          <w:b/>
        </w:rPr>
      </w:pPr>
      <w:r>
        <w:t xml:space="preserve">第二章 </w:t>
      </w:r>
      <w:r>
        <w:rPr>
          <w:rFonts w:hint="eastAsia"/>
        </w:rPr>
        <w:t xml:space="preserve"> </w:t>
      </w:r>
      <w:r>
        <w:t>监督抽查计划和方案确定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农业部负责制定全国监督抽查规划和本级监督抽查计划，县级以上地方人民政府农业行政主管部门根据全国规划和当地实际情况制定相应监督抽查计划。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监督抽查对象重点是当地重要农作物种子以及种子使用者、有关组织反映有质量问题的农作物种子。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农业行政主管部门可以根据实际情况，对种子质量单项或几项指标进行监督抽查。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农业行政主管部门根据计划向承检机构下达监督抽查任务。承检机构根据监督抽查任务，制定抽查方案，并报农业行政主管部门审查。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抽查方案应当科学、公正、符合实际。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抽查方案应当包括扦样、检验依据、检验项目、判定依据、被抽查企业名单、经费预算、抽查时间及结果报送时间等内容。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确定被抽查企业时，应当突出重点并具有一定的代表性。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农业行政主管部门审查通过抽查方案后，向承检机构开具《种子质量监督抽查通知书》。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《种子质量监督抽查通知书》是通知企业接受监督抽查的证明，应当说明被抽查企业、作物种类、扦样人员和单位等，承检机构凭此通知书到企业扦样，并交企业留存。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承检机构接受监督抽查任务后，应当组织有关人员学习有关法律法规和监督抽查规定，熟悉监督抽查方案，对扦样及检验过程中可能出现的问题提出合理的解决预案，并做好准备工作。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各有关单位和个人对监督抽查中确定的被抽查企业和作物种类以及承检机构、扦样人员等应当严格保密，禁止以任何形式和名义事先向被抽查企业泄露。</w:t>
      </w:r>
    </w:p>
    <w:p>
      <w:pPr>
        <w:pStyle w:val="63"/>
        <w:spacing w:before="218" w:after="218" w:line="412" w:lineRule="exact"/>
        <w:rPr>
          <w:b/>
        </w:rPr>
      </w:pPr>
      <w:r>
        <w:t xml:space="preserve">第三章 </w:t>
      </w:r>
      <w:r>
        <w:rPr>
          <w:rFonts w:hint="eastAsia"/>
        </w:rPr>
        <w:t xml:space="preserve"> </w:t>
      </w:r>
      <w:r>
        <w:t>扦</w:t>
      </w:r>
      <w:r>
        <w:rPr>
          <w:rFonts w:hint="eastAsia"/>
        </w:rPr>
        <w:t xml:space="preserve">  </w:t>
      </w:r>
      <w:r>
        <w:t>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执行监督抽查任务的扦样人员由承检机构指派。到被抽查企业进行扦样时，扦样人员不得少于两名，其中至少有一名持种子检验员证的扦样员。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扦样人员扦样前，应当向被抽查企业出示《种子质量监督抽查通知书》和有效身份证件，说明监督抽查的性质和扦样方法、检验项目、检验依据、判定依据等内容；了解被抽查企业的种子生产、经营情况，必要时可要求被抽查企业出示有关档案资料，以确定所抽查品种、样品数量等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抽查的样品应当从市场上销售或者仓库内待销的商品种子中扦取，并保证样品具有代表性。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有下列情形之一的，不得扦样：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（一）被抽查企业无《种子质量监督抽查通知书》所列农作物种子的；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（二）有证据证明拟抽查的种子不是用于销售的；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（三）有证据证明生产的种子用于出口，且出口合同对其质量有明确约定的。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有下列情形之一的，被抽查企业可以拒绝接受扦样：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（一）扦样人员少于两人的；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（二）扦样人员中没有持证扦样员的；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（三）扦样人员姓名、单位与《种子质量监督抽查通知书》不符的；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（四）扦样人员应当携带的 《种子质量监督抽查通知书》和有效身份证件等不齐全的；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（五）被抽查企业、作物种类与《种子质量监督抽查通知书》不一致的；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（六）上级或本级农业行政主管部门六个月内对该企业的同一作物种子进行过监督抽查的。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扦样按国家标准《农作物种子检验规程-- 扦样》执行。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扦样人员封样时，应当有防拆封措施，以保证样品的真实性。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扦样工作结束后，扦样人员应当填写扦样单。扦样单中的被抽查企业名称、通讯地址、电话，所扦作物种类、品种名称、生产年月、种子批重、种子批号，扦样日期、扦样数量、执行标准、检验项目、检验依据、结果判定依据等内容应当逐项填写清楚。被抽查企业如有需要特别陈述的事项，可在备注栏中加以说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扦样单应当有扦样人员和被抽查企业负责人或者其授权的人员签字，并加盖被抽查企业的公章。扦样单一式三份，承检机构和被抽查企业各留存一份，报送下达任务的农业行政主管部门一份。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被抽查企业无《种子质量监督抽查通知书》所列农作物种子的，应当出具书面证明材料。扦样人员应当在查阅有关材料和检查有关场所后予以确认，并在证明材料上签字。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被抽查企业无正当理由拒绝接受扦样或拒绝在扦样单上签字盖章的，扦样人员应当阐明拒绝监督抽查的后果和处理措施；必要时可以由企业所在地农业行政主管部门予以协调，如企业仍不接受抽查，扦样人员应当及时向下达任务的农业行政主管部门报告情况，对该企业按照拒绝监督抽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在市场上扦取的样品，如果经销单位与标签标注的生产商不一致的，承检机构应当及时通知种子生产商，并由该企业出具书面证明材料，以确认样品的生产商。生产商在接到通知七日内不予回复的，视为所扦种子为标签标注企业的产品。</w:t>
      </w:r>
    </w:p>
    <w:p>
      <w:pPr>
        <w:pStyle w:val="63"/>
        <w:spacing w:before="218" w:after="218" w:line="412" w:lineRule="exact"/>
        <w:rPr>
          <w:b/>
        </w:rPr>
      </w:pPr>
      <w:r>
        <w:t xml:space="preserve">第四章 </w:t>
      </w:r>
      <w:r>
        <w:rPr>
          <w:rFonts w:hint="eastAsia"/>
        </w:rPr>
        <w:t xml:space="preserve"> </w:t>
      </w:r>
      <w:r>
        <w:t>检验和结果报送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承担监督抽查检验工作的检验机构应当符合《种子法》的有关规定，具备相应的检测条件和能力，并经省级以上人民政府农业行政主管部门考核合格。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农业部组织的监督抽查检验工作由农业部考核合格的检验机构承担。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检验机构应当制定监督抽查样品的接收、入库、领用、检验、保存及处置程序，并严格执行。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监督抽查的样品应当妥善保存至监督抽查结果发布后三个月。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检验机构应当按国家标准《农作物种子检验规程》进行检测，保证检验工作科学、公正、准确。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检验原始记录应当按规定如实填写，保证真实、准确、清晰，不得随意涂改，并妥善保存备查。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检验机构依据《种子法》第四十六条的规定和相关种子技术规范的强制性要求，并根据国家标准《农作物种子检验规程》所规定的容许误差对种子质量进行判定。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检验结束后，检验机构应当及时向被抽查企业和生产商送达《种子质量监督抽查结果通知单》。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检验机构可以在部分检验项目完成后，及时将检验结果通知被抽查企业。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被抽查企业或者生产商对检验结果有异议的，应当在接到《种子质量监督抽查结果通知单》或者单项指标检验结果通知之日起十五日内，向下达任务的农业行政主管部门提出书面报告，并抄送检验机构。逾期未提出异议的，视为认可检验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下达任务的农业行政主管部门应当对企业提出的异议进行审查，并将处理意见告知企业。需要进行复验的，应当及时安排。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复验一般由原检验机构承担，特殊情况下，可以由下达任务的农业行政主管部门委托其他检验机构承担。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复验结果与原检验结果不一致的，复验费用由原检验机构承担。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复验按照原抽查方案，根据实际情况可以在原样品基础上或者采用备用样品进行。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净度、发芽率和水分等质量指标采用备用样品进行复验，品种真实性和纯度在原种植小区基础上进行复查，特殊情况下，也可以重新种植鉴定。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检验机构完成检验任务后，应当及时出具检验报告，送达被抽查企业。在市场上扦取的样品，应当同时送达生产商。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检验报告内容应当齐全，检验依据和检验项目与抽查方案一致，数据准确，结论明确。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承检机构完成抽查任务后，应当在规定时间内将监督抽查结果报送下达任务的农业行政主管部门。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监督抽查结果主要包括以下内容：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（一）监督抽查总结；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（二）检验结果汇总表；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（三）监督抽查质量较好企业名单、不合格种子生产经营企业名单、拒绝接受监督抽查企业名单；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（四）企业提出异议、复验等问题的处理情况说明；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（五）其他需要说明的情况。</w:t>
      </w:r>
    </w:p>
    <w:p>
      <w:pPr>
        <w:pStyle w:val="63"/>
        <w:spacing w:before="218" w:after="218" w:line="412" w:lineRule="exact"/>
        <w:rPr>
          <w:b/>
        </w:rPr>
      </w:pPr>
      <w:r>
        <w:t xml:space="preserve">第五章 </w:t>
      </w:r>
      <w:r>
        <w:rPr>
          <w:rFonts w:hint="eastAsia"/>
        </w:rPr>
        <w:t xml:space="preserve"> </w:t>
      </w:r>
      <w:r>
        <w:t>监督抽查结果处理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下达任务的农业行政主管部门应当及时汇总结果，在农业系统或者向相关企业通报，并视情况通报被抽查企业所在地农业行政主管部门。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省级以上农业行政主管部门可以向社会公告监督抽查结果。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不合格种子生产经营企业，由下达任务的农业行政主管部门或企业所在地农业行政主管部门，依据《种子法》有关规定予以处罚。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对不合格种子生产经营企业，应当作为下次监督抽查的重点。连续两次监督抽查有不合格种子的企业，应当提请有关发证机关吊销该企业的种子生产许可证、种子经营许可证，并向社会公布。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不合格种子生产经营企业应当按照下列要求进行整改：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（一）限期追回已经销售的不合格种子；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（二）立即对不合格批次种子进行封存，作非种用处理或者重新加工，经检验合格后方可销售；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（三）企业法定代表人向全体职工通报监督抽查情况，制定整改方案，落实整改措施；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（四）查明产生不合格种子的原因，查清质量责任，对有关责任人进行处理；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（五）对未抽查批次的种子进行全面清理，不合格种子不得销售；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（六）健全和完善质量保证体系，并按期提交整改报告；（七）接受农业行政主管部门组织的整改复查。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拒绝接受依法监督抽查的，给予警告，责令改正；拒不改正的，被监督抽查的种子按不合格种子处理，下达任务的农业行政主管部门予以通报。</w:t>
      </w:r>
    </w:p>
    <w:p>
      <w:pPr>
        <w:pStyle w:val="63"/>
        <w:spacing w:before="218" w:after="218" w:line="412" w:lineRule="exact"/>
        <w:rPr>
          <w:b/>
        </w:rPr>
      </w:pPr>
      <w:r>
        <w:t>第六章</w:t>
      </w:r>
      <w:r>
        <w:rPr>
          <w:rFonts w:hint="eastAsia"/>
        </w:rPr>
        <w:t xml:space="preserve"> </w:t>
      </w:r>
      <w:r>
        <w:t xml:space="preserve"> 监督抽查管理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参与监督抽查的工作人员，应当严格遵守国家法律、法规，秉公执法、不徇私情，对被抽查的作物种类和企业名单严守秘密。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检验机构应当如实上报检验结果和检验结论，不得瞒报、谎报，并对检验工作负责。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检验机构在承担监督抽查任务期间，不得接受被抽查企业种子样品的委托检验。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承检机构应当符合《种子法》第五十六条的规定，不得从事种子生产、经营活动。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承检机构不得利用种子质量监督抽查结果参与有偿活动，不得泄露抽查结果及有关材料，不得向企业颁发抽查合格证书。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检验机构和参与监督抽查的工作人员伪造、涂改检验数据，出具虚假检验结果和结论的，按照《种子法》第六十二条、第六十八条的规定处理。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检验机构和参与监督抽查的工作人员违反本办法第三十八条、第三十九条第二款、第四十条规定，由农业行政主管部门责令限期改正，暂停其种子质量检验工作；情节严重的，收回有关证书和证件，取消从事种子质量检验资格；对有关责任人员依法给予行政处分，构成犯罪的，依法追究刑事责任。</w:t>
      </w:r>
    </w:p>
    <w:p>
      <w:pPr>
        <w:pStyle w:val="63"/>
        <w:spacing w:before="218" w:after="218" w:line="412" w:lineRule="exact"/>
        <w:rPr>
          <w:b/>
        </w:rPr>
      </w:pPr>
      <w:r>
        <w:t>第七章</w:t>
      </w:r>
      <w:r>
        <w:rPr>
          <w:rFonts w:hint="eastAsia"/>
        </w:rPr>
        <w:t xml:space="preserve"> </w:t>
      </w:r>
      <w:r>
        <w:t xml:space="preserve"> 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本办法自2005年5月1日起实施。</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673" w:name="_Toc4252"/>
      <w:bookmarkStart w:id="674" w:name="_Toc18916803"/>
      <w:bookmarkStart w:id="675" w:name="_Toc466579941"/>
    </w:p>
    <w:p>
      <w:pPr>
        <w:pStyle w:val="61"/>
      </w:pPr>
      <w:bookmarkStart w:id="676" w:name="_Toc25648219"/>
      <w:bookmarkStart w:id="677" w:name="_Toc28252200"/>
      <w:bookmarkStart w:id="678" w:name="_Toc28250926"/>
      <w:bookmarkStart w:id="679" w:name="_Toc25653714"/>
      <w:bookmarkStart w:id="680" w:name="_Toc28156998"/>
      <w:bookmarkStart w:id="681" w:name="_Toc26347976"/>
      <w:r>
        <w:t>食用菌菌种管理办法</w:t>
      </w:r>
      <w:bookmarkEnd w:id="673"/>
      <w:bookmarkEnd w:id="674"/>
      <w:bookmarkEnd w:id="675"/>
      <w:bookmarkEnd w:id="676"/>
      <w:bookmarkEnd w:id="677"/>
      <w:bookmarkEnd w:id="678"/>
      <w:bookmarkEnd w:id="679"/>
      <w:bookmarkEnd w:id="680"/>
      <w:bookmarkEnd w:id="681"/>
    </w:p>
    <w:p>
      <w:pPr>
        <w:pStyle w:val="62"/>
      </w:pPr>
      <w:r>
        <w:t>（2006年3月27日农业部令第62号公布，根据2013年12月31日农业部令第5号第一次修订，根据2014年4月25日农业部令第3号第二次修订，根据2015年4月29日农业部令第1号第三次修订）</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为保护和合理利用食用菌种质资源，规范食用菌品种选育及食用菌菌种（以下简称菌种）的生产、经营、使用和管理，根据《中华人民共和国种子法》，制定本办法。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在中华人民共和国境内从事食用菌品种选育和菌种生产、经营、使用、管理等活动，应当遵守本办法。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本办法所称菌种是指食用菌菌丝体及其生长基质组成的繁殖材料。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菌种分为母种（一级种）、原种（二级种）和栽培种（三级种）三级。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农业部主管全国菌种工作。县级以上地方人民政府农业（食用菌，下同）行政主管部门负责本行政区域内的菌种管理工作。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县级以上地方人民政府农业行政主管部门应当加强食用菌种质资源保护和良种选育、生产、更新、推广工作，鼓励选育、生产、经营相结合。</w:t>
      </w:r>
    </w:p>
    <w:p>
      <w:pPr>
        <w:pStyle w:val="63"/>
        <w:spacing w:before="218" w:after="218" w:line="412" w:lineRule="exact"/>
        <w:rPr>
          <w:b/>
        </w:rPr>
      </w:pPr>
      <w:r>
        <w:t>第二章</w:t>
      </w:r>
      <w:r>
        <w:rPr>
          <w:rFonts w:hint="eastAsia"/>
        </w:rPr>
        <w:t xml:space="preserve"> </w:t>
      </w:r>
      <w:r>
        <w:t xml:space="preserve"> 种质资源保护和品种选育</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国家保护食用菌种质资源，任何单位和个人不得侵占和破坏。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禁止采集国家重点保护的天然食用菌种质资源。确因科研等特殊情况需要采集的，应当依法申请办理采集手续。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任何单位和个人向境外提供食用菌种质资源（包括长有菌丝体的栽培基质及用于菌种分离的子实体），应当报农业部批准。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从境外引进菌种，应当依法检疫，并在引进后30日内，送适量菌种至中国农业微生物菌种保藏管理中心保存。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国家鼓励和支持单位和个人从事食用菌品种选育和开发，鼓励科研单位与企业相结合选育新品种，引导企业投资选育新品种。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选育的新品种可以依法申请植物新品种权，国家保护品种权人的合法权益。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食用菌品种选育（引进）者可自愿向全国农业技术推广服务中心申请品种认定。全国农业技术推广服务中心成立食用菌品种认定委员会，承担品种认定的技术鉴定工作。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食用菌品种名称应当规范。具体命名规则由农业部另行规定。</w:t>
      </w:r>
    </w:p>
    <w:p>
      <w:pPr>
        <w:pStyle w:val="63"/>
        <w:spacing w:before="218" w:after="218" w:line="412" w:lineRule="exact"/>
        <w:rPr>
          <w:b/>
        </w:rPr>
      </w:pPr>
      <w:r>
        <w:t xml:space="preserve">第三章 </w:t>
      </w:r>
      <w:r>
        <w:rPr>
          <w:rFonts w:hint="eastAsia"/>
        </w:rPr>
        <w:t xml:space="preserve"> </w:t>
      </w:r>
      <w:r>
        <w:t>菌种生产和经营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从事菌种生产经营的单位和个人，应当取得《食用菌菌种生产经营许可证》。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仅从事栽培种经营的单位和个人，可以不办理《食用菌菌种生产经营许可证》，但经营者要具备菌种的相关知识，具有相应的菌种贮藏设备和场所，并报县级人民政府农业行政主管部门备案。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母种和原种《食用菌菌种生产经营许可证》，由所在地县级人民政府农业行政主管部门审核，省级人民政府农业行政主管部门核发，报农业部备案。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栽培种《食用菌菌种生产经营许可证》由所在地县级人民政府农业行政主管部门核发，报省级人民政府农业行政主管部门备案。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申请母种和原种《食用菌菌种生产经营许可证》的单位和个人，应当具备下列条件：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（一）生产经营母种注册资本100万元以上，生产经营原种注册资本50万元以上；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（二）省级人民政府农业行政主管部门考核合格的检验人员1名以上、生产技术人员2名以上；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（三）有相应的灭菌、接种、培养、贮存等设备和场所，有相应的质量检验仪器和设施。生产母种还应当有做出菇试验所需的设备和场所。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（四）生产场地环境卫生及其他条件符合农业部《食用菌菌种生产技术规程》要求。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申请栽培种《食用菌菌种生产经营许可证》的单位和个人，应当具备下列条件：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（一）注册资本10万元以上；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（二）省级人民政府农业行政主管部门考核合格的检验人员1名以上、生产技术人员1名以上；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（三）有必要的灭菌、接种、培养、贮存等设备和场所，有必要的质量检验仪器和设施；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（四）栽培种生产场地的环境卫生及其他条件符合农业部《食用菌菌种生产技术规程》要求。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申请《食用菌菌种生产经营许可证》，应当向县级人民政府农业行政主管部门提交下列材料：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（一）食用菌菌种生产经营许可证申请表；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（二）营业执照复印件；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（三）菌种检验人员、生产技术人员资格证明；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（四）仪器设备和设施清单及产权证明，主要仪器设备的照片；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（五）菌种生产经营场所照片及产权证明；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（六）品种特性介绍；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（七）菌种生产经营质量保证制度。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申请母种生产经营许可证的品种为授权品种的，还应当提供品种权人（品种选育人）授权的书面证明。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县级人民政府农业行政主管部门受理母种和原种的生产经营许可申请后，可以组织专家进行实地考查，但应当自受理申请之日起20日内签署审核意见，并报省级人民政府农业行政主管部门审批。省级人民政府农业行政主管部门应当自收到审核意见之日起20日内完成审批。符合条件的，发给生产经营许可证；不符合条件的，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人民政府农业行政主管部门受理栽培种生产经营许可申请后，可以组织专家进行实地考查，但应当自受理申请之日起20日内完成审批。符合条件的，发给生产经营许可证；不符合条件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菌种生产经营许可证有效期为3年。有效期满后需继续生产经营的，被许可人应当在有效期满2个月前，持原证按原申请程序重新办理许可证。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在菌种生产经营许可证有效期内，许可证注明项目变更的，被许可人应当向原审批机关办理变更手续，并提供相应证明材料。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菌种按级别生产，下一级菌种只能用上一级菌种生产，栽培种不得再用于扩繁菌种。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获得上级菌种生产经营许可证的单位和个人，可以从事下级菌种的生产经营。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禁止无证或者未按许可证的规定生产经营菌种；禁止伪造、涂改、买卖、租借《食用菌菌种生产经营许可证》。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菌种生产单位和个人应当按照农业部《食用菌菌种生产技术规程》生产，并建立菌种生产档案，载明生产地点、时间、数量、培养基配方、培养条件、菌种来源、操作人、技术负责人、检验记录、菌种流向等内容。生产档案应当保存至菌种售出后2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菌种经营单位和个人应当建立菌种经营档案，载明菌种来源、贮存时间和条件、销售去向、运输、经办人等内容。经营档案应当保存至菌种销售后2年。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销售的菌种应当附有标签和菌种质量合格证。标签应当标注菌种种类、品种、级别、接种日期、保藏条件、保质期、菌种生产经营许可证编号、执行标准及生产者名称、生产地点。标签标注的内容应当与销售菌种相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菌种经营者应当向购买者提供菌种的品种种性说明、栽培要点及相关咨询服务，并对菌种质量负责。</w:t>
      </w:r>
    </w:p>
    <w:p>
      <w:pPr>
        <w:pStyle w:val="63"/>
        <w:spacing w:before="218" w:after="218" w:line="412" w:lineRule="exact"/>
        <w:rPr>
          <w:b/>
        </w:rPr>
      </w:pPr>
      <w:r>
        <w:t>第四章</w:t>
      </w:r>
      <w:r>
        <w:rPr>
          <w:rFonts w:hint="eastAsia"/>
        </w:rPr>
        <w:t xml:space="preserve"> </w:t>
      </w:r>
      <w:r>
        <w:t xml:space="preserve"> 菌种质量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农业部负责制定全国菌种质量监督抽查规划和本级监督抽查计划，县级以上地方人民政府农业行政主管部门负责对本行政区域内菌种质量的监督，根据全国规划和当地实际情况制定本级监督抽查计划。</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菌种质量监督抽查不得向被抽查者收取费用。禁止重复抽查。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县级以上人民政府农业行政主管部门可以委托菌种质量检验机构对菌种质量进行检验。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承担菌种质量检验的机构应当具备相应的检测条件和能力，并经省级人民政府有关主管部门考核合格。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菌种质量检验机构应当配备菌种检验员。菌种检验员应当具备以下条件：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（一）具有相关专业大专以上文化水平或者具有中级以上专业技术职称；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（二）从事菌种检验技术工作3年以上；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（三）经省级人民政府农业行政主管部门考核合格。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禁止生产、经营假、劣菌种。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有下列情形之一的，为假菌种：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（一）以非菌种冒充菌种；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（二）菌种种类、品种、级别与标签内容不符的。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有下列情形之一的，为劣菌种：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（一）质量低于国家规定的种用标准的；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（二）质量低于标签标注指标的；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（三）菌种过期、变质的。</w:t>
      </w:r>
    </w:p>
    <w:p>
      <w:pPr>
        <w:pStyle w:val="63"/>
        <w:spacing w:before="218" w:after="218" w:line="412" w:lineRule="exact"/>
        <w:rPr>
          <w:b/>
        </w:rPr>
      </w:pPr>
      <w:r>
        <w:t xml:space="preserve">第五章 </w:t>
      </w:r>
      <w:r>
        <w:rPr>
          <w:rFonts w:hint="eastAsia"/>
        </w:rPr>
        <w:t xml:space="preserve"> </w:t>
      </w:r>
      <w:r>
        <w:t>进出口管理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从事菌种进出口的单位，除具备菌种生产经营许可证以外，还应当依照国家外贸法律、行政法规的规定取得从事菌种进出口贸易的资格。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申请进出口菌种的单位和个人，应当填写《进（出）口菌种审批表》，经省级人民政府农业行政主管部门批准后，依法办理进出口手续。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菌种进出口审批单有效期为3个月。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进出口菌种应当符合下列条件：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（一）属于国家允许进出口的菌种质资源；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（二）菌种质量达到国家标准或者行业标准；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（三）菌种名称、种性、数量、原产地等相关证明真实完备；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（四）法律、法规规定的其他条件。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申请进出口菌种的单位和个人应当提交下列材料：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（一）《食用菌菌种生产经营许可证》复印件、营业执照副本和进出口贸易资格证明；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（二）食用菌品种说明；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（三）符合第三十一条规定条件的其他证明材料。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为境外制种进口菌种的，可以不受本办法第二十九条限制，但应当具有对外制种合同。进口的菌种只能用于制种，其产品不得在国内销售。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从境外引进试验用菌种及扩繁得到的菌种不得作为商品菌种出售。</w:t>
      </w:r>
    </w:p>
    <w:p>
      <w:pPr>
        <w:pStyle w:val="63"/>
        <w:spacing w:before="218" w:after="218" w:line="412" w:lineRule="exact"/>
        <w:rPr>
          <w:b/>
        </w:rPr>
      </w:pPr>
      <w:r>
        <w:t xml:space="preserve">第六章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违反本办法规定的行为，依照《中华人民共和国种子法》的有关规定予以处罚。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本办法所称菌种种性是指食用菌品种特性的简称，包括对温度、湿度、酸碱度、光线、氧气等环境条件的要求，抗逆性、丰产性、出菇迟早、出菇潮数、栽培周期、商品质量及栽培习性等农艺性状。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野生食用菌菌种的采集和进出口管理，应当按照《农业野生植物保护办法》的规定，办理相关审批手续。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本办</w:t>
      </w:r>
      <w:r>
        <w:rPr>
          <w:rFonts w:asciiTheme="minorEastAsia" w:hAnsiTheme="minorEastAsia" w:eastAsiaTheme="minorEastAsia"/>
          <w:spacing w:val="-4"/>
          <w:sz w:val="24"/>
          <w:szCs w:val="24"/>
        </w:rPr>
        <w:t>法自2006年6月1日起施行。1996年7月1日农业部发布的《全国食用菌菌种暂行管理办法》（农农发〔1996〕6号）同时废止，依照《全国食用菌菌种暂行管理办法》领取的菌种生产、经营许可证自有效期届满之日起失效。</w:t>
      </w:r>
      <w:r>
        <w:rPr>
          <w:rFonts w:asciiTheme="minorEastAsia" w:hAnsiTheme="minorEastAsia" w:eastAsiaTheme="minorEastAsia"/>
          <w:sz w:val="24"/>
          <w:szCs w:val="24"/>
        </w:rPr>
        <w:br w:type="page"/>
      </w:r>
    </w:p>
    <w:p>
      <w:pPr>
        <w:pStyle w:val="2"/>
        <w:keepNext w:val="0"/>
        <w:keepLines w:val="0"/>
        <w:topLinePunct/>
        <w:spacing w:line="416" w:lineRule="exact"/>
        <w:ind w:firstLine="480" w:firstLineChars="200"/>
        <w:jc w:val="both"/>
        <w:rPr>
          <w:rStyle w:val="30"/>
          <w:rFonts w:ascii="Arial" w:hAnsi="Arial" w:cs="Arial"/>
          <w:b w:val="0"/>
          <w:bCs w:val="0"/>
          <w:sz w:val="24"/>
          <w:szCs w:val="24"/>
        </w:rPr>
      </w:pPr>
      <w:bookmarkStart w:id="682" w:name="_Toc18916805"/>
    </w:p>
    <w:p>
      <w:pPr>
        <w:pStyle w:val="61"/>
        <w:rPr>
          <w:sz w:val="24"/>
          <w:szCs w:val="24"/>
        </w:rPr>
      </w:pPr>
      <w:bookmarkStart w:id="683" w:name="_Toc28250927"/>
      <w:bookmarkStart w:id="684" w:name="_Toc28156999"/>
      <w:bookmarkStart w:id="685" w:name="_Toc26347977"/>
      <w:bookmarkStart w:id="686" w:name="_Toc25653715"/>
      <w:bookmarkStart w:id="687" w:name="_Toc28252201"/>
      <w:bookmarkStart w:id="688" w:name="_Toc25648220"/>
      <w:r>
        <w:t>农作物种子质量检验机构考核管理办法</w:t>
      </w:r>
      <w:bookmarkEnd w:id="683"/>
      <w:bookmarkEnd w:id="684"/>
      <w:bookmarkEnd w:id="685"/>
      <w:bookmarkEnd w:id="686"/>
      <w:bookmarkEnd w:id="687"/>
      <w:bookmarkEnd w:id="688"/>
    </w:p>
    <w:p>
      <w:pPr>
        <w:pStyle w:val="62"/>
      </w:pPr>
      <w:r>
        <w:rPr>
          <w:rFonts w:hint="eastAsia"/>
        </w:rPr>
        <w:t>（2008年1月2日农业部令第12号公布，根据2013年12月31日农业部令第5号第一次修订，根据2017年11月30日农业部令第8号第二次修订）</w:t>
      </w:r>
    </w:p>
    <w:p>
      <w:pPr>
        <w:pStyle w:val="63"/>
        <w:spacing w:before="218" w:after="218" w:line="412" w:lineRule="exact"/>
      </w:pPr>
      <w:r>
        <w:t>第一章</w:t>
      </w:r>
      <w:r>
        <w:rPr>
          <w:rFonts w:hint="eastAsia"/>
        </w:rPr>
        <w:t xml:space="preserve">  </w:t>
      </w:r>
      <w:r>
        <w:t>总</w:t>
      </w:r>
      <w:r>
        <w:rPr>
          <w:rFonts w:hint="eastAsia"/>
        </w:rPr>
        <w:t xml:space="preserve">  </w:t>
      </w:r>
      <w:r>
        <w:t>则</w:t>
      </w:r>
    </w:p>
    <w:p>
      <w:pPr>
        <w:pStyle w:val="3"/>
        <w:topLinePunct/>
        <w:spacing w:line="412" w:lineRule="exact"/>
        <w:ind w:firstLine="482"/>
        <w:rPr>
          <w:sz w:val="24"/>
          <w:szCs w:val="24"/>
        </w:rPr>
      </w:pPr>
      <w:r>
        <w:rPr>
          <w:b/>
          <w:sz w:val="24"/>
          <w:szCs w:val="24"/>
        </w:rPr>
        <w:t>第一条</w:t>
      </w:r>
      <w:r>
        <w:rPr>
          <w:rFonts w:hint="eastAsia"/>
          <w:sz w:val="24"/>
          <w:szCs w:val="24"/>
        </w:rPr>
        <w:t xml:space="preserve">  </w:t>
      </w:r>
      <w:r>
        <w:rPr>
          <w:sz w:val="24"/>
          <w:szCs w:val="24"/>
        </w:rPr>
        <w:t>为了加强农作物种子质量检验机构（以下简称“种子检验机构”）管理，规范种子检验机构考核工作，保证检验能力，根据《中华人民共和国种子法》，制定本办法。</w:t>
      </w:r>
    </w:p>
    <w:p>
      <w:pPr>
        <w:pStyle w:val="3"/>
        <w:topLinePunct/>
        <w:spacing w:line="412" w:lineRule="exact"/>
        <w:ind w:firstLine="482"/>
        <w:rPr>
          <w:sz w:val="24"/>
          <w:szCs w:val="24"/>
        </w:rPr>
      </w:pPr>
      <w:r>
        <w:rPr>
          <w:b/>
          <w:sz w:val="24"/>
          <w:szCs w:val="24"/>
        </w:rPr>
        <w:t>第二条</w:t>
      </w:r>
      <w:r>
        <w:rPr>
          <w:rFonts w:hint="eastAsia"/>
          <w:sz w:val="24"/>
          <w:szCs w:val="24"/>
        </w:rPr>
        <w:t xml:space="preserve">  </w:t>
      </w:r>
      <w:r>
        <w:rPr>
          <w:sz w:val="24"/>
          <w:szCs w:val="24"/>
        </w:rPr>
        <w:t>本办法所称考核，是指省级人民政府农业农村主管部门（以下简称“考核机关”）依据有关法律、法规、标准和技术规范的规定，对种子检验机构的检测条件、能力等资质进行考评和核准的活动。</w:t>
      </w:r>
    </w:p>
    <w:p>
      <w:pPr>
        <w:pStyle w:val="3"/>
        <w:topLinePunct/>
        <w:spacing w:line="412" w:lineRule="exact"/>
        <w:ind w:firstLine="482"/>
        <w:rPr>
          <w:sz w:val="24"/>
          <w:szCs w:val="24"/>
        </w:rPr>
      </w:pPr>
      <w:r>
        <w:rPr>
          <w:b/>
          <w:sz w:val="24"/>
          <w:szCs w:val="24"/>
        </w:rPr>
        <w:t>第三条</w:t>
      </w:r>
      <w:r>
        <w:rPr>
          <w:rFonts w:hint="eastAsia"/>
          <w:sz w:val="24"/>
          <w:szCs w:val="24"/>
        </w:rPr>
        <w:t xml:space="preserve">  </w:t>
      </w:r>
      <w:r>
        <w:rPr>
          <w:sz w:val="24"/>
          <w:szCs w:val="24"/>
        </w:rPr>
        <w:t>从事下列活动的种子检验机构，应当经过考核合格：</w:t>
      </w:r>
    </w:p>
    <w:p>
      <w:pPr>
        <w:pStyle w:val="3"/>
        <w:topLinePunct/>
        <w:spacing w:line="412" w:lineRule="exact"/>
        <w:ind w:firstLine="480"/>
        <w:rPr>
          <w:sz w:val="24"/>
          <w:szCs w:val="24"/>
        </w:rPr>
      </w:pPr>
      <w:r>
        <w:rPr>
          <w:sz w:val="24"/>
          <w:szCs w:val="24"/>
        </w:rPr>
        <w:t>（一）为行政机关作出的行政决定、司法机关作出的裁判、仲裁机构作出的仲裁裁决等出具有证明作用的数据、结果的；</w:t>
      </w:r>
    </w:p>
    <w:p>
      <w:pPr>
        <w:pStyle w:val="3"/>
        <w:topLinePunct/>
        <w:spacing w:line="412" w:lineRule="exact"/>
        <w:ind w:firstLine="480"/>
        <w:rPr>
          <w:sz w:val="24"/>
          <w:szCs w:val="24"/>
        </w:rPr>
      </w:pPr>
      <w:r>
        <w:rPr>
          <w:sz w:val="24"/>
          <w:szCs w:val="24"/>
        </w:rPr>
        <w:t>（二）为社会经济活动出具有证明作用的数据、结果的；</w:t>
      </w:r>
    </w:p>
    <w:p>
      <w:pPr>
        <w:pStyle w:val="3"/>
        <w:topLinePunct/>
        <w:spacing w:line="412" w:lineRule="exact"/>
        <w:ind w:firstLine="480"/>
        <w:rPr>
          <w:sz w:val="24"/>
          <w:szCs w:val="24"/>
        </w:rPr>
      </w:pPr>
      <w:r>
        <w:rPr>
          <w:sz w:val="24"/>
          <w:szCs w:val="24"/>
        </w:rPr>
        <w:t>（三）其他依法应当经过考核合格的。</w:t>
      </w:r>
    </w:p>
    <w:p>
      <w:pPr>
        <w:pStyle w:val="3"/>
        <w:topLinePunct/>
        <w:spacing w:line="412" w:lineRule="exact"/>
        <w:ind w:firstLine="482"/>
        <w:rPr>
          <w:sz w:val="24"/>
          <w:szCs w:val="24"/>
        </w:rPr>
      </w:pPr>
      <w:r>
        <w:rPr>
          <w:b/>
          <w:sz w:val="24"/>
          <w:szCs w:val="24"/>
        </w:rPr>
        <w:t>第四条</w:t>
      </w:r>
      <w:r>
        <w:rPr>
          <w:rFonts w:hint="eastAsia"/>
          <w:sz w:val="24"/>
          <w:szCs w:val="24"/>
        </w:rPr>
        <w:t xml:space="preserve">  </w:t>
      </w:r>
      <w:r>
        <w:rPr>
          <w:sz w:val="24"/>
          <w:szCs w:val="24"/>
        </w:rPr>
        <w:t>省级人民政府农业农村主管部门负责本行政区域内种子检验机构的考核、监管、技术指导等工作。</w:t>
      </w:r>
    </w:p>
    <w:p>
      <w:pPr>
        <w:pStyle w:val="3"/>
        <w:topLinePunct/>
        <w:spacing w:line="412" w:lineRule="exact"/>
        <w:ind w:firstLine="480"/>
        <w:rPr>
          <w:sz w:val="24"/>
          <w:szCs w:val="24"/>
        </w:rPr>
      </w:pPr>
      <w:r>
        <w:rPr>
          <w:sz w:val="24"/>
          <w:szCs w:val="24"/>
        </w:rPr>
        <w:t>农业农村部负责制定种子检验机构考核相关标准，监督、指导考核工作。具体工作由全国农业技术推广服务中心承担。</w:t>
      </w:r>
    </w:p>
    <w:p>
      <w:pPr>
        <w:pStyle w:val="3"/>
        <w:topLinePunct/>
        <w:spacing w:line="412" w:lineRule="exact"/>
        <w:ind w:firstLine="482"/>
        <w:rPr>
          <w:sz w:val="24"/>
          <w:szCs w:val="24"/>
        </w:rPr>
      </w:pPr>
      <w:r>
        <w:rPr>
          <w:b/>
          <w:sz w:val="24"/>
          <w:szCs w:val="24"/>
        </w:rPr>
        <w:t>第五条</w:t>
      </w:r>
      <w:r>
        <w:rPr>
          <w:rFonts w:hint="eastAsia"/>
          <w:sz w:val="24"/>
          <w:szCs w:val="24"/>
        </w:rPr>
        <w:t xml:space="preserve">  </w:t>
      </w:r>
      <w:r>
        <w:rPr>
          <w:sz w:val="24"/>
          <w:szCs w:val="24"/>
        </w:rPr>
        <w:t>种子检验机构考核应当遵循统一规范、客观公正、科学准确、公开透明的原则，采取文件审查、现场评审和能力验证相结合的方式，实行考核要求、考核程序、证书标志、监督管理统一的制度。</w:t>
      </w:r>
    </w:p>
    <w:p>
      <w:pPr>
        <w:pStyle w:val="3"/>
        <w:topLinePunct/>
        <w:spacing w:line="412" w:lineRule="exact"/>
        <w:ind w:firstLine="480"/>
        <w:rPr>
          <w:sz w:val="24"/>
          <w:szCs w:val="24"/>
        </w:rPr>
      </w:pPr>
      <w:r>
        <w:rPr>
          <w:sz w:val="24"/>
          <w:szCs w:val="24"/>
        </w:rPr>
        <w:t>种子检验机构考核的申请、受理、公示、证书打印等通过中国种业大数据平台办理。</w:t>
      </w:r>
    </w:p>
    <w:p>
      <w:pPr>
        <w:pStyle w:val="63"/>
        <w:spacing w:before="218" w:after="218" w:line="412" w:lineRule="exact"/>
      </w:pPr>
      <w:r>
        <w:t>第二章</w:t>
      </w:r>
      <w:r>
        <w:rPr>
          <w:rFonts w:hint="eastAsia"/>
        </w:rPr>
        <w:t xml:space="preserve">  </w:t>
      </w:r>
      <w:r>
        <w:t>申请与受理</w:t>
      </w:r>
    </w:p>
    <w:p>
      <w:pPr>
        <w:pStyle w:val="3"/>
        <w:topLinePunct/>
        <w:spacing w:line="412" w:lineRule="exact"/>
        <w:ind w:firstLine="482"/>
        <w:rPr>
          <w:sz w:val="24"/>
          <w:szCs w:val="24"/>
        </w:rPr>
      </w:pPr>
      <w:r>
        <w:rPr>
          <w:b/>
          <w:sz w:val="24"/>
          <w:szCs w:val="24"/>
        </w:rPr>
        <w:t>第六条</w:t>
      </w:r>
      <w:r>
        <w:rPr>
          <w:rFonts w:hint="eastAsia"/>
          <w:sz w:val="24"/>
          <w:szCs w:val="24"/>
        </w:rPr>
        <w:t xml:space="preserve">  </w:t>
      </w:r>
      <w:r>
        <w:rPr>
          <w:sz w:val="24"/>
          <w:szCs w:val="24"/>
        </w:rPr>
        <w:t>申请考核的种子检验机构应当具备下列条件：</w:t>
      </w:r>
    </w:p>
    <w:p>
      <w:pPr>
        <w:pStyle w:val="3"/>
        <w:topLinePunct/>
        <w:spacing w:line="412" w:lineRule="exact"/>
        <w:ind w:firstLine="480"/>
        <w:rPr>
          <w:sz w:val="24"/>
          <w:szCs w:val="24"/>
        </w:rPr>
      </w:pPr>
      <w:r>
        <w:rPr>
          <w:sz w:val="24"/>
          <w:szCs w:val="24"/>
        </w:rPr>
        <w:t>（一）依法成立并能够承担相应法律责任的法人或者其他组织；</w:t>
      </w:r>
    </w:p>
    <w:p>
      <w:pPr>
        <w:pStyle w:val="3"/>
        <w:topLinePunct/>
        <w:spacing w:line="412" w:lineRule="exact"/>
        <w:ind w:firstLine="480"/>
        <w:rPr>
          <w:sz w:val="24"/>
          <w:szCs w:val="24"/>
        </w:rPr>
      </w:pPr>
      <w:r>
        <w:rPr>
          <w:sz w:val="24"/>
          <w:szCs w:val="24"/>
        </w:rPr>
        <w:t>（二）具有与其从事检验活动相适应的检验技术人员和管理人员；</w:t>
      </w:r>
    </w:p>
    <w:p>
      <w:pPr>
        <w:pStyle w:val="3"/>
        <w:topLinePunct/>
        <w:spacing w:line="412" w:lineRule="exact"/>
        <w:ind w:firstLine="480"/>
        <w:rPr>
          <w:sz w:val="24"/>
          <w:szCs w:val="24"/>
        </w:rPr>
      </w:pPr>
      <w:r>
        <w:rPr>
          <w:sz w:val="24"/>
          <w:szCs w:val="24"/>
        </w:rPr>
        <w:t>（三）具有不少于100平方米的固定工作场所，工作环境满足检验要求；</w:t>
      </w:r>
    </w:p>
    <w:p>
      <w:pPr>
        <w:pStyle w:val="3"/>
        <w:topLinePunct/>
        <w:spacing w:line="412" w:lineRule="exact"/>
        <w:ind w:firstLine="480"/>
        <w:rPr>
          <w:sz w:val="24"/>
          <w:szCs w:val="24"/>
        </w:rPr>
      </w:pPr>
      <w:r>
        <w:rPr>
          <w:sz w:val="24"/>
          <w:szCs w:val="24"/>
        </w:rPr>
        <w:t>（四）具备与申请检验活动相匹配的检验设备设施；</w:t>
      </w:r>
    </w:p>
    <w:p>
      <w:pPr>
        <w:pStyle w:val="3"/>
        <w:topLinePunct/>
        <w:spacing w:line="412" w:lineRule="exact"/>
        <w:ind w:firstLine="480"/>
        <w:rPr>
          <w:sz w:val="24"/>
          <w:szCs w:val="24"/>
        </w:rPr>
      </w:pPr>
      <w:r>
        <w:rPr>
          <w:sz w:val="24"/>
          <w:szCs w:val="24"/>
        </w:rPr>
        <w:t>（五）具有有效运行且保证其检验活动独立、公正、科学、诚信的管理体系；</w:t>
      </w:r>
    </w:p>
    <w:p>
      <w:pPr>
        <w:pStyle w:val="3"/>
        <w:topLinePunct/>
        <w:spacing w:line="412" w:lineRule="exact"/>
        <w:ind w:firstLine="480"/>
        <w:rPr>
          <w:sz w:val="24"/>
          <w:szCs w:val="24"/>
        </w:rPr>
      </w:pPr>
      <w:r>
        <w:rPr>
          <w:sz w:val="24"/>
          <w:szCs w:val="24"/>
        </w:rPr>
        <w:t>（六）符合有关法律法规或者标准、技术规范规定的特殊要求。</w:t>
      </w:r>
    </w:p>
    <w:p>
      <w:pPr>
        <w:pStyle w:val="3"/>
        <w:topLinePunct/>
        <w:spacing w:line="412" w:lineRule="exact"/>
        <w:ind w:firstLine="482"/>
        <w:rPr>
          <w:sz w:val="24"/>
          <w:szCs w:val="24"/>
        </w:rPr>
      </w:pPr>
      <w:r>
        <w:rPr>
          <w:b/>
          <w:sz w:val="24"/>
          <w:szCs w:val="24"/>
        </w:rPr>
        <w:t>第七条</w:t>
      </w:r>
      <w:r>
        <w:rPr>
          <w:rFonts w:hint="eastAsia"/>
          <w:sz w:val="24"/>
          <w:szCs w:val="24"/>
        </w:rPr>
        <w:t xml:space="preserve">  </w:t>
      </w:r>
      <w:r>
        <w:rPr>
          <w:sz w:val="24"/>
          <w:szCs w:val="24"/>
        </w:rPr>
        <w:t>申请种子检验机构考核的，应当向考核机关提交下列材料，并对所提交材料的真实性负责：</w:t>
      </w:r>
    </w:p>
    <w:p>
      <w:pPr>
        <w:pStyle w:val="3"/>
        <w:topLinePunct/>
        <w:spacing w:line="412" w:lineRule="exact"/>
        <w:ind w:firstLine="480"/>
        <w:rPr>
          <w:sz w:val="24"/>
          <w:szCs w:val="24"/>
        </w:rPr>
      </w:pPr>
      <w:r>
        <w:rPr>
          <w:sz w:val="24"/>
          <w:szCs w:val="24"/>
        </w:rPr>
        <w:t>（一）申请书；</w:t>
      </w:r>
    </w:p>
    <w:p>
      <w:pPr>
        <w:pStyle w:val="3"/>
        <w:topLinePunct/>
        <w:spacing w:line="412" w:lineRule="exact"/>
        <w:ind w:firstLine="480"/>
        <w:rPr>
          <w:sz w:val="24"/>
          <w:szCs w:val="24"/>
        </w:rPr>
      </w:pPr>
      <w:r>
        <w:rPr>
          <w:sz w:val="24"/>
          <w:szCs w:val="24"/>
        </w:rPr>
        <w:t>（二）满足检验能力所需办公场所、仪器设备等说明材料；</w:t>
      </w:r>
    </w:p>
    <w:p>
      <w:pPr>
        <w:pStyle w:val="3"/>
        <w:topLinePunct/>
        <w:spacing w:line="412" w:lineRule="exact"/>
        <w:ind w:firstLine="480"/>
        <w:rPr>
          <w:sz w:val="24"/>
          <w:szCs w:val="24"/>
        </w:rPr>
      </w:pPr>
      <w:r>
        <w:rPr>
          <w:sz w:val="24"/>
          <w:szCs w:val="24"/>
        </w:rPr>
        <w:t>（三）检验技术人员和管理人员数量与基本情况说明材料；</w:t>
      </w:r>
    </w:p>
    <w:p>
      <w:pPr>
        <w:pStyle w:val="3"/>
        <w:topLinePunct/>
        <w:spacing w:line="412" w:lineRule="exact"/>
        <w:ind w:firstLine="480"/>
        <w:rPr>
          <w:sz w:val="24"/>
          <w:szCs w:val="24"/>
        </w:rPr>
      </w:pPr>
      <w:r>
        <w:rPr>
          <w:sz w:val="24"/>
          <w:szCs w:val="24"/>
        </w:rPr>
        <w:t>（四）质量管理体系文件，包括质量手册、程序文件、作业指导书等材料；</w:t>
      </w:r>
    </w:p>
    <w:p>
      <w:pPr>
        <w:pStyle w:val="3"/>
        <w:topLinePunct/>
        <w:spacing w:line="412" w:lineRule="exact"/>
        <w:ind w:firstLine="480"/>
        <w:rPr>
          <w:sz w:val="24"/>
          <w:szCs w:val="24"/>
        </w:rPr>
      </w:pPr>
      <w:r>
        <w:rPr>
          <w:sz w:val="24"/>
          <w:szCs w:val="24"/>
        </w:rPr>
        <w:t>（五）检验报告2份。</w:t>
      </w:r>
    </w:p>
    <w:p>
      <w:pPr>
        <w:pStyle w:val="3"/>
        <w:topLinePunct/>
        <w:spacing w:line="412" w:lineRule="exact"/>
        <w:ind w:firstLine="482"/>
        <w:rPr>
          <w:sz w:val="24"/>
          <w:szCs w:val="24"/>
        </w:rPr>
      </w:pPr>
      <w:r>
        <w:rPr>
          <w:b/>
          <w:sz w:val="24"/>
          <w:szCs w:val="24"/>
        </w:rPr>
        <w:t>第八条</w:t>
      </w:r>
      <w:r>
        <w:rPr>
          <w:rFonts w:hint="eastAsia"/>
          <w:sz w:val="24"/>
          <w:szCs w:val="24"/>
        </w:rPr>
        <w:t xml:space="preserve">  </w:t>
      </w:r>
      <w:r>
        <w:rPr>
          <w:sz w:val="24"/>
          <w:szCs w:val="24"/>
        </w:rPr>
        <w:t>办公场所、仪器说明材料包括场所面积、结构，仪器名称、数量、型号、功能等。</w:t>
      </w:r>
    </w:p>
    <w:p>
      <w:pPr>
        <w:pStyle w:val="3"/>
        <w:topLinePunct/>
        <w:spacing w:line="412" w:lineRule="exact"/>
        <w:ind w:firstLine="480"/>
        <w:rPr>
          <w:sz w:val="24"/>
          <w:szCs w:val="24"/>
        </w:rPr>
      </w:pPr>
      <w:r>
        <w:rPr>
          <w:sz w:val="24"/>
          <w:szCs w:val="24"/>
        </w:rPr>
        <w:t>人员说明材料主要包括人员数量、姓名及接受教育程度和工作经历。</w:t>
      </w:r>
    </w:p>
    <w:p>
      <w:pPr>
        <w:pStyle w:val="3"/>
        <w:topLinePunct/>
        <w:spacing w:line="412" w:lineRule="exact"/>
        <w:ind w:firstLine="482"/>
        <w:rPr>
          <w:sz w:val="24"/>
          <w:szCs w:val="24"/>
        </w:rPr>
      </w:pPr>
      <w:r>
        <w:rPr>
          <w:b/>
          <w:sz w:val="24"/>
          <w:szCs w:val="24"/>
        </w:rPr>
        <w:t>第九条</w:t>
      </w:r>
      <w:r>
        <w:rPr>
          <w:rFonts w:hint="eastAsia"/>
          <w:sz w:val="24"/>
          <w:szCs w:val="24"/>
        </w:rPr>
        <w:t xml:space="preserve">  </w:t>
      </w:r>
      <w:r>
        <w:rPr>
          <w:sz w:val="24"/>
          <w:szCs w:val="24"/>
        </w:rPr>
        <w:t>质量手册包括以下内容：</w:t>
      </w:r>
    </w:p>
    <w:p>
      <w:pPr>
        <w:pStyle w:val="3"/>
        <w:topLinePunct/>
        <w:spacing w:line="412" w:lineRule="exact"/>
        <w:ind w:firstLine="480"/>
        <w:rPr>
          <w:sz w:val="24"/>
          <w:szCs w:val="24"/>
        </w:rPr>
      </w:pPr>
      <w:r>
        <w:rPr>
          <w:sz w:val="24"/>
          <w:szCs w:val="24"/>
        </w:rPr>
        <w:t>（一）种子检验机构负责人对手册发布的声明及签名；</w:t>
      </w:r>
    </w:p>
    <w:p>
      <w:pPr>
        <w:pStyle w:val="3"/>
        <w:topLinePunct/>
        <w:spacing w:line="412" w:lineRule="exact"/>
        <w:ind w:firstLine="480"/>
        <w:rPr>
          <w:sz w:val="24"/>
          <w:szCs w:val="24"/>
        </w:rPr>
      </w:pPr>
      <w:r>
        <w:rPr>
          <w:sz w:val="24"/>
          <w:szCs w:val="24"/>
        </w:rPr>
        <w:t>（二）公正性声明、质量方针声明；</w:t>
      </w:r>
    </w:p>
    <w:p>
      <w:pPr>
        <w:pStyle w:val="3"/>
        <w:topLinePunct/>
        <w:spacing w:line="412" w:lineRule="exact"/>
        <w:ind w:firstLine="480"/>
        <w:rPr>
          <w:sz w:val="24"/>
          <w:szCs w:val="24"/>
        </w:rPr>
      </w:pPr>
      <w:r>
        <w:rPr>
          <w:sz w:val="24"/>
          <w:szCs w:val="24"/>
        </w:rPr>
        <w:t>（三）种子检验机构概况、范围、术语定义、组织机构；</w:t>
      </w:r>
    </w:p>
    <w:p>
      <w:pPr>
        <w:pStyle w:val="3"/>
        <w:topLinePunct/>
        <w:spacing w:line="412" w:lineRule="exact"/>
        <w:ind w:firstLine="480"/>
        <w:rPr>
          <w:sz w:val="24"/>
          <w:szCs w:val="24"/>
        </w:rPr>
      </w:pPr>
      <w:r>
        <w:rPr>
          <w:sz w:val="24"/>
          <w:szCs w:val="24"/>
        </w:rPr>
        <w:t>（四）资源管理、检验实施和质量管理及其支持性程序等。</w:t>
      </w:r>
    </w:p>
    <w:p>
      <w:pPr>
        <w:pStyle w:val="3"/>
        <w:topLinePunct/>
        <w:spacing w:line="412" w:lineRule="exact"/>
        <w:ind w:firstLine="482"/>
        <w:rPr>
          <w:sz w:val="24"/>
          <w:szCs w:val="24"/>
        </w:rPr>
      </w:pPr>
      <w:r>
        <w:rPr>
          <w:b/>
          <w:sz w:val="24"/>
          <w:szCs w:val="24"/>
        </w:rPr>
        <w:t>第十条</w:t>
      </w:r>
      <w:r>
        <w:rPr>
          <w:rFonts w:hint="eastAsia"/>
          <w:sz w:val="24"/>
          <w:szCs w:val="24"/>
        </w:rPr>
        <w:t xml:space="preserve">  </w:t>
      </w:r>
      <w:r>
        <w:rPr>
          <w:sz w:val="24"/>
          <w:szCs w:val="24"/>
        </w:rPr>
        <w:t>程序文件是质量手册的支持性文件，包括以下内容：</w:t>
      </w:r>
    </w:p>
    <w:p>
      <w:pPr>
        <w:pStyle w:val="3"/>
        <w:topLinePunct/>
        <w:spacing w:line="412" w:lineRule="exact"/>
        <w:ind w:firstLine="480"/>
        <w:rPr>
          <w:sz w:val="24"/>
          <w:szCs w:val="24"/>
        </w:rPr>
      </w:pPr>
      <w:r>
        <w:rPr>
          <w:sz w:val="24"/>
          <w:szCs w:val="24"/>
        </w:rPr>
        <w:t>（一）公正性和保密程序；</w:t>
      </w:r>
    </w:p>
    <w:p>
      <w:pPr>
        <w:pStyle w:val="3"/>
        <w:topLinePunct/>
        <w:spacing w:line="412" w:lineRule="exact"/>
        <w:ind w:firstLine="480"/>
        <w:rPr>
          <w:sz w:val="24"/>
          <w:szCs w:val="24"/>
        </w:rPr>
      </w:pPr>
      <w:r>
        <w:rPr>
          <w:sz w:val="24"/>
          <w:szCs w:val="24"/>
        </w:rPr>
        <w:t>（二）人员培训管理程序；</w:t>
      </w:r>
    </w:p>
    <w:p>
      <w:pPr>
        <w:pStyle w:val="3"/>
        <w:topLinePunct/>
        <w:spacing w:line="412" w:lineRule="exact"/>
        <w:ind w:firstLine="480"/>
        <w:rPr>
          <w:sz w:val="24"/>
          <w:szCs w:val="24"/>
        </w:rPr>
      </w:pPr>
      <w:r>
        <w:rPr>
          <w:sz w:val="24"/>
          <w:szCs w:val="24"/>
        </w:rPr>
        <w:t>（三）仪器设备管理维护程序；</w:t>
      </w:r>
    </w:p>
    <w:p>
      <w:pPr>
        <w:pStyle w:val="3"/>
        <w:topLinePunct/>
        <w:spacing w:line="412" w:lineRule="exact"/>
        <w:ind w:firstLine="480"/>
        <w:rPr>
          <w:sz w:val="24"/>
          <w:szCs w:val="24"/>
        </w:rPr>
      </w:pPr>
      <w:r>
        <w:rPr>
          <w:sz w:val="24"/>
          <w:szCs w:val="24"/>
        </w:rPr>
        <w:t>（四）仪器设备和标准物质检定校准确认程序；</w:t>
      </w:r>
    </w:p>
    <w:p>
      <w:pPr>
        <w:pStyle w:val="3"/>
        <w:topLinePunct/>
        <w:spacing w:line="412" w:lineRule="exact"/>
        <w:ind w:firstLine="480"/>
        <w:rPr>
          <w:sz w:val="24"/>
          <w:szCs w:val="24"/>
        </w:rPr>
      </w:pPr>
      <w:r>
        <w:rPr>
          <w:sz w:val="24"/>
          <w:szCs w:val="24"/>
        </w:rPr>
        <w:t>（五）合同评审、外部服务和供应管理程序；</w:t>
      </w:r>
    </w:p>
    <w:p>
      <w:pPr>
        <w:pStyle w:val="3"/>
        <w:topLinePunct/>
        <w:spacing w:line="412" w:lineRule="exact"/>
        <w:ind w:firstLine="480"/>
        <w:rPr>
          <w:sz w:val="24"/>
          <w:szCs w:val="24"/>
        </w:rPr>
      </w:pPr>
      <w:r>
        <w:rPr>
          <w:sz w:val="24"/>
          <w:szCs w:val="24"/>
        </w:rPr>
        <w:t>（六）样品管理程序；</w:t>
      </w:r>
    </w:p>
    <w:p>
      <w:pPr>
        <w:pStyle w:val="3"/>
        <w:topLinePunct/>
        <w:spacing w:line="412" w:lineRule="exact"/>
        <w:ind w:firstLine="480"/>
        <w:rPr>
          <w:sz w:val="24"/>
          <w:szCs w:val="24"/>
        </w:rPr>
      </w:pPr>
      <w:r>
        <w:rPr>
          <w:sz w:val="24"/>
          <w:szCs w:val="24"/>
        </w:rPr>
        <w:t>（七）数据保护程序、检验报告和CASL（中国合格种子检验机构，China</w:t>
      </w:r>
      <w:r>
        <w:rPr>
          <w:rFonts w:hint="eastAsia"/>
          <w:sz w:val="24"/>
          <w:szCs w:val="24"/>
        </w:rPr>
        <w:t xml:space="preserve"> </w:t>
      </w:r>
      <w:r>
        <w:rPr>
          <w:sz w:val="24"/>
          <w:szCs w:val="24"/>
        </w:rPr>
        <w:t>Accredited</w:t>
      </w:r>
      <w:r>
        <w:rPr>
          <w:rFonts w:hint="eastAsia"/>
          <w:sz w:val="24"/>
          <w:szCs w:val="24"/>
        </w:rPr>
        <w:t xml:space="preserve"> </w:t>
      </w:r>
      <w:r>
        <w:rPr>
          <w:sz w:val="24"/>
          <w:szCs w:val="24"/>
        </w:rPr>
        <w:t>Seed</w:t>
      </w:r>
      <w:r>
        <w:rPr>
          <w:rFonts w:hint="eastAsia"/>
          <w:sz w:val="24"/>
          <w:szCs w:val="24"/>
        </w:rPr>
        <w:t xml:space="preserve"> </w:t>
      </w:r>
      <w:r>
        <w:rPr>
          <w:sz w:val="24"/>
          <w:szCs w:val="24"/>
        </w:rPr>
        <w:t>Laboratory）标志使用管理程序；</w:t>
      </w:r>
    </w:p>
    <w:p>
      <w:pPr>
        <w:pStyle w:val="3"/>
        <w:topLinePunct/>
        <w:spacing w:line="412" w:lineRule="exact"/>
        <w:ind w:firstLine="480"/>
        <w:rPr>
          <w:sz w:val="24"/>
          <w:szCs w:val="24"/>
        </w:rPr>
      </w:pPr>
      <w:r>
        <w:rPr>
          <w:sz w:val="24"/>
          <w:szCs w:val="24"/>
        </w:rPr>
        <w:t>（八）文件控制程序；</w:t>
      </w:r>
    </w:p>
    <w:p>
      <w:pPr>
        <w:pStyle w:val="3"/>
        <w:topLinePunct/>
        <w:spacing w:line="412" w:lineRule="exact"/>
        <w:ind w:firstLine="480"/>
        <w:rPr>
          <w:sz w:val="24"/>
          <w:szCs w:val="24"/>
        </w:rPr>
      </w:pPr>
      <w:r>
        <w:rPr>
          <w:sz w:val="24"/>
          <w:szCs w:val="24"/>
        </w:rPr>
        <w:t>（九）记录控制和质量控制程序；</w:t>
      </w:r>
    </w:p>
    <w:p>
      <w:pPr>
        <w:pStyle w:val="3"/>
        <w:topLinePunct/>
        <w:spacing w:line="412" w:lineRule="exact"/>
        <w:ind w:firstLine="480"/>
        <w:rPr>
          <w:sz w:val="24"/>
          <w:szCs w:val="24"/>
        </w:rPr>
      </w:pPr>
      <w:r>
        <w:rPr>
          <w:sz w:val="24"/>
          <w:szCs w:val="24"/>
        </w:rPr>
        <w:t>（十）内部审核、申诉投诉处理、不符合工作控制、纠正和预防措施控制、管理评审等程序。</w:t>
      </w:r>
    </w:p>
    <w:p>
      <w:pPr>
        <w:pStyle w:val="3"/>
        <w:topLinePunct/>
        <w:spacing w:line="412" w:lineRule="exact"/>
        <w:ind w:firstLine="482"/>
        <w:rPr>
          <w:sz w:val="24"/>
          <w:szCs w:val="24"/>
        </w:rPr>
      </w:pPr>
      <w:r>
        <w:rPr>
          <w:b/>
          <w:sz w:val="24"/>
          <w:szCs w:val="24"/>
        </w:rPr>
        <w:t>第十一条</w:t>
      </w:r>
      <w:r>
        <w:rPr>
          <w:rFonts w:hint="eastAsia"/>
          <w:sz w:val="24"/>
          <w:szCs w:val="24"/>
        </w:rPr>
        <w:t xml:space="preserve">  </w:t>
      </w:r>
      <w:r>
        <w:rPr>
          <w:sz w:val="24"/>
          <w:szCs w:val="24"/>
        </w:rPr>
        <w:t>作业指导书包括扦取和制备样品的工作规范、使用仪器设备的操作规程、指导检验过程及数据处理的方法细则等。</w:t>
      </w:r>
    </w:p>
    <w:p>
      <w:pPr>
        <w:pStyle w:val="3"/>
        <w:topLinePunct/>
        <w:spacing w:line="412" w:lineRule="exact"/>
        <w:ind w:firstLine="482"/>
        <w:rPr>
          <w:sz w:val="24"/>
          <w:szCs w:val="24"/>
        </w:rPr>
      </w:pPr>
      <w:r>
        <w:rPr>
          <w:b/>
          <w:sz w:val="24"/>
          <w:szCs w:val="24"/>
        </w:rPr>
        <w:t>第十二条</w:t>
      </w:r>
      <w:r>
        <w:rPr>
          <w:rFonts w:hint="eastAsia"/>
          <w:sz w:val="24"/>
          <w:szCs w:val="24"/>
        </w:rPr>
        <w:t xml:space="preserve">  </w:t>
      </w:r>
      <w:r>
        <w:rPr>
          <w:sz w:val="24"/>
          <w:szCs w:val="24"/>
        </w:rPr>
        <w:t>考核机关对申请人提出的申请材料，应当根据下列情况分别作出处理：</w:t>
      </w:r>
    </w:p>
    <w:p>
      <w:pPr>
        <w:pStyle w:val="3"/>
        <w:topLinePunct/>
        <w:spacing w:line="412" w:lineRule="exact"/>
        <w:ind w:firstLine="480"/>
        <w:rPr>
          <w:sz w:val="24"/>
          <w:szCs w:val="24"/>
        </w:rPr>
      </w:pPr>
      <w:r>
        <w:rPr>
          <w:sz w:val="24"/>
          <w:szCs w:val="24"/>
        </w:rPr>
        <w:t>（一）申请材料不齐全或者不符合法定形式的，当场或在5个工作日内一次告知申请人需要补正的全部内容，逾期不告知的，自收到申请材料之日起即为受理，业务办理系统中将自动显示为受理状态；</w:t>
      </w:r>
    </w:p>
    <w:p>
      <w:pPr>
        <w:pStyle w:val="3"/>
        <w:topLinePunct/>
        <w:spacing w:line="412" w:lineRule="exact"/>
        <w:ind w:firstLine="480"/>
        <w:rPr>
          <w:sz w:val="24"/>
          <w:szCs w:val="24"/>
        </w:rPr>
      </w:pPr>
      <w:r>
        <w:rPr>
          <w:sz w:val="24"/>
          <w:szCs w:val="24"/>
        </w:rPr>
        <w:t>（二）申请材料存在可以更正的错误的，允许申请人即时更正；</w:t>
      </w:r>
    </w:p>
    <w:p>
      <w:pPr>
        <w:pStyle w:val="3"/>
        <w:topLinePunct/>
        <w:spacing w:line="412" w:lineRule="exact"/>
        <w:ind w:firstLine="480"/>
        <w:rPr>
          <w:sz w:val="24"/>
          <w:szCs w:val="24"/>
        </w:rPr>
      </w:pPr>
      <w:r>
        <w:rPr>
          <w:sz w:val="24"/>
          <w:szCs w:val="24"/>
        </w:rPr>
        <w:t>（三）申请材料齐全、符合法定形式，或者申请人按照要求提交全部补正材料的，予以受理。</w:t>
      </w:r>
    </w:p>
    <w:p>
      <w:pPr>
        <w:pStyle w:val="63"/>
        <w:spacing w:before="218" w:after="218" w:line="412" w:lineRule="exact"/>
      </w:pPr>
      <w:r>
        <w:t>第三章</w:t>
      </w:r>
      <w:r>
        <w:rPr>
          <w:rFonts w:hint="eastAsia"/>
        </w:rPr>
        <w:t xml:space="preserve">  </w:t>
      </w:r>
      <w:r>
        <w:t>考</w:t>
      </w:r>
      <w:r>
        <w:rPr>
          <w:rFonts w:hint="eastAsia"/>
        </w:rPr>
        <w:t xml:space="preserve">  </w:t>
      </w:r>
      <w:r>
        <w:t>核</w:t>
      </w:r>
    </w:p>
    <w:p>
      <w:pPr>
        <w:pStyle w:val="3"/>
        <w:topLinePunct/>
        <w:spacing w:line="412" w:lineRule="exact"/>
        <w:ind w:firstLine="482"/>
        <w:rPr>
          <w:sz w:val="24"/>
          <w:szCs w:val="24"/>
        </w:rPr>
      </w:pPr>
      <w:r>
        <w:rPr>
          <w:b/>
          <w:sz w:val="24"/>
          <w:szCs w:val="24"/>
        </w:rPr>
        <w:t>第十三条</w:t>
      </w:r>
      <w:r>
        <w:rPr>
          <w:rFonts w:hint="eastAsia"/>
          <w:sz w:val="24"/>
          <w:szCs w:val="24"/>
        </w:rPr>
        <w:t xml:space="preserve">  </w:t>
      </w:r>
      <w:r>
        <w:rPr>
          <w:sz w:val="24"/>
          <w:szCs w:val="24"/>
        </w:rPr>
        <w:t>考核机关受理申请后应当组织考核，进行能力验证和现场考评。</w:t>
      </w:r>
    </w:p>
    <w:p>
      <w:pPr>
        <w:pStyle w:val="3"/>
        <w:topLinePunct/>
        <w:spacing w:line="412" w:lineRule="exact"/>
        <w:ind w:firstLine="480"/>
        <w:rPr>
          <w:sz w:val="24"/>
          <w:szCs w:val="24"/>
        </w:rPr>
      </w:pPr>
      <w:r>
        <w:rPr>
          <w:sz w:val="24"/>
          <w:szCs w:val="24"/>
        </w:rPr>
        <w:t>能力验证时间由考核机关和申请人商定。能力验证合格后，考核机关应当及时组织现场考评。</w:t>
      </w:r>
    </w:p>
    <w:p>
      <w:pPr>
        <w:pStyle w:val="3"/>
        <w:topLinePunct/>
        <w:spacing w:line="412" w:lineRule="exact"/>
        <w:ind w:firstLine="482"/>
        <w:rPr>
          <w:sz w:val="24"/>
          <w:szCs w:val="24"/>
        </w:rPr>
      </w:pPr>
      <w:r>
        <w:rPr>
          <w:b/>
          <w:sz w:val="24"/>
          <w:szCs w:val="24"/>
        </w:rPr>
        <w:t>第十四条</w:t>
      </w:r>
      <w:r>
        <w:rPr>
          <w:rFonts w:hint="eastAsia"/>
          <w:sz w:val="24"/>
          <w:szCs w:val="24"/>
        </w:rPr>
        <w:t xml:space="preserve">  </w:t>
      </w:r>
      <w:r>
        <w:rPr>
          <w:sz w:val="24"/>
          <w:szCs w:val="24"/>
        </w:rPr>
        <w:t>能力验证采取比对试验法，应根据申请检验项目的范围设计。</w:t>
      </w:r>
    </w:p>
    <w:p>
      <w:pPr>
        <w:pStyle w:val="3"/>
        <w:topLinePunct/>
        <w:spacing w:line="412" w:lineRule="exact"/>
        <w:ind w:firstLine="480"/>
        <w:rPr>
          <w:sz w:val="24"/>
          <w:szCs w:val="24"/>
        </w:rPr>
      </w:pPr>
      <w:r>
        <w:rPr>
          <w:sz w:val="24"/>
          <w:szCs w:val="24"/>
        </w:rPr>
        <w:t>能力验证的样品由考核机关组织制备，制备应按照已实施标准或规范性文件要求执行。</w:t>
      </w:r>
    </w:p>
    <w:p>
      <w:pPr>
        <w:pStyle w:val="3"/>
        <w:topLinePunct/>
        <w:spacing w:line="412" w:lineRule="exact"/>
        <w:ind w:firstLine="480"/>
        <w:rPr>
          <w:sz w:val="24"/>
          <w:szCs w:val="24"/>
        </w:rPr>
      </w:pPr>
      <w:r>
        <w:rPr>
          <w:sz w:val="24"/>
          <w:szCs w:val="24"/>
        </w:rPr>
        <w:t>申请人应当在规定时间内完成项目检验，并报送检验结果。</w:t>
      </w:r>
    </w:p>
    <w:p>
      <w:pPr>
        <w:pStyle w:val="3"/>
        <w:topLinePunct/>
        <w:spacing w:line="412" w:lineRule="exact"/>
        <w:ind w:firstLine="482"/>
        <w:rPr>
          <w:sz w:val="24"/>
          <w:szCs w:val="24"/>
        </w:rPr>
      </w:pPr>
      <w:r>
        <w:rPr>
          <w:b/>
          <w:sz w:val="24"/>
          <w:szCs w:val="24"/>
        </w:rPr>
        <w:t>第十五条</w:t>
      </w:r>
      <w:r>
        <w:rPr>
          <w:rFonts w:hint="eastAsia"/>
          <w:sz w:val="24"/>
          <w:szCs w:val="24"/>
        </w:rPr>
        <w:t xml:space="preserve">  </w:t>
      </w:r>
      <w:r>
        <w:rPr>
          <w:sz w:val="24"/>
          <w:szCs w:val="24"/>
        </w:rPr>
        <w:t>考核机关应当建立考评专家库。</w:t>
      </w:r>
    </w:p>
    <w:p>
      <w:pPr>
        <w:pStyle w:val="3"/>
        <w:topLinePunct/>
        <w:spacing w:line="412" w:lineRule="exact"/>
        <w:ind w:firstLine="480"/>
        <w:rPr>
          <w:sz w:val="24"/>
          <w:szCs w:val="24"/>
        </w:rPr>
      </w:pPr>
      <w:r>
        <w:rPr>
          <w:sz w:val="24"/>
          <w:szCs w:val="24"/>
        </w:rPr>
        <w:t>考评专家可</w:t>
      </w:r>
      <w:r>
        <w:rPr>
          <w:spacing w:val="4"/>
          <w:sz w:val="24"/>
          <w:szCs w:val="24"/>
        </w:rPr>
        <w:t>以从全国范围内遴选，应当具备副高以上专业技术职称或四级主任科员以上职级，从事种子检验或管理工作5年以上，熟悉考核程序和技术规范。</w:t>
      </w:r>
    </w:p>
    <w:p>
      <w:pPr>
        <w:pStyle w:val="3"/>
        <w:topLinePunct/>
        <w:spacing w:line="412" w:lineRule="exact"/>
        <w:ind w:firstLine="482"/>
        <w:rPr>
          <w:sz w:val="24"/>
          <w:szCs w:val="24"/>
        </w:rPr>
      </w:pPr>
      <w:r>
        <w:rPr>
          <w:b/>
          <w:sz w:val="24"/>
          <w:szCs w:val="24"/>
        </w:rPr>
        <w:t>第十六条</w:t>
      </w:r>
      <w:r>
        <w:rPr>
          <w:rFonts w:hint="eastAsia"/>
          <w:sz w:val="24"/>
          <w:szCs w:val="24"/>
        </w:rPr>
        <w:t xml:space="preserve">  </w:t>
      </w:r>
      <w:r>
        <w:rPr>
          <w:sz w:val="24"/>
          <w:szCs w:val="24"/>
        </w:rPr>
        <w:t>考核机关应当从考评专家库中抽取不少于3名专家组成专家组，并指定考评组组长。</w:t>
      </w:r>
    </w:p>
    <w:p>
      <w:pPr>
        <w:pStyle w:val="3"/>
        <w:topLinePunct/>
        <w:spacing w:line="412" w:lineRule="exact"/>
        <w:ind w:firstLine="480"/>
        <w:rPr>
          <w:sz w:val="24"/>
          <w:szCs w:val="24"/>
        </w:rPr>
      </w:pPr>
      <w:r>
        <w:rPr>
          <w:sz w:val="24"/>
          <w:szCs w:val="24"/>
        </w:rPr>
        <w:t>考评专家组实行组长负责制，对种子检验机构开展现场考评，制作考评报告。</w:t>
      </w:r>
    </w:p>
    <w:p>
      <w:pPr>
        <w:pStyle w:val="3"/>
        <w:topLinePunct/>
        <w:spacing w:line="412" w:lineRule="exact"/>
        <w:ind w:firstLine="482"/>
        <w:rPr>
          <w:sz w:val="24"/>
          <w:szCs w:val="24"/>
        </w:rPr>
      </w:pPr>
      <w:r>
        <w:rPr>
          <w:b/>
          <w:sz w:val="24"/>
          <w:szCs w:val="24"/>
        </w:rPr>
        <w:t>第十七条</w:t>
      </w:r>
      <w:r>
        <w:rPr>
          <w:rFonts w:hint="eastAsia"/>
          <w:sz w:val="24"/>
          <w:szCs w:val="24"/>
        </w:rPr>
        <w:t xml:space="preserve">  </w:t>
      </w:r>
      <w:r>
        <w:rPr>
          <w:sz w:val="24"/>
          <w:szCs w:val="24"/>
        </w:rPr>
        <w:t>现场考评应当包括以下内容：</w:t>
      </w:r>
    </w:p>
    <w:p>
      <w:pPr>
        <w:pStyle w:val="3"/>
        <w:topLinePunct/>
        <w:spacing w:line="412" w:lineRule="exact"/>
        <w:ind w:firstLine="480"/>
        <w:rPr>
          <w:sz w:val="24"/>
          <w:szCs w:val="24"/>
        </w:rPr>
      </w:pPr>
      <w:r>
        <w:rPr>
          <w:sz w:val="24"/>
          <w:szCs w:val="24"/>
        </w:rPr>
        <w:t>（一）质量管理体系文件、能力验证结果、检验报告的规范性和准确性；</w:t>
      </w:r>
    </w:p>
    <w:p>
      <w:pPr>
        <w:pStyle w:val="3"/>
        <w:topLinePunct/>
        <w:spacing w:line="412" w:lineRule="exact"/>
        <w:ind w:firstLine="480"/>
        <w:rPr>
          <w:sz w:val="24"/>
          <w:szCs w:val="24"/>
        </w:rPr>
      </w:pPr>
      <w:r>
        <w:rPr>
          <w:sz w:val="24"/>
          <w:szCs w:val="24"/>
        </w:rPr>
        <w:t>（二）办公场所、检验场所和仪器设备设施条件；</w:t>
      </w:r>
    </w:p>
    <w:p>
      <w:pPr>
        <w:pStyle w:val="3"/>
        <w:topLinePunct/>
        <w:spacing w:line="412" w:lineRule="exact"/>
        <w:ind w:firstLine="480"/>
        <w:rPr>
          <w:sz w:val="24"/>
          <w:szCs w:val="24"/>
        </w:rPr>
      </w:pPr>
      <w:r>
        <w:rPr>
          <w:sz w:val="24"/>
          <w:szCs w:val="24"/>
        </w:rPr>
        <w:t>（三）废弃物处理情况；</w:t>
      </w:r>
    </w:p>
    <w:p>
      <w:pPr>
        <w:pStyle w:val="3"/>
        <w:topLinePunct/>
        <w:spacing w:line="412" w:lineRule="exact"/>
        <w:ind w:firstLine="480"/>
        <w:rPr>
          <w:sz w:val="24"/>
          <w:szCs w:val="24"/>
        </w:rPr>
      </w:pPr>
      <w:r>
        <w:rPr>
          <w:sz w:val="24"/>
          <w:szCs w:val="24"/>
        </w:rPr>
        <w:t>（四）检验操作情况。</w:t>
      </w:r>
    </w:p>
    <w:p>
      <w:pPr>
        <w:pStyle w:val="3"/>
        <w:topLinePunct/>
        <w:spacing w:line="412" w:lineRule="exact"/>
        <w:ind w:firstLine="482"/>
        <w:rPr>
          <w:sz w:val="24"/>
          <w:szCs w:val="24"/>
        </w:rPr>
      </w:pPr>
      <w:r>
        <w:rPr>
          <w:b/>
          <w:sz w:val="24"/>
          <w:szCs w:val="24"/>
        </w:rPr>
        <w:t>第十八条</w:t>
      </w:r>
      <w:r>
        <w:rPr>
          <w:rFonts w:hint="eastAsia"/>
          <w:sz w:val="24"/>
          <w:szCs w:val="24"/>
        </w:rPr>
        <w:t xml:space="preserve">  </w:t>
      </w:r>
      <w:r>
        <w:rPr>
          <w:sz w:val="24"/>
          <w:szCs w:val="24"/>
        </w:rPr>
        <w:t>质量管理体系文件、检验报告应当完整、真实、有效、适宜，符合相关标准或规程。</w:t>
      </w:r>
    </w:p>
    <w:p>
      <w:pPr>
        <w:pStyle w:val="3"/>
        <w:topLinePunct/>
        <w:spacing w:line="412" w:lineRule="exact"/>
        <w:ind w:firstLine="480"/>
        <w:rPr>
          <w:sz w:val="24"/>
          <w:szCs w:val="24"/>
        </w:rPr>
      </w:pPr>
      <w:r>
        <w:rPr>
          <w:sz w:val="24"/>
          <w:szCs w:val="24"/>
        </w:rPr>
        <w:t>检验报告和能力验证的结果应当准确。</w:t>
      </w:r>
    </w:p>
    <w:p>
      <w:pPr>
        <w:pStyle w:val="3"/>
        <w:topLinePunct/>
        <w:spacing w:line="412" w:lineRule="exact"/>
        <w:ind w:firstLine="482"/>
        <w:rPr>
          <w:sz w:val="24"/>
          <w:szCs w:val="24"/>
        </w:rPr>
      </w:pPr>
      <w:r>
        <w:rPr>
          <w:b/>
          <w:sz w:val="24"/>
          <w:szCs w:val="24"/>
        </w:rPr>
        <w:t>第十九条</w:t>
      </w:r>
      <w:r>
        <w:rPr>
          <w:rFonts w:hint="eastAsia"/>
          <w:sz w:val="24"/>
          <w:szCs w:val="24"/>
        </w:rPr>
        <w:t xml:space="preserve">  </w:t>
      </w:r>
      <w:r>
        <w:rPr>
          <w:sz w:val="24"/>
          <w:szCs w:val="24"/>
        </w:rPr>
        <w:t>办公场所应满足开展检测工作的基本需求。</w:t>
      </w:r>
    </w:p>
    <w:p>
      <w:pPr>
        <w:pStyle w:val="3"/>
        <w:topLinePunct/>
        <w:spacing w:line="412" w:lineRule="exact"/>
        <w:ind w:firstLine="480"/>
        <w:rPr>
          <w:sz w:val="24"/>
          <w:szCs w:val="24"/>
        </w:rPr>
      </w:pPr>
      <w:r>
        <w:rPr>
          <w:sz w:val="24"/>
          <w:szCs w:val="24"/>
        </w:rPr>
        <w:t>检验场所应当有预防超常温度、湿度、灰尘、电磁干扰或其它超常情况发生的保护措施；有关规定对环境控制条件有要求的，应当安装适宜的设备进行监测、控制和记录。</w:t>
      </w:r>
    </w:p>
    <w:p>
      <w:pPr>
        <w:pStyle w:val="3"/>
        <w:topLinePunct/>
        <w:spacing w:line="412" w:lineRule="exact"/>
        <w:ind w:firstLine="482"/>
        <w:rPr>
          <w:sz w:val="24"/>
          <w:szCs w:val="24"/>
        </w:rPr>
      </w:pPr>
      <w:r>
        <w:rPr>
          <w:b/>
          <w:sz w:val="24"/>
          <w:szCs w:val="24"/>
        </w:rPr>
        <w:t>第二十条</w:t>
      </w:r>
      <w:r>
        <w:rPr>
          <w:rFonts w:hint="eastAsia"/>
          <w:sz w:val="24"/>
          <w:szCs w:val="24"/>
        </w:rPr>
        <w:t xml:space="preserve">  </w:t>
      </w:r>
      <w:r>
        <w:rPr>
          <w:sz w:val="24"/>
          <w:szCs w:val="24"/>
        </w:rPr>
        <w:t>仪器设备、电气线路和管道布局应当合理，符合安全要求。</w:t>
      </w:r>
    </w:p>
    <w:p>
      <w:pPr>
        <w:pStyle w:val="3"/>
        <w:topLinePunct/>
        <w:spacing w:line="412" w:lineRule="exact"/>
        <w:ind w:firstLine="480"/>
        <w:rPr>
          <w:sz w:val="24"/>
          <w:szCs w:val="24"/>
        </w:rPr>
      </w:pPr>
      <w:r>
        <w:rPr>
          <w:sz w:val="24"/>
          <w:szCs w:val="24"/>
        </w:rPr>
        <w:t>互有影响或者互不相容的区域应当进行有效隔离。需要限制活动的区域应明确标示。</w:t>
      </w:r>
    </w:p>
    <w:p>
      <w:pPr>
        <w:pStyle w:val="3"/>
        <w:topLinePunct/>
        <w:spacing w:line="412" w:lineRule="exact"/>
        <w:ind w:firstLine="482"/>
        <w:rPr>
          <w:sz w:val="24"/>
          <w:szCs w:val="24"/>
        </w:rPr>
      </w:pPr>
      <w:r>
        <w:rPr>
          <w:b/>
          <w:sz w:val="24"/>
          <w:szCs w:val="24"/>
        </w:rPr>
        <w:t>第二十一条</w:t>
      </w:r>
      <w:r>
        <w:rPr>
          <w:rFonts w:hint="eastAsia"/>
          <w:sz w:val="24"/>
          <w:szCs w:val="24"/>
        </w:rPr>
        <w:t xml:space="preserve">  </w:t>
      </w:r>
      <w:r>
        <w:rPr>
          <w:sz w:val="24"/>
          <w:szCs w:val="24"/>
        </w:rPr>
        <w:t>仪器设备应当满足扦样、样品制备、检验、贮存、数据处理与分析等工作需要，有完善的管理程序和档案，重要设备由专人管理；用于检验的仪器设备，还应当达到规定的准确度和规范要求。</w:t>
      </w:r>
    </w:p>
    <w:p>
      <w:pPr>
        <w:pStyle w:val="3"/>
        <w:topLinePunct/>
        <w:spacing w:line="412" w:lineRule="exact"/>
        <w:ind w:firstLine="480"/>
        <w:rPr>
          <w:sz w:val="24"/>
          <w:szCs w:val="24"/>
        </w:rPr>
      </w:pPr>
      <w:r>
        <w:rPr>
          <w:sz w:val="24"/>
          <w:szCs w:val="24"/>
        </w:rPr>
        <w:t>仪器设备档案应当包括以下内容：</w:t>
      </w:r>
    </w:p>
    <w:p>
      <w:pPr>
        <w:pStyle w:val="3"/>
        <w:topLinePunct/>
        <w:spacing w:line="412" w:lineRule="exact"/>
        <w:ind w:firstLine="480"/>
        <w:rPr>
          <w:sz w:val="24"/>
          <w:szCs w:val="24"/>
        </w:rPr>
      </w:pPr>
      <w:r>
        <w:rPr>
          <w:sz w:val="24"/>
          <w:szCs w:val="24"/>
        </w:rPr>
        <w:t>（一）仪器设备名称，制造商名称、型号和编号或者其他唯一性标识、放置地点；</w:t>
      </w:r>
    </w:p>
    <w:p>
      <w:pPr>
        <w:pStyle w:val="3"/>
        <w:topLinePunct/>
        <w:spacing w:line="412" w:lineRule="exact"/>
        <w:ind w:firstLine="480"/>
        <w:rPr>
          <w:sz w:val="24"/>
          <w:szCs w:val="24"/>
        </w:rPr>
      </w:pPr>
      <w:r>
        <w:rPr>
          <w:sz w:val="24"/>
          <w:szCs w:val="24"/>
        </w:rPr>
        <w:t>（二）接收、启用日期和验收记录；</w:t>
      </w:r>
    </w:p>
    <w:p>
      <w:pPr>
        <w:pStyle w:val="3"/>
        <w:topLinePunct/>
        <w:spacing w:line="412" w:lineRule="exact"/>
        <w:ind w:firstLine="480"/>
        <w:rPr>
          <w:sz w:val="24"/>
          <w:szCs w:val="24"/>
        </w:rPr>
      </w:pPr>
      <w:r>
        <w:rPr>
          <w:sz w:val="24"/>
          <w:szCs w:val="24"/>
        </w:rPr>
        <w:t>（三）制造商提供的资料或者使用说明书；</w:t>
      </w:r>
    </w:p>
    <w:p>
      <w:pPr>
        <w:pStyle w:val="3"/>
        <w:topLinePunct/>
        <w:spacing w:line="412" w:lineRule="exact"/>
        <w:ind w:firstLine="480"/>
        <w:rPr>
          <w:sz w:val="24"/>
          <w:szCs w:val="24"/>
        </w:rPr>
      </w:pPr>
      <w:r>
        <w:rPr>
          <w:sz w:val="24"/>
          <w:szCs w:val="24"/>
        </w:rPr>
        <w:t>（四）历次检定、校准报告和确认记录；</w:t>
      </w:r>
    </w:p>
    <w:p>
      <w:pPr>
        <w:pStyle w:val="3"/>
        <w:topLinePunct/>
        <w:spacing w:line="412" w:lineRule="exact"/>
        <w:ind w:firstLine="480"/>
        <w:rPr>
          <w:sz w:val="24"/>
          <w:szCs w:val="24"/>
        </w:rPr>
      </w:pPr>
      <w:r>
        <w:rPr>
          <w:sz w:val="24"/>
          <w:szCs w:val="24"/>
        </w:rPr>
        <w:t>（五）使用和维护记录；</w:t>
      </w:r>
    </w:p>
    <w:p>
      <w:pPr>
        <w:pStyle w:val="3"/>
        <w:topLinePunct/>
        <w:spacing w:line="412" w:lineRule="exact"/>
        <w:ind w:firstLine="480"/>
        <w:rPr>
          <w:sz w:val="24"/>
          <w:szCs w:val="24"/>
        </w:rPr>
      </w:pPr>
      <w:r>
        <w:rPr>
          <w:sz w:val="24"/>
          <w:szCs w:val="24"/>
        </w:rPr>
        <w:t>（六）仪器设备损坏、故障、改装或者修理记录。</w:t>
      </w:r>
    </w:p>
    <w:p>
      <w:pPr>
        <w:pStyle w:val="3"/>
        <w:topLinePunct/>
        <w:spacing w:line="412" w:lineRule="exact"/>
        <w:ind w:firstLine="482"/>
        <w:rPr>
          <w:sz w:val="24"/>
          <w:szCs w:val="24"/>
        </w:rPr>
      </w:pPr>
      <w:r>
        <w:rPr>
          <w:b/>
          <w:sz w:val="24"/>
          <w:szCs w:val="24"/>
        </w:rPr>
        <w:t>第二十二条</w:t>
      </w:r>
      <w:r>
        <w:rPr>
          <w:rFonts w:hint="eastAsia"/>
          <w:sz w:val="24"/>
          <w:szCs w:val="24"/>
        </w:rPr>
        <w:t xml:space="preserve">  </w:t>
      </w:r>
      <w:r>
        <w:rPr>
          <w:sz w:val="24"/>
          <w:szCs w:val="24"/>
        </w:rPr>
        <w:t>标准样品、标准溶液等标准物质的质量应当稳定，有安全运输、存放、使用、处置的规范程序和防止污染、损坏的措施。</w:t>
      </w:r>
    </w:p>
    <w:p>
      <w:pPr>
        <w:pStyle w:val="3"/>
        <w:topLinePunct/>
        <w:spacing w:line="412" w:lineRule="exact"/>
        <w:ind w:firstLine="480"/>
        <w:rPr>
          <w:sz w:val="24"/>
          <w:szCs w:val="24"/>
        </w:rPr>
      </w:pPr>
      <w:r>
        <w:rPr>
          <w:sz w:val="24"/>
          <w:szCs w:val="24"/>
        </w:rPr>
        <w:t>危害性废弃物管理、处理应当符合国家有关规定。</w:t>
      </w:r>
    </w:p>
    <w:p>
      <w:pPr>
        <w:pStyle w:val="3"/>
        <w:topLinePunct/>
        <w:spacing w:line="412" w:lineRule="exact"/>
        <w:ind w:firstLine="482"/>
        <w:rPr>
          <w:sz w:val="24"/>
          <w:szCs w:val="24"/>
        </w:rPr>
      </w:pPr>
      <w:r>
        <w:rPr>
          <w:b/>
          <w:sz w:val="24"/>
          <w:szCs w:val="24"/>
        </w:rPr>
        <w:t>第二十三条</w:t>
      </w:r>
      <w:r>
        <w:rPr>
          <w:rFonts w:hint="eastAsia"/>
          <w:sz w:val="24"/>
          <w:szCs w:val="24"/>
        </w:rPr>
        <w:t xml:space="preserve">  </w:t>
      </w:r>
      <w:r>
        <w:rPr>
          <w:sz w:val="24"/>
          <w:szCs w:val="24"/>
        </w:rPr>
        <w:t>检验操作程序、数据处理应当符合有关国家标准、行业标准或规范性文件规定。</w:t>
      </w:r>
    </w:p>
    <w:p>
      <w:pPr>
        <w:pStyle w:val="3"/>
        <w:topLinePunct/>
        <w:spacing w:line="412" w:lineRule="exact"/>
        <w:ind w:firstLine="482"/>
        <w:rPr>
          <w:sz w:val="24"/>
          <w:szCs w:val="24"/>
        </w:rPr>
      </w:pPr>
      <w:r>
        <w:rPr>
          <w:b/>
          <w:sz w:val="24"/>
          <w:szCs w:val="24"/>
        </w:rPr>
        <w:t>第二十四条</w:t>
      </w:r>
      <w:r>
        <w:rPr>
          <w:rFonts w:hint="eastAsia"/>
          <w:sz w:val="24"/>
          <w:szCs w:val="24"/>
        </w:rPr>
        <w:t xml:space="preserve">  </w:t>
      </w:r>
      <w:r>
        <w:rPr>
          <w:sz w:val="24"/>
          <w:szCs w:val="24"/>
        </w:rPr>
        <w:t>考评专家组在现场考评中发现有不符合考评要求的，应当书面通知申请人限期整改，整改期限不得超过30个工作日。逾期未按要求整改，或整改后仍不符合要求的，相应的考评项目应当判定为不合格。</w:t>
      </w:r>
    </w:p>
    <w:p>
      <w:pPr>
        <w:pStyle w:val="3"/>
        <w:topLinePunct/>
        <w:spacing w:line="412" w:lineRule="exact"/>
        <w:ind w:firstLine="482"/>
        <w:rPr>
          <w:sz w:val="24"/>
          <w:szCs w:val="24"/>
        </w:rPr>
      </w:pPr>
      <w:r>
        <w:rPr>
          <w:b/>
          <w:sz w:val="24"/>
          <w:szCs w:val="24"/>
        </w:rPr>
        <w:t>第二十五条</w:t>
      </w:r>
      <w:r>
        <w:rPr>
          <w:rFonts w:hint="eastAsia"/>
          <w:sz w:val="24"/>
          <w:szCs w:val="24"/>
        </w:rPr>
        <w:t xml:space="preserve">  </w:t>
      </w:r>
      <w:r>
        <w:rPr>
          <w:sz w:val="24"/>
          <w:szCs w:val="24"/>
        </w:rPr>
        <w:t>考评专家组应当在考核结束后2个工作日内出具考核报告。考核报告经专家组成员半数以上通过并由专家组全体成员签字后生效。对考核报告有不同意见的，应当予以注明。</w:t>
      </w:r>
    </w:p>
    <w:p>
      <w:pPr>
        <w:pStyle w:val="3"/>
        <w:topLinePunct/>
        <w:spacing w:line="412" w:lineRule="exact"/>
        <w:ind w:firstLine="482"/>
        <w:rPr>
          <w:sz w:val="24"/>
          <w:szCs w:val="24"/>
        </w:rPr>
      </w:pPr>
      <w:r>
        <w:rPr>
          <w:b/>
          <w:sz w:val="24"/>
          <w:szCs w:val="24"/>
        </w:rPr>
        <w:t>第二十六条</w:t>
      </w:r>
      <w:r>
        <w:rPr>
          <w:sz w:val="24"/>
          <w:szCs w:val="24"/>
        </w:rPr>
        <w:t xml:space="preserve"> </w:t>
      </w:r>
      <w:r>
        <w:rPr>
          <w:rFonts w:hint="eastAsia"/>
          <w:sz w:val="24"/>
          <w:szCs w:val="24"/>
        </w:rPr>
        <w:t xml:space="preserve"> </w:t>
      </w:r>
      <w:r>
        <w:rPr>
          <w:sz w:val="24"/>
          <w:szCs w:val="24"/>
        </w:rPr>
        <w:t>考核机关应当自受理申请之日起20个工作日内完成考核，申请人整改和能力验证时间不计算在内。能力验证时间不得超过45个工作日。</w:t>
      </w:r>
    </w:p>
    <w:p>
      <w:pPr>
        <w:pStyle w:val="63"/>
        <w:spacing w:before="218" w:after="218" w:line="412" w:lineRule="exact"/>
      </w:pPr>
      <w:r>
        <w:t xml:space="preserve">第四章 </w:t>
      </w:r>
      <w:r>
        <w:rPr>
          <w:rFonts w:hint="eastAsia"/>
        </w:rPr>
        <w:t xml:space="preserve"> </w:t>
      </w:r>
      <w:r>
        <w:t>审查与决定</w:t>
      </w:r>
    </w:p>
    <w:p>
      <w:pPr>
        <w:pStyle w:val="3"/>
        <w:topLinePunct/>
        <w:spacing w:line="412" w:lineRule="exact"/>
        <w:ind w:firstLine="482"/>
        <w:rPr>
          <w:sz w:val="24"/>
          <w:szCs w:val="24"/>
        </w:rPr>
      </w:pPr>
      <w:r>
        <w:rPr>
          <w:b/>
          <w:sz w:val="24"/>
          <w:szCs w:val="24"/>
        </w:rPr>
        <w:t>第二十七条</w:t>
      </w:r>
      <w:r>
        <w:rPr>
          <w:sz w:val="24"/>
          <w:szCs w:val="24"/>
        </w:rPr>
        <w:t xml:space="preserve"> </w:t>
      </w:r>
      <w:r>
        <w:rPr>
          <w:rFonts w:hint="eastAsia"/>
          <w:sz w:val="24"/>
          <w:szCs w:val="24"/>
        </w:rPr>
        <w:t xml:space="preserve"> </w:t>
      </w:r>
      <w:r>
        <w:rPr>
          <w:sz w:val="24"/>
          <w:szCs w:val="24"/>
        </w:rPr>
        <w:t>考核机关根据考核报告结论作出考核决定。对符合要求的，考核机关应当在中国种业大数据平台公示考核结果，公示时间不得少于7个工作日；经公示无异议的或异议已得到妥善处理的，考核机关应颁发种子检验机构合格证书。对不符合要求的，书面通知申请人并说明理由。</w:t>
      </w:r>
    </w:p>
    <w:p>
      <w:pPr>
        <w:pStyle w:val="3"/>
        <w:topLinePunct/>
        <w:spacing w:line="412" w:lineRule="exact"/>
        <w:ind w:firstLine="482"/>
        <w:rPr>
          <w:sz w:val="24"/>
          <w:szCs w:val="24"/>
        </w:rPr>
      </w:pPr>
      <w:r>
        <w:rPr>
          <w:b/>
          <w:sz w:val="24"/>
          <w:szCs w:val="24"/>
        </w:rPr>
        <w:t>第二十八条</w:t>
      </w:r>
      <w:r>
        <w:rPr>
          <w:sz w:val="24"/>
          <w:szCs w:val="24"/>
        </w:rPr>
        <w:t xml:space="preserve"> </w:t>
      </w:r>
      <w:r>
        <w:rPr>
          <w:rFonts w:hint="eastAsia"/>
          <w:sz w:val="24"/>
          <w:szCs w:val="24"/>
        </w:rPr>
        <w:t xml:space="preserve"> </w:t>
      </w:r>
      <w:r>
        <w:rPr>
          <w:sz w:val="24"/>
          <w:szCs w:val="24"/>
        </w:rPr>
        <w:t>合格证书有效期为6年。合格证书应当载明机构名称、证书编号、检验范围、有效期限、考核机关。</w:t>
      </w:r>
    </w:p>
    <w:p>
      <w:pPr>
        <w:pStyle w:val="3"/>
        <w:topLinePunct/>
        <w:spacing w:line="412" w:lineRule="exact"/>
        <w:ind w:firstLine="480"/>
        <w:rPr>
          <w:sz w:val="24"/>
          <w:szCs w:val="24"/>
        </w:rPr>
      </w:pPr>
      <w:r>
        <w:rPr>
          <w:sz w:val="24"/>
          <w:szCs w:val="24"/>
        </w:rPr>
        <w:t>证书编号格式为“X中种检字XXXX第XXX号”，其中“X”为省、自治区、直辖市简称，“XXXX”为年号，“XXX”为证书序号。</w:t>
      </w:r>
    </w:p>
    <w:p>
      <w:pPr>
        <w:pStyle w:val="3"/>
        <w:topLinePunct/>
        <w:spacing w:line="412" w:lineRule="exact"/>
        <w:ind w:firstLine="480"/>
        <w:rPr>
          <w:sz w:val="24"/>
          <w:szCs w:val="24"/>
        </w:rPr>
      </w:pPr>
      <w:r>
        <w:rPr>
          <w:sz w:val="24"/>
          <w:szCs w:val="24"/>
        </w:rPr>
        <w:t>检验范围应当包括检验项目、检验内容、适用范围等内容。</w:t>
      </w:r>
    </w:p>
    <w:p>
      <w:pPr>
        <w:pStyle w:val="3"/>
        <w:topLinePunct/>
        <w:spacing w:line="412" w:lineRule="exact"/>
        <w:ind w:firstLine="482"/>
        <w:rPr>
          <w:sz w:val="24"/>
          <w:szCs w:val="24"/>
        </w:rPr>
      </w:pPr>
      <w:r>
        <w:rPr>
          <w:b/>
          <w:sz w:val="24"/>
          <w:szCs w:val="24"/>
        </w:rPr>
        <w:t>第二十九条</w:t>
      </w:r>
      <w:r>
        <w:rPr>
          <w:sz w:val="24"/>
          <w:szCs w:val="24"/>
        </w:rPr>
        <w:t xml:space="preserve"> </w:t>
      </w:r>
      <w:r>
        <w:rPr>
          <w:rFonts w:hint="eastAsia"/>
          <w:sz w:val="24"/>
          <w:szCs w:val="24"/>
        </w:rPr>
        <w:t xml:space="preserve"> </w:t>
      </w:r>
      <w:r>
        <w:rPr>
          <w:sz w:val="24"/>
          <w:szCs w:val="24"/>
        </w:rPr>
        <w:t>考核合格的种子检验机构，由考核机关予以公告。</w:t>
      </w:r>
    </w:p>
    <w:p>
      <w:pPr>
        <w:pStyle w:val="63"/>
        <w:spacing w:before="218" w:after="218" w:line="412" w:lineRule="exact"/>
      </w:pPr>
      <w:r>
        <w:t xml:space="preserve">第五章 </w:t>
      </w:r>
      <w:r>
        <w:rPr>
          <w:rFonts w:hint="eastAsia"/>
        </w:rPr>
        <w:t xml:space="preserve"> </w:t>
      </w:r>
      <w:r>
        <w:t>变更与延续</w:t>
      </w:r>
    </w:p>
    <w:p>
      <w:pPr>
        <w:pStyle w:val="3"/>
        <w:topLinePunct/>
        <w:spacing w:line="412" w:lineRule="exact"/>
        <w:ind w:firstLine="482"/>
        <w:rPr>
          <w:sz w:val="24"/>
          <w:szCs w:val="24"/>
        </w:rPr>
      </w:pPr>
      <w:r>
        <w:rPr>
          <w:b/>
          <w:sz w:val="24"/>
          <w:szCs w:val="24"/>
        </w:rPr>
        <w:t>第三十条</w:t>
      </w:r>
      <w:r>
        <w:rPr>
          <w:sz w:val="24"/>
          <w:szCs w:val="24"/>
        </w:rPr>
        <w:t xml:space="preserve"> </w:t>
      </w:r>
      <w:r>
        <w:rPr>
          <w:rFonts w:hint="eastAsia"/>
          <w:sz w:val="24"/>
          <w:szCs w:val="24"/>
        </w:rPr>
        <w:t xml:space="preserve"> </w:t>
      </w:r>
      <w:r>
        <w:rPr>
          <w:sz w:val="24"/>
          <w:szCs w:val="24"/>
        </w:rPr>
        <w:t>有下列情形之一的，种子检验机构应当向考核机关申请办理变更手续：</w:t>
      </w:r>
    </w:p>
    <w:p>
      <w:pPr>
        <w:pStyle w:val="3"/>
        <w:topLinePunct/>
        <w:spacing w:line="412" w:lineRule="exact"/>
        <w:ind w:firstLine="480"/>
        <w:rPr>
          <w:sz w:val="24"/>
          <w:szCs w:val="24"/>
        </w:rPr>
      </w:pPr>
      <w:r>
        <w:rPr>
          <w:sz w:val="24"/>
          <w:szCs w:val="24"/>
        </w:rPr>
        <w:t>（一）机构名称或地址发生变更的；</w:t>
      </w:r>
    </w:p>
    <w:p>
      <w:pPr>
        <w:pStyle w:val="3"/>
        <w:topLinePunct/>
        <w:spacing w:line="412" w:lineRule="exact"/>
        <w:ind w:firstLine="480"/>
        <w:rPr>
          <w:sz w:val="24"/>
          <w:szCs w:val="24"/>
        </w:rPr>
      </w:pPr>
      <w:r>
        <w:rPr>
          <w:sz w:val="24"/>
          <w:szCs w:val="24"/>
        </w:rPr>
        <w:t>（二）检验范围发生变化的；</w:t>
      </w:r>
    </w:p>
    <w:p>
      <w:pPr>
        <w:pStyle w:val="3"/>
        <w:topLinePunct/>
        <w:spacing w:line="412" w:lineRule="exact"/>
        <w:ind w:firstLine="480"/>
        <w:rPr>
          <w:sz w:val="24"/>
          <w:szCs w:val="24"/>
        </w:rPr>
      </w:pPr>
      <w:r>
        <w:rPr>
          <w:sz w:val="24"/>
          <w:szCs w:val="24"/>
        </w:rPr>
        <w:t>（三）依法需要办理变更的其他事项。</w:t>
      </w:r>
    </w:p>
    <w:p>
      <w:pPr>
        <w:pStyle w:val="3"/>
        <w:topLinePunct/>
        <w:spacing w:line="412" w:lineRule="exact"/>
        <w:ind w:firstLine="480"/>
        <w:rPr>
          <w:sz w:val="24"/>
          <w:szCs w:val="24"/>
        </w:rPr>
      </w:pPr>
      <w:r>
        <w:rPr>
          <w:sz w:val="24"/>
          <w:szCs w:val="24"/>
        </w:rPr>
        <w:t>机构名称或地址发生变更的，当场办理变更手续。</w:t>
      </w:r>
    </w:p>
    <w:p>
      <w:pPr>
        <w:pStyle w:val="3"/>
        <w:topLinePunct/>
        <w:spacing w:line="412" w:lineRule="exact"/>
        <w:ind w:firstLine="482"/>
        <w:rPr>
          <w:sz w:val="24"/>
          <w:szCs w:val="24"/>
        </w:rPr>
      </w:pPr>
      <w:r>
        <w:rPr>
          <w:b/>
          <w:sz w:val="24"/>
          <w:szCs w:val="24"/>
        </w:rPr>
        <w:t>第三十一条</w:t>
      </w:r>
      <w:r>
        <w:rPr>
          <w:sz w:val="24"/>
          <w:szCs w:val="24"/>
        </w:rPr>
        <w:t xml:space="preserve"> </w:t>
      </w:r>
      <w:r>
        <w:rPr>
          <w:rFonts w:hint="eastAsia"/>
          <w:sz w:val="24"/>
          <w:szCs w:val="24"/>
        </w:rPr>
        <w:t xml:space="preserve"> </w:t>
      </w:r>
      <w:r>
        <w:rPr>
          <w:sz w:val="24"/>
          <w:szCs w:val="24"/>
        </w:rPr>
        <w:t>种子检验机构新增检验项目或者变更检验内容的，应当按照本办法规定申请考核。考核机关应当简化程序，对新增项目或变更检验内容所需仪器、场所及检验能力进行考核。</w:t>
      </w:r>
    </w:p>
    <w:p>
      <w:pPr>
        <w:pStyle w:val="3"/>
        <w:topLinePunct/>
        <w:spacing w:line="412" w:lineRule="exact"/>
        <w:ind w:firstLine="482"/>
        <w:rPr>
          <w:sz w:val="24"/>
          <w:szCs w:val="24"/>
        </w:rPr>
      </w:pPr>
      <w:r>
        <w:rPr>
          <w:b/>
          <w:sz w:val="24"/>
          <w:szCs w:val="24"/>
        </w:rPr>
        <w:t>第三十二条</w:t>
      </w:r>
      <w:r>
        <w:rPr>
          <w:sz w:val="24"/>
          <w:szCs w:val="24"/>
        </w:rPr>
        <w:t xml:space="preserve"> </w:t>
      </w:r>
      <w:r>
        <w:rPr>
          <w:rFonts w:hint="eastAsia"/>
          <w:sz w:val="24"/>
          <w:szCs w:val="24"/>
        </w:rPr>
        <w:t xml:space="preserve"> </w:t>
      </w:r>
      <w:r>
        <w:rPr>
          <w:sz w:val="24"/>
          <w:szCs w:val="24"/>
        </w:rPr>
        <w:t>合格证书有效期届满后需要继续从事本办法第三条规定活动内容的，应当在有效期届满6个月前向考核机关提出延续申请。</w:t>
      </w:r>
    </w:p>
    <w:p>
      <w:pPr>
        <w:pStyle w:val="63"/>
        <w:spacing w:before="218" w:after="218" w:line="412" w:lineRule="exact"/>
      </w:pPr>
      <w:r>
        <w:t xml:space="preserve">第六章 </w:t>
      </w:r>
      <w:r>
        <w:rPr>
          <w:rFonts w:hint="eastAsia"/>
        </w:rPr>
        <w:t xml:space="preserve"> </w:t>
      </w:r>
      <w:r>
        <w:t>监督管理</w:t>
      </w:r>
    </w:p>
    <w:p>
      <w:pPr>
        <w:pStyle w:val="3"/>
        <w:topLinePunct/>
        <w:spacing w:line="412" w:lineRule="exact"/>
        <w:ind w:firstLine="482"/>
        <w:rPr>
          <w:sz w:val="24"/>
          <w:szCs w:val="24"/>
        </w:rPr>
      </w:pPr>
      <w:r>
        <w:rPr>
          <w:b/>
          <w:sz w:val="24"/>
          <w:szCs w:val="24"/>
        </w:rPr>
        <w:t>第三十三条</w:t>
      </w:r>
      <w:r>
        <w:rPr>
          <w:sz w:val="24"/>
          <w:szCs w:val="24"/>
        </w:rPr>
        <w:t xml:space="preserve"> </w:t>
      </w:r>
      <w:r>
        <w:rPr>
          <w:rFonts w:hint="eastAsia"/>
          <w:sz w:val="24"/>
          <w:szCs w:val="24"/>
        </w:rPr>
        <w:t xml:space="preserve"> </w:t>
      </w:r>
      <w:r>
        <w:rPr>
          <w:sz w:val="24"/>
          <w:szCs w:val="24"/>
        </w:rPr>
        <w:t>种子检验机构从事本办法第三条第一项、第二项检验服务，应当在其出具的检验报告上标注CASL标志。</w:t>
      </w:r>
    </w:p>
    <w:p>
      <w:pPr>
        <w:pStyle w:val="3"/>
        <w:topLinePunct/>
        <w:spacing w:line="412" w:lineRule="exact"/>
        <w:ind w:firstLine="482"/>
        <w:rPr>
          <w:sz w:val="24"/>
          <w:szCs w:val="24"/>
        </w:rPr>
      </w:pPr>
      <w:r>
        <w:rPr>
          <w:b/>
          <w:sz w:val="24"/>
          <w:szCs w:val="24"/>
        </w:rPr>
        <w:t>第三十四条</w:t>
      </w:r>
      <w:r>
        <w:rPr>
          <w:sz w:val="24"/>
          <w:szCs w:val="24"/>
        </w:rPr>
        <w:t xml:space="preserve"> </w:t>
      </w:r>
      <w:r>
        <w:rPr>
          <w:rFonts w:hint="eastAsia"/>
          <w:sz w:val="24"/>
          <w:szCs w:val="24"/>
        </w:rPr>
        <w:t xml:space="preserve"> </w:t>
      </w:r>
      <w:r>
        <w:rPr>
          <w:sz w:val="24"/>
          <w:szCs w:val="24"/>
        </w:rPr>
        <w:t>省级以上农业农村主管部门根据需要对考核通过的种子检验机构进行现场检查或能力验证，种子检验机构应当予以配合，不得拒绝。</w:t>
      </w:r>
    </w:p>
    <w:p>
      <w:pPr>
        <w:pStyle w:val="3"/>
        <w:topLinePunct/>
        <w:spacing w:line="412" w:lineRule="exact"/>
        <w:ind w:firstLine="482"/>
        <w:rPr>
          <w:sz w:val="24"/>
          <w:szCs w:val="24"/>
        </w:rPr>
      </w:pPr>
      <w:r>
        <w:rPr>
          <w:b/>
          <w:sz w:val="24"/>
          <w:szCs w:val="24"/>
        </w:rPr>
        <w:t>第三十五条</w:t>
      </w:r>
      <w:r>
        <w:rPr>
          <w:sz w:val="24"/>
          <w:szCs w:val="24"/>
        </w:rPr>
        <w:t xml:space="preserve"> </w:t>
      </w:r>
      <w:r>
        <w:rPr>
          <w:rFonts w:hint="eastAsia"/>
          <w:sz w:val="24"/>
          <w:szCs w:val="24"/>
        </w:rPr>
        <w:t xml:space="preserve"> </w:t>
      </w:r>
      <w:r>
        <w:rPr>
          <w:sz w:val="24"/>
          <w:szCs w:val="24"/>
        </w:rPr>
        <w:t>在合</w:t>
      </w:r>
      <w:r>
        <w:rPr>
          <w:spacing w:val="5"/>
          <w:sz w:val="24"/>
          <w:szCs w:val="24"/>
        </w:rPr>
        <w:t>格证书有效期内，种子检验机构不再从事检验范围内的种子检验服务或者自愿申请终止的，应当向考核机关申请办理合格证书注销手续。</w:t>
      </w:r>
    </w:p>
    <w:p>
      <w:pPr>
        <w:pStyle w:val="3"/>
        <w:topLinePunct/>
        <w:spacing w:line="412" w:lineRule="exact"/>
        <w:ind w:firstLine="482"/>
        <w:rPr>
          <w:sz w:val="24"/>
          <w:szCs w:val="24"/>
        </w:rPr>
      </w:pPr>
      <w:r>
        <w:rPr>
          <w:b/>
          <w:sz w:val="24"/>
          <w:szCs w:val="24"/>
        </w:rPr>
        <w:t>第三十六条</w:t>
      </w:r>
      <w:r>
        <w:rPr>
          <w:sz w:val="24"/>
          <w:szCs w:val="24"/>
        </w:rPr>
        <w:t xml:space="preserve"> </w:t>
      </w:r>
      <w:r>
        <w:rPr>
          <w:rFonts w:hint="eastAsia"/>
          <w:sz w:val="24"/>
          <w:szCs w:val="24"/>
        </w:rPr>
        <w:t xml:space="preserve"> </w:t>
      </w:r>
      <w:r>
        <w:rPr>
          <w:sz w:val="24"/>
          <w:szCs w:val="24"/>
        </w:rPr>
        <w:t>合格证书有效期届满，未申请延续或依法不予延续批准的，考核机关应当予以注销。</w:t>
      </w:r>
    </w:p>
    <w:p>
      <w:pPr>
        <w:pStyle w:val="3"/>
        <w:topLinePunct/>
        <w:spacing w:line="412" w:lineRule="exact"/>
        <w:ind w:firstLine="482"/>
        <w:rPr>
          <w:sz w:val="24"/>
          <w:szCs w:val="24"/>
        </w:rPr>
      </w:pPr>
      <w:r>
        <w:rPr>
          <w:b/>
          <w:sz w:val="24"/>
          <w:szCs w:val="24"/>
        </w:rPr>
        <w:t>第三十七条</w:t>
      </w:r>
      <w:r>
        <w:rPr>
          <w:sz w:val="24"/>
          <w:szCs w:val="24"/>
        </w:rPr>
        <w:t xml:space="preserve"> </w:t>
      </w:r>
      <w:r>
        <w:rPr>
          <w:rFonts w:hint="eastAsia"/>
          <w:sz w:val="24"/>
          <w:szCs w:val="24"/>
        </w:rPr>
        <w:t xml:space="preserve"> </w:t>
      </w:r>
      <w:r>
        <w:rPr>
          <w:sz w:val="24"/>
          <w:szCs w:val="24"/>
        </w:rPr>
        <w:t>考评专家在考核活动中，有下列情形之一的，考核机关可以根据情节轻重，作出告诫、暂停或者取消其从事考核活动的处理：</w:t>
      </w:r>
    </w:p>
    <w:p>
      <w:pPr>
        <w:pStyle w:val="3"/>
        <w:topLinePunct/>
        <w:spacing w:line="412" w:lineRule="exact"/>
        <w:ind w:firstLine="480"/>
        <w:rPr>
          <w:sz w:val="24"/>
          <w:szCs w:val="24"/>
        </w:rPr>
      </w:pPr>
      <w:r>
        <w:rPr>
          <w:sz w:val="24"/>
          <w:szCs w:val="24"/>
        </w:rPr>
        <w:t>（一）未按照规定的要求和时间开展考核的；</w:t>
      </w:r>
    </w:p>
    <w:p>
      <w:pPr>
        <w:pStyle w:val="3"/>
        <w:topLinePunct/>
        <w:spacing w:line="412" w:lineRule="exact"/>
        <w:ind w:firstLine="480"/>
        <w:rPr>
          <w:sz w:val="24"/>
          <w:szCs w:val="24"/>
        </w:rPr>
      </w:pPr>
      <w:r>
        <w:rPr>
          <w:sz w:val="24"/>
          <w:szCs w:val="24"/>
        </w:rPr>
        <w:t>（二）与所考核的种子检验机构有利害关系或者可能对公正性产生影响，未进行回避的；</w:t>
      </w:r>
    </w:p>
    <w:p>
      <w:pPr>
        <w:pStyle w:val="3"/>
        <w:topLinePunct/>
        <w:spacing w:line="412" w:lineRule="exact"/>
        <w:ind w:firstLine="480"/>
        <w:rPr>
          <w:sz w:val="24"/>
          <w:szCs w:val="24"/>
        </w:rPr>
      </w:pPr>
      <w:r>
        <w:rPr>
          <w:sz w:val="24"/>
          <w:szCs w:val="24"/>
        </w:rPr>
        <w:t>（三）透露工作中所知悉的国家秘密、商业秘密或者技术秘密的；</w:t>
      </w:r>
    </w:p>
    <w:p>
      <w:pPr>
        <w:pStyle w:val="3"/>
        <w:topLinePunct/>
        <w:spacing w:line="412" w:lineRule="exact"/>
        <w:ind w:firstLine="480"/>
        <w:rPr>
          <w:sz w:val="24"/>
          <w:szCs w:val="24"/>
        </w:rPr>
      </w:pPr>
      <w:r>
        <w:rPr>
          <w:sz w:val="24"/>
          <w:szCs w:val="24"/>
        </w:rPr>
        <w:t>（四）向所考核的种子检验机构谋取不正当利益的；</w:t>
      </w:r>
    </w:p>
    <w:p>
      <w:pPr>
        <w:pStyle w:val="3"/>
        <w:topLinePunct/>
        <w:spacing w:line="412" w:lineRule="exact"/>
        <w:ind w:firstLine="480"/>
        <w:rPr>
          <w:sz w:val="24"/>
          <w:szCs w:val="24"/>
        </w:rPr>
      </w:pPr>
      <w:r>
        <w:rPr>
          <w:sz w:val="24"/>
          <w:szCs w:val="24"/>
        </w:rPr>
        <w:t>（五）出具虚假或者不实的考核结论的。</w:t>
      </w:r>
    </w:p>
    <w:p>
      <w:pPr>
        <w:pStyle w:val="3"/>
        <w:topLinePunct/>
        <w:spacing w:line="412" w:lineRule="exact"/>
        <w:ind w:firstLine="482"/>
        <w:rPr>
          <w:sz w:val="24"/>
          <w:szCs w:val="24"/>
        </w:rPr>
      </w:pPr>
      <w:r>
        <w:rPr>
          <w:b/>
          <w:sz w:val="24"/>
          <w:szCs w:val="24"/>
        </w:rPr>
        <w:t>第三十八条</w:t>
      </w:r>
      <w:r>
        <w:rPr>
          <w:sz w:val="24"/>
          <w:szCs w:val="24"/>
        </w:rPr>
        <w:t xml:space="preserve"> </w:t>
      </w:r>
      <w:r>
        <w:rPr>
          <w:rFonts w:hint="eastAsia"/>
          <w:sz w:val="24"/>
          <w:szCs w:val="24"/>
        </w:rPr>
        <w:t xml:space="preserve"> </w:t>
      </w:r>
      <w:r>
        <w:rPr>
          <w:sz w:val="24"/>
          <w:szCs w:val="24"/>
        </w:rPr>
        <w:t>种子检验机构有下列情形之一的，省级以上农业农村主管部门责令其暂停对外开展种子检验工作：</w:t>
      </w:r>
    </w:p>
    <w:p>
      <w:pPr>
        <w:pStyle w:val="3"/>
        <w:topLinePunct/>
        <w:spacing w:line="412" w:lineRule="exact"/>
        <w:ind w:firstLine="480"/>
        <w:rPr>
          <w:sz w:val="24"/>
          <w:szCs w:val="24"/>
        </w:rPr>
      </w:pPr>
      <w:r>
        <w:rPr>
          <w:sz w:val="24"/>
          <w:szCs w:val="24"/>
        </w:rPr>
        <w:t>（一）拒绝接受监督检查的；</w:t>
      </w:r>
    </w:p>
    <w:p>
      <w:pPr>
        <w:pStyle w:val="3"/>
        <w:topLinePunct/>
        <w:spacing w:line="412" w:lineRule="exact"/>
        <w:ind w:firstLine="480"/>
        <w:rPr>
          <w:sz w:val="24"/>
          <w:szCs w:val="24"/>
        </w:rPr>
      </w:pPr>
      <w:r>
        <w:rPr>
          <w:sz w:val="24"/>
          <w:szCs w:val="24"/>
        </w:rPr>
        <w:t>（二）监督检查不合格的；</w:t>
      </w:r>
    </w:p>
    <w:p>
      <w:pPr>
        <w:pStyle w:val="3"/>
        <w:topLinePunct/>
        <w:spacing w:line="412" w:lineRule="exact"/>
        <w:ind w:firstLine="480"/>
        <w:rPr>
          <w:sz w:val="24"/>
          <w:szCs w:val="24"/>
        </w:rPr>
      </w:pPr>
      <w:r>
        <w:rPr>
          <w:sz w:val="24"/>
          <w:szCs w:val="24"/>
        </w:rPr>
        <w:t>（三）未按本办法规定办理变更手续的。</w:t>
      </w:r>
    </w:p>
    <w:p>
      <w:pPr>
        <w:pStyle w:val="3"/>
        <w:topLinePunct/>
        <w:spacing w:line="412" w:lineRule="exact"/>
        <w:ind w:firstLine="480"/>
        <w:rPr>
          <w:sz w:val="24"/>
          <w:szCs w:val="24"/>
        </w:rPr>
      </w:pPr>
      <w:r>
        <w:rPr>
          <w:sz w:val="24"/>
          <w:szCs w:val="24"/>
        </w:rPr>
        <w:t>被暂停开展检验活动的种子检验机构在3个月内实施了有效整改，经考核机关确认后，可以恢复对外开展种子检验活动。</w:t>
      </w:r>
    </w:p>
    <w:p>
      <w:pPr>
        <w:pStyle w:val="3"/>
        <w:topLinePunct/>
        <w:spacing w:line="412" w:lineRule="exact"/>
        <w:ind w:firstLine="482"/>
        <w:rPr>
          <w:sz w:val="24"/>
          <w:szCs w:val="24"/>
        </w:rPr>
      </w:pPr>
      <w:r>
        <w:rPr>
          <w:b/>
          <w:sz w:val="24"/>
          <w:szCs w:val="24"/>
        </w:rPr>
        <w:t>第三十九条</w:t>
      </w:r>
      <w:r>
        <w:rPr>
          <w:sz w:val="24"/>
          <w:szCs w:val="24"/>
        </w:rPr>
        <w:t xml:space="preserve"> </w:t>
      </w:r>
      <w:r>
        <w:rPr>
          <w:rFonts w:hint="eastAsia"/>
          <w:sz w:val="24"/>
          <w:szCs w:val="24"/>
        </w:rPr>
        <w:t xml:space="preserve"> </w:t>
      </w:r>
      <w:r>
        <w:rPr>
          <w:sz w:val="24"/>
          <w:szCs w:val="24"/>
        </w:rPr>
        <w:t>种子检验机构有下列情形之一的，由考核机关撤销资格：</w:t>
      </w:r>
    </w:p>
    <w:p>
      <w:pPr>
        <w:pStyle w:val="3"/>
        <w:topLinePunct/>
        <w:spacing w:line="412" w:lineRule="exact"/>
        <w:ind w:firstLine="480"/>
        <w:rPr>
          <w:sz w:val="24"/>
          <w:szCs w:val="24"/>
        </w:rPr>
      </w:pPr>
      <w:r>
        <w:rPr>
          <w:sz w:val="24"/>
          <w:szCs w:val="24"/>
        </w:rPr>
        <w:t>（一）以欺骗、贿赂等不正当手段骗取合格证书的；</w:t>
      </w:r>
    </w:p>
    <w:p>
      <w:pPr>
        <w:pStyle w:val="3"/>
        <w:topLinePunct/>
        <w:spacing w:line="412" w:lineRule="exact"/>
        <w:ind w:firstLine="480"/>
        <w:rPr>
          <w:sz w:val="24"/>
          <w:szCs w:val="24"/>
        </w:rPr>
      </w:pPr>
      <w:r>
        <w:rPr>
          <w:sz w:val="24"/>
          <w:szCs w:val="24"/>
        </w:rPr>
        <w:t>（二）伪造检验记录、数据或者出具虚假结果和证明的；</w:t>
      </w:r>
    </w:p>
    <w:p>
      <w:pPr>
        <w:pStyle w:val="3"/>
        <w:topLinePunct/>
        <w:spacing w:line="412" w:lineRule="exact"/>
        <w:ind w:firstLine="480"/>
        <w:rPr>
          <w:sz w:val="24"/>
          <w:szCs w:val="24"/>
        </w:rPr>
      </w:pPr>
      <w:r>
        <w:rPr>
          <w:sz w:val="24"/>
          <w:szCs w:val="24"/>
        </w:rPr>
        <w:t>（三）超出检验范围出具标注CASL标志检验报告的；</w:t>
      </w:r>
    </w:p>
    <w:p>
      <w:pPr>
        <w:pStyle w:val="3"/>
        <w:topLinePunct/>
        <w:spacing w:line="412" w:lineRule="exact"/>
        <w:ind w:firstLine="480"/>
        <w:rPr>
          <w:sz w:val="24"/>
          <w:szCs w:val="24"/>
        </w:rPr>
      </w:pPr>
      <w:r>
        <w:rPr>
          <w:sz w:val="24"/>
          <w:szCs w:val="24"/>
        </w:rPr>
        <w:t>（四）超过暂停规定期限仍不能确认恢复检验工作的；</w:t>
      </w:r>
    </w:p>
    <w:p>
      <w:pPr>
        <w:pStyle w:val="3"/>
        <w:topLinePunct/>
        <w:spacing w:line="412" w:lineRule="exact"/>
        <w:ind w:firstLine="480"/>
        <w:rPr>
          <w:sz w:val="24"/>
          <w:szCs w:val="24"/>
        </w:rPr>
      </w:pPr>
      <w:r>
        <w:rPr>
          <w:sz w:val="24"/>
          <w:szCs w:val="24"/>
        </w:rPr>
        <w:t>（五）以种子检验机构的名义向社会推荐或者以监制等方式参与种子经营活动，经督促仍不改正的或者造成恶劣影响的；</w:t>
      </w:r>
    </w:p>
    <w:p>
      <w:pPr>
        <w:pStyle w:val="3"/>
        <w:topLinePunct/>
        <w:spacing w:line="412" w:lineRule="exact"/>
        <w:ind w:firstLine="480"/>
        <w:rPr>
          <w:sz w:val="24"/>
          <w:szCs w:val="24"/>
        </w:rPr>
      </w:pPr>
      <w:r>
        <w:rPr>
          <w:sz w:val="24"/>
          <w:szCs w:val="24"/>
        </w:rPr>
        <w:t>（六）连续两次能力验证结果不合格的。</w:t>
      </w:r>
    </w:p>
    <w:p>
      <w:pPr>
        <w:pStyle w:val="3"/>
        <w:topLinePunct/>
        <w:spacing w:line="412" w:lineRule="exact"/>
        <w:ind w:firstLine="480"/>
        <w:rPr>
          <w:sz w:val="24"/>
          <w:szCs w:val="24"/>
        </w:rPr>
      </w:pPr>
      <w:r>
        <w:rPr>
          <w:sz w:val="24"/>
          <w:szCs w:val="24"/>
        </w:rPr>
        <w:t>被撤销资格的种子检验机构，3年内不得申请考核。</w:t>
      </w:r>
    </w:p>
    <w:p>
      <w:pPr>
        <w:pStyle w:val="63"/>
        <w:spacing w:before="218" w:after="218" w:line="412" w:lineRule="exact"/>
      </w:pPr>
      <w:r>
        <w:t xml:space="preserve">第七章 </w:t>
      </w:r>
      <w:r>
        <w:rPr>
          <w:rFonts w:hint="eastAsia"/>
        </w:rPr>
        <w:t xml:space="preserve"> </w:t>
      </w:r>
      <w:r>
        <w:t>附则</w:t>
      </w:r>
    </w:p>
    <w:p>
      <w:pPr>
        <w:pStyle w:val="3"/>
        <w:topLinePunct/>
        <w:spacing w:line="412" w:lineRule="exact"/>
        <w:ind w:firstLine="482"/>
        <w:rPr>
          <w:sz w:val="24"/>
          <w:szCs w:val="24"/>
        </w:rPr>
      </w:pPr>
      <w:r>
        <w:rPr>
          <w:b/>
          <w:sz w:val="24"/>
          <w:szCs w:val="24"/>
        </w:rPr>
        <w:t>第四十条</w:t>
      </w:r>
      <w:r>
        <w:rPr>
          <w:sz w:val="24"/>
          <w:szCs w:val="24"/>
        </w:rPr>
        <w:t xml:space="preserve"> </w:t>
      </w:r>
      <w:r>
        <w:rPr>
          <w:rFonts w:hint="eastAsia"/>
          <w:sz w:val="24"/>
          <w:szCs w:val="24"/>
        </w:rPr>
        <w:t xml:space="preserve"> </w:t>
      </w:r>
      <w:r>
        <w:rPr>
          <w:sz w:val="24"/>
          <w:szCs w:val="24"/>
        </w:rPr>
        <w:t>种子检验机构合格证书和CASL标志的格式由农业农村部统一规定。</w:t>
      </w:r>
    </w:p>
    <w:p>
      <w:pPr>
        <w:pStyle w:val="3"/>
        <w:topLinePunct/>
        <w:spacing w:line="412" w:lineRule="exact"/>
        <w:ind w:firstLine="482"/>
        <w:rPr>
          <w:rFonts w:asciiTheme="minorEastAsia" w:hAnsiTheme="minorEastAsia" w:eastAsiaTheme="minorEastAsia"/>
          <w:sz w:val="24"/>
          <w:szCs w:val="24"/>
        </w:rPr>
      </w:pPr>
      <w:r>
        <w:rPr>
          <w:b/>
          <w:sz w:val="24"/>
          <w:szCs w:val="24"/>
        </w:rPr>
        <w:t>第四十一条</w:t>
      </w:r>
      <w:r>
        <w:rPr>
          <w:sz w:val="24"/>
          <w:szCs w:val="24"/>
        </w:rPr>
        <w:t xml:space="preserve"> </w:t>
      </w:r>
      <w:r>
        <w:rPr>
          <w:rFonts w:hint="eastAsia"/>
          <w:sz w:val="24"/>
          <w:szCs w:val="24"/>
        </w:rPr>
        <w:t xml:space="preserve"> </w:t>
      </w:r>
      <w:r>
        <w:rPr>
          <w:sz w:val="24"/>
          <w:szCs w:val="24"/>
        </w:rPr>
        <w:t>本办法自2019年10月1日起施行。原农业部2008年1月2日发布，2013年12月31日修订的《农作物种子质量检验机构考核管理办法》和《农业部关于印发〈农作物种子质量检验机构考核准则〉等文件的通知》（农农发〔2008〕16号）同时废止。</w:t>
      </w:r>
      <w:r>
        <w:rPr>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689" w:name="_Toc28250928"/>
      <w:bookmarkStart w:id="690" w:name="_Toc25653716"/>
      <w:bookmarkStart w:id="691" w:name="_Toc28252202"/>
      <w:bookmarkStart w:id="692" w:name="_Toc26347978"/>
      <w:bookmarkStart w:id="693" w:name="_Toc25648221"/>
      <w:bookmarkStart w:id="694" w:name="_Toc28157000"/>
      <w:r>
        <w:t>中华人民共和国植物新品种保护条例</w:t>
      </w:r>
      <w:bookmarkEnd w:id="682"/>
      <w:bookmarkEnd w:id="689"/>
      <w:bookmarkEnd w:id="690"/>
      <w:bookmarkEnd w:id="691"/>
      <w:bookmarkEnd w:id="692"/>
      <w:bookmarkEnd w:id="693"/>
      <w:bookmarkEnd w:id="694"/>
    </w:p>
    <w:p>
      <w:pPr>
        <w:pStyle w:val="62"/>
      </w:pPr>
      <w:r>
        <w:t>（1997年3月20日中华人民共和国国务院令第213号公布，根据2013年1月31日中华人民共和国国务院令第635号公布的《国务院关于修改〈中华人民共和国植物新品种保护条例〉的决定》第一次修订，根据2014年7月29日中华人民共和国国务院令第653号公布的《国务院关于修改部分行政法规的决定》第二次修订）</w:t>
      </w:r>
    </w:p>
    <w:p>
      <w:pPr>
        <w:pStyle w:val="63"/>
        <w:spacing w:before="218" w:after="218" w:line="412" w:lineRule="exact"/>
        <w:rPr>
          <w:b/>
        </w:rPr>
      </w:pPr>
      <w:r>
        <w:t>第一章  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为了保护植物新品种权，鼓励培育和使用植物新品种，促进农业、林业的发展，制定本条例。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本条例所称植物新品种，是指经过人工培育的或者对发现的野生植物加以开发，具备新颖性、特异性、一致性和稳定性并有适当命名的植物品种。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国务院农业、林业行政部门（以下统称审批机关）按照职责分工共同负责植物新品种权申请的受理和审查并对符合本条例规定的植物新品种授予植物新品种权（以下称品种权）。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完成关系国家利益或者公共利益并有重大应用价值的植物新品种育种的单位或者个人，由县级以上人民政府或者有关部门给予奖励。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生产、销售和推广被授予品种权的植物新品种（以下称授权品种），应当按照国家有关种子的法律、法规的规定审定。</w:t>
      </w:r>
    </w:p>
    <w:p>
      <w:pPr>
        <w:pStyle w:val="63"/>
        <w:spacing w:before="218" w:after="218" w:line="412" w:lineRule="exact"/>
        <w:rPr>
          <w:b/>
        </w:rPr>
      </w:pPr>
      <w:r>
        <w:t>第二章  品种权的内容和归属</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完成育种的单位或者个人对其授权品种，享有排他的独占权。任何单位或者个人未经品种权所有人（以下称品种权人）许可，不得为商业目的生产或者销售该授权品种的繁殖材料，不得为商业目的将该授权品种的繁殖材料重复使用于生产另一品种的繁殖材料；但是，本条例另有规定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执行本单位的任务或者主要是利用本单位的物质条件所完成的职务育种，植物新品种的申请权属于该单位；非职务育种，植物新品种的申请权属于完成育种的个人。申请被批准后，品种权属于申请人。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委托育种或者合作育种，品种权的归属由当事人在合同中约定；没有合同约定的，品种权属于受委托完成或者共同完成育种的单位或者个人。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一个植物新品种只能授予一项品种权。两个以上的申请人分别就同一个植物新品种申请品种权的，品种权授予最先申请的人；同时申请的，品种权授予最先完成该植物新品种育种的人。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植物新品种的申请权和品种权可以依法转让。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中国的单位或者个人就其在国内培育的植物新品种向外国人转让申请权或者品种权的，应当经审批机关批准。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国有单位在国内转让申请权或者品种权的，应当按照国家有关规定报经有关行政主管部门批准。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转让申请权或者品种权的，当事人应当订立书面合同，并向审批机关登记，由审批机关予以公告。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在下列情况下使用授权品种的，可以不经品种权人许可，不向其支付使用费，但是不得侵犯品种权人依照本条例享有的其他权利：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（一）利用授权品种进行育种及其他科研活动；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（二）农民自繁自用授权品种的繁殖材料。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为了国家利益或者公共利益，审批机关可以作出实施植物新品种强制许可的决定，并予以登记和公告。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取得实施强制许可的单位或者个人应当付给品种权人合理的使用费，其数额由双方商定；双方不能达成协议的，由审批机关裁决。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品种权人对强制许可决定或者强制许可使用费的裁决不服的，可以自收到通知之日起３个月内向人民法院提起诉讼。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不论授权品种的保护期是否届满，销售该授权品种应当使用其注册登记的名称。</w:t>
      </w:r>
    </w:p>
    <w:p>
      <w:pPr>
        <w:pStyle w:val="63"/>
        <w:spacing w:before="218" w:after="218" w:line="412" w:lineRule="exact"/>
        <w:rPr>
          <w:b/>
        </w:rPr>
      </w:pPr>
      <w:r>
        <w:t>第三章  授予品种权的条件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申请品种权的植物新品种应当属于国家植物品种保护名录中列举的植物的属或者种。植物品种保护名录由审批机关确定和公布。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授予品种权的植物新品种应当具备新颖性。新颖性，是指申请品种权的植物新品种在申请日前该品种繁殖材料未被销售，或者经育种者许可，在中国境内销售该品种繁殖材料未超过１年；在中国境外销售藤本植物、林木、果树和观赏树木品种繁殖材料未超过６年，销售其他植物品种繁殖材料未超过４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授予品种权的植物新品种应当具备特异性。特异性，是指申请品种权的植物新品种应当明显区别于在递交申请以前已知的植物品种。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授予品种权的植物新品种应当具备一致性。一致性，是指申请品种权的植物新品种经过繁殖，除可以预见的变异外，其相关的特征或者特性一致。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授予品种权的植物新品种应当具备稳定性。稳定性，是指申请品种权的植物新品种经过反复繁殖后或者在特定繁殖周期结束时，其相关的特征或者特性保持不变。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授予品种权的植物新品种应当具备适当的名称，并与相同或者相近的植物属或者种中已知品种的名称相区别。该名称经注册登记后即为该植物新品种的通用名称。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下列名称不得用于品种命名：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（一）仅以数字组成的；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（二）违反社会公德的；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（三）对植物新品种的特征、特性或者育种者的身份等容易引起误解的。</w:t>
      </w:r>
    </w:p>
    <w:p>
      <w:pPr>
        <w:pStyle w:val="63"/>
        <w:spacing w:before="218" w:after="218" w:line="412" w:lineRule="exact"/>
        <w:rPr>
          <w:b/>
        </w:rPr>
      </w:pPr>
      <w:r>
        <w:t>第四章  品种权的申请和受理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中国的单位和个人申请品种权的，可以直接或者委托代理机构向审批机关提出申请。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中国的单位和个人申请品种权的植物新品种涉及国家安全或者重大利益需要保密的，应当按照国家有关规定办理。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外国人、外国企业或者外国其他组织在中国申请品种权的，应当按其所属国和中华人民共和国签订的协议或者共同参加的国际条约办理，或者根据互惠原则，依照本条例办理。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申请品种权的，应当向审批机关提交符合规定格式要求的请求书、说明书和该品种的照片。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申请文件应当使用中文书写。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审批机关收到品种权申请文件之日为申请日；申请文件是邮寄的，以寄出的邮戳日为申请日。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申请人自在外国第一次提出品种权申请之日起12个月内，又在中国就该植物新品种提出品种权申请的，依照该外国同中华人民共和国签订的协议或者共同参加的国际条约，或者根据相互承认优先权的原则，可以享有优先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申请人要求优先权的，应当在申请时提出书面说明，并在３个月内提交经原受理机关确认的第一次提出的品种权申请文件的副本；未依照本条例规定提出书面说明或者提交申请文件副本的，视为未要求优先权。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对符合本条例第二十一条规定的品种权申请，审批机关应当予以受理，明确申请日、给予申请号，并自收到申请之日起１个月内通知申请人缴纳申请费。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对不符合或者经修改仍不符合本条例第二十一条规定的品种权申请，审批机关不予受理，并通知申请人。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申请人可以在品种权授予前修改或者撤回品种权申请。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中国的单位或者个人将国内培育的植物新品种向国外申请品种权的，应当向审批机关登记。</w:t>
      </w:r>
    </w:p>
    <w:p>
      <w:pPr>
        <w:pStyle w:val="63"/>
        <w:spacing w:before="218" w:after="218" w:line="412" w:lineRule="exact"/>
        <w:rPr>
          <w:b/>
        </w:rPr>
      </w:pPr>
      <w:r>
        <w:t>第五章  品种权的审查与批准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申请人缴纳申请费后，审批机关对品种权申请的下列内容进行初步审查：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（一）是否属于植物品种保护名录列举的植物属或者种的范围；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（二）是否符合本条例第二十条的规定；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（三）是否符合新颖性的规定；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（四）植物新品种的命名是否适当。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审批机关应当自受理品种权申请之日起６个月内完成初步审查。对经初步审查合格的品种权申请，审批机关予以公告，并通知申请人在３个月内缴纳审查费。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对经初步审查不合格的品种权申请，审批机关应当通知申请人在３个月内陈述意见或者予以修正；逾期未答复或者修正后仍然不合格的，驳回申请。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申请人按照规定缴纳审查费后，审批机关对品种权申请的特异性、一致性和稳定性进行实质审查。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申请人未按照规定缴纳审查费的，品种权申请视为撤回。</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审批机关主要依据申请文件和其他有关书面材料进行实质审查。审批机关认为必要时，可以委托指定的测试机构进行测试或者考察业已完成的种植或者其他试验的结果。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因审查需要，申请人应当根据审批机关的要求提供必要的资料和该植物新品种的繁殖材料。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对经实质审查符合本条例规定的品种权申请，审批机关应当作出授予品种权的决定，颁发品种权证书，并予以登记和公告。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对经</w:t>
      </w:r>
      <w:r>
        <w:rPr>
          <w:rFonts w:asciiTheme="minorEastAsia" w:hAnsiTheme="minorEastAsia" w:eastAsiaTheme="minorEastAsia"/>
          <w:spacing w:val="-4"/>
          <w:sz w:val="24"/>
          <w:szCs w:val="24"/>
        </w:rPr>
        <w:t>实质审查不符合本条例规定的品种权申请，审批机关予以驳回，并通知申请人。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审批机关设立植物新品种复审委员会。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对审批机关驳回品种权申请的决定不服的，申请人可以自收到通知之日起３个月内，向植物新品种复审委员会请求复审。植物新品种复审委员会应当自收到复审请求书之日起６个月内作出决定，并通知申请人。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申请人对植物新品种复审委员会的决定不服的，可以自接到通知之日起15日内向人民法院提起诉讼。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品种权被授予后，在自初步审查合格公告之日起至被授予品种权之日止的期间，对未经申请人许可，为商业目的生产或者销售该授权品种的繁殖材料的单位和个人，品种权人享有追偿的权利。</w:t>
      </w:r>
    </w:p>
    <w:p>
      <w:pPr>
        <w:pStyle w:val="63"/>
        <w:spacing w:before="218" w:after="218" w:line="412" w:lineRule="exact"/>
        <w:rPr>
          <w:b/>
        </w:rPr>
      </w:pPr>
      <w:r>
        <w:t>第六章  期限、终止和无效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品种权的保护期限，自授权之日起，藤本植物、林木、果树和观赏树木为20年，其他植物为15年。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品种权人应当自被授予品种权的当年开始缴纳年费，并且按照审批机关的要求提供用于检测的该授权品种的繁殖材料。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有下列情形之一的，品种权在其保护期限届满前终止：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（一）品种权人以书面声明放弃品种权的；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（二）品种权人未按照规定缴纳年费的；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（三）品种权人未按照审批机关的要求提供检测所需的该授权品种的繁殖材料的；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（四）经检测该授权品种不再符合被授予品种权时的特征和特性的。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品种权的终止，由审批机关登记和公告。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自审批机关公告授予品种权之日起，植物新品种复审委员会可以依据职权或者依据任何单位或者个人的书面请求，对不符合本条例第十四条、第十五条、第十六条和第十七条规定的，宣告品种权无效；对不符合本条例第十八条规定的，予以更名。宣告品种权无效或者更名的决定，由审批机关登记和公告，并通知当事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对植物新品种复审委员会的决定不服的，可以自收到通知之日起３个月内向人民法院提起诉讼。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被宣告无效的品种权视为自始不存在。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宣告品种权无效的决定，对在宣告前人民法院作出并已执行的植物新品种侵权的判决、裁定，省级以上人民政府农业、林业行政部门作出并已执行的植物新品种侵权处理决定，以及已经履行的植物新品种实施许可合同和植物新品种权转让合同，不具有追溯力；但是，因品种权人的恶意给他人造成损失的，应当给予合理赔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照前款规定，品种权人或者品种权转让人不向被许可实施人或者受让人返还使用费或者转让费，明显违反公平原则的，品种权人或者品种权转让人应当向被许可实施人或者受让人返还全部或者部分使用费或者转让费。</w:t>
      </w:r>
    </w:p>
    <w:p>
      <w:pPr>
        <w:pStyle w:val="63"/>
        <w:spacing w:before="218" w:after="218" w:line="412" w:lineRule="exact"/>
        <w:rPr>
          <w:b/>
        </w:rPr>
      </w:pPr>
      <w:r>
        <w:t>第七章  罚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未经品种权人许可，以商业目的生产或者销售授权品种的繁殖材料的，品种权人或者利害关系人可以请求省级以上人民政府农业、林业行政部门依据各自的职权进行处理，也可以直接向人民法院提起诉讼。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以上人民政府农业、林业行政部门依据各自的职权，根据当事人自愿的原则，对侵权所造成的损害赔偿可以进行调解。调解达成协议的，当事人应当履行；调解未达成协议的，品种权人或者利害关系人可以依照民事诉讼程序向人民法院提起诉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以上人民政府农业、林业行政部门依据各自的职权处理品种权侵权案件时，为维护社会公共利益，可以责令侵权人停止侵权行为，没收违法所得和植物品种繁殖材料；货值金额5万元以上的，可处货值金额1倍以上5倍以下的罚款；没有货值金额或者货值金额5万元以下的，根据情节轻重，可处25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假冒授权品种的，由县级以上人民政府农业、林业行政部门依据各自的职权责令停止假冒行为，没收违法所得和植物品种繁殖材料；货值金额5万元以上的，处货值金额1倍以上5倍以下的罚款；没有货值金额或者货值金额5万元以下的，根据情节轻重，处25万元以下的罚款；情节严重，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省级以上人民政府农业、林业行政部门依据各自的职权在查处品种权侵权案件和县级以上人民政府农业、林业行政部门依据各自的职权在查处假冒授权品种案件时，根据需要，可以封存或者扣押与案件有关的植物品种的繁殖材料，查阅、复制或者封存与案件有关的合同、帐册及有关文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销售授权品种未使用其注册登记的名称的，由县级以上人民政府农业、林业行政部门依据各自的职权责令限期改正，可以处1000元以下的罚款。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当事人就植物新品种的申请权和品种权的权属发生争议的，可以向人民法院提起诉讼。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县级以上人民政府农业、林业行政部门的及有关部门的工作人员滥用职权、玩忽职守、徇私舞弊、索贿受贿，构成犯罪的，依法追究刑事责任；尚不构成犯罪的，依法给予行政处分。</w:t>
      </w:r>
    </w:p>
    <w:p>
      <w:pPr>
        <w:pStyle w:val="63"/>
        <w:spacing w:before="218" w:after="218" w:line="412" w:lineRule="exact"/>
        <w:rPr>
          <w:b/>
        </w:rPr>
      </w:pPr>
      <w:r>
        <w:t>第八章  附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审批机关可以对本条例施行前首批列入植物品种保护名录的和本条例施行后新列入植物品种保护名录的植物属或者种的新颖性要求作出变通性规定。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本条例自1997年10月1日起施行。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695" w:name="_Toc28252203"/>
      <w:bookmarkStart w:id="696" w:name="_Toc6206"/>
      <w:bookmarkStart w:id="697" w:name="_Toc25648222"/>
      <w:bookmarkStart w:id="698" w:name="_Toc26347979"/>
      <w:bookmarkStart w:id="699" w:name="_Toc18916806"/>
      <w:bookmarkStart w:id="700" w:name="_Toc28157001"/>
      <w:bookmarkStart w:id="701" w:name="_Toc25653717"/>
      <w:bookmarkStart w:id="702" w:name="_Toc28250929"/>
      <w:bookmarkStart w:id="703" w:name="_Toc466579948"/>
      <w:r>
        <w:t>中华人民共和国植物新品种保护</w:t>
      </w:r>
      <w:r>
        <w:rPr>
          <w:rFonts w:hint="eastAsia"/>
        </w:rPr>
        <w:br w:type="textWrapping"/>
      </w:r>
      <w:r>
        <w:t>条例实施细则（农业部分）</w:t>
      </w:r>
      <w:bookmarkEnd w:id="695"/>
      <w:bookmarkEnd w:id="696"/>
      <w:bookmarkEnd w:id="697"/>
      <w:bookmarkEnd w:id="698"/>
      <w:bookmarkEnd w:id="699"/>
      <w:bookmarkEnd w:id="700"/>
      <w:bookmarkEnd w:id="701"/>
      <w:bookmarkEnd w:id="702"/>
      <w:bookmarkEnd w:id="703"/>
    </w:p>
    <w:p>
      <w:pPr>
        <w:pStyle w:val="62"/>
      </w:pPr>
      <w:r>
        <w:t>（2007年9月19日农业部令第5号公布，根据2011年12月31日农业部令第4号第一次修订，根据2014年4月25日农业部令第3号第二次修订）</w:t>
      </w:r>
    </w:p>
    <w:p>
      <w:pPr>
        <w:pStyle w:val="63"/>
        <w:spacing w:before="218" w:after="218" w:line="412" w:lineRule="exact"/>
        <w:rPr>
          <w:b/>
        </w:rPr>
      </w:pPr>
      <w:r>
        <w:t xml:space="preserve">第一章  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根据《中华人民共和国植物新品种保护条例》（以下简称《条例》），制定本细则。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农业植物新品种包括粮食、棉花、油料、麻类、糖料、蔬菜（含西甜瓜）、烟草、桑树、茶树、果树（干果除外）、观赏植物（木本除外）、草类、绿肥、草本药材、食用菌、藻类和橡胶树等植物的新品种。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依据《条例》第三条的规定，农业部为农业植物新品种权的审批机关，依照《条例》规定授予农业植物新品种权（以下简称品种权）。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农业部植物新品种保护办公室（以下简称品种保护办公室），承担品种权申请的受理、审查等事务，负责植物新品种测试和繁殖材料保藏的组织工作。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对危害公共利益、生态环境的植物新品种不授予品种权。</w:t>
      </w:r>
    </w:p>
    <w:p>
      <w:pPr>
        <w:pStyle w:val="63"/>
        <w:spacing w:before="218" w:after="218" w:line="412" w:lineRule="exact"/>
        <w:rPr>
          <w:b/>
        </w:rPr>
      </w:pPr>
      <w:r>
        <w:t>第二章  品种权的内容和归属</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《条例》所称繁殖材料是指可繁殖植物的种植材料或植物体的其他部分，包括籽粒、果实和根、茎、苗、芽、叶等。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申请品种权的单位或者个人统称为品种权申请人；获得品种权的单位或者个人统称为品种权人。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《条例》第七条所称执行本单位任务所完成的职务育种是指下列情形之一：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（一）在本职工作中完成的育种；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（二）履行本单位交付的本职工作之外的任务所完成的育种；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（三）退职、退休或者调动工作后，3年内完成的与其在原单位承担的工作或者原单位分配的任务有关的育种。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《条例》第七条所称本单位的物质条件是指本单位的资金、仪器设备、试验场地以及单位所有的尚未允许公开的育种材料和技术资料等。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《条例》第八条所称完成新品种育种的人是指完成新品种育种的单位或者个人（以下简称育种者）。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完成新品种培育的人员（以下简称培育人）是指对新品种培育作出创造性贡献的人。仅负责组织管理工作、为物质条件的利用提供方便或者从事其他辅助工作的人不能被视为培育人。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一个植物新品种只能被授予一项品种权。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一个植物新品种由两个以上申请人分别于同一日内提出品种权申请的，由申请人自行协商确定申请权的归属；协商不能达成一致意见的，品种保护办公室可以要求申请人在指定期限内提供证据，证明自己是最先完成该新品种育种的人。逾期未提供证据的，视为撤回申请；所提供证据不足以作为判定依据的，品种保护办公室驳回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中国的单位或者个人就其在国内培育的新品种向外国人转让申请权或者品种权的，应当向农业部申请审批。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转让申请权或者品种权的，当事人应当订立书面合同，向农业部登记，由农业部予以公告，并自公告之日起生效。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有下列情形之一的，农业部可以作出实施品种权的强制许可决定：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（一）为了国家利益或者公共利益的需要；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（二）品种权人无正当理由自己不实施，又不许可他人以合理条件实施的；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（三）对重要农作物品种，品种权人虽已实施，但明显不能满足国内市场需求，又不许可他人以合理条件实施的。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申请强制许可的，应当向农业部提交强制许可请求书，说明理由并附具有关证明文件各一式两份。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w:t>
      </w:r>
      <w:r>
        <w:rPr>
          <w:rFonts w:asciiTheme="minorEastAsia" w:hAnsiTheme="minorEastAsia" w:eastAsiaTheme="minorEastAsia"/>
          <w:spacing w:val="-4"/>
          <w:sz w:val="24"/>
          <w:szCs w:val="24"/>
        </w:rPr>
        <w:t>自收到请求书之日起20个工作日内作出决定。需要组织专家调查论证的，调查论证时间不得超过3个月。同意强制许可请求的，由农业部通知品种权人和强制许可请求人，并予以公告；不同意强制许可请求的，通知请求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依照《条例》第十一条第二款规定，申请农业部裁决使用费数额的，当事人应当提交裁决申请书，并附具未能达成协议的证明文件。农业部自收到申请书之日起3个月内作出裁决并通知当事人。</w:t>
      </w:r>
    </w:p>
    <w:p>
      <w:pPr>
        <w:pStyle w:val="63"/>
        <w:spacing w:before="218" w:after="218" w:line="412" w:lineRule="exact"/>
        <w:rPr>
          <w:b/>
        </w:rPr>
      </w:pPr>
      <w:r>
        <w:t>第三章  授予品种权的条件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依照《条例》第四十五条的规定，列入植物新品种保护名录的植物属或者种，从名录公布之日起1年内提出的品种权申请，凡经过育种者许可，申请日前在中国境内销售该品种的繁殖材料未超过4年，符合《条例》规定的特异性、一致性和稳定性及命名要求的，农业部可以授予品种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具有下列情形之一的，属于《条例》第十四条规定的销售：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（一）以买卖方式将申请品种的繁殖材料转移他人；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（二）以易货方式将申请品种的繁殖材料转移他人；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（三）以入股方式将申请品种的繁殖材料转移他人；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（四）以申请品种的繁殖材料签订生产协议；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（五）以其他方式销售的情形。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具有下列情形之一的，视为《条例》第十四条规定的育种者许可销售：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（一）育种者自己销售；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（二）育种者内部机构销售；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（三）育种者的全资或者参股企业销售；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（四）农业部规定的其他情形。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《条例》第十五条所称“已知的植物品种”，包括品种权申请初审合格公告、通过品种审定或者已推广应用的品种。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《条例》第十六条、第十七条所称“相关的特征或者特性”是指至少包括用于特异性、一致性和稳定性测试的性状或者授权时进行品种描述的性状。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有下列情形之一的，不得用于新品种命名：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（一）仅以数字组成的；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（二）违反国家法律或者社会公德或者带有民族歧视性的；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（三）以国家名称命名的；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（四）以县级以上行政区划的地名或者公众知晓的外国地名命名的；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（五）同政府间国际组织或者其他国际国内知名组织及标识名称相同或者近似的；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（六）对植物新品种的特征、特性或者育种者的身份等容易引起误解的；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（七）属于相同或相近植物属或者种的已知名称的；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（八）夸大宣传的。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已通过品种审定的品种，或获得《农业转基因生物安全证书（生产应用）》的转基因植物品种，如品种名称符合植物新品种命名规定，申请品种权的品种名称应当与品种审定或农业转基因生物安全审批的品种名称一致。</w:t>
      </w:r>
    </w:p>
    <w:p>
      <w:pPr>
        <w:pStyle w:val="63"/>
        <w:spacing w:before="218" w:after="218" w:line="412" w:lineRule="exact"/>
        <w:rPr>
          <w:b/>
        </w:rPr>
      </w:pPr>
      <w:r>
        <w:t>第四章  品种权的申请和受理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中国的单位和个人申请品种权的，可以直接或者委托代理机构向品种保护办公室提出申请。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在中国没有经常居所的外国人、外国企业或其他外国组织，向品种保护办公室提出品种权申请的，应当委托代理机构办理。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委托代理机构办理品种权申请等相关事务时，应当与代理机构签订委托书，明确委托办理事项与权责。代理机构在向品种保护办公室提交申请时，应当同时提交申请人委托书。品种保护办公室在上述申请的受理与审查程序中，直接与代理机构联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申请品种权的，申请人应当向品种保护办公室提交请求书、说明书和品种照片各一式两份，同时提交相应的请求书和说明书的电子文档。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请求书、说明书按照品种保护办公室规定的统一格式填写。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申请人提交的说明书应当包括下列内容：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（一）申请品种的暂定名称，该名称应当与请求书的名称一致；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（二）申请品种所属的属或者种的中文名称和拉丁文名称；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（三）育种过程和育种方法，包括系谱、培育过程和所使用的亲本或者其他繁殖材料来源与名称的详细说明；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（四）有关销售情况的说明；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（五）选择的近似品种及理由；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（六）申请品种特异性、一致性和稳定性的详细说明；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（七）适于生长的区域或者环境以及栽培技术的说明；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（八）申请品种与近似品种的性状对比表。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前款第（五）、（八）项所称近似品种是指在所有已知植物品种中，相关特征或者特性与申请品种最为相似的品种。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申请人提交的照片应当符合以下要求：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（一）照片有利于说明申请品种的特异性；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（二）申请品种与近似品种的同一种性状对比应在同一张照片上；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（三）照片应为彩色，必要时，品种保护办公室可以要求申请人提供黑白照片；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（四）照片规格为8.5厘米×12.5厘米或者10厘米×15厘米；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（五）关于照片的简要文字说明。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品种权申请文件有下列情形之一的，品种保护办公室不予受理：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（一）未使用中文的；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（二）缺少请求书、说明书或者照片之一的；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（三）请求书、说明书和照片不符合本细则规定格式的；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（四）文件未打印的；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（五）字迹不清或者有涂改的；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（六）缺少申请人和联系人姓名（名称）、地址、邮政编码的或者不详的；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（七）委托代理但缺少代理委托书的。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中国的单位或者个人将国内培育的植物新品种向国外申请品种权的，应当向所在地省级人民政府农业行政主管部门申请登记。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申请人依照《条例》第二十三条的规定要求优先权的，应当在申请中写明第一次提出品种权申请的申请日、申请号和受理该申请的国家或组织；未写明的，视为未要求优先权。申请人提交的第一次品种权申请文件副本应当经原受理机关确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在中国没有经常居所或者营业所的外国人、外国企业和外国其他组织，申请品种权或者要求优先权的，品种保护办公室认为必要时，可以要求其提供下列文件：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（一）申请人是个人的，其国籍证明；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（二）申请人是企业或者其他组织的，其营业所或者总部所在地的证明；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（三）外国人、外国企业、外国其他组织的所属国，承认中国单位和个人可以按照该国国民的同等条件，在该国享有品种申请权、优先权和其他与品种权有关的权利的证明文件。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申请人在向品种保护办公室提出品种权申请12个月内，又向国外申请品种权的，依照该国或组织同中华人民共和国签订的协议或者共同参加的国际条约，或者根据相互承认优先权的原则，可以请求品种保护办公室出具优先权证明文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依照《条例》第十九条第二款规定，中国的单位和个人申请品种权的植物新品种涉及国家安全或者重大利益需要保密的，申请人应当在申请文件中说明，品种保护办公室经过审查后作出是否按保密申请处理的决定，并通知申请人；品种保护办公室认为需要保密而申请人未注明的，仍按保密申请处理，并通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申请人送交的申请品种繁殖材料应当与品种权申请文件中所描述的繁殖材料相一致，并符合下列要求：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（一）未遭受意外损害；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（二）未经过药物处理；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（三）无检疫性的有害生物；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（四）送交的繁殖材料为籽粒或果实的，籽粒或果实应当是最近收获的。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品种保护办公室认为必要的，申请人应当送交申请品种和近似品种的繁殖材料，用于申请品种的审查和检测。申请品种属于转基因品种的，应当附具生产性试验阶段的《农业转基因生物安全审批书》或《农业转基因生物安全证书（生产应用）》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人应当自收到品种保护办公室通知之日起3个月内送交繁殖材料。送交繁殖材料为籽粒或果实的，应当送至品种保护办公室植物新品种保藏中心（以下简称保藏中心）；送交种苗、种球、块茎、块根等无性繁殖材料的，应当送至品种保护办公室指定的测试机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送交的繁殖材料数量少于品种保护办公室规定的，保藏中心或者测试机构应当通知申请人，申请人应自收到通知之日起1个月内补足。特殊情况下，申请人送交了规定数量的繁殖材料后仍不能满足测试或者检测需要时，品种保护办公室有权要求申请人补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繁殖材料应当依照有关规定实施植物检疫。检疫不合格或者未经检疫的，保藏中心或者测试机构不予接收。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保藏中心或者测试机构收到申请人送交的繁殖材料后应当出具书面证明，并在收到繁殖材料之日起20个工作日内（有休眠期的植物除外）完成生活力等内容的检测。检测合格的，应当向申请人出具书面检测合格证明；检测不合格的，应当通知申请人自收到通知之日起1个月内重新送交繁殖材料并取回检测不合格的繁殖材料，申请人到期不取回的，保藏中心或者测试机构应当销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申请人未按规定送交繁殖材料的，视为撤回申请。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保藏中心和测试机构对申请品种的繁殖材料负有保密的责任，应当防止繁殖材料丢失、被盗等事故的发生，任何人不得更换检验合格的繁殖材料。发生繁殖材料丢失、被盗、更换的，依法追究有关人员的责任。</w:t>
      </w:r>
    </w:p>
    <w:p>
      <w:pPr>
        <w:pStyle w:val="63"/>
        <w:spacing w:before="218" w:after="218" w:line="412" w:lineRule="exact"/>
        <w:rPr>
          <w:b/>
        </w:rPr>
      </w:pPr>
      <w:r>
        <w:t>第五章  品种权的审查与批准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在初步审查、实质审查、复审和无效宣告程序中进行审查和复审人员有下列情形之一的，应当自行回避，当事人或者其他利害关系人可以要求其回避：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（一）是当事人或者其代理人近亲属的；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（二）与品种权申请或者品种权有直接利害关系的；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（三）与当事人或者其代理人有其他关系，可能影响公正审查和审理的。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审查人员的回避由品种保护办公室决定，复审人员的回避由植物新品种复审委员会主任决定。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一件植物品种权申请包括两个以上新品种的，品种保护办公室应当要求申请人提出分案申请。申请人在指定期限内对其申请未进行分案修正或者期满未答复的，视为撤回申请。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申请人按照品种保护办公室要求提出的分案申请，可以保留原申请日；享有优先权的，可保留优先权日。但不得超出原申请文件已有内容的范围。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分案申请应当依照《条例》及本细则的规定办理相关手续。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分案申请的请求书中应当写明原申请的申请号和申请日。原申请享有优先权的，应当提交原申请的优先权文件副本。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品种保护办公室对品种权申请的下列内容进行初步审查：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（一）是否符合《条例》第二十七条规定；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（二）选择的近似品种是否适当；申请品种的亲本或其他繁殖材料来源是否公开。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品种保护办公室应当将审查意见通知申请人。品种保护办公室有疑问的，可要求申请人在指定期限内陈述意见或者补正；申请人期满未答复的，视为撤回申请。申请人陈述意见或者补正后，品种保护办公室认为仍然不符合规定的，应当驳回其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除品种权申请文件外，任何人向品种保护办公室提交的与品种权申请有关的材料，有下列情形之一的，视为未提出：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（一）未使用规定的格式或者填写不符合要求的；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（二）未按照规定提交证明材料的。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当事人当面提交材料的，受理人员应当当面说明材料存在的缺陷后直接退回；通过邮局提交的，品种保护办公室应当将视为未提出的审查意见和原材料一起退回；邮寄地址不清的，采用公告方式退回。</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自品种权申请之日起至授予品种权之日前，任何人均可以对不符合《条例》第八条、第十三至第十八条以及本细则第四条规定的品种权申请，向品种保护办公室提出异议，并提供相关证据和说明理由。未提供相关证据的，品种保护办公室不予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未经品种保护办公室批准，申请人在品种权授予前不得修改申请文件的下列内容：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（一）申请品种的名称、申请品种的亲本或其他繁殖材料名称、来源以及申请品种的育种方法；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（二）申请品种的最早销售时间；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（三）申请品种的特异性、一致性和稳定性内容。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品种权申请文件的修改部分，除个别文字修改或者增删外，应当按照规定格式提交替换页。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品种保护办公室负责对品种权申请进行实质审查，并将审查意见通知申请人。品种保护办公室可以根据审查的需要，要求申请人在指定期限内陈述意见或者补正。申请人期满未答复的，视为撤回申请。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依照《条例》和本细则的规定，品种权申请经实质审查应当予以驳回的情形是指：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（一）不符合《条例》第八条、第十三条至第十七条规定之一的；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（二）属于本细则第四条规定的；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（三）不符合命名规定，申请人又不按照品种保护办公室要求修改的；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（四）申请人陈述意见或者补正后，品种保护办公室认为仍不符合规定的。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品种保护办公室发出办理授予品种权手续的通知后，申请人应当自收到通知之日起2个月内办理相关手续和缴纳第1年年费。对按期办理的，农业部授予品种权，颁发品种权证书，并予以公告。品种权自授权公告之日起生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期满未办理的，视为放弃取得品种权的权利。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农业部植物新品种复审委员会，负责审理驳回品种权申请的复审案件、品种权无效宣告案件和授权品种更名案件。具体规定由农业部另行制定。</w:t>
      </w:r>
    </w:p>
    <w:p>
      <w:pPr>
        <w:pStyle w:val="63"/>
        <w:spacing w:before="218" w:after="218" w:line="412" w:lineRule="exact"/>
        <w:rPr>
          <w:b/>
        </w:rPr>
      </w:pPr>
      <w:r>
        <w:t>第六章  文件的提交、送达和期限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依照《条例》和本细则规定提交的各种文件应当使用中文，并采用国家统一规定的科学技术术语和规范词。外国人名、地名和科学技术术语没有统一中文译文的，应当注明原文。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依照《条例》和本细则规定提交的各种证件和证明文件是外文的，应当附送中文译文；未附送的，视为未提交该证明文件。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当事人向品种保护办公室提交的各种文件应当打印或者印刷，字迹呈黑色，并整齐清晰。申请文件的文字部分应当横向书写，纸张只限单面使用。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当事人提交的各种文件和办理的其他手续，应当由申请人、品种权人、其他利害关系人或者其代表人签字或者盖章；委托代理机构的，由代理机构盖章。请求变更培育人姓名、品种权申请人和品种权人的姓名或者名称、国籍、地址、代理机构的名称和代理人姓名的，应当向品种保护办公室办理著录事项变更手续，并附具变更理由的证明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当事人提交各种材料时，可以直接提交，也可以邮寄。邮寄时，应当使用挂号信函，不得使用包裹，一件信函中应当只包含同一申请的相关材料。邮寄的，以寄出的邮戳日为提交日。信封上寄出的邮戳日不清晰的，除当事人能够提供证明外，以品种保护办公室的收到日期为提交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保护办公室的各种文件，可以通过邮寄、直接送交或者以公告的方式送达当事人。当事人委托代理机构的，文件送交代理机构；未委托代理机构的，文件送交请求书中收件人地址及收件人或者第一署名人或者代表人。当事人拒绝接收文件的，该文件视为已经送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品种保护办公室邮寄的各种文件，自文件发出之日起满15日，视为当事人收到文件之日。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根据规定应当直接送交的文件，以交付日为送达日。文件送达地址不清，无法邮寄的，可以通过公告的方式送达当事人。自公告之日起满2个月，该文件视为已经送达。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条例》和本细则规定的各种期限的第一日不计算在期限内。期限以年或者月计算的，以其最后一月的相应日为期限届满日；该月无相应日的，以该月最后一日为期限届满日。期限届满日是法定节假日的，以节假日后的第一个工作日为期限届满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当事人因不可抗力而耽误《条例》或者本细则规定的期限或者品种保护办公室指定的期限，导致其权利丧失的，自障碍消除之日起2个月内，最迟自期限届满之日起2年内，可以向品种保护办公室说明理由并附具有关证明文件，请求恢复其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当事人因正当理由而耽误《条例》或者本细则规定的期限或者品种保护办公室指定的期限，造成其权利丧失的，可以自收到通知之日起2个月内向品种保护办公室说明理由，请求恢复其权利。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当事人请求延长品种保护办公室指定期限的，应当在期限届满前，向品种保护办公室说明理由并办理有关手续。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本条第一款和第二款的规定不适用《条例》第十四条、第二十三条、第三十二条第二、三款、第三十四条、第三十七条第二款规定的期限。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除《条例》第二十二条的规定外，《条例》所称申请日，有优先权的，指优先权日。</w:t>
      </w:r>
    </w:p>
    <w:p>
      <w:pPr>
        <w:pStyle w:val="63"/>
        <w:spacing w:before="218" w:after="218" w:line="412" w:lineRule="exact"/>
        <w:rPr>
          <w:b/>
        </w:rPr>
      </w:pPr>
      <w:r>
        <w:t>第七章  费用和公报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申请品种权和办理其他手续时，应当按照国家有关规定向农业部缴纳申请费、审查费、年费。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《条例》和本细则规定的各种费用，可以直接缴纳，也可以通过邮局或者银行汇付。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通过邮局或者银行汇付的，应当注明品种名称，同时将汇款凭证的复印件传真或者邮寄至品种保护办公室，并说明该费用的申请号或者品种权号、申请人或者品种权人的姓名或名称、费用名称。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通过邮局或者银行汇付的，以汇出日为缴费日。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依照《条例》第二十四条的规定，申请人可以在提交品种权申请的同时缴纳申请费，但最迟自申请之日起1个月内缴纳申请费，期满未缴纳或者未缴足的，视为撤回申请。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经初步审查合格的品种权申请，申请人应当按照品种保护办公室的通知，在规定的期限内缴纳审查费。期满未缴纳或者未缴足的，视为撤回申请。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申请人在领取品种权证书前，应当缴纳授予品种权第1年的年费。以后的年费应当在前1年度期满前1个月内预缴。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品种权人未按时缴纳授予品种权第1年以后的年费，或者缴纳的数额不足的，品种保护办公室应当通知申请人自应当缴纳年费期满之日起6个月内补缴；期满未缴纳的，自应当缴纳年费期满之日起，品种权终止。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品种保护办公室定期发布植物新品种保护公报，公告品种权有关内容。</w:t>
      </w:r>
    </w:p>
    <w:p>
      <w:pPr>
        <w:pStyle w:val="63"/>
        <w:spacing w:before="218" w:after="218" w:line="412" w:lineRule="exact"/>
        <w:rPr>
          <w:b/>
        </w:rPr>
      </w:pPr>
      <w:r>
        <w:t>第八章  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《条例》第四十条、第四十一条所称的假冒授权品种行为是指下列情形之一：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（一）印制或者使用伪造的品种权证书、品种权申请号、品种权号或者其他品种权申请标记、品种权标记；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（二）印制或者使用已经被驳回、视为撤回或者撤回的品种权申请的申请号或者其他品种权申请标记；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（三）印制或者使用已经被终止或者被宣告无效的品种权的品种权证书、品种权号或者其他品种权标记；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（四）生产或者销售本条第（一）项、第（二）项和第（三）项所标记的品种；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（五）生产或销售冒充品种权申请或者授权品种名称的品种；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（六）其他足以使他人将非品种权申请或者非授权品种误认为品种权申请或者授权品种的行为。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农业行政部门根据《条例》第四十一条的规定对封存或者扣押的植物品种繁殖材料，应当在30日内做出处理；情况复杂的，经农业行政部门负责人批准可以延长，延长期限不超过30日。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当事人因品种申请权或者品种权发生纠纷，向人民法院提起诉讼并且人民法院已受理的，可以向品种保护办公室请求中止有关程序。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依照前款规定申请中止有关程序的，应当向品种保护办公室提交申请书，并附具人民法院的有关受理文件副本。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人民法院作出的判决生效后，当事人应当向品种保护办公室请求恢复有关程序。自请求中止之日起1年内，有关品种申请权或者品种权归属的纠纷未能结案，需要继续中止有关程序的，请求人应当在该期限内请求延长中止。期满未请求延长的，品种保护办公室可以自行恢复有关程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已被视为撤回、驳回和主动撤回的品种权申请的案卷，自该品种权申请失效之日起满2年后不予保存。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已被宣告无效的品种权案卷自该品种权无效宣告之日起，终止的品种权案卷自该品种权失效之日起满3年后不予保存。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本细则自2008年1月1日起施行。1999年6月16日农业部发布的《中华人民共和国植物新品种保护条例实施细则（农业部分）》同时废止。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704" w:name="_Toc12939"/>
      <w:bookmarkStart w:id="705" w:name="_Toc18916807"/>
      <w:bookmarkStart w:id="706" w:name="_Toc46657994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707" w:name="_Toc28157002"/>
      <w:bookmarkStart w:id="708" w:name="_Toc28250930"/>
      <w:bookmarkStart w:id="709" w:name="_Toc25648223"/>
      <w:bookmarkStart w:id="710" w:name="_Toc26347980"/>
      <w:bookmarkStart w:id="711" w:name="_Toc25653718"/>
      <w:bookmarkStart w:id="712" w:name="_Toc28252204"/>
      <w:r>
        <w:t>农业植物品种命名规定</w:t>
      </w:r>
      <w:bookmarkEnd w:id="704"/>
      <w:bookmarkEnd w:id="705"/>
      <w:bookmarkEnd w:id="706"/>
      <w:bookmarkEnd w:id="707"/>
      <w:bookmarkEnd w:id="708"/>
      <w:bookmarkEnd w:id="709"/>
      <w:bookmarkEnd w:id="710"/>
      <w:bookmarkEnd w:id="711"/>
      <w:bookmarkEnd w:id="712"/>
    </w:p>
    <w:p>
      <w:pPr>
        <w:pStyle w:val="62"/>
        <w:topLinePunct w:val="0"/>
        <w:ind w:firstLine="0" w:firstLineChars="0"/>
        <w:jc w:val="center"/>
        <w:rPr>
          <w:b/>
        </w:rPr>
      </w:pPr>
      <w:r>
        <w:t>（2012年3月14日农业部令第2号公布）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农业植物品种命名，加强品种名称管理，保护育种者和种子生产者、经营者、使用者的合法权益，根据《中华人民共和国种子法》、《中华人民共和国植物新品种保护条例》和《农业转基因生物安全管理条例》，制定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申请农作物品种审定、农业植物新品种权和农业转基因生物安全评价的农业植物品种及其直接应用的亲本的命名，应当遵守本规定。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其他农业植物品种的命名，参照本规定执行。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农业部负责全国农业植物品种名称的监督管理工作。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县级以上地方人民政府农业行政主管部门负责本行政区域内农业植物品种名称的监督管理工作。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农业部建立农业植物品种名称检索系统，供品种命名、审查和查询使用。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一个农业植物品种只能使用一个名称。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相同或者相近的农业植物属内的品种名称不得相同。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相近的农业植物属见附件。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申请人应当书面保证所申请品种名称在农作物品种审定、农业植物新品种权和农业转基因生物安全评价中的一致性。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相同或者相近植物属内的两个以上品种，以同一名称提出相关申请的，名称授予先申请的品种，后申请的应当重新命名；同日申请的，名称授予先完成培育的品种，后完成培育的应当重新命名。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品种名称应当使用规范的汉字、英文字母、阿拉伯数字、罗马数字或其组合。品种名称不得超过15个字符。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品种命名不得存在下列情形：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（一）仅以数字或者英文字母组成的；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（二）仅以一个汉字组成的；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（三）含有国家名称的全称、简称或者缩写的，但存在其他含义且不易误导公众的除外；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（四）含有县级以上行政区划的地名或者公众知晓的其他国内外地名的，但地名简称、地名具有其他含义的除外；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（五）与政府间国际组织或者其他国际国内知名组织名称相同或者近似的，但经该组织同意或者不易误导公众的除外；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（六）容易对植物品种的特征、特性或者育种者身份等引起误解的，但惯用的杂交水稻品种命名除外；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（七）夸大宣传的；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（八）与他人驰名商标、同类注册商标的名称相同或者近似，未经商标权人同意的；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（九）含有杂交、回交、突变、芽变、花培等植物遗传育种术语的；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（十）违反国家法律法规、社会公德或者带有歧视性的；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（十一）不适宜作为品种名称的或者容易引起误解的其他情形。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有下列情形之一的，属于容易对植物品种的特征、特性引起误解的情形：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（一）易使公众误认为该品种具有某种特性或特征，但该品种不具备该特性或特征的；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（二）易使公众误认为只有该品种具有某种特性或特征，但同属或者同种内的其他品种同样具有该特性或特征的；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（三）易使公众误认为该品种来源于另一品种或者与另一品种有关，实际并不具有联系的；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（四）其他容易对植物品种的特征、特性引起误解的情形。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有下列情形之一的，属于容易对育种者身份引起误解的情形：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（一）品种名称中含有另一知名育种者名称的；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（二）品种名称与另一已经使用的知名系列品种名称近似的；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（三）其他容易对育种者身份引起误解的情形。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有下列情形之一的，视为品种名称相同：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（一）读音或者字义不同但文字相同的；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（二）仅以名称中数字后有无“号”字区别的；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（三）其他视为品种名称相同的情形。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品种的中文名称译成英文时，应当逐字音译，每个汉字音译的第一个字母应当大写。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品种的外文名称译成中文时，应当优先采用音译；音译名称与已知品种重复的，采用意译；意译仍有重复的，应当另行命名。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农业植物品种名称不符合本规定的，申请人应当在指定的期限内予以修改。逾期未修改或者修改后仍不符合规定的，驳回该申请。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农作物品种审定、农业植物新品种权和农业转基因生物安全评价的农业植物品种，在公告前应当在农业部网站公示，公示期为15个工作日。省级审定的农作物品种在公告前，应当由省级人民政府农业行政主管部门将品种名称等信息报农业部公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农业部对公示期间提出的异议进行审查，并将异议处理结果通知异议人和申请人。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公告后的品种名称不得擅自更改。确需更改的，报原审批单位审批。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销售农业植物种子，未使用公告品种名称的，由县级以上人民政府农业行政主管部门按照《种子法》第五十九条的规定处罚。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申请人以同一品种申请农作物品种审定、农业植物新品种权和农业转基因生物安全评价过程中，通过欺骗、贿赂等不正当手段获取多个品种名称的，除由审批机关撤销相应的农作物品种审定、农业植物新品种权、农业转基因生物安全评价证书外，三年内不再受理该申请人相应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本规定施行前已取得品种名称的农业植物品种，可以继续使用其名称。对有多个名称的在用品种，由农业部组织品种名称清理并重新公告。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本规定施行前已受理但尚未批准的农作物品种审定、农业植物新品种权和农业转基因生物安全评价申请，其品种名称不符合本规定要求的，申请人应当在指定期限内重新命名。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本规定自2012年4月15日起施行。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附件：</w:t>
      </w:r>
    </w:p>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相近的农业植物属</w:t>
      </w:r>
    </w:p>
    <w:tbl>
      <w:tblPr>
        <w:tblStyle w:val="27"/>
        <w:tblW w:w="8720" w:type="dxa"/>
        <w:tblInd w:w="0" w:type="dxa"/>
        <w:tblLayout w:type="fixed"/>
        <w:tblCellMar>
          <w:top w:w="0" w:type="dxa"/>
          <w:left w:w="28" w:type="dxa"/>
          <w:bottom w:w="0" w:type="dxa"/>
          <w:right w:w="28" w:type="dxa"/>
        </w:tblCellMar>
      </w:tblPr>
      <w:tblGrid>
        <w:gridCol w:w="2906"/>
        <w:gridCol w:w="2907"/>
        <w:gridCol w:w="2907"/>
      </w:tblGrid>
      <w:tr>
        <w:tblPrEx>
          <w:tblCellMar>
            <w:top w:w="0" w:type="dxa"/>
            <w:left w:w="28" w:type="dxa"/>
            <w:bottom w:w="0" w:type="dxa"/>
            <w:right w:w="28" w:type="dxa"/>
          </w:tblCellMar>
        </w:tblPrEx>
        <w:trPr>
          <w:tblHeader/>
        </w:trPr>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编号</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相近的农业植物属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拉丁文</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黑麦属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Secale</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黑小麦属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Triticale</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小麦属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Triticum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黍属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Panicum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狗尾草属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Setaria</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翦股颖属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Agrostis</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鸭茅属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Dactylis</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羊茅属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Festuca</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羊茅黑麦草属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Festulolium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黑麦草属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Lolium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虉草属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Phalaris</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梯牧草属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Phleum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早熟禾属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Poa</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4</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百脉根属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Lotus</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苜蓿属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Medicago</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驴食豆属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Onobrychis</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车轴草属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Trifolium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菊巨属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Cichorium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莴巨属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Lactuca</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6</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矮牵牛属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Petunia</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小花矮牵牛属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Calibrachoa</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7</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茼蒿属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Chrysanthemum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亚菊属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Ajania</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8</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驼舌草属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Goniolimon</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补血草属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Limonium</w:t>
            </w:r>
          </w:p>
        </w:tc>
      </w:tr>
      <w:tr>
        <w:tblPrEx>
          <w:tblCellMar>
            <w:top w:w="0" w:type="dxa"/>
            <w:left w:w="28" w:type="dxa"/>
            <w:bottom w:w="0" w:type="dxa"/>
            <w:right w:w="28" w:type="dxa"/>
          </w:tblCellMar>
        </w:tblPrEx>
        <w:tc>
          <w:tcPr>
            <w:tcW w:w="2906" w:type="dxa"/>
            <w:vAlign w:val="center"/>
          </w:tcPr>
          <w:p>
            <w:pPr>
              <w:pStyle w:val="3"/>
              <w:topLinePunct/>
              <w:spacing w:line="416" w:lineRule="exact"/>
              <w:ind w:firstLine="0" w:firstLineChars="0"/>
              <w:jc w:val="center"/>
              <w:rPr>
                <w:rFonts w:asciiTheme="minorEastAsia" w:hAnsiTheme="minorEastAsia" w:eastAsiaTheme="minorEastAsia"/>
                <w:sz w:val="24"/>
                <w:szCs w:val="24"/>
              </w:rPr>
            </w:pP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裸穗花属</w:t>
            </w:r>
          </w:p>
        </w:tc>
        <w:tc>
          <w:tcPr>
            <w:tcW w:w="2907" w:type="dxa"/>
            <w:vAlign w:val="center"/>
          </w:tcPr>
          <w:p>
            <w:pPr>
              <w:pStyle w:val="3"/>
              <w:topLinePunct/>
              <w:spacing w:line="416" w:lineRule="exa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Psylliostachys</w:t>
            </w:r>
          </w:p>
        </w:tc>
      </w:tr>
    </w:tbl>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注：表中列举的植物属，同编号内的植物品种名称不得相同。表以外的植物属种，以属为分类单位，在同一属内，植物品种名称不得相同。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713" w:name="_Toc32487"/>
      <w:bookmarkStart w:id="714" w:name="_Toc18916796"/>
    </w:p>
    <w:p>
      <w:pPr>
        <w:pStyle w:val="61"/>
      </w:pPr>
      <w:bookmarkStart w:id="715" w:name="_Toc25648224"/>
      <w:bookmarkStart w:id="716" w:name="_Toc28157003"/>
      <w:bookmarkStart w:id="717" w:name="_Toc28252205"/>
      <w:bookmarkStart w:id="718" w:name="_Toc28250931"/>
      <w:bookmarkStart w:id="719" w:name="_Toc25653719"/>
      <w:bookmarkStart w:id="720" w:name="_Toc26347981"/>
      <w:r>
        <w:t>主要农作物品种审定办法</w:t>
      </w:r>
      <w:bookmarkEnd w:id="713"/>
      <w:bookmarkEnd w:id="714"/>
      <w:bookmarkEnd w:id="715"/>
      <w:bookmarkEnd w:id="716"/>
      <w:bookmarkEnd w:id="717"/>
      <w:bookmarkEnd w:id="718"/>
      <w:bookmarkEnd w:id="719"/>
      <w:bookmarkEnd w:id="720"/>
    </w:p>
    <w:p>
      <w:pPr>
        <w:pStyle w:val="62"/>
      </w:pPr>
      <w:r>
        <w:t>（2016年7月8日中华人民共和国农业部令第4号公布，根据2019年4月25日农业农村部令第2号修订）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为科学、公正、及时地审定主要农作物品种，根据《中华人民共和国种子法》（以下简称《种子法》），制定本办法。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在中华人民共和国境内的主要农作物品种审定，适用本办法。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本办法所称主要农作物，是指稻、小麦、玉米、棉花、大豆。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省级以上人民政府农业主管部门应当采取措施，加强品种审定工作监督管理。省级人民政府农业主管部门应当完善品种选育、审定工作的区域协作机制，促进优良品种的选育和推广。</w:t>
      </w:r>
    </w:p>
    <w:p>
      <w:pPr>
        <w:pStyle w:val="63"/>
        <w:spacing w:before="218" w:after="218" w:line="412" w:lineRule="exact"/>
      </w:pPr>
      <w:r>
        <w:t xml:space="preserve">第二章 </w:t>
      </w:r>
      <w:r>
        <w:rPr>
          <w:rFonts w:hint="eastAsia"/>
        </w:rPr>
        <w:t xml:space="preserve"> </w:t>
      </w:r>
      <w:r>
        <w:t>品种审定委员会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农业部设立国家农作物品种审定委员会，负责国家级农作物品种审定工作。省级人民政府农业主管部门设立省级农作物品种审定委员会，负责省级农作物品种审定工作。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农作物品种审定委员会建立包括申请文件、品种审定试验数据、种子样品、审定意见和审定结论等内容的审定档案，保证可追溯。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品种审定委员会由科研、教学、生产、推广、管理、使用等方面的专业人员组成。委员应当具有高级专业技术职称或处级以上职务，年龄一般在55岁以下。每届任期5年，连任不得超过两届。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品种审定委员会设主任1名，副主任2-5名。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品种审定委员会设立办公室，负责品种审定委员会的日常工作，设主任1名，副主任1-2名。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asciiTheme="minorEastAsia" w:hAnsiTheme="minorEastAsia" w:eastAsiaTheme="minorEastAsia"/>
          <w:sz w:val="24"/>
          <w:szCs w:val="24"/>
        </w:rPr>
        <w:t xml:space="preserve">  品种审定委员会按作物种类设立专业委员会，各专业委员会由9-23人的单数组成，设主任1名，副主任1-2名。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省级品种审定委员会对本辖区种植面积小的主要农作物，可以合并设立专业委员会。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品种审定委员会设立主任委员会，由品种审定委员会主任和副主任、各专业委员会主任、办公室主任组成。</w:t>
      </w:r>
    </w:p>
    <w:p>
      <w:pPr>
        <w:pStyle w:val="63"/>
        <w:spacing w:before="218" w:after="218" w:line="412" w:lineRule="exact"/>
      </w:pPr>
      <w:r>
        <w:t xml:space="preserve">第三章 </w:t>
      </w:r>
      <w:r>
        <w:rPr>
          <w:rFonts w:hint="eastAsia"/>
        </w:rPr>
        <w:t xml:space="preserve"> </w:t>
      </w:r>
      <w:r>
        <w:t>申请和受理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申请品种审定的单位、个人（以下简称申请者），可以直接向国家农作物品种审定委员会或省级农作物品种审定委员会提出申请。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在中国境内没有经常居所或者营业场所的境外机构和个人在境内申请品种审定的，应当委托具有法人资格的境内种子企业代理。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申请者可以单独申请国家级审定或省级审定，也可以同时申请国家级审定和省级审定，还可以同时向几个省、自治区、直辖市申请审定。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申请审定的品种应当具备下列条件：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（一）人工选育或发现并经过改良；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（二）与现有品种（已审定通过或本级品种审定委员会已受理的其他品种）有明显区别；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（三）形态特征和生物学特性一致；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（四）遗传性状稳定；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（五）具有符合《农业植物品种命名规定》的名称；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已完成同一生态类型区2个生产周期以上、多点的品种比较试验。其中，申请国家级品种审定的，稻、小麦、玉米品种比较试验每年不少于20个点，棉花、大豆品种比较试验每年不少于10个点，或具备省级品种审定试验结果报告；申请省级品种审定的，品种比较试验每年不少于5个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申请品种审定的，应当向品种审定委员会办公室提交以下材料：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（一）申请表，包括作物种类和品种名称，申请者名称、地址、邮政编码、联系人、电话号码、传真、国籍，品种选育的单位或者个人（以下简称育种者）等内容；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（二）品种选育报告，包括亲本组合以及杂交种的亲本血缘关系、选育方法、世代和特性描述；品种（含杂交种亲本）特征特性描述、标准图片，建议的试验区域和栽培要点；品种主要缺陷及应当注意的问题；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（三）品种比较试验报告，包括试验品种、承担单位、抗性表现、品质、产量结果及各试验点数据、汇总结果等；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（四）转基因棉花品种还应当提供农业转基因生物安全证书；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（五）品种和申请材料真实性承诺书。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品种审定委员会办公室在收到申请材料45日内作出受理或不予受理的决定，并书面通知申请者。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对于符合本办法第十二条、第十三条规定的，应当受理，并通知申请者在30日内提供试验种子。对于提供试验种子的，由办公室安排品种试验。逾期不提供试验种子的，视为撤回申请。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对于不符合本办法第十二条、第十三条规定的，不予受理。申请者可以在接到通知后30日内陈述意见或者对申请材料予以修正，逾期未陈述意见或者修正的，视为撤回申请；修正后仍然不符合规定的，驳回申请。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品种审定委员会办公室应当在申请者提供的试验种子中留取标准样品，交农业部植物品种标准样品库保存。</w:t>
      </w:r>
    </w:p>
    <w:p>
      <w:pPr>
        <w:pStyle w:val="63"/>
        <w:spacing w:before="218" w:after="218" w:line="412" w:lineRule="exact"/>
      </w:pPr>
      <w:r>
        <w:t xml:space="preserve">第四章 </w:t>
      </w:r>
      <w:r>
        <w:rPr>
          <w:rFonts w:hint="eastAsia"/>
        </w:rPr>
        <w:t xml:space="preserve"> </w:t>
      </w:r>
      <w:r>
        <w:t>品种试验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品种试验包括以下内容：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（一）区域试验；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（二）生产试验；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（三）品种特异性、一致性和稳定性测试（以下简称DUS测试）。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国家级品种区域试验、生产试验由全国农业技术推广服务中心组织实施，省级品种区域试验、生产试验由省级种子管理机构组织实施。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品种试验组织实施单位应当充分听取品种审定申请人和专家意见，合理设置试验组别，优化试验点布局，科学制定试验实施方案，并向社会公布。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asciiTheme="minorEastAsia" w:hAnsiTheme="minorEastAsia" w:eastAsiaTheme="minorEastAsia"/>
          <w:sz w:val="24"/>
          <w:szCs w:val="24"/>
        </w:rPr>
        <w:t xml:space="preserve">  区域试验应当对品种丰产性、稳产性、适应性、抗逆性等进行鉴定，并进行品质分析、DNA指纹检测、转基因检测等。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每一个品种的区域试验，试验时间不少于两个生产周期，田间试验设计采用随机区组或间比法排列。同一生态类型区试验点，国家级不少于10个，省级不少于5个。</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生产试验在区域试验完成后，在同一生态类型区，按照当地主要生产方式，在接近大田生产条件下对品种的丰产性、稳产性、适应性、抗逆性等进一步验证。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每一个品种的生产试验点数量不少于区域试验点，每一个品种在一个试验点的种植面积不少于300平方米，不大于3000平方米，试验时间不少于一个生产周期。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第一个生产周期综合性状突出的品种，生产试验可与第二个生产周期的区域试验同步进行。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区域试验、生产试验对照品种应当是同一生态类型区同期生产上推广应用的已审定品种，具备良好的代表性。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对照品种由品种试验组织实施单位提出，品种审定委员会相关专业委员会确认，并根据农业生产发展的需要适时更换。</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省级农作物品种审定委员会应当将省级区域试验、生产试验对照品种报国家农作物品种审定委员会备案。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区域试验、生产试验、DUS测试承担单位应当具备独立法人资格，具有稳定的试验用地、仪器设备、技术人员。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品种试验技术人员应当具有相关专业大专以上学历或中级以上专业技术职称、品种试验相关工作经历,并定期接受相关技术培训。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抗逆性鉴定由品种审定委员会指定的鉴定机构承担，品质检测、DNA指纹检测、转基因检测由具有资质的检测机构承担。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品种试验、测试、鉴定承担单位与个人应当对数据的真实性负责。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第二十二条</w:t>
      </w:r>
      <w:r>
        <w:rPr>
          <w:rFonts w:asciiTheme="minorEastAsia" w:hAnsiTheme="minorEastAsia" w:eastAsiaTheme="minorEastAsia"/>
          <w:sz w:val="24"/>
          <w:szCs w:val="24"/>
        </w:rPr>
        <w:t xml:space="preserve">  品种试验组织实施单位应当会同品种审定委员会办公室，定期组织开展品种试验考察，检查试验质量、鉴评试验品种表现，并形成考察报告，对田间表现出严重缺陷的品种保留现场图片资料。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品种试验组织实施单位应当组织申请者代表参与区域试验、生产试验收获测产，测产数据由试验技术人员、试验承担单位负责人和申请者代表签字确认。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asciiTheme="minorEastAsia" w:hAnsiTheme="minorEastAsia" w:eastAsiaTheme="minorEastAsia"/>
          <w:sz w:val="24"/>
          <w:szCs w:val="24"/>
        </w:rPr>
        <w:t xml:space="preserve">  品种试验组织实施单位应当在每个生产周期结束后45日内召开品种试验总结会议。品种审定委员会专业委员会根据试验汇总结果、试验考察情况，确定品种是否终止试验、继续试验、提交审定，由品种审定委员会办公室将品种处理结果及时通知申请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asciiTheme="minorEastAsia" w:hAnsiTheme="minorEastAsia" w:eastAsiaTheme="minorEastAsia"/>
          <w:sz w:val="24"/>
          <w:szCs w:val="24"/>
        </w:rPr>
        <w:t xml:space="preserve">  申请者具备试验能力并且试验品种是自有品种的，可以按照下列要求自行开展品种试验：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（一）在国家级或省级品种区域试验基础上，自行开展生产试验；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（二）自有品种属于特殊用途品种的，自行开展区域试验、生产试验，生产试验可与第二个生产周期区域试验合并进行。特殊用途品种的范围、试验要求由同级品种审定委员会确定；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者属于企业联合体、科企联合体和科研单位联合体的，组织开展相应区组的品种试验。联合体成员数量应当不少于5家，并且签订相关合作协议，按照同权同责原则，明确责任义务。一个法人单位在同一试验区组内只能参加一个试验联合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前款规定自行开展品种试验的实施方案应当在播种前30日内报国家级或省级品种试验组织实施单位，符合条件的纳入国家级或省级品种试验统一管理。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DUS测试由申请者自主或委托农业部授权的测试机构开展，接受农业部科技发展中心指导。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者自主测试的，应当在播种前30日内，按照审定级别将测试方案报农业部科技发展中心或省级种子管理机构。农业部科技发展中心、省级种子管理机构分别对国家级审定、省级审定DUS测试过程进行监督检查，对样品和测试报告的真实性进行抽查验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DUS测试所选择近似品种应当为特征特性最为相似的品种，DUS测试依据相应主要农作物DUS测试指南进行。测试报告应当由法人代表或法人代表授权签字。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asciiTheme="minorEastAsia" w:hAnsiTheme="minorEastAsia" w:eastAsiaTheme="minorEastAsia"/>
          <w:sz w:val="24"/>
          <w:szCs w:val="24"/>
        </w:rPr>
        <w:t xml:space="preserve">  符合农业部规定条件、获得选育生产经营相结合许可证的种子企业（以下简称育繁推一体化种子企业），对其自主研发的主要农作物品种可以在相应生态区自行开展品种试验，完成试验程序后提交申请材料。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试验实施方案应当在播种前30日内报国家级或省级品种试验组织实施单位备案。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育繁推一体化种子企业应当建立包括品种选育过程、试验实施方案、试验原始数据等相关信息的档案，并对试验数据的真实性负责，保证可追溯，接受省级以上人民政府农业主管部门和社会的监督。</w:t>
      </w:r>
    </w:p>
    <w:p>
      <w:pPr>
        <w:pStyle w:val="63"/>
        <w:spacing w:before="218" w:after="218" w:line="412" w:lineRule="exact"/>
      </w:pPr>
      <w:r>
        <w:t xml:space="preserve">第五章 </w:t>
      </w:r>
      <w:r>
        <w:rPr>
          <w:rFonts w:hint="eastAsia"/>
        </w:rPr>
        <w:t xml:space="preserve"> </w:t>
      </w:r>
      <w:r>
        <w:t>审定与公告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asciiTheme="minorEastAsia" w:hAnsiTheme="minorEastAsia" w:eastAsiaTheme="minorEastAsia"/>
          <w:sz w:val="24"/>
          <w:szCs w:val="24"/>
        </w:rPr>
        <w:t xml:space="preserve">  对于完成试验程序的品种，申请者、品种试验组织实施单位、育繁推一体化种子企业应当在2月底和9月底前分别将稻、玉米、棉花、大豆品种和小麦品种各试验点数据、汇总结果、DUS测试报告提交品种审定委员会办公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品种审定委员会办公室在30日内提交品种审定委员会相关专业委员会初审，专业委员会应当在30日内完成初审。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asciiTheme="minorEastAsia" w:hAnsiTheme="minorEastAsia" w:eastAsiaTheme="minorEastAsia"/>
          <w:sz w:val="24"/>
          <w:szCs w:val="24"/>
        </w:rPr>
        <w:t xml:space="preserve">  初审品种时，各专业委员会应当召开全体会议，到会委员达到该专业委员会委员总数三分之二以上的，会议有效。对品种的初审，根据审定标准，采用无记名投票表决，赞成票数达到该专业委员会委员总数二分之一以上的品种，通过初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专业委员会对育繁推一体化种子企业提交的品种试验数据等材料进行审核，达到审定标准的，通过初审。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asciiTheme="minorEastAsia" w:hAnsiTheme="minorEastAsia" w:eastAsiaTheme="minorEastAsia"/>
          <w:sz w:val="24"/>
          <w:szCs w:val="24"/>
        </w:rPr>
        <w:t xml:space="preserve">  初审实行回避制度。专业委员会主任的回避，由品种审定委员会办公室决定；其他委员的回避，由专业委员会主任决定。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asciiTheme="minorEastAsia" w:hAnsiTheme="minorEastAsia" w:eastAsiaTheme="minorEastAsia"/>
          <w:sz w:val="24"/>
          <w:szCs w:val="24"/>
        </w:rPr>
        <w:t xml:space="preserve">  初审通过的品种，由品种审定委员会办公室在30日内将初审意见及各试点试验数据、汇总结果，在同级农业主管部门官方网站公示，公示期不少于30日。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asciiTheme="minorEastAsia" w:hAnsiTheme="minorEastAsia" w:eastAsiaTheme="minorEastAsia"/>
          <w:sz w:val="24"/>
          <w:szCs w:val="24"/>
        </w:rPr>
        <w:t xml:space="preserve">  公示期满后，品种审定委员会办公室应当将初审意见、公示结果，提交品种审定委员会主任委员会审核。主任委员会应当在30日内完成审核。审核同意的，通过审定。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育繁推一体化种子企业自行开展自主研发品种试验，品种通过审定后，将品种标准样品提交至农业部植物品种标准样品库保存。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审定通过的品种，由品种审定委员会编号、颁发证书，同级农业主管部门公告。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省级审定的农作物品种在公告前，应当由省级人民政府农业主管部门将品种名称等信息报农业部公示，公示期为15个工作日。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asciiTheme="minorEastAsia" w:hAnsiTheme="minorEastAsia" w:eastAsiaTheme="minorEastAsia"/>
          <w:sz w:val="24"/>
          <w:szCs w:val="24"/>
        </w:rPr>
        <w:t xml:space="preserve">  审定编号为审定委员会简称、作物种类简称、年号、序号，其中序号为四位数。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asciiTheme="minorEastAsia" w:hAnsiTheme="minorEastAsia" w:eastAsiaTheme="minorEastAsia"/>
          <w:sz w:val="24"/>
          <w:szCs w:val="24"/>
        </w:rPr>
        <w:t xml:space="preserve">  审定公告内容包括：审定编号、品种名称、申请者、育种者、品种来源、形态特征、生育期、产量、品质、抗逆性、栽培技术要点、适宜种植区域及注意事项等。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省级品种审定公告，应当在发布后30日内报国家农作物品种审定委员会备案。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审定公告公布的品种名称为该品种的通用名称。禁止在生产、经营、推广过程中擅自更改该品种的通用名称。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第三十六条</w:t>
      </w:r>
      <w:r>
        <w:rPr>
          <w:rFonts w:asciiTheme="minorEastAsia" w:hAnsiTheme="minorEastAsia" w:eastAsiaTheme="minorEastAsia"/>
          <w:sz w:val="24"/>
          <w:szCs w:val="24"/>
        </w:rPr>
        <w:t xml:space="preserve">  审定证书内容包括：审定编号、品种名称、申请者、育种者、品种来源、审定意见、公告号、证书编号。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asciiTheme="minorEastAsia" w:hAnsiTheme="minorEastAsia" w:eastAsiaTheme="minorEastAsia"/>
          <w:sz w:val="24"/>
          <w:szCs w:val="24"/>
        </w:rPr>
        <w:t xml:space="preserve">  审定未通过的品种，由品种审定委员会办公室在30日内书面通知申请者。申请者对审定结果有异议的，可以自接到通知之日起30日内，向原品种审定委员会或者国家级品种审定委员会申请复审。品种审定委员会应当在下一次审定会议期间对复审理由、原审定文件和原审定程序进行复审。对病虫害鉴定结果提出异议的，品种审定委员会认为有必要的，安排其他单位再次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品种审定委员会办公室应当在复审后30日内将复审结果书面通知申请者。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asciiTheme="minorEastAsia" w:hAnsiTheme="minorEastAsia" w:eastAsiaTheme="minorEastAsia"/>
          <w:sz w:val="24"/>
          <w:szCs w:val="24"/>
        </w:rPr>
        <w:t xml:space="preserve">  品种审定标准，由同级农作物品种审定委员会制定。审定标准应当有利于产量、品质、抗性等的提高与协调，有利于适应市场和生活消费需要的品种的推广。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省级品种审定标准，应当在发布后30日内报国家农作物品种审定委员会备案。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制定品种审定标准，应当公开征求意见。</w:t>
      </w:r>
    </w:p>
    <w:p>
      <w:pPr>
        <w:pStyle w:val="63"/>
        <w:spacing w:before="218" w:after="218" w:line="412" w:lineRule="exact"/>
      </w:pPr>
      <w:r>
        <w:t xml:space="preserve">第六章 </w:t>
      </w:r>
      <w:r>
        <w:rPr>
          <w:rFonts w:hint="eastAsia"/>
        </w:rPr>
        <w:t xml:space="preserve"> </w:t>
      </w:r>
      <w:r>
        <w:t>引种备案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第三十九条</w:t>
      </w:r>
      <w:r>
        <w:rPr>
          <w:rFonts w:asciiTheme="minorEastAsia" w:hAnsiTheme="minorEastAsia" w:eastAsiaTheme="minorEastAsia"/>
          <w:sz w:val="24"/>
          <w:szCs w:val="24"/>
        </w:rPr>
        <w:t xml:space="preserve">  省级人民政府农业主管部门应当建立同一适宜生态区省际间品种试验数据共享互认机制，开展引种备案。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第四十条</w:t>
      </w:r>
      <w:r>
        <w:rPr>
          <w:rFonts w:asciiTheme="minorEastAsia" w:hAnsiTheme="minorEastAsia" w:eastAsiaTheme="minorEastAsia"/>
          <w:sz w:val="24"/>
          <w:szCs w:val="24"/>
        </w:rPr>
        <w:t xml:space="preserve">  通过省级审定的品种，其他省、自治区、直辖市属于同一适宜生态区的地域引种的，引种者应当报所在省、自治区、直辖市人民政府农业主管部门备案。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备案时，引种者应当填写引种备案表，包括作物种类、品种名称、引种者名称、联系方式、审定品种适宜种植区域、拟引种区域等信息。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第四十一条</w:t>
      </w:r>
      <w:r>
        <w:rPr>
          <w:rFonts w:asciiTheme="minorEastAsia" w:hAnsiTheme="minorEastAsia" w:eastAsiaTheme="minorEastAsia"/>
          <w:sz w:val="24"/>
          <w:szCs w:val="24"/>
        </w:rPr>
        <w:t xml:space="preserve">  引种者应当在拟引种区域开展不少于1年的适应性、抗病性试验，对品种的真实性、安全性和适应性负责。具有植物新品种权的品种，还应当经过品种权人的同意。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省、自治区、直辖市人民政府农业主管部门及时发布引种备案公告，公告内容包括品种名称、引种者、育种者、审定编号、引种适宜种植区域等内容。公告号格式为：（X）引种〔X〕第X号，其中，第一个“X”为省、自治区、直辖市简称，第二个“X”为年号，第三个“X”为序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第四十三条</w:t>
      </w:r>
      <w:r>
        <w:rPr>
          <w:rFonts w:asciiTheme="minorEastAsia" w:hAnsiTheme="minorEastAsia" w:eastAsiaTheme="minorEastAsia"/>
          <w:sz w:val="24"/>
          <w:szCs w:val="24"/>
        </w:rPr>
        <w:t xml:space="preserve">  国家审定品种同一适宜生态区，由国家农作物品种审定委员会确定。省级审定品种同一适宜生态区，由省级农作物品种审定委员会依据国家农作物品种审定委员会确定的同一适宜生态区具体确定。</w:t>
      </w:r>
    </w:p>
    <w:p>
      <w:pPr>
        <w:pStyle w:val="63"/>
        <w:spacing w:before="218" w:after="218" w:line="412" w:lineRule="exact"/>
        <w:rPr>
          <w:b/>
        </w:rPr>
      </w:pPr>
      <w:r>
        <w:t xml:space="preserve">第七章 </w:t>
      </w:r>
      <w:r>
        <w:rPr>
          <w:rFonts w:hint="eastAsia"/>
        </w:rPr>
        <w:t xml:space="preserve"> </w:t>
      </w:r>
      <w:r>
        <w:t>撤销审定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审定通过的品种，有下列情形之一的，应当撤销审定：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（一）在使用过程中出现不可克服严重缺陷的；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（二）种性严重退化或失去生产利用价值的；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（三）未按要求提供品种标准样品或者标准样品不真实的；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（四）以欺骗、伪造试验数据等不正当方式通过审定的。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第四十五条</w:t>
      </w:r>
      <w:r>
        <w:rPr>
          <w:rFonts w:asciiTheme="minorEastAsia" w:hAnsiTheme="minorEastAsia" w:eastAsiaTheme="minorEastAsia"/>
          <w:sz w:val="24"/>
          <w:szCs w:val="24"/>
        </w:rPr>
        <w:t xml:space="preserve">  拟撤销审定的品种，由品种审定委员会办公室在书面征求品种审定申请者意见后提出建议，经专业委员会初审后，在同级农业主管部门官方网站公示，公示期不少于30日。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公示期满后，品种审定委员会办公室应当将初审意见、公示结果，提交品种审定委员会主任委员会审核，主任委员会应当在30日内完成审核。审核同意撤销审定的，由同级农业主管部门予以公告。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第四十六条</w:t>
      </w:r>
      <w:r>
        <w:rPr>
          <w:rFonts w:asciiTheme="minorEastAsia" w:hAnsiTheme="minorEastAsia" w:eastAsiaTheme="minorEastAsia"/>
          <w:sz w:val="24"/>
          <w:szCs w:val="24"/>
        </w:rPr>
        <w:t xml:space="preserve">  公告撤销审定的品种，自撤销审定公告发布之日起停止生产、广告，自撤销审定公告发布一个生产周期后停止推广、销售。品种审定委员会认为有必要的，可以决定自撤销审定公告发布之日起停止推广、销售。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省级品种撤销审定公告，应当在发布后30日内报国家农作物品种审定委员会备案。</w:t>
      </w:r>
    </w:p>
    <w:p>
      <w:pPr>
        <w:pStyle w:val="63"/>
        <w:spacing w:before="218" w:after="218" w:line="412" w:lineRule="exact"/>
      </w:pPr>
      <w:r>
        <w:t xml:space="preserve">第八章 </w:t>
      </w:r>
      <w:r>
        <w:rPr>
          <w:rFonts w:hint="eastAsia"/>
        </w:rPr>
        <w:t xml:space="preserve"> </w:t>
      </w:r>
      <w:r>
        <w:t>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第四十七条</w:t>
      </w:r>
      <w:r>
        <w:rPr>
          <w:rFonts w:asciiTheme="minorEastAsia" w:hAnsiTheme="minorEastAsia" w:eastAsiaTheme="minorEastAsia"/>
          <w:sz w:val="24"/>
          <w:szCs w:val="24"/>
        </w:rPr>
        <w:t xml:space="preserve">  农业部建立全国农作物品种审定数据信息系统，实现国家和省两级品种审定网上申请、受理，品种试验数据、审定通过品种、撤销审定品种、引种备案品种、标准样品等信息互联共享，审定证书网上统一打印。审定证书格式由国家农作物品种审定委员会统一制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省级以上人民政府农业主管部门应当在统一的政府信息发布平台上发布品种审定、撤销审定、引种备案、监督管理等信息，接受监督。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品种试验、审定单位及工作人员，对在试验、审定过程中获知的申请者的商业秘密负有保密义务，不得对外提供申请品种审定的种子或者谋取非法利益。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第四十九条</w:t>
      </w:r>
      <w:r>
        <w:rPr>
          <w:rFonts w:asciiTheme="minorEastAsia" w:hAnsiTheme="minorEastAsia" w:eastAsiaTheme="minorEastAsia"/>
          <w:sz w:val="24"/>
          <w:szCs w:val="24"/>
        </w:rPr>
        <w:t xml:space="preserve">  品种审定委员会委员和工作人员应当忠于职守，公正廉洁。品种审定委员会委员、工作人员不依法履行职责，弄虚作假、徇私舞弊的，依法给予处分；自处分决定作出之日起五年内不得从事品种审定工作。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申请者在申请品种审定过程中有欺骗、贿赂等不正当行为的，三年内不受理其申请。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联合体成员单位弄虚作假的，终止联合体品种试验审定程序；弄虚作假成员单位三年内不得申请品种审定，不得再参加联合体试验；其他成员单位应当承担连带责任，三年内不得参加其他联合体试验。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第五十一条</w:t>
      </w:r>
      <w:r>
        <w:rPr>
          <w:rFonts w:asciiTheme="minorEastAsia" w:hAnsiTheme="minorEastAsia" w:eastAsiaTheme="minorEastAsia"/>
          <w:sz w:val="24"/>
          <w:szCs w:val="24"/>
        </w:rPr>
        <w:t xml:space="preserve">  品种测试、试验、鉴定机构伪造试验数据或者出具虚假证明的，按照《种子法》第七十二条及有关法律行政法规的规定进行处罚。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第五十二条</w:t>
      </w:r>
      <w:r>
        <w:rPr>
          <w:rFonts w:asciiTheme="minorEastAsia" w:hAnsiTheme="minorEastAsia" w:eastAsiaTheme="minorEastAsia"/>
          <w:sz w:val="24"/>
          <w:szCs w:val="24"/>
        </w:rPr>
        <w:t xml:space="preserve">  育繁推一体化种子企业自行开展品种试验和申请审定有造假行为的，由省级以上人民政府农业主管部门处一百万元以上五百万元以下罚款；不得再自行开展品种试验；给种子使用者和其他种子生产经营者造成损失的，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农业部对省级人民政府农业主管部门的品种审定工作进行监督检查，未依法开展品种审定、引种备案、撤销审定的，责令限期改正，依法给予处分。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违反本办法规定，构成犯罪的，依法追究刑事责任。</w:t>
      </w:r>
    </w:p>
    <w:p>
      <w:pPr>
        <w:pStyle w:val="63"/>
        <w:spacing w:before="218" w:after="218" w:line="412" w:lineRule="exact"/>
        <w:rPr>
          <w:b/>
        </w:rPr>
      </w:pPr>
      <w:r>
        <w:t xml:space="preserve">第九章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农作物品种审定所需工作经费和品种试验经费，列入同级农业主管部门财政专项经费预算。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第五十六条</w:t>
      </w:r>
      <w:r>
        <w:rPr>
          <w:rFonts w:asciiTheme="minorEastAsia" w:hAnsiTheme="minorEastAsia" w:eastAsiaTheme="minorEastAsia"/>
          <w:sz w:val="24"/>
          <w:szCs w:val="24"/>
        </w:rPr>
        <w:t xml:space="preserve">  转基因农作物（不含转基因棉花）品种审定办法另行制定。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育繁推一体化企业自行开展试验的品种和联合体组织开展试验的品种，不再参加国家级和省级试验组织实施单位组织的相应区组品种试验。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第五十八条</w:t>
      </w:r>
      <w:r>
        <w:rPr>
          <w:rFonts w:asciiTheme="minorEastAsia" w:hAnsiTheme="minorEastAsia" w:eastAsiaTheme="minorEastAsia"/>
          <w:sz w:val="24"/>
          <w:szCs w:val="24"/>
        </w:rPr>
        <w:t xml:space="preserve">  本办法自2016年8月15日起施行，农业部2001年2月26日发布、2007年11月8日和2014年2月1日修订的《主要农作物品种审定办法》，以及2001年2月26日发布的《主要农作物范围规定》同时废止。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721" w:name="_Toc28157004"/>
      <w:bookmarkStart w:id="722" w:name="_Toc25648225"/>
      <w:bookmarkStart w:id="723" w:name="_Toc18916797"/>
      <w:bookmarkStart w:id="724" w:name="_Toc28252206"/>
      <w:bookmarkStart w:id="725" w:name="_Toc27317"/>
      <w:bookmarkStart w:id="726" w:name="_Toc28250932"/>
      <w:bookmarkStart w:id="727" w:name="_Toc25653720"/>
      <w:bookmarkStart w:id="728" w:name="_Toc26347982"/>
      <w:r>
        <w:t>非主要农作物品种登记办法</w:t>
      </w:r>
      <w:bookmarkEnd w:id="721"/>
      <w:bookmarkEnd w:id="722"/>
      <w:bookmarkEnd w:id="723"/>
      <w:bookmarkEnd w:id="724"/>
      <w:bookmarkEnd w:id="725"/>
      <w:bookmarkEnd w:id="726"/>
      <w:bookmarkEnd w:id="727"/>
      <w:bookmarkEnd w:id="728"/>
    </w:p>
    <w:p>
      <w:pPr>
        <w:pStyle w:val="62"/>
        <w:topLinePunct w:val="0"/>
        <w:ind w:firstLine="0" w:firstLineChars="0"/>
        <w:jc w:val="center"/>
      </w:pPr>
      <w:r>
        <w:t>（2017年3月30日</w:t>
      </w:r>
      <w:r>
        <w:rPr>
          <w:shd w:val="clear" w:color="auto" w:fill="FFFFFF"/>
        </w:rPr>
        <w:t>中华人民共和国</w:t>
      </w:r>
      <w:r>
        <w:t>农业部令第1号公布）</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为了规范非主要农作物品种管理，科学、公正、及时地登记非主要农作物品种，根据《中华人民共和国种子法》（以下简称《种子法》），制定本办法。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在中华人民共和国境内的非主要农作物品种登记，适用本办法。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法律、行政法规和农业部规章对非主要农作物品种管理另有规定的，依照其规定。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本办法所称非主要农作物，是指稻、小麦、玉米、棉花、大豆五种主要农作物以外的其他农作物。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列入非主要农作物登记目录的品种，在推广前应当登记。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应当登记的农作物品种未经登记的，不得发布广告、推广，不得以登记品种的名义销售。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部主管全国非主要农作物品种登记工作，制定、调整非主要农作物登记目录和品种登记指南，建立全国非主要农作物品种登记信息平台（以下简称品种登记平台），具体工作由全国农业技术推广服务中心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省级人民政府农业主管部门负责品种登记的具体实施和监督管理，受理品种登记申请，对申请者提交的申请文件进行书面审查。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w:t>
      </w:r>
      <w:r>
        <w:rPr>
          <w:rFonts w:asciiTheme="minorEastAsia" w:hAnsiTheme="minorEastAsia" w:eastAsiaTheme="minorEastAsia"/>
          <w:spacing w:val="4"/>
          <w:sz w:val="24"/>
          <w:szCs w:val="24"/>
        </w:rPr>
        <w:t>以上人民政府农业主管部门应当采取有效措施，加强对已登记品种的监督检查，履行好对申请者和品种测试、试验机构的监管责任，保证消费安全和用种安全。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申请者申请品种登记，应当对申请文件和种子样品的合法性、真实性负责，保证可追溯，接受监督检查。给种子使用者和其他种子生产经营者造成损失的，依法承担赔偿责任。</w:t>
      </w:r>
    </w:p>
    <w:p>
      <w:pPr>
        <w:pStyle w:val="63"/>
        <w:spacing w:before="218" w:after="218" w:line="412" w:lineRule="exact"/>
        <w:rPr>
          <w:b/>
        </w:rPr>
      </w:pPr>
      <w:r>
        <w:t xml:space="preserve">第二章 </w:t>
      </w:r>
      <w:r>
        <w:rPr>
          <w:rFonts w:hint="eastAsia"/>
        </w:rPr>
        <w:t xml:space="preserve"> </w:t>
      </w:r>
      <w:r>
        <w:t>申请、受理与审查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品种登记申请实行属地管理。一个品种只需要在一个省份申请登记。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两个以上申请者分别就同一个品种申请品种登记的，优先受理最先提出的申请；同时申请的，优先受理该品种育种者的申请。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申请者应当在品种登记平台上实名注册，可以通过品种登记平台提出登记申请，也可以向住所地的省级人民政府农业主管部门提出书面登记申请。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在中国境内没有经常居所或者营业场所的境外机构、个人在境内申请品种登记的，应当委托具有法人资格的境内种子企业代理。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申请登记的品种应当具备下列条件：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（一）人工选育或发现并经过改良；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（二）具备特异性、一致性、稳定性；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（三）具有符合《农业植物品种命名规定》的品种名称。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申请登记具有植物新品种权的品种，还应当经过品种权人的书面同意。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对新培育的品种，申请者应当按照品种登记指南的要求提交以下材料：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（二）品种特性、育种过程等的说明材料；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（三）特异性、一致性、稳定性测试报告；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（四）种子、植株及果实等实物彩色照片；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（五）品种权人的书面同意材料；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（六）品种和申请材料合法性、真实性承诺书。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本办法实施前已审定或者已销售种植的品种，申请者可以按照品种登记指南的要求，提交申请表、品种生产销售应用情况或者品种特异性、一致性、稳定性说明材料，申请品种登记。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省级人民政府农业主管部门对申请者提交的材料，应当根据下列情况分别作出处理：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（一）申请品种不需要品种登记的，即时告知申请者不予受理；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（二）申请材料存在错误的，允许申请者当场更正；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（三）申请材料不齐全或者不符合法定形式的，应当当场或者在五个工作日内一次告知申请者需要补正的全部内容，逾期不告知的，自收到申请材料之日起即为受理；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（四）申请材料齐全、符合法定形式，或者申请者按照要求提交全部补正材料的，予以受理。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省级人民政</w:t>
      </w:r>
      <w:r>
        <w:rPr>
          <w:rFonts w:asciiTheme="minorEastAsia" w:hAnsiTheme="minorEastAsia" w:eastAsiaTheme="minorEastAsia"/>
          <w:spacing w:val="6"/>
          <w:sz w:val="24"/>
          <w:szCs w:val="24"/>
        </w:rPr>
        <w:t>府农业主管部门自受理品种登记申请之日起二十个工作日内，对申请者提交的申请材料进行书面审查，符合要求的，将审查意见报农业部，并通知申请者提交种子样品。经审查不符合要求的，书面通知申请者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申请者应当在接到通知后按照品种登记指南要求提交种子样品；未按要求提供的，视为撤回申请。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省级人民政府农业主管部门在二十个工作日内不能作出审查决定的，经本部门负责人批准，可以延长十个工作日，并将延长期限理由告知申请者。</w:t>
      </w:r>
    </w:p>
    <w:p>
      <w:pPr>
        <w:pStyle w:val="63"/>
        <w:spacing w:before="218" w:after="218" w:line="412" w:lineRule="exact"/>
        <w:rPr>
          <w:b/>
        </w:rPr>
      </w:pPr>
      <w:r>
        <w:t>第三章</w:t>
      </w:r>
      <w:r>
        <w:rPr>
          <w:rFonts w:hint="eastAsia"/>
        </w:rPr>
        <w:t xml:space="preserve"> </w:t>
      </w:r>
      <w:r>
        <w:t xml:space="preserve"> 登记与公告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农业部自收到省级人民政府农业主管部门的审查意见之日起二十个工作日内进行复核。对符合规定并按规定提交种子样品的，予以登记，颁发登记证书；不予登记的，书面通知申请者并说明理由。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登记证书内容包括：登记编号、作物种类、品种名称、申请者、育种者、品种来源、适宜种植区域及季节等。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农业部将品种登记信息进行公告，公告内容包括：登记编号、作物种类、品种名称、申请者、育种者、品种来源、特征特性、品质、抗性、产量、栽培技术要点、适宜种植区域及季节等。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登记编号格式为：GPD +作物种类+（年号）+ 2位数字的省份代号+ 4位数字顺序号。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登记证书载明的品种名称为该品种的通用名称，禁止在生产、销售、推广过程中擅自更改。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已登记品种，申请者要求变更登记内容的，应当向原受理的省级人民政府农业主管部门提出变更申请，并提交相关证明材料。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原受理的省级人民政府农业主管部门对申请者提交的材料进行书面审查，符合要求的，报农业部予以变更并公告，不再提交种子样品。</w:t>
      </w:r>
    </w:p>
    <w:p>
      <w:pPr>
        <w:pStyle w:val="63"/>
        <w:spacing w:before="218" w:after="218" w:line="412" w:lineRule="exact"/>
        <w:rPr>
          <w:b/>
        </w:rPr>
      </w:pPr>
      <w:r>
        <w:t xml:space="preserve">第四章 </w:t>
      </w:r>
      <w:r>
        <w:rPr>
          <w:rFonts w:hint="eastAsia"/>
        </w:rPr>
        <w:t xml:space="preserve"> </w:t>
      </w:r>
      <w:r>
        <w:t>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农业部推进品种登记平台建设，逐步实行网上办理登记申请与受理，在统一的政府信息发布平台上发布品种登记、变更、撤销、监督管理等信息。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农业部对省级人民政府农业主管部门开展品种登记工作情况进行监督检查，及时纠正违法行为，责令限期改正，对有关责任人员依法给予处分。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省级人民政府农业主管部门发现已登记品种存在申请文件、种子样品不实，或者已登记品种出现不可克服的严重缺陷等情形的，应当向农业部提出撤销该品种登记的意见。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农业部撤销品种登记的，应当公告，停止推广；对于登记品种申请文件、种子样品不实的，按照规定将申请者的违法信息记入社会诚信档案，向社会公布。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申请者在申请品种登记过程中有欺骗、贿赂等不正当行为的，三年内不受理其申请。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品种测试、试验机构伪造测试、试验数据或者出具虚假证明的，省级人民政府农业主管部门应当依照《种子法》第七十二条规定，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依法取消品种测试、试验资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有下列行为之一的，由县级以上人民政府农业主管部门依照《种子法》第七十八条规定，责令停止违法行为，没收违法所得和种子，并处二万元以上二十万元以下罚款：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（一）对应当登记未经登记的农作物品种进行推广，或者以登记品种的名义进行销售的；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（二）对已撤销登记的农作物品种进行推广，或者以登记品种的名义进行销售的。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品种登记工作人员应当忠于职守，公正廉洁，对在登记过程中获知的申请者的商业秘密负有保密义务，不得擅自对外提供登记品种的种子样品或者谋取非法利益。不依法履行职责，弄虚作假、徇私舞弊的，依法给予处分；自处分决定作出之日起五年内不得从事品种登记工作。</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品种适应性、抗性鉴定以及特异性、一致性、稳定性测试，申请者可以自行开展，也可以委托其他机构开展。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本办法自2017年5月1日起施行。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729" w:name="_Toc22024"/>
      <w:bookmarkStart w:id="730" w:name="_Toc466579947"/>
    </w:p>
    <w:p>
      <w:pPr>
        <w:pStyle w:val="3"/>
        <w:topLinePunct/>
        <w:spacing w:line="416" w:lineRule="exact"/>
        <w:ind w:firstLine="480"/>
        <w:rPr>
          <w:rFonts w:asciiTheme="minorEastAsia" w:hAnsiTheme="minorEastAsia" w:eastAsiaTheme="minorEastAsia"/>
          <w:sz w:val="24"/>
          <w:szCs w:val="24"/>
        </w:rPr>
      </w:pPr>
    </w:p>
    <w:p>
      <w:pPr>
        <w:pStyle w:val="61"/>
      </w:pPr>
      <w:bookmarkStart w:id="731" w:name="_Toc28157005"/>
      <w:bookmarkStart w:id="732" w:name="_Toc28252207"/>
      <w:bookmarkStart w:id="733" w:name="_Toc25648226"/>
      <w:bookmarkStart w:id="734" w:name="_Toc18916808"/>
      <w:bookmarkStart w:id="735" w:name="_Toc26347983"/>
      <w:bookmarkStart w:id="736" w:name="_Toc28250933"/>
      <w:bookmarkStart w:id="737" w:name="_Toc25653721"/>
      <w:r>
        <w:t>农业植物新品种权侵权案件处理规定</w:t>
      </w:r>
      <w:bookmarkEnd w:id="729"/>
      <w:bookmarkEnd w:id="730"/>
      <w:bookmarkEnd w:id="731"/>
      <w:bookmarkEnd w:id="732"/>
      <w:bookmarkEnd w:id="733"/>
      <w:bookmarkEnd w:id="734"/>
      <w:bookmarkEnd w:id="735"/>
      <w:bookmarkEnd w:id="736"/>
      <w:bookmarkEnd w:id="737"/>
    </w:p>
    <w:p>
      <w:pPr>
        <w:pStyle w:val="62"/>
        <w:topLinePunct w:val="0"/>
        <w:ind w:firstLine="0" w:firstLineChars="0"/>
        <w:jc w:val="center"/>
        <w:rPr>
          <w:b/>
        </w:rPr>
      </w:pPr>
      <w:r>
        <w:t>（2002年12月30日农业部令第24号公布）</w:t>
      </w:r>
    </w:p>
    <w:p>
      <w:pPr>
        <w:pStyle w:val="3"/>
        <w:topLinePunct/>
        <w:spacing w:line="416"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为有效处理农业植物新品种权（以下简称品种权）侵权案件，根据《中华人民共和国植物新品种保护条例》（以下简称《条例》），制定本规定。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本规定所称的品种权侵权案件是指未经品种权人许可，以商业目的生产或销售授权品种的繁殖材料以及将该授权品种的繁殖材料重复使用于生产另一品种的繁殖材料的行为。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省级以上人民政府农业行政部门负责处理本行政辖区内品种权侵权案件。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请求省级以上人民政府农业行政部门处理品种权侵权案件的，应当符合下列条件：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（一）请求人是品种权人或者利害关系人；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（二）有明确的被请求人；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（三）有明确的请求事项和具体事实、理由；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（四）属于受案农业行政部门的受案范围和管辖；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（五）在诉讼时效范围内；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当事人没有就该品种权侵权案件向人民法院起诉。第一项所称利害关系人包括品种权实施许可合同的被许可人、品种权的合法继承人。品种权实施许可合同的被许可人中，独占实施许可合同的被许可人可以单独提出请求；排他实施许可合同的被许可人在品种权人不请求的情况下，可以单独提出请求；除合同另有约定外，普通实施许可合同的被许可人不能单独提出请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请求处理品种权侵权案件的诉讼时效为二年，自品种权人或利害关系人得知或应当得知侵权行为之日起计算。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请求省级以上人民政府农业行政部门处理品种权侵权案件的，应当提交请求书以及所涉及品种权的品种权证书，并且按照被请求人的数量提供请求书副本。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请求书应当记载以下内容：（一）请求人的姓名或者名称、地址，法定代表人姓名、职务。委托代理的，代理人的姓名和代理机构的名称、地址；（二）被请求人的姓名或者名称、地址；（三）请求处理的事项、事实和理由。请求书应当由请求人签名或盖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请求符合本办法第六条规定条件的，省级以上人民政府农业行政部门应当在收到请求书之日起7日内立案并书面通知请求人，同时指定3名以上单数承办人员处理该品种权侵权案件；请求不符合本办法第六条规定条件的，省级以上人民政府农业行政部门应当在收到请求书之日起7日内书面通知请求人不予受理，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省级以上人民政府农业行政部门应当在立案之日起7日内将请求书及其附件的副本通过邮寄、直接送交或者其他方式送被请求人，要求其在收到之日起15日内提交答辩书，并且按照请求人的数量提供答辩书副本。被请求人逾期不提交答辩书的，不影响省级以上人民政府农业行政部门进行处理。被请求人提交答辩书的，省级以上人民政府农业行政部门应当在收到之日起7日内将答辩书副本通过邮寄、直接送交或者其他方式送请求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省级以上人民政府农业行政部门处理品种权侵权案件一般以书面审理为主。必要时，可以举行口头审理，并在口头审理7日前通知当事人口头审理的时间和地点。当事人无正当理由拒不参加的，或者未经允许中途退出的，对请求人按撤回请求处理，对被请求人按缺席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省级以上人民政府农业行政部门举行口头审理的，应当记录参加人和审理情况，经核对无误后，由案件承办人员和参加人签名或盖章。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除当事人达成调解、和解协议，请求人撤回请求之外，省级以上人民政府农业行政部门对侵权案件应作出处理决定，并制作处理决定书，写明以下内容：（一）请求人、被请求人的姓名或者名称、地址，法定代表人或者主要负责人的姓名、职务，代理人的姓名和代理机构的名称；（二）当事人陈述的事实和理由；（三）认定侵权行为是否成立的理由和依据；（四）处理决定：认定侵权行为成立的，应当责令被请求人立即停止侵权行为，写明处罚内容；认定侵权行为不成立的，应当驳回请求人的请求；（五）不服处理决定申请行政复议或者提起行政诉讼的途径和期限。处理决定书应当由案件承办人员署名，并加盖省级以上人民政府农业行政部门的公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省级以上人民政府农业行政部门认定侵权行为成立并作出处理决定的，可以采取下列措施，制止侵权行为：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（一）侵权人生产授权品种繁殖材料或者直接使用授权品种的繁殖材料生产另一品种繁殖材料的，责令其立即停止生产，并销毁生产中的植物材料；已获得繁殖材料的，责令其不得销售；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（二）侵权人销售授权品种繁殖材料或者销售直接使用授权品种繁殖材料生产另一品种繁殖材料的，责令其立即停止销售行为，并且不得销售尚未售出的侵权品种繁殖材料；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（三）没收违法所得；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（四）处以违法所得5倍以下的罚款；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（五）停止侵权行为的其他必要措施。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当事人对省级以上人民政府农业行政部门作出的处理决定不服的，可以依法申请行政复议或者向人民法院提起行政诉讼。期满不申请行政复议或者不起诉又不停止侵权行为的，省级以上人民政府农业行政部门可以申请人民法院强制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省级以上人民政府农业行政部门认定侵权行为成立的，可以根据当事人自愿的原则，对侵权所造成的损害赔偿进行调解。必要时，可以邀请有关单位和个人协助调解。调解达成协议的，省级以上人民政府农业行政部门应当制作调解协议书，写明如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（一）请求人、被请求人的姓名或者名称、地址，法定代表人的姓名、职务。委托代理人的，代理人的姓名和代理机构的名称、地址；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（二）案件的主要事实和各方应承担的责任；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协议内容以及有关费用的分担。调解协议书由各方当事人签名或盖章、案件承办人员签名并加盖省级以上人民政府农业行政部门的公章。调解书送达后，当事人应当履行协议。调解未达成协议的，当事人可以依法向人民法院起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侵犯品种权的赔偿数额，按照权利人因被侵权所受到的损失或者侵权人因侵权所获得的利益确定。权利人的损失或者侵权人获得的利益难以确定的，按照品种权许可使用费的1倍以上5倍以下酌情确定。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省级以上人民政府农业行政部门或者人民法院作出认定侵权行为成立的处理决定或者判决之后，被请求人就同一品种权再次作出相同类型的侵权行为，品种权人或者利害关系人请求处理的，省级以上人民政府农业行政部门可以直接作出责令立即停止侵权行为的处理决定并采取相应处罚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业行政部门可以按照以下方式确定品种权案件行为人的违法所得：（一）销售侵权或者假冒他人品种权的繁殖材料的，以该品种繁殖材料销售价格乘以销售数量作为其违法所得；（二）订立侵权或者假冒他人品种权合同的，以收取的费用作为其违法所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省级以上人民政府农业行政部门查处品种权侵权案件和县级以上人民政府农业行政部门查处假冒授权品种案件的程序，适用《农业行政处罚程序规定》。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本办法自二○○三年二月一日起施行。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738" w:name="_Toc28157006"/>
      <w:bookmarkStart w:id="739" w:name="_Toc25648227"/>
      <w:bookmarkStart w:id="740" w:name="_Toc26347984"/>
      <w:bookmarkStart w:id="741" w:name="_Toc28252208"/>
      <w:bookmarkStart w:id="742" w:name="_Toc28250934"/>
      <w:bookmarkStart w:id="743" w:name="_Toc25653722"/>
      <w:r>
        <w:t>蚕种管理办法</w:t>
      </w:r>
      <w:bookmarkEnd w:id="738"/>
      <w:bookmarkEnd w:id="739"/>
      <w:bookmarkEnd w:id="740"/>
      <w:bookmarkEnd w:id="741"/>
      <w:bookmarkEnd w:id="742"/>
      <w:bookmarkEnd w:id="743"/>
    </w:p>
    <w:p>
      <w:pPr>
        <w:pStyle w:val="62"/>
        <w:topLinePunct w:val="0"/>
        <w:ind w:firstLine="0" w:firstLineChars="0"/>
        <w:jc w:val="center"/>
      </w:pPr>
      <w:r>
        <w:t>（2006年6月28日中华人民共和国</w:t>
      </w:r>
      <w:r>
        <w:rPr>
          <w:shd w:val="clear" w:color="auto" w:fill="FFFFFF"/>
        </w:rPr>
        <w:t>农业部</w:t>
      </w:r>
      <w:r>
        <w:t>令第68号公布）</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为了保护和合理利用蚕遗传资源，规范蚕种生产经营行为，维护蚕品种选育者和蚕种生产经营者、使用者的合法权益，促进蚕桑业持续健康发展，根据《中华人民共和国畜牧法》，制定本办法。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从事蚕品种资源保护、新品种选育和推广、蚕种生产经营和管理等活动，适用本办法。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本办法所称蚕种指桑蚕种和柞蚕种，包括原原母种、原原种、原种和一代杂交种；本办法所称蚕种生产包括蚕种繁育、冷藏和浸酸。</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农业部负责全国蚕种的管理工作；县级以上地方人民政府农业（蚕业）行政主管部门负责本行政区域内的蚕种管理工作。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县级以上人民政府农业（蚕业）行政主管部门应当依照《中</w:t>
      </w:r>
      <w:r>
        <w:rPr>
          <w:rFonts w:hint="eastAsia" w:asciiTheme="minorEastAsia" w:hAnsiTheme="minorEastAsia" w:eastAsiaTheme="minorEastAsia"/>
          <w:sz w:val="24"/>
          <w:szCs w:val="24"/>
          <w:lang w:val="en-US" w:eastAsia="zh-CN"/>
        </w:rPr>
        <w:t>华</w:t>
      </w:r>
      <w:r>
        <w:rPr>
          <w:rFonts w:asciiTheme="minorEastAsia" w:hAnsiTheme="minorEastAsia" w:eastAsiaTheme="minorEastAsia"/>
          <w:sz w:val="24"/>
          <w:szCs w:val="24"/>
        </w:rPr>
        <w:t>人民共和国畜牧法》的规定，安排资金，支持良种繁育，改善生产条件，加强蚕种场建设，促进蚕种生产健康发展。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蚕种生产、经营者可以依法自愿成立行业协会。行业协会应当为成员提供信息、技术、营销、培训等服务，加强行业自律，维护成员和行业合法权益。</w:t>
      </w:r>
    </w:p>
    <w:p>
      <w:pPr>
        <w:pStyle w:val="63"/>
        <w:spacing w:before="218" w:after="218" w:line="412" w:lineRule="exact"/>
        <w:rPr>
          <w:b/>
        </w:rPr>
      </w:pPr>
      <w:r>
        <w:t>第二章  蚕遗传资源保护、品种选育与审定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蚕遗传资源保护以国家为主，鼓励和支持有关单位、个人依法发展蚕遗传资源保护事业。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农业部负责组织蚕遗传资源的调查，发布国家蚕遗传资源状况报告，制定全国蚕遗传资源保护和利用规划，公布国家级蚕遗传资源保护名录。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省级人民政府农业（蚕业）行政主管部门制定和公布省级蚕遗传资源保护名录，并报农业部备案。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省级以上人民政府农业（蚕业）行政主管部门确定的蚕遗传资源保育单位（蚕种质资源库）承担蚕遗传资源保护任务。未经省级以上人民政府农业（蚕业）行政主管部门批准，不得擅自处理受保护的蚕遗传资源。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蚕遗传资源保育单位应当按照省级以上人民政府农业（蚕业）行政主管部门的有关规定，采集新增的蚕遗传材料，有关单位和个人应当提供新增加的蚕遗传材料。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提供新增加的蚕遗传材料，有权获得适当经济补偿。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禁止除杂交一代蚕品种以外的蚕遗传资源出口。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交换需要出口蚕遗传资源的，应当向省级人民政府农业（蚕业）行政主管部门提出申请，同时提出国家共享惠益方案。省级人民政府农业（蚕业）行政主管部门应当自受理申请之日起二十个工作日内完成审核，并报农业部批准。农业部在二十个工作日内做出审批决定，不予批准的，书面通知申请人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引进蚕遗传资源，应当办理检疫手续，并在引进后三十日内向农业部备案。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对外合作研究利用蚕遗传资源的，按照国务院规定的畜禽遗传资源对外合作研究利用的审批办法审批。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国家扶持蚕品种选育和优良品种推广使用，支持企业、院校、科研机构和技术推广单位开展联合育种，建立蚕良种繁育体系，推进蚕种科技进步。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新选育的蚕品种在推广应用前应当通过国家级或者省级审定。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未经审定或者审定未通过的蚕品种，不得生产、经营或者发布广告推广。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农业部和蚕茧产区省级人民政府农业（蚕业）行政主管部门分别设立由专业人员组成的蚕品种审定委员会，负责蚕遗传资源的鉴定、评估和蚕品种的审定。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通过国家级审定的蚕品种，由农业部公告，可以在全国适宜的生态区域推广</w:t>
      </w:r>
      <w:r>
        <w:rPr>
          <w:rFonts w:asciiTheme="minorEastAsia" w:hAnsiTheme="minorEastAsia" w:eastAsiaTheme="minorEastAsia"/>
          <w:spacing w:val="-4"/>
          <w:sz w:val="24"/>
          <w:szCs w:val="24"/>
        </w:rPr>
        <w:t>。通过省级审定的蚕品种，由省级人民政府农业（蚕业）行政主管部门公告，可以在本行政区域内推广。相邻省、自治区、直辖市属于同一适宜生态区的地域，经所在地省级人民政府农业（蚕业）行政主管部门同意后可以引进饲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审定未通过的蚕品种，申请人有异议的，可以向原蚕品种审定委员会或者上一级蚕品种审定委员会申请复审。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利用转基因技术选育的蚕品种和引进的转基因蚕遗传资源，还应当执行国家有关农业转基因生物安全管理的规定。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新选育或者引进的蚕品种，需要在申请审定前进行小规模（每季1000张或者1000把蚕种以内）中试的，应当经试验所在地省级人民政府农业（蚕业）行政主管部门同意。</w:t>
      </w:r>
    </w:p>
    <w:p>
      <w:pPr>
        <w:pStyle w:val="63"/>
        <w:spacing w:before="218" w:after="218" w:line="412" w:lineRule="exact"/>
        <w:rPr>
          <w:b/>
        </w:rPr>
      </w:pPr>
      <w:r>
        <w:t>第三章  蚕种生产经营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蚕种生产分为三级繁育（原原种、原种、一代杂交种）和四级制种（原原母种、原原种、原种、一代杂交种）。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从事蚕种生产、经营活动的，应当取得蚕种生产、经营许可证。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申请蚕种生产许可证，应当具备下列条件：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（一）符合国家与区域蚕业发展规划要求；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（二）有与蚕种生产能力相适应的桑园（柞林）或者稳定安全的原蚕饲育区；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（三）有与蚕种生产相适应的资金和检验等设施；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（四）有与蚕种生产相适应的专业技术人员；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（五）有能够有效控制蚕微粒子病的质量保证措施；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（六）一代杂交种年生产能力5万张以上。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申请蚕种冷藏、浸酸生产许可证，应当具备与冷藏能力相适应的冷藏库房、浸酸设备仪器、场地和相关专业技术人员。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申请蚕种经营许可证，应当具备下列条件：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（一）有与蚕种经营规模相适应的场所、资金和保藏、检验等设施；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（二）有与蚕种经营相适应的专业技术人员；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（三）经营的蚕种应当是通过审定的品种。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申请蚕种生产、经营许可证应当向所在地县级以上地方人民政府农业（蚕业）行政主管部门提出。受理申请的行政主管部门应当自收到申请之日起二十个工作日内完成审核，并报省级人民政府农业（蚕业）行政主管部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省级人民政府农业（蚕业）行政主管部门应当自收到申请之日起二十个工作日内做出审批决定。不予批准的，应当书面通知申请者，并说明理由。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蚕种生产、经营许可证证书样式由农业部规定。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蚕种生产、经营许可证工本费按照国务院财政、价格部门的规定执行。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蚕种生产、经营许可证有效期为三年。期满仍需继续生产、经营的，应当在有效期满前30日按原申请程序办理审批手续。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在许可证有效期内变更许可事项的，应当及时办理变更手续。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禁止伪造、变造、转让、租借蚕种生产、经营许可证。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发布蚕种广告的，应当提供蚕种生产、经营许可证复印件。广告内容应当符合有关法律法规的规定，注明蚕品种的审定名称，文字介绍符合该品种的实际性状。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销售的蚕种应当经检疫、检验合格，并附具蚕种检疫合格证明、质量合格证和标签。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蚕种标签应当注明企业（种场）名称、企业（种场）地址、品种名称、期别、批次、执行标准、卵量等内容。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蚕种生产、经营者应当建立蚕种生产、经营档案。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蚕种生产档案应当载明品种名称、亲本来源、繁制地点、生产数量、检疫检验结果、技术与质检负责人、销售去向等内容；蚕种经营档案应当载明蚕种来源、保藏地点、质量状况、销售去向等内容。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蚕种生产、经营档案应当保存二年以上。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禁止销售下列蚕种：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（一）以不合格蚕种冒充合格的蚕种；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（二）冒充其他企业（种场）名称或者品种的蚕种；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（三）未附具本办法第二十一条规定的蚕种检疫证明、蚕种质量合格证和标签的蚕种。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禁止原原母种、原原种、原种出口。出口经过审定的一代杂交种，应当由省级人民政府农业（蚕业）行政主管部门批准，并报农业部备案。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《蚕一代杂交种出口审批表》样式，由农业部规定。</w:t>
      </w:r>
    </w:p>
    <w:p>
      <w:pPr>
        <w:pStyle w:val="63"/>
        <w:spacing w:before="218" w:after="218" w:line="412" w:lineRule="exact"/>
        <w:rPr>
          <w:b/>
        </w:rPr>
      </w:pPr>
      <w:r>
        <w:t>第四章  蚕种质量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蚕种检疫由省级以上人民政府农业（蚕业）行政主管部门确定的蚕种检验机构承担。检疫按照国家有关规定收取费用。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检疫不合格的蚕种，由县级以上地方人民政府农业（蚕业）行政主管部门监督销毁。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省级以上人民政府农业（蚕业）行政主管部门应当制定蚕种质量监督抽查计划并组织实施。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农业部监督抽查的品种，省级农业（蚕业）行政主管部门不得重复抽查。监督抽查不得向被抽查者收取任何费用。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承担蚕种质量检验的机构应当符合国家规定的条件，并经有关部门考核合格。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发生下列情形并严重影响蚕种供应的，蚕种生产者或者经营者应当及时向所在地人民政府农业（蚕业）行政主管部门报告，并采取相应措施：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（一）微粒子病等蚕病虫害爆发；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（二）遭受严重自然灾害；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（三）生产基地受到较大面积污染和农药中毒；</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（四）其他可能严重影响蚕种供应的情形。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由于不可抗力原因，需要使用低于国家或行业标准蚕种的，应当由所在地县级以上地方人民政府农业（蚕业）行政主管部门报经同级人民政府批准后方可使用。经营者应当向使用者说明并加强技术服务。</w:t>
      </w:r>
    </w:p>
    <w:p>
      <w:pPr>
        <w:pStyle w:val="63"/>
        <w:spacing w:before="218" w:after="218" w:line="412" w:lineRule="exact"/>
        <w:rPr>
          <w:b/>
        </w:rPr>
      </w:pPr>
      <w:r>
        <w:t>第五章  罚则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违反本办法第八条规定，擅自处理受保护的蚕遗传资源，造成蚕遗传资源损失的，由省级以上人民政府农业（蚕业）行政主管部门处一万元以上五万元以下罚款。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未经审批开展对外合作研究利用蚕遗传资源的，由省级以上人民政府农业（蚕业）行政主管部门责令停止违法行为，没收蚕遗传资源和违法所得，并处一万元以上五万元以下罚款。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未经审批向境外提供蚕遗传资源的，依照《中华人民共和国海关法》的有关规定追究法律责任。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违反本办法第十一条第二款的规定，销售、推广未经审定蚕种的，由县级以上人民政府农业（蚕业）行政主管部门责令停止违法行为，没收蚕种和违法所得；违法所得在五万元以上的，并处违法所得一倍以上三倍以下罚款；没有违法所得或者违法所得不足五万元的，并处五千元以上五万元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未按照本办法第二十条规定发布蚕种广告宣传的，依照《中华人民共和国广告法》的有关规定追究法律责任。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违反本办法有关规定，无蚕种生产、经营许可证或者违反蚕种生产、经营许可证的规定生产经营蚕种，或者转让、租借蚕种生产、经营许可证的，由县级以上人民政府农业（蚕业）行政主管部门责令停止违法行为，没收违法所得；违法所得在三万元以上的，并处违法所得一倍以上三倍以下罚款；没有违法所得或者违法所得不足三万元的，并处三千元以上三万元以下罚款。违反蚕种生产、经营许可证的规定生产经营蚕种或者转让、租借蚕种生产、经营许可证，情节严重的，并处吊销蚕种生产、经营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销售的蚕种未附具蚕种检疫证明、质量合格证的，由县级以上地方人民政府农业（蚕业）行政主管部门责令改正，没收违法所得，可以处二千元以下罚款。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违反本办法第二十三条第一项至第二项规定的，由县级以上地方人民政府农业（蚕业）行政主管部门责令停止销售，没收违法销售的蚕种和违法所得；违法所得在五万元以上的，并处违法所得一倍以上五倍以下罚款；没有违法所得或者违法所得不足五万元的，并处五千元以上五万元以下罚款；情节严重的，并处吊销蚕种生产、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农业（蚕业）行政主管部门的工作人员利用职务上的便利，收受他人财物或者谋取其他利益，对不符合法定条件的单位、个人核发许可证或者有关批准文件，不履行监督职责，或者发现违法行为不予查处的，依法给予处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蚕种质量检验机构及其工作人员，不按要求检疫检验或者出具虚假检疫证明、检验报告的，依法给予处分。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蚕种生产、经营许可证被吊销的，农业（蚕业）行政主管部门自吊销许可证之日起十日内通知工商行政管理部门。被吊销许可证的蚕种生产、经营者应当依法办理工商变更登记或者注销手续。</w:t>
      </w:r>
    </w:p>
    <w:p>
      <w:pPr>
        <w:pStyle w:val="63"/>
        <w:spacing w:before="218" w:after="218" w:line="412" w:lineRule="exact"/>
        <w:rPr>
          <w:b/>
        </w:rPr>
      </w:pPr>
      <w:r>
        <w:t>第六章  附则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本办法下列用语的含义：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（一）原原种是指供生产原种用的蚕种，原种是指供生产一代杂交种用的蚕种，一代杂交种是指用原蚕按规定组合杂交繁育的蚕种。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（二）原蚕是指由原种孵化而来的蚕，原蚕饲育区是指利用桑园与设施专门饲养原蚕的区域。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本办法自二○○六年七月一日起施行。</w:t>
      </w: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1"/>
        <w:rPr>
          <w:rFonts w:asciiTheme="minorEastAsia" w:hAnsiTheme="minorEastAsia"/>
          <w:b/>
          <w:kern w:val="0"/>
          <w:sz w:val="24"/>
          <w:szCs w:val="24"/>
        </w:rPr>
        <w:sectPr>
          <w:headerReference r:id="rId23" w:type="default"/>
          <w:footerReference r:id="rId25" w:type="default"/>
          <w:headerReference r:id="rId24" w:type="even"/>
          <w:footerReference r:id="rId26" w:type="even"/>
          <w:pgSz w:w="12247" w:h="17180"/>
          <w:pgMar w:top="1814" w:right="1701" w:bottom="1701" w:left="1701" w:header="851" w:footer="1134" w:gutter="0"/>
          <w:cols w:space="425" w:num="1"/>
          <w:docGrid w:type="lines" w:linePitch="312" w:charSpace="0"/>
        </w:sectPr>
      </w:pPr>
      <w:bookmarkStart w:id="744" w:name="_Toc21450009"/>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3"/>
        <w:topLinePunct/>
        <w:spacing w:line="416" w:lineRule="exact"/>
        <w:ind w:firstLine="482"/>
        <w:rPr>
          <w:rFonts w:asciiTheme="minorEastAsia" w:hAnsiTheme="minorEastAsia" w:eastAsiaTheme="minorEastAsia"/>
          <w:b/>
          <w:kern w:val="0"/>
          <w:sz w:val="24"/>
          <w:szCs w:val="24"/>
        </w:rPr>
      </w:pPr>
    </w:p>
    <w:p>
      <w:pPr>
        <w:pStyle w:val="60"/>
        <w:rPr>
          <w:kern w:val="0"/>
        </w:rPr>
      </w:pPr>
      <w:bookmarkStart w:id="745" w:name="_Toc25653723"/>
      <w:bookmarkStart w:id="746" w:name="_Toc28252209"/>
      <w:bookmarkStart w:id="747" w:name="_Toc25648228"/>
      <w:r>
        <w:rPr>
          <w:kern w:val="0"/>
        </w:rPr>
        <w:t>六、畜</w:t>
      </w:r>
      <w:r>
        <w:rPr>
          <w:rFonts w:hint="eastAsia"/>
          <w:kern w:val="0"/>
        </w:rPr>
        <w:t xml:space="preserve">  </w:t>
      </w:r>
      <w:r>
        <w:rPr>
          <w:kern w:val="0"/>
        </w:rPr>
        <w:t>牧</w:t>
      </w:r>
      <w:bookmarkEnd w:id="745"/>
      <w:bookmarkEnd w:id="746"/>
      <w:bookmarkEnd w:id="747"/>
    </w:p>
    <w:p>
      <w:pPr>
        <w:pStyle w:val="3"/>
        <w:topLinePunct/>
        <w:spacing w:line="416" w:lineRule="exact"/>
        <w:ind w:firstLine="482"/>
        <w:rPr>
          <w:rFonts w:asciiTheme="minorEastAsia" w:hAnsiTheme="minorEastAsia" w:eastAsiaTheme="minorEastAsia"/>
          <w:b/>
          <w:kern w:val="0"/>
          <w:sz w:val="24"/>
          <w:szCs w:val="24"/>
        </w:rPr>
      </w:pPr>
    </w:p>
    <w:p>
      <w:pPr>
        <w:widowControl/>
        <w:spacing w:before="156" w:after="156"/>
        <w:ind w:firstLine="241"/>
        <w:rPr>
          <w:rFonts w:cs="Times New Roman" w:asciiTheme="minorEastAsia" w:hAnsiTheme="minorEastAsia"/>
          <w:b/>
          <w:kern w:val="0"/>
          <w:sz w:val="24"/>
          <w:szCs w:val="24"/>
        </w:rPr>
      </w:pPr>
      <w:r>
        <w:rPr>
          <w:rFonts w:asciiTheme="minorEastAsia" w:hAnsiTheme="minorEastAsia"/>
          <w:b/>
          <w:kern w:val="0"/>
          <w:sz w:val="24"/>
          <w:szCs w:val="24"/>
        </w:rPr>
        <w:br w:type="page"/>
      </w:r>
    </w:p>
    <w:p>
      <w:pPr>
        <w:pStyle w:val="3"/>
        <w:topLinePunct/>
        <w:spacing w:line="416" w:lineRule="exact"/>
        <w:ind w:firstLine="482"/>
        <w:rPr>
          <w:rFonts w:asciiTheme="minorEastAsia" w:hAnsiTheme="minorEastAsia" w:eastAsiaTheme="minorEastAsia"/>
          <w:b/>
          <w:kern w:val="0"/>
          <w:sz w:val="24"/>
          <w:szCs w:val="24"/>
        </w:rPr>
      </w:pPr>
    </w:p>
    <w:p>
      <w:pPr>
        <w:topLinePunct/>
        <w:spacing w:beforeLines="0" w:afterLines="0" w:line="416" w:lineRule="exact"/>
        <w:ind w:firstLine="482" w:firstLineChars="200"/>
        <w:rPr>
          <w:rFonts w:cs="Times New Roman" w:asciiTheme="minorEastAsia" w:hAnsiTheme="minorEastAsia"/>
          <w:b/>
          <w:kern w:val="0"/>
          <w:sz w:val="24"/>
          <w:szCs w:val="24"/>
        </w:rPr>
      </w:pPr>
      <w:r>
        <w:rPr>
          <w:rFonts w:cs="Times New Roman" w:asciiTheme="minorEastAsia" w:hAnsiTheme="minorEastAsia"/>
          <w:b/>
          <w:kern w:val="0"/>
          <w:sz w:val="24"/>
          <w:szCs w:val="24"/>
        </w:rPr>
        <w:br w:type="page"/>
      </w:r>
    </w:p>
    <w:p>
      <w:pPr>
        <w:pStyle w:val="3"/>
        <w:topLinePunct/>
        <w:spacing w:line="416" w:lineRule="exact"/>
        <w:ind w:firstLine="482"/>
        <w:rPr>
          <w:rFonts w:asciiTheme="minorEastAsia" w:hAnsiTheme="minorEastAsia" w:eastAsiaTheme="minorEastAsia"/>
          <w:b/>
          <w:kern w:val="0"/>
          <w:sz w:val="24"/>
          <w:szCs w:val="24"/>
        </w:rPr>
      </w:pPr>
    </w:p>
    <w:p>
      <w:pPr>
        <w:pStyle w:val="61"/>
      </w:pPr>
      <w:bookmarkStart w:id="748" w:name="_Toc28250935"/>
      <w:bookmarkStart w:id="749" w:name="_Toc25653724"/>
      <w:bookmarkStart w:id="750" w:name="_Toc28157007"/>
      <w:bookmarkStart w:id="751" w:name="_Toc28252210"/>
      <w:bookmarkStart w:id="752" w:name="_Toc25648229"/>
      <w:bookmarkStart w:id="753" w:name="_Toc26347985"/>
      <w:r>
        <w:t>中华人民共和国畜牧法</w:t>
      </w:r>
      <w:bookmarkEnd w:id="744"/>
      <w:bookmarkEnd w:id="748"/>
      <w:bookmarkEnd w:id="749"/>
      <w:bookmarkEnd w:id="750"/>
      <w:bookmarkEnd w:id="751"/>
      <w:bookmarkEnd w:id="752"/>
      <w:bookmarkEnd w:id="753"/>
    </w:p>
    <w:p>
      <w:pPr>
        <w:pStyle w:val="62"/>
      </w:pPr>
      <w:r>
        <w:t>（</w:t>
      </w:r>
      <w:r>
        <w:rPr>
          <w:shd w:val="clear" w:color="auto" w:fill="FFFFFF"/>
        </w:rPr>
        <w:t>2005年12月29日第十届全国人民代表大会常务委员会第十九次会议通过，根据2015年4月24日第十二届全国人民代表大会常务委员会第十四次会议《关于修改〈中华人民共和国计量法〉等五部法律的决定》修订）</w:t>
      </w:r>
    </w:p>
    <w:p>
      <w:pPr>
        <w:pStyle w:val="63"/>
        <w:spacing w:before="218" w:after="218" w:line="412" w:lineRule="exact"/>
        <w:rPr>
          <w:kern w:val="0"/>
        </w:rPr>
      </w:pPr>
      <w:r>
        <w:rPr>
          <w:kern w:val="0"/>
        </w:rPr>
        <w:t>第一章</w:t>
      </w:r>
      <w:r>
        <w:rPr>
          <w:rFonts w:hint="eastAsia"/>
          <w:kern w:val="0"/>
        </w:rPr>
        <w:t xml:space="preserve">  </w:t>
      </w:r>
      <w:r>
        <w:rPr>
          <w:kern w:val="0"/>
        </w:rPr>
        <w:t>总</w:t>
      </w:r>
      <w:r>
        <w:rPr>
          <w:rFonts w:hint="eastAsia"/>
          <w:kern w:val="0"/>
        </w:rPr>
        <w:t xml:space="preserve">  </w:t>
      </w:r>
      <w:r>
        <w:rPr>
          <w:kern w:val="0"/>
        </w:rP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为了规范畜牧业生产经营行为，保障畜禽产品质量安全，保护和合理利用畜禽遗传资源，维护畜牧业生产经营者的合法权益，促进畜牧业持续健康发展，制定本法。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在中华人民共和国境内从事畜禽的遗传资源保护利用、繁育、饲养、经营、运输等活动，适用本法。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本法所称畜禽，是指列入依照本法第十一条规定公布的畜禽遗传资源目录的畜禽。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蜂、蚕的资源保护利用和生产经营，适用本法有关规定。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家支持畜牧业发展，发挥畜牧业在发展农业、农村经济和增加农民收入中的作用。县级以上人民政府应当采取措施，加强畜牧业基础设施建设，鼓励和扶持发展规模化养殖，推进畜牧产业化经营，提高畜牧业综合生产能力，发展优质、高效、生态、安全的畜牧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国家帮助和扶持少数民族地区、贫困地区畜牧业的发展，保护和合理利用草原，改善畜牧业生产条件。</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国家采取措施，培养畜牧兽医专业人才，发展畜牧兽医科学技术研究和推广事业，开展畜牧兽医科学技术知识的教育宣传工作和畜牧兽医信息服务，推进畜牧业科技进步。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畜牧业生产经营者可以依法自愿成立行业协会，为成员提供信息、技术、营销、培训等服务，加强行业自律，维护成员和行业利益。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畜牧业生产经营者应当依法履行动物防疫和环境保护义务，接受有关主管部门依法实施的监督检查。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国务院畜牧兽医行政主管部门负责全国畜牧业的监督管理工作。县级以上地方人民政府畜牧兽医行政主管部门负责本行政区域内的畜牧业监督管理工作。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县级以上人民政府有关主管部门在各自的职责范围内，负责有关促进畜牧业发展的工作。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国务院畜牧兽医行政主管部门应当指导畜牧业生产经营者改善畜禽繁育、饲养、运输的条件和环境。</w:t>
      </w:r>
    </w:p>
    <w:p>
      <w:pPr>
        <w:pStyle w:val="63"/>
        <w:spacing w:before="218" w:after="218" w:line="412" w:lineRule="exact"/>
        <w:rPr>
          <w:kern w:val="0"/>
        </w:rPr>
      </w:pPr>
      <w:r>
        <w:rPr>
          <w:kern w:val="0"/>
        </w:rPr>
        <w:t>第二章</w:t>
      </w:r>
      <w:r>
        <w:rPr>
          <w:rFonts w:hint="eastAsia"/>
          <w:kern w:val="0"/>
        </w:rPr>
        <w:t xml:space="preserve">  </w:t>
      </w:r>
      <w:r>
        <w:rPr>
          <w:kern w:val="0"/>
        </w:rPr>
        <w:t>畜禽遗传资源保护</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国家建立畜禽遗传资源保护制度。各级人民政府应当采取措施，加强畜禽遗传资源保护，畜禽遗传资源保护经费列入财政预算。</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畜禽遗传资源保护以国家为主，鼓励和支持有关单位、个人依法发展畜禽遗传资源保护事业。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畜牧兽医行政主管部门设立由专业人员组成的国家畜禽遗传资源委员会，负责畜禽遗传资源的鉴定、评估和畜禽新品种、配套系的审定，承担畜禽遗传资源保护和利用规划论证及有关畜禽遗传资源保护的咨询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国务院畜牧兽医行政主管部门负责组织畜禽遗传资源的调查工作，发布国家畜禽遗传资源状况报告，公布经国务院批准的畜禽遗传资源目录。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国务院畜牧兽医行政主管部门根据畜禽遗传资源分布状况，制定全国畜禽遗传资源保护和利用规划，制定并公布国家级畜禽遗传资源保护名录，对原产我国的珍贵、稀有、濒危的畜禽遗传资源实行重点保护。</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省级人民政府畜牧兽医行政主管部门根据全国畜禽遗传资源保护和利用规划及本行政区域内畜禽遗传资源状况，制定和公布省级畜禽遗传资源保护名录，并报国务院畜牧兽医行政主管部门备案。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畜牧兽医行政主管部门根据全国畜禽遗传资源保护和利用规划及国家级畜禽遗传资源保护名录，省级人民政府畜牧兽医行政主管部门根据省级畜禽遗传资源保护名录，分别建立或者确定畜禽遗传资源保种场、保护区和基因库，承担畜禽遗传资源保护任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享受中央和省级财政资金支持的畜禽遗传资源保种场、保护区和基因库，未经国务院畜牧兽医行政主管部门或者省级人民政府畜牧兽医行政主管部门批准，不得擅自处理受保护的畜禽遗传资源。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畜禽遗传资源基因库应当按照国务院畜牧兽医行政主管部门或者省级人民政府畜牧兽医行政主管部门的规定，定期采集和更新畜禽遗传材料。有关单位、个人应当配合畜禽遗传资源基因库采集畜禽遗传材料，并有权获得适当的经济补偿。</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畜禽遗传资源保种场、保护区和基因库的管理办法由国务院畜牧兽医行政主管部门制定。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新发现的畜禽遗传资源在国家畜禽遗传资源委员会鉴定前，省级人民政府畜牧兽医行政主管部门应当制定保护方案，采取临时保护措施，并报国务院畜牧兽医行政主管部门备案。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从境外引进畜禽遗传资源的，应当向省级人民政府畜牧兽医行政主管部门提出申请；受理申请的畜牧兽医行政主管部门经审核，报国务院畜牧兽医行政主管部门经评估论证后批准。经批准的，依照《中华人民共和国进出境动植物检疫法》的规定办理相关手续并实施检疫。</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从境外引进的畜禽遗传资源被发现对境内畜禽遗传资源、生态环境有危害或者可能产生危害的，国务院畜牧兽医行政主管部门应当商有关主管部门，采取相应的安全控制措施。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向境外输出或者在境内与境外机构、个人合作研究利用列入保护名录的畜禽遗传资源的，应当向省级人民政府畜牧兽医行政主管部门提出申请，同时提出国家共享惠益的方案；受理申请的畜牧兽医行政主管部门经审核，报国务院畜牧兽医行政主管部门批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向境外输出畜禽遗传资源的，还应当依照《中华人民共和国进出境动植物检疫法》的规定办理相关手续并实施检疫。</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新发现的畜禽遗传资源在国家畜禽遗传资源委员会鉴定前，不得向境外输出，不得与境外机构、个人合作研究利用。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畜禽遗传资源的进出境和对外合作研究利用的审批办法由国务院规定。</w:t>
      </w:r>
    </w:p>
    <w:p>
      <w:pPr>
        <w:pStyle w:val="63"/>
        <w:spacing w:before="218" w:after="218" w:line="412" w:lineRule="exact"/>
        <w:rPr>
          <w:kern w:val="0"/>
        </w:rPr>
      </w:pPr>
      <w:r>
        <w:rPr>
          <w:kern w:val="0"/>
        </w:rPr>
        <w:t>第三章</w:t>
      </w:r>
      <w:r>
        <w:rPr>
          <w:rFonts w:hint="eastAsia"/>
          <w:kern w:val="0"/>
        </w:rPr>
        <w:t xml:space="preserve">  </w:t>
      </w:r>
      <w:r>
        <w:rPr>
          <w:kern w:val="0"/>
        </w:rPr>
        <w:t>种畜禽品种选育与生产经营</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国家扶持畜禽品种的选育和优良品种的推广使用，支持企业、院校、科研机构和技术推广单位开展联合育种，建立畜禽良种繁育体系。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培育的畜禽新品种、配套系和新发现的畜禽遗传资源在推广前，应当通过国家畜禽遗传资源委员会审定或者鉴定，并由国务院畜牧兽医行政主管部门公告。畜禽新品种、配套系的审定办法和畜禽遗传资源的鉴定办法，由国务院畜牧兽医行政主管部门制定。审定或者鉴定所需的试验、检测等费用由申请者承担，收费办法由国务院财政、价格部门会同国务院畜牧兽医行政主管部门制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培育新的畜禽品种、配套系进行中间试验，应当经试验所在地省级人民政府畜牧兽医行政主管部门批准。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畜禽新品种、配套系培育者的合法权益受法律保护。</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转基因畜禽品种的培育、试验、审定和推广，应当符合国家有关农业转基因生物管理的规定。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省级以上畜牧兽医技术推广机构可以组织开展种畜优良个体登记，向社会推荐优良种畜。优良种畜登记规则由国务院畜牧兽医行政主管部门制定。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从事种畜禽生产经营或者生产商品代仔畜、雏禽的单位、个人，应当取得种畜禽生产经营许可证。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申请取得种畜禽生产经营许可证，应当具备下列条件：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（一）生产经营的种畜禽必须是通过国家畜禽遗传资源委员会审定或者鉴定的品种、配套系，或者是经批准引进的境外品种、配套系；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（二）有与生产经营规模相适应的畜牧兽医技术人员；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（三）有与生产经营规模相适应的繁育设施设备；</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（四）具备法律、行政法规和国务院畜牧兽医行政主管部门规定的种畜禽防疫条件；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（五）有完善的质量管理和育种记录制度；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（六）具备法律、行政法规规定的其他条件。</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申请取得生产家畜卵子、冷冻精液、胚胎等遗传材料的生产经营许可证，除应当符合本法第二十二条第二款规定的条件外，还应当具备下列条件：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（一）符合国务院畜牧兽医行政主管部门规定的实验室、保存和运输条件；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（二）符合国务院畜牧兽医行政主管部门规定的种畜数量和质量要求；</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（三）体外授精取得的胚胎、使用的卵子来源明确，供体畜符合国家规定的种畜健康标准和质量要求；</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（四）符合国务院畜牧兽医行政主管部门规定的其他技术要求。</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申请取得生产家畜卵子、冷冻精液、胚胎等遗传材料的生产经营许可证，应当向省级人民政府畜牧兽医行政主管部门提出申请。受理申请的畜牧兽医行政主管部门应当自收到申请之日起六十个工作日内依法决定是否发给生产经营许可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其他种畜禽的生产经营许可证由县级以上地方人民政府畜牧兽医行政主管部门审核发放，具体审核发放办法由省级人民政府规定。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种畜禽生产经营许可证样式由国务院畜牧兽医行政主管部门制定，许可证有效期为三年。发放种畜禽生产经营许可证可以收取工本费，具体收费管理办法由国务院财政、价格部门制定。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种畜禽生产经营许可证应当注明生产经营者名称、场（厂）址、生产经营范围及许可证有效期的起止日期等。</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禁止任何单位、个人无种畜禽生产经营许可证或者违反种畜禽生产经营许可证的规定生产经营种畜禽。禁止伪造、变造、转让、租借种畜禽生产经营许可证。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农户饲养的种畜禽用于自繁自养和有少量剩余仔畜、雏禽出售的，农户饲养种公畜进行互助配种的，不需要办理种畜禽生产经营许可证。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专门从事家畜人工授精、胚胎移植等繁殖工作的人员，应当取得相应的国家职业资格证书。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发布种畜禽广告的，广告主应当提供种畜禽生产经营许可证和营业执照。广告内容应当符合有关法律、行政法规的规定，并注明种畜禽品种、配套系的审定或者鉴定名称；对主要性状的描述应当符合该品种、配套系的标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销售的种畜禽和家畜配种站（点）使用的种公畜，必须符合种用标准。销售种畜禽时，应当附具种畜禽场出具的种畜禽合格证明、动物防疫监督机构出具的检疫合格证明，销售的种畜还应当附具种畜禽场出具的家畜系谱。</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生产家畜卵子、冷冻精液、胚胎等遗传材料，应当有完整的采集、销售、移植等记录，记录应当保存二年。</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销售种畜禽，不得有下列行为：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（一）以其他畜禽品种、配套系冒充所销售的种畜禽品种、配套系；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（二）以低代别种畜禽冒充高代别种畜禽；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（三）以不符合种用标准的畜禽冒充种畜禽；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（四）销售未经批准进口的种畜禽；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（五）销售未附具本法第二十九条规定的种畜禽合格证明、检疫合格证明的种畜禽或者未附具家畜系谱的种畜；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（六）销售未经审定或者鉴定的种畜禽品种、配套系。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申请进口种畜禽的，应当持有种畜禽生产经营许可证。进口种畜禽的批准文件有效期为六个月。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进口的种畜禽应当符合国务院畜牧兽医行政主管部门规定的技术要求。首次进口的种畜禽还应当由国家畜禽遗传资源委员会进行种用性能的评估。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种畜禽的进出口管理除适用前两款的规定外，还适用本法第十五条和第十六条的相关规定。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国家鼓励畜禽养殖者对进口的畜禽进行新品种、配套系的选育；选育的新品种、配套系在推广前，应当经国家畜禽遗传资源委员会审定。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种畜禽场和孵化场（厂）销售商品代仔畜、雏禽的，应当向购买者提供其销售的商品代仔畜、雏禽的主要生产性能指标、免疫情况、饲养技术要求和有关咨询服务，并附具动物防疫监督机构出具的检疫合格证明。</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销售种畜禽和商品代仔畜、雏禽，因质量问题给畜禽养殖者造成损失的，应当依法赔偿损失。</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人民政府畜牧兽医行政主管部门负责种畜禽质量安全的监督管理工作。种畜禽质量安全的监督检验应当委托具有法定资质的种畜禽质量检验机构进行；所需检验费用按照国务院规定列支，不得向被检验人收取。</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蚕种的资源保护、新品种选育、生产经营和推广适用本法有关规定，具体管理办法由国务院农业行政主管部门制定。</w:t>
      </w:r>
    </w:p>
    <w:p>
      <w:pPr>
        <w:pStyle w:val="63"/>
        <w:spacing w:before="218" w:after="218" w:line="412" w:lineRule="exact"/>
        <w:rPr>
          <w:kern w:val="0"/>
        </w:rPr>
      </w:pPr>
      <w:r>
        <w:rPr>
          <w:kern w:val="0"/>
        </w:rPr>
        <w:t>第四章</w:t>
      </w:r>
      <w:r>
        <w:rPr>
          <w:rFonts w:hint="eastAsia"/>
          <w:kern w:val="0"/>
        </w:rPr>
        <w:t xml:space="preserve">  </w:t>
      </w:r>
      <w:r>
        <w:rPr>
          <w:kern w:val="0"/>
        </w:rPr>
        <w:t>畜禽养殖</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县级以上人民政府畜牧兽医行政主管部门应当根据畜牧业发展规划和市场需求，引导和支持畜牧业结构调整，发展优势畜禽生产，提高畜禽产品市场竞争力。</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国家支持草原牧区开展草原围栏、草原水利、草原改良、饲草饲料基地等草原基本建设，优化畜群结构，改良牲畜品种，转变生产方式，发展舍饲圈养、划区轮牧，逐步实现畜草平衡，改善草原生态环境。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和省级人民政府应当在其财政预算内安排支持畜牧业发展的良种补贴、贴息补助等资金，并鼓励有关金融机构通过提供贷款、保险服务等形式，支持畜禽养殖者购买优良畜禽、繁育良种、改善生产设施、扩大养殖规模，提高养殖效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家支持农村集体经济组织、农民和畜牧业合作经济组织建立畜禽养殖场、养殖小区，发展规模化、标准化养殖。乡（镇）土地利用总体规划应当根据本地实际情况安排畜禽养殖用地。农村集体经济组织、农民、畜牧业合作经济组织按照乡（镇）土地利用总体规划建立的畜禽养殖场、养殖小区用地按农业用地管理。畜禽养殖场、养殖小区用地使用权期限届满，需要恢复为原用途的，由畜禽养殖场、养殖小区土地使用权人负责恢复。在畜禽养殖场、养殖小区用地范围内需要兴建永久性建（构）筑物，涉及农用地转用的，依照《中华人民共和国土地管理法》的规定办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国家设立的畜牧兽医技术推广机构，应当向农民提供畜禽养殖技术培训、良种推广、疫病防治等服务。县级以上人民政府应当保障国家设立的畜牧兽医技术推广机构从事公益性技术服务的工作经费。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国家鼓励畜禽产品加工企业和其他相关生产经营者为畜禽养殖者提供所需的服务。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畜禽养殖场、养殖小区应当具备下列条件：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（一）有与其饲养规模相适应的生产场所和配套的生产设施；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（二）有为其服务的畜牧兽医技术人员；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（三）具备法律、行政法规和国务院畜牧兽医行政主管部门规定的防疫条件；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（四）有对畜禽粪便、废水和其他固体废弃物进行综合利用的沼气池等设施或者其他无害化处理设施；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（五）具备法律、行政法规规定的其他条件。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养殖场、养殖小区兴办者应当将养殖场、养殖小区的名称、养殖地址、畜禽品种和养殖规模，向养殖场、养殖小区所在地县级人民政府畜牧兽医行政主管部门备案，取得畜禽标识代码。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省级人民政府根据本行政区域畜牧业发展状况制定畜禽养殖场、养殖小区的规模标准和备案程序。</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禁止在下列区域内建设畜禽养殖场、养殖小区：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（一）生活饮用水的水源保护区，风景名胜区，以及自然保护区的核心区和缓冲区；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（二）城镇居民区、文化教育科学研究区等人口集中区域；</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（三）法律、法规规定的其他禁养区域。</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畜禽养殖场应当建立养殖档案，载明以下内容：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（一）畜禽的品种、数量、繁殖记录、标识情况、来源和进出场日期；</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（二）饲料、饲料添加剂、兽药等投入品的来源、名称、使用对象、时间和用量；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（三）检疫、免疫、消毒情况；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（四）畜禽发病、死亡和无害化处理情况；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（五）国务院畜牧兽医行政主管部门规定的其他内容。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畜禽养殖场应当为其饲养的畜禽提供适当的繁殖条件和生存、生长环境。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从事畜禽养殖，不得有下列行为：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（一）违反法律、行政法规的规定和国家技术规范的强制性要求使用饲料、饲料添加剂、兽药；</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（二）使用未经高温处理的餐馆、食堂的泔水饲喂家畜；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（三）在垃圾场或者使用垃圾场中的物质饲养畜禽；</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（四）法律、行政法规和国务院畜牧兽医行政主管部门规定的危害人和畜禽健康的其他行为。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从事畜禽养殖，应当依照《中华人民共和国动物防疫法》的规定，做好畜禽疫病的防治工作。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畜禽养殖者应当按照国家关于畜禽标识管理的规定，在应当加施标识的畜禽的指定部位加施标识。畜牧兽医行政主管部门提供标识不得收费，所需费用列入省级人民政府财政预算。</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畜禽标识不得重复使用。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畜禽养殖场、养殖小区应当保证畜禽粪便、废水及其他固体废弃物综合利用或者无害化处理设施的正常运转，保证污染物达标排放，防止污染环境。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畜禽养殖场、养殖小区违法排放畜禽粪便、废水及其他固体废弃物，造成环境污染危害的，应当排除危害，依法赔偿损失。</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国家支持畜禽养殖场、养殖小区建设畜禽粪便、废水及其他固体废弃物的综合利用设施。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国家鼓励发展养蜂业，维护养蜂生产者的合法权益。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有关部门应当积极宣传和推广蜜蜂授粉农艺措施。</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养蜂生产者在生产过程中，不得使用危害蜂产品质量安全的药品和容器，确保蜂产品质量。养蜂器具应当符合国家技术规范的强制性要求。</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养蜂生产者在转地放蜂时，当地公安、交通运输、畜牧兽医等有关部门应当为其提供必要的便利。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养蜂生产者在国内转地放蜂，凭国务院畜牧兽医行政主管部门统一格式印制的检疫合格证明运输蜂群，在检疫合格证明有效期内不得重复检疫。</w:t>
      </w:r>
    </w:p>
    <w:p>
      <w:pPr>
        <w:pStyle w:val="63"/>
        <w:spacing w:before="218" w:after="218" w:line="412" w:lineRule="exact"/>
        <w:rPr>
          <w:kern w:val="0"/>
        </w:rPr>
      </w:pPr>
      <w:r>
        <w:rPr>
          <w:kern w:val="0"/>
        </w:rPr>
        <w:t>第五章</w:t>
      </w:r>
      <w:r>
        <w:rPr>
          <w:rFonts w:hint="eastAsia"/>
          <w:kern w:val="0"/>
        </w:rPr>
        <w:t xml:space="preserve">  </w:t>
      </w:r>
      <w:r>
        <w:rPr>
          <w:kern w:val="0"/>
        </w:rPr>
        <w:t>畜禽交易与运输</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县级以上人民政府应当促进开放统一、竞争有序的畜禽交易市场建设。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县级以上人民政府畜牧兽医行政主管部门和其他有关主管部门应当组织搜集、整理、发布畜禽产销信息，为生产者提供信息服务。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县级以上地方人民政府根据农产品批发市场发展规划，对在畜禽集散地建立畜禽批发市场给予扶持。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畜禽批发市场选址，应当符合法律、行政法规和国务院畜牧兽医行政主管部门规定的动物防疫条件，并距离种畜禽场和大型畜禽养殖场三公里以外。</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进行交易的畜禽必须符合国家技术规范的强制性要求。</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国务院畜牧兽医行政主管部门规定应当加施标识而没有标识的畜禽，不得销售和收购。</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运输畜禽，必须符合法律、行政法规和国务院畜牧兽医行政主管部门规定的动物防疫条件，采取措施保护畜禽安全，并为运输的畜禽提供必要的空间和饲喂饮水条件。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有关部门对运输中的畜禽进行检查，应当有法律、行政法规的依据。</w:t>
      </w:r>
    </w:p>
    <w:p>
      <w:pPr>
        <w:pStyle w:val="63"/>
        <w:spacing w:before="218" w:after="218" w:line="412" w:lineRule="exact"/>
        <w:rPr>
          <w:kern w:val="0"/>
        </w:rPr>
      </w:pPr>
      <w:r>
        <w:rPr>
          <w:kern w:val="0"/>
        </w:rPr>
        <w:t>第六章</w:t>
      </w:r>
      <w:r>
        <w:rPr>
          <w:rFonts w:hint="eastAsia"/>
          <w:kern w:val="0"/>
        </w:rPr>
        <w:t xml:space="preserve">  </w:t>
      </w:r>
      <w:r>
        <w:rPr>
          <w:kern w:val="0"/>
        </w:rPr>
        <w:t>质量安全保障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县级以上人民政府应当组织畜牧兽医行政主管部门和其他有关主管部门，依照本法和有关法律、行政法规的规定，加强对畜禽饲养环境、种畜禽质量、饲料和兽药等投入品的使用以及畜禽交易与运输的监督管理。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国务院畜牧兽医行政主管部门应当制定畜禽标识和养殖档案管理办法，采取措施落实畜禽产品质量责任追究制度。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县级以上人民政府畜牧兽医行政主管部门应当制定畜禽质量安全监督检查计划，按计划开展监督抽查工作。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省级以上人民政府畜牧兽医行政主管部门应当组织制定畜禽生产规范，指导畜禽的安全生产。</w:t>
      </w:r>
    </w:p>
    <w:p>
      <w:pPr>
        <w:pStyle w:val="63"/>
        <w:spacing w:before="218" w:after="218" w:line="412" w:lineRule="exact"/>
        <w:rPr>
          <w:kern w:val="0"/>
        </w:rPr>
      </w:pPr>
      <w:r>
        <w:rPr>
          <w:kern w:val="0"/>
        </w:rPr>
        <w:t>第七章</w:t>
      </w:r>
      <w:r>
        <w:rPr>
          <w:rFonts w:hint="eastAsia"/>
          <w:kern w:val="0"/>
        </w:rPr>
        <w:t xml:space="preserve">  </w:t>
      </w:r>
      <w:r>
        <w:rPr>
          <w:kern w:val="0"/>
        </w:rPr>
        <w:t>法律责任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违反本法第十三条第二款规定，擅自处理受保护的畜禽遗传资源，造成畜禽遗传资源损失的，由省级以上人民政府畜牧兽医行政主管部门处五万元以上五十万元以下罚款。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违反本法有关规定，有下列行为之一的，由省级以上人民政府畜牧兽医行政主管部门责令停止违法行为，没收畜禽遗传资源和违法所得，并处一万元以上五万元以下罚款：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（一）未经审核批准，从境外引进畜禽遗传资源的；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（二）未经审核批准，在境内与境外机构、个人合作研究利用列入保护名录的畜禽遗传资源的；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（三）在境内与境外机构、个人合作研究利用未经国家畜禽遗传资源委员会鉴定的新发现的畜禽遗传资源的。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未经国务院畜牧兽医行政主管部门批准，向境外输出畜禽遗传资源的，依照《中华人民共和国海关法》的有关规定追究法律责任。海关应当将扣留的畜禽遗传资源移送省级人民政府畜牧兽医行政主管部门处理。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有关规定，销售、推广未经审定或者鉴定的畜禽品种的，由县级以上人民政府畜牧兽医行政主管部门责令停止违法行为，没收畜禽和违法所得；违法所得在五万元以上的，并处违法所得一倍以上三倍以下罚款；没有违法所得或者违法所得不足五万元的，并处五千元以上五万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有关规定，无种畜禽生产经营许可证或者违反种畜禽生产经营许可证的规定生产经营种畜禽的，转让、租借种畜禽生产经营许可证的，由县级以上人民政府畜牧兽医行政主管部门责令停止违法行为，没收违法所得；违法所得在三万元以上的，并处违法所得一倍以上三倍以下罚款；没有违法所得或者违法所得不足三万元的，并处三千元以上三万元以下罚款。违反种畜禽生产经营许可证的规定生产经营种畜禽或者转让、租借种畜禽生产经营许可证，情节严重的，并处吊销种畜禽生产经营许可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违反本法第二十八条规定的，依照《中华人民共和国广告法》的有关规定追究法律责任。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有关规定，使用的种畜禽不符合种用标准的，由县级以上地方人民政府畜牧兽医行政主管部门责令停止违法行为，没收违法所得；违法所得在五千元以上的，并处违法所得一倍以上二倍以下罚款；没有违法所得或者违法所得不足五千元的，并处一千元以上五千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违反本法第四十一条规定，畜禽养殖场未建立养殖档案的，或者未按照规定保存养殖档案的，由县级以上人民政府畜牧兽医行政主管部门责令限期改正，可以处一万元以下罚款。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违反本法第四十三条规定养殖畜禽的，依照有关法律、行政法规的规定处罚。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违反本法有关规定，使用伪造、变造的畜禽标识的，由县级以上人民政府畜牧兽医行政主管部门没收伪造、变造的畜禽标识和违法所得，并处三千元以上三万元以下罚款。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第六十九条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由工商行政管理部门并处吊销营业执照。</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第七十条</w:t>
      </w:r>
      <w:r>
        <w:rPr>
          <w:rFonts w:asciiTheme="minorEastAsia" w:hAnsiTheme="minorEastAsia" w:eastAsiaTheme="minorEastAsia"/>
          <w:kern w:val="0"/>
          <w:sz w:val="24"/>
          <w:szCs w:val="24"/>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违反本法规定，构成犯罪的，依法追究刑事责任。</w:t>
      </w:r>
    </w:p>
    <w:p>
      <w:pPr>
        <w:pStyle w:val="63"/>
        <w:spacing w:before="218" w:after="218" w:line="412" w:lineRule="exact"/>
        <w:rPr>
          <w:kern w:val="0"/>
        </w:rPr>
      </w:pPr>
      <w:r>
        <w:rPr>
          <w:kern w:val="0"/>
        </w:rPr>
        <w:t>第八章</w:t>
      </w:r>
      <w:r>
        <w:rPr>
          <w:rFonts w:hint="eastAsia"/>
          <w:kern w:val="0"/>
        </w:rPr>
        <w:t xml:space="preserve">  </w:t>
      </w:r>
      <w:r>
        <w:rPr>
          <w:kern w:val="0"/>
        </w:rPr>
        <w:t>附</w:t>
      </w:r>
      <w:r>
        <w:rPr>
          <w:rFonts w:hint="eastAsia"/>
          <w:kern w:val="0"/>
        </w:rPr>
        <w:t xml:space="preserve">  </w:t>
      </w:r>
      <w:r>
        <w:rPr>
          <w:kern w:val="0"/>
        </w:rP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本法所称畜禽遗传资源，是指畜禽及其卵子（蛋）、胚胎、精液、基因物质等遗传材料。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本法所称种畜禽，是指经过选育、具有种用价值、适于繁殖后代的畜禽及其卵子（蛋）、胚胎、精液等。</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第七十三条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本法自2006年7月1日起施行。</w:t>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754" w:name="_Toc21450017"/>
    </w:p>
    <w:p>
      <w:pPr>
        <w:pStyle w:val="61"/>
      </w:pPr>
      <w:bookmarkStart w:id="755" w:name="_Toc25653725"/>
      <w:bookmarkStart w:id="756" w:name="_Toc26347986"/>
      <w:bookmarkStart w:id="757" w:name="_Toc28157008"/>
      <w:bookmarkStart w:id="758" w:name="_Toc25648230"/>
      <w:bookmarkStart w:id="759" w:name="_Toc28250936"/>
      <w:bookmarkStart w:id="760" w:name="_Toc28252211"/>
      <w:r>
        <w:t>优良种畜登记规则</w:t>
      </w:r>
      <w:bookmarkEnd w:id="754"/>
      <w:bookmarkEnd w:id="755"/>
      <w:bookmarkEnd w:id="756"/>
      <w:bookmarkEnd w:id="757"/>
      <w:bookmarkEnd w:id="758"/>
      <w:bookmarkEnd w:id="759"/>
      <w:bookmarkEnd w:id="760"/>
    </w:p>
    <w:p>
      <w:pPr>
        <w:pStyle w:val="62"/>
        <w:topLinePunct w:val="0"/>
        <w:ind w:firstLine="0" w:firstLineChars="0"/>
        <w:jc w:val="center"/>
        <w:rPr>
          <w:b/>
        </w:rPr>
      </w:pPr>
      <w:r>
        <w:t>（2006年6月5日中华人民共和国</w:t>
      </w:r>
      <w:r>
        <w:rPr>
          <w:shd w:val="clear" w:color="auto" w:fill="FFFFFF"/>
        </w:rPr>
        <w:t>农业部</w:t>
      </w:r>
      <w:r>
        <w:t>令第66号公布）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为了培育优良种畜，提高种畜遗传质量，向社会推荐优良种畜，根据《中华人民共和国畜牧法》的有关规定，制定本规则。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本规则所称优良种畜，是指个体符合品种标准，综合鉴定等级为一级以上的种畜。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农业部主管全国优良种畜登记管理工作。省级人民政府畜牧行政主管部门主管本行政区域内优良种畜登记管理工作。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全国畜牧总站组织开展全国性优良种畜登记。省级畜牧技术推广机构组织开展本行政区域内的优良种畜登记。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畜牧行业协会配合畜牧技术推广机构实施优良种畜登记工作。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饲养《中国畜禽遗传资源目录》中牛、羊、猪、马、驴、骆驼、鹿、兔、犬等家畜的单位和个人，可以自愿申请优良种畜登记，任何机构不得强制。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申请优良种畜登记的单位和个人应当符合下列条件：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（一）取得种畜禽生产经营许可资格；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（二）畜牧主管部门备案的养殖场或者养殖小区；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（三）国家和省级畜禽遗传资源保护区内的养殖户；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（四）其他符合条件的单位和个人。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申请登记的种畜应当符合下列条件之一：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（一）双亲已登记的纯种；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（二）从国外引进已登记或者注册的原种；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（三）三代系谱记录完整的个体；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（四）其他符合优良种畜条件的个体。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申请优良种畜登记的单位和个人，应当向省级以上畜牧技术推广机构（以下简称登记机构）报送下列材料：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（二）申请报告和种畜系谱等资料；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（三）种畜照片；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（四）《种畜禽生产经营许可证》复印件。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登记机构应当自收到申请之日起30个工作日内完成审定，必要时可以组织现场审验或者技术检测。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通过审定的，予以登记公告，并由登记机构发放优良种畜证书；未通过审定的，登记机构应当书面通知申请人，并说明理由。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优良种畜登记实行一畜一卡，记录内容包括：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（一）基本情况：  场（小区、站、户）名、品种、类型、个体编号、出生日期、 出生地、综合鉴（评）定等级、登记时间、登记人等基础信息；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（二）系谱档案：  三代系谱完整，并具有父本母本生产性能或遗传力评估的完整资料；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（三）外貌特征：  种畜头部正面及左、右体侧照片各一张；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（四）生产性能：  按各畜种登记卡的内容进行登记；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（五）优良种畜转让、出售、死亡、淘汰等情况。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优良种畜登记卡由专人负责填写和管理，登记信息应当录入计算机管理系统 ，不得随意涂改。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优良种畜登记卡等书面信息资料，至少保存5年；电子信息资料应当长期保存。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登记的优良种畜淘汰、死亡的，畜主应当在30日内向登记机构报告。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登记的优良种畜转让、出售的，应当附优良种畜登记卡等相关资料，并办理变更手续。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申请单位和个人以欺诈、贿赂等手段骗取登记的，撤销优良种畜登记。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已登记的种畜不再符合规定条件的，注销优良种畜登记。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登记机构及其工作人员弄虚作假、玩忽职守造成后果的，依法给予处分；造成损失的，依法承担赔偿责任。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本规则自2006年7月1日起施行。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761" w:name="_Toc21450018"/>
      <w:bookmarkStart w:id="762" w:name="_Toc466579862"/>
      <w:bookmarkStart w:id="763" w:name="_Toc5851"/>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764" w:name="_Toc25653726"/>
      <w:bookmarkStart w:id="765" w:name="_Toc25648231"/>
      <w:bookmarkStart w:id="766" w:name="_Toc28250937"/>
      <w:bookmarkStart w:id="767" w:name="_Toc28157009"/>
      <w:bookmarkStart w:id="768" w:name="_Toc26347987"/>
      <w:bookmarkStart w:id="769" w:name="_Toc28252212"/>
      <w:r>
        <w:t>畜禽标识和养殖档案管理办法</w:t>
      </w:r>
      <w:bookmarkEnd w:id="761"/>
      <w:bookmarkEnd w:id="762"/>
      <w:bookmarkEnd w:id="763"/>
      <w:bookmarkEnd w:id="764"/>
      <w:bookmarkEnd w:id="765"/>
      <w:bookmarkEnd w:id="766"/>
      <w:bookmarkEnd w:id="767"/>
      <w:bookmarkEnd w:id="768"/>
      <w:bookmarkEnd w:id="769"/>
    </w:p>
    <w:p>
      <w:pPr>
        <w:pStyle w:val="62"/>
        <w:topLinePunct w:val="0"/>
        <w:ind w:firstLine="0" w:firstLineChars="0"/>
        <w:jc w:val="center"/>
      </w:pPr>
      <w:r>
        <w:t>（2006年6月26日</w:t>
      </w:r>
      <w:r>
        <w:rPr>
          <w:shd w:val="clear" w:color="auto" w:fill="FFFFFF"/>
        </w:rPr>
        <w:t>中华人民共和国</w:t>
      </w:r>
      <w:r>
        <w:t>农业部令第67号公布）</w:t>
      </w:r>
    </w:p>
    <w:p>
      <w:pPr>
        <w:pStyle w:val="40"/>
        <w:topLinePunct/>
        <w:spacing w:line="416" w:lineRule="exact"/>
        <w:ind w:firstLine="480" w:firstLineChars="200"/>
        <w:jc w:val="both"/>
        <w:outlineLvl w:val="9"/>
        <w:rPr>
          <w:rFonts w:cs="Times New Roman" w:asciiTheme="minorEastAsia" w:hAnsiTheme="minorEastAsia" w:eastAsiaTheme="minorEastAsia"/>
          <w:sz w:val="24"/>
          <w:szCs w:val="24"/>
        </w:rPr>
      </w:pPr>
    </w:p>
    <w:p>
      <w:pPr>
        <w:pStyle w:val="63"/>
        <w:spacing w:before="218" w:after="218" w:line="412" w:lineRule="exact"/>
        <w:rPr>
          <w:b/>
        </w:rPr>
      </w:pPr>
      <w:r>
        <w:t xml:space="preserve">第一章 </w:t>
      </w:r>
      <w:r>
        <w:rPr>
          <w:rFonts w:hint="eastAsia"/>
        </w:rPr>
        <w:t xml:space="preserve"> </w:t>
      </w:r>
      <w:r>
        <w:t>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畜牧业生产经营行为，加强畜禽标识和养殖档案管理，建立畜禽及畜禽产品可追溯制度，有效防控重大动物疫病，保障畜禽产品质量安全，依据《中华人民共和国畜牧法》、《中华人民共和国动物防疫法》和《中华人民共和国农产品质量安全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本办法所称畜禽标识是指经农业部批准使用的耳标、电子标签、脚环以及其他承载畜禽信息的标识物。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在中华人民共和国境内从事畜禽及畜禽产品生产、经营、运输等活动，应当遵守本办法。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农业部负责全国畜禽标识和养殖档案的监督管理工作。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县级以上地方人民政府畜牧兽医行政主管部门负责本行政区域内畜禽标识和养殖档案的监督管理工作。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畜禽标识制度应当坚持统一规划、分类指导、分步实施、稳步推进的原则。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畜禽标识所需费用列入省级人民政府财政预算。</w:t>
      </w:r>
    </w:p>
    <w:p>
      <w:pPr>
        <w:pStyle w:val="63"/>
        <w:spacing w:before="218" w:after="218" w:line="412" w:lineRule="exact"/>
        <w:rPr>
          <w:b/>
        </w:rPr>
      </w:pPr>
      <w:r>
        <w:t xml:space="preserve">第二章 </w:t>
      </w:r>
      <w:r>
        <w:rPr>
          <w:rFonts w:hint="eastAsia"/>
        </w:rPr>
        <w:t xml:space="preserve"> </w:t>
      </w:r>
      <w:r>
        <w:t>畜禽标识管理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畜禽标识实行一畜一标，编码应当具有唯一性。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畜禽标识编码由畜禽种类代码、县级行政区域代码、标识顺序号共15位数字及专用条  码组成。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猪、牛、羊的畜禽种类代码分别为1、2、3。</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编码形式为：×（种类代码）－××××××（县级行政区域代码）－××××××××（标识顺序号）。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农业部制定并公布畜禽标识技术规范，生产企业生产的畜禽标识应当符合该规范规定。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省级动物疫病预防控制机构统一采购畜禽标识，逐级供应。</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畜禽标识生产企业不得向省级动物疫病预防控制机构以外的单位和个人提供畜禽标识。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畜禽养殖者应当向当地县级动物疫病预防控制机构申领畜禽标识，并按照下列规定对畜禽加施畜禽标识：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（一）新出生畜禽，在出生后30天内加施畜禽标识；30天内离开饲养地的，在离开饲养地前加施畜禽标识；从国外引进畜禽，在畜禽到达目的地10日内加施畜禽标识。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（二）猪、牛、羊在左耳中部加施畜禽标识，需要再次加施畜禽标识的，在右耳中部加施。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畜禽标识严重磨损、破损、脱落后，应当及时加施新的标识，并在养殖档案中记录新标识编码。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动物卫生监督机构实施产地检疫时，应当查验畜禽标识。没有加施畜禽标识的，不得出具检疫合格证明。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动物卫生监督机构应当在畜禽屠宰前，查验、登记畜禽标识。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畜禽屠宰经营者应当在畜禽屠宰时回收畜禽标识，由动物卫生监督机构保存、销毁。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畜禽经屠宰检疫合格后，动物卫生监督机构应当在畜禽产品检疫标志中注明畜禽标识编码。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省级人民政府畜牧兽医行政主管部门应当建立畜禽标识及所需配套设备的采购、保管、发放、使用、登记、回收、销毁等制度。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畜禽标识不得重复使用。</w:t>
      </w:r>
    </w:p>
    <w:p>
      <w:pPr>
        <w:pStyle w:val="63"/>
        <w:spacing w:before="218" w:after="218" w:line="412" w:lineRule="exact"/>
        <w:rPr>
          <w:b/>
        </w:rPr>
      </w:pPr>
      <w:r>
        <w:t xml:space="preserve">第三章 </w:t>
      </w:r>
      <w:r>
        <w:rPr>
          <w:rFonts w:hint="eastAsia"/>
        </w:rPr>
        <w:t xml:space="preserve"> </w:t>
      </w:r>
      <w:r>
        <w:t>养殖档案管理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畜禽养殖场应当建立养殖档案，载明以下内容：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（一）畜禽的品种、数量、繁殖记录、标识情况、来源和进出场日期；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（二）饲料、饲料添加剂等投入品和兽药的来源、名称、使用对象、时间和用量等有关情况；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（三）检疫、免疫、监测、消毒情况；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（四）畜禽发病、诊疗、死亡和无害化处理情况；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（五）畜禽养殖代码；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（六）农业部规定的其他内容。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县级动物疫病预防控制机构应当建立畜禽防疫档案，载明以下内容：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（一）畜禽养殖场：名称、地址、畜禽种类、数量、免疫日期、疫苗名称、畜禽养殖代码、畜禽标识顺序号、免疫人员以及用药记录等。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（二）畜禽散养户：户主姓名、地址、畜禽种类、数量、免疫日期、疫苗名称、畜禽标识顺序号、免疫人员以及用药记录等。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畜禽养殖场、养殖小区应当依法向所在地县级人民政府畜牧兽医行政主管部门备案，取得畜禽养殖代码。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畜禽养殖代码由县级人民政府畜牧兽医行政主管部门按照备案顺序统一编号，每个畜禽养殖场、养殖小区只有一个畜禽养殖代码。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畜禽养殖代码由6位县级行政区域代码和4位顺序号组成，作为养殖档案编号。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饲养种畜应当建立个体养殖档案，注明标识编码、性别、出生日期、父系和母系品种类型、母本的标识编码等信息。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种畜调运时应当在个体养殖档案上注明调出和调入地，个体养殖档案应当随同调运。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养殖档案和防疫档案保存时间：商品猪、禽为2年，牛为20年，羊为10年，种畜禽长期保存。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从事畜禽经营的销售者和购买者应当向所在地县级动物疫病预防控制机构报告更新防疫档案相关内容。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销售者或购买者属于养殖场的，应及时在畜禽养殖档案中登记畜禽标识编码及相关信息变化情况。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畜禽养殖场养殖档案及种畜个体养殖档案格式由农业部统一制定。</w:t>
      </w:r>
    </w:p>
    <w:p>
      <w:pPr>
        <w:pStyle w:val="63"/>
        <w:spacing w:before="218" w:after="218" w:line="412" w:lineRule="exact"/>
        <w:rPr>
          <w:b/>
        </w:rPr>
      </w:pPr>
      <w:r>
        <w:t xml:space="preserve">第四章 </w:t>
      </w:r>
      <w:r>
        <w:rPr>
          <w:rFonts w:hint="eastAsia"/>
        </w:rPr>
        <w:t xml:space="preserve"> </w:t>
      </w:r>
      <w:r>
        <w:t>信息管理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国家实施畜禽标识及养殖档案信息化管理，实现畜禽及畜禽产品可追溯。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农业部建立包括国家畜禽标识信息中央数据库在内的国家畜禽标识信息管理系统。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省级人民政府畜牧兽医行政主管部门建立本行政区域畜禽标识信息数据库，并成为国家畜禽标识信息中央数据库的子数据库。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县级以上人民政府畜牧兽医行政主管部门根据数据采集要求，组织畜禽养殖相关信息的录入、上传和更新工作。</w:t>
      </w:r>
    </w:p>
    <w:p>
      <w:pPr>
        <w:pStyle w:val="63"/>
        <w:spacing w:before="218" w:after="218" w:line="412" w:lineRule="exact"/>
        <w:rPr>
          <w:b/>
        </w:rPr>
      </w:pPr>
      <w:r>
        <w:t>第五章</w:t>
      </w:r>
      <w:r>
        <w:rPr>
          <w:rFonts w:hint="eastAsia"/>
        </w:rPr>
        <w:t xml:space="preserve"> </w:t>
      </w:r>
      <w:r>
        <w:t xml:space="preserve"> 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县级以上地方人民政府畜牧兽医行政主管部门所属动物卫生监督机构具体承担本行政区域内畜禽标识的监督管理工作。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畜禽标识和养殖档案记载的信息应当连续、完整、真实。</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有下列情形之一的，应当对畜禽、畜禽产品实施追溯：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（一）标识与畜禽、畜禽产品不符；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（二）畜禽、畜禽产品染疫；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（三）畜禽、畜禽产品没有检疫证明；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（四）违规使用兽药及其他有毒、有害物质；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（五）发生重大动物卫生安全事件；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（六）其他应当实施追溯的情形。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县级以上人民政府畜牧兽医行政主管部门应当根据畜禽标识、养殖档案等信息对畜禽及畜禽产品实施追溯和处理。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国外引进的畜禽在国内发生重大动物疫情，由农业部会同有关部门进行追溯。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任何单位和个人不得销售、收购、运输、屠宰应当加施标识而没有标识的畜禽。</w:t>
      </w:r>
    </w:p>
    <w:p>
      <w:pPr>
        <w:pStyle w:val="63"/>
        <w:spacing w:before="218" w:after="218" w:line="412" w:lineRule="exact"/>
        <w:rPr>
          <w:b/>
        </w:rPr>
      </w:pPr>
      <w:r>
        <w:t xml:space="preserve">第六章 </w:t>
      </w:r>
      <w:r>
        <w:rPr>
          <w:rFonts w:hint="eastAsia"/>
        </w:rPr>
        <w:t xml:space="preserve"> </w:t>
      </w:r>
      <w:r>
        <w:t xml:space="preserve">附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违反本办法规定的，按照《中华人民共和国畜牧法》、《中华人民共和国动物防疫法》和《中华人民共和国农产品质量安全法》的有关规定处罚。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本办法自2006年7月1日起施行，2002年5月24日农业部发布的《动物免疫标识管理办法》（农业部令第13号）同时废止。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猪、牛、羊以外其他畜禽标识实施时间和具体措施由农业部另行规定。</w:t>
      </w: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topLinePunct/>
        <w:spacing w:line="416" w:lineRule="exact"/>
        <w:ind w:firstLine="480"/>
        <w:rPr>
          <w:rFonts w:ascii="Times New Roman" w:hAnsiTheme="minorEastAsia" w:eastAsiaTheme="minorEastAsia"/>
          <w:sz w:val="24"/>
          <w:szCs w:val="24"/>
        </w:rPr>
      </w:pPr>
      <w:bookmarkStart w:id="770" w:name="_Toc466579853"/>
      <w:bookmarkStart w:id="771" w:name="_Toc21450025"/>
      <w:bookmarkStart w:id="772" w:name="_Toc1215"/>
    </w:p>
    <w:p>
      <w:pPr>
        <w:pStyle w:val="61"/>
      </w:pPr>
      <w:bookmarkStart w:id="773" w:name="_Toc28252213"/>
      <w:bookmarkStart w:id="774" w:name="_Toc25648232"/>
      <w:bookmarkStart w:id="775" w:name="_Toc28250938"/>
      <w:bookmarkStart w:id="776" w:name="_Toc25653727"/>
      <w:bookmarkStart w:id="777" w:name="_Toc26347988"/>
      <w:bookmarkStart w:id="778" w:name="_Toc28157010"/>
      <w:r>
        <w:t>乳品质量安全监督管理条例</w:t>
      </w:r>
      <w:bookmarkEnd w:id="770"/>
      <w:bookmarkEnd w:id="771"/>
      <w:bookmarkEnd w:id="772"/>
      <w:bookmarkEnd w:id="773"/>
      <w:bookmarkEnd w:id="774"/>
      <w:bookmarkEnd w:id="775"/>
      <w:bookmarkEnd w:id="776"/>
      <w:bookmarkEnd w:id="777"/>
      <w:bookmarkEnd w:id="778"/>
    </w:p>
    <w:p>
      <w:pPr>
        <w:pStyle w:val="62"/>
        <w:topLinePunct w:val="0"/>
        <w:ind w:firstLine="0" w:firstLineChars="0"/>
        <w:jc w:val="center"/>
        <w:rPr>
          <w:rFonts w:hAnsi="Times New Roman"/>
        </w:rPr>
      </w:pPr>
      <w:r>
        <w:t>（</w:t>
      </w:r>
      <w:r>
        <w:rPr>
          <w:rFonts w:hAnsi="Times New Roman"/>
        </w:rPr>
        <w:t>2008</w:t>
      </w:r>
      <w:r>
        <w:t>年</w:t>
      </w:r>
      <w:r>
        <w:rPr>
          <w:rFonts w:hAnsi="Times New Roman"/>
        </w:rPr>
        <w:t>10</w:t>
      </w:r>
      <w:r>
        <w:t>月</w:t>
      </w:r>
      <w:r>
        <w:rPr>
          <w:rFonts w:hAnsi="Times New Roman"/>
        </w:rPr>
        <w:t>9</w:t>
      </w:r>
      <w:r>
        <w:t>日</w:t>
      </w:r>
      <w:r>
        <w:rPr>
          <w:shd w:val="clear" w:color="auto" w:fill="FFFFFF"/>
        </w:rPr>
        <w:t>中华人民共和国</w:t>
      </w:r>
      <w:r>
        <w:t>国务院令第</w:t>
      </w:r>
      <w:r>
        <w:rPr>
          <w:rFonts w:hAnsi="Times New Roman"/>
        </w:rPr>
        <w:t>536</w:t>
      </w:r>
      <w:r>
        <w:t>号公布）</w:t>
      </w:r>
    </w:p>
    <w:p>
      <w:pPr>
        <w:pStyle w:val="63"/>
        <w:spacing w:before="218" w:after="218" w:line="412" w:lineRule="exact"/>
        <w:rPr>
          <w:rFonts w:hAnsi="Times New Roman"/>
        </w:rPr>
      </w:pPr>
      <w:r>
        <w:t>第一章</w:t>
      </w:r>
      <w:r>
        <w:rPr>
          <w:rFonts w:hint="eastAsia"/>
        </w:rPr>
        <w:t xml:space="preserve"> </w:t>
      </w:r>
      <w:r>
        <w:rPr>
          <w:rFonts w:hAnsi="Times New Roman"/>
        </w:rPr>
        <w:t xml:space="preserve"> </w:t>
      </w:r>
      <w:r>
        <w:t>总</w:t>
      </w:r>
      <w:r>
        <w:rPr>
          <w:rFonts w:hint="eastAsia"/>
        </w:rPr>
        <w:t xml:space="preserve">  </w:t>
      </w:r>
      <w:r>
        <w:t>则</w:t>
      </w:r>
    </w:p>
    <w:p>
      <w:pPr>
        <w:pStyle w:val="3"/>
        <w:topLinePunct/>
        <w:spacing w:line="412" w:lineRule="exact"/>
        <w:ind w:firstLine="482"/>
        <w:rPr>
          <w:rFonts w:ascii="Times New Roman" w:hAnsi="Times New Roman"/>
          <w:sz w:val="24"/>
          <w:szCs w:val="24"/>
        </w:rPr>
      </w:pPr>
      <w:r>
        <w:rPr>
          <w:rFonts w:ascii="Times New Roman"/>
          <w:b/>
          <w:sz w:val="24"/>
          <w:szCs w:val="24"/>
        </w:rPr>
        <w:t>第一条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为了加强乳品质量安全监督管理，保证乳品质量安全，保障公众身体健康和生命安全，促进奶业健康发展，制定本条例。</w:t>
      </w:r>
    </w:p>
    <w:p>
      <w:pPr>
        <w:pStyle w:val="3"/>
        <w:topLinePunct/>
        <w:spacing w:line="412" w:lineRule="exact"/>
        <w:ind w:firstLine="482"/>
        <w:rPr>
          <w:rFonts w:ascii="Times New Roman" w:hAnsi="Times New Roman"/>
          <w:sz w:val="24"/>
          <w:szCs w:val="24"/>
        </w:rPr>
      </w:pPr>
      <w:r>
        <w:rPr>
          <w:rFonts w:ascii="Times New Roman"/>
          <w:b/>
          <w:sz w:val="24"/>
          <w:szCs w:val="24"/>
        </w:rPr>
        <w:t>第二条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本条例所称乳品，是指生鲜乳和乳制品。</w:t>
      </w:r>
    </w:p>
    <w:p>
      <w:pPr>
        <w:pStyle w:val="3"/>
        <w:topLinePunct/>
        <w:spacing w:line="412" w:lineRule="exact"/>
        <w:ind w:firstLine="480"/>
        <w:rPr>
          <w:rFonts w:ascii="Times New Roman" w:hAnsi="Times New Roman"/>
          <w:sz w:val="24"/>
          <w:szCs w:val="24"/>
        </w:rPr>
      </w:pPr>
      <w:r>
        <w:rPr>
          <w:rFonts w:ascii="Times New Roman"/>
          <w:sz w:val="24"/>
          <w:szCs w:val="24"/>
        </w:rPr>
        <w:t>乳品质量安全监督管理适用本条例；法律对乳品质量安全监督管理另有规定的，从其规定。</w:t>
      </w:r>
    </w:p>
    <w:p>
      <w:pPr>
        <w:pStyle w:val="3"/>
        <w:topLinePunct/>
        <w:spacing w:line="412" w:lineRule="exact"/>
        <w:ind w:firstLine="482"/>
        <w:rPr>
          <w:rFonts w:ascii="Times New Roman" w:hAnsi="Times New Roman"/>
          <w:sz w:val="24"/>
          <w:szCs w:val="24"/>
        </w:rPr>
      </w:pPr>
      <w:r>
        <w:rPr>
          <w:rFonts w:ascii="Times New Roman"/>
          <w:b/>
          <w:sz w:val="24"/>
          <w:szCs w:val="24"/>
        </w:rPr>
        <w:t>第三条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奶畜养殖者、生鲜乳收购者、乳制品生产企业和销售者对其生产、收购、运输、销售的乳品质量安全负责，是乳品质量安全的第一责任者。</w:t>
      </w:r>
    </w:p>
    <w:p>
      <w:pPr>
        <w:pStyle w:val="3"/>
        <w:topLinePunct/>
        <w:spacing w:line="412" w:lineRule="exact"/>
        <w:ind w:firstLine="482"/>
        <w:rPr>
          <w:rFonts w:ascii="Times New Roman" w:hAnsi="Times New Roman"/>
          <w:sz w:val="24"/>
          <w:szCs w:val="24"/>
        </w:rPr>
      </w:pPr>
      <w:r>
        <w:rPr>
          <w:rFonts w:ascii="Times New Roman"/>
          <w:b/>
          <w:sz w:val="24"/>
          <w:szCs w:val="24"/>
        </w:rPr>
        <w:t>第四条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县级以上地方人民政府对本行政区域内的乳品质量安全监督管理负总责。</w:t>
      </w:r>
    </w:p>
    <w:p>
      <w:pPr>
        <w:pStyle w:val="3"/>
        <w:topLinePunct/>
        <w:spacing w:line="412" w:lineRule="exact"/>
        <w:ind w:firstLine="480"/>
        <w:rPr>
          <w:rFonts w:ascii="Times New Roman" w:hAnsi="Times New Roman"/>
          <w:sz w:val="24"/>
          <w:szCs w:val="24"/>
        </w:rPr>
      </w:pPr>
      <w:r>
        <w:rPr>
          <w:rFonts w:ascii="Times New Roman"/>
          <w:sz w:val="24"/>
          <w:szCs w:val="24"/>
        </w:rPr>
        <w:t>县级以上人民政府畜牧兽医主管部门负责奶畜饲养以及生鲜乳生产环节、收购环节的监督管理。县级以上质量监督检验检疫部门负责乳制品生产环节和乳品进出口环节的监督管理。县级以上工商行政管理部门负责乳制品销售环节的监督管理。县级以上食品药品监督部门负责乳制品餐饮服务环节的监督管理。县级以上人民政府卫生主管部门依照职权负责乳品质量安全监督管理的综合协调、组织查处食品安全重大事故。县级以上人民政府其他有关部门在各自职责范围内负责乳品质量安全监督管理的其他工作。</w:t>
      </w:r>
    </w:p>
    <w:p>
      <w:pPr>
        <w:pStyle w:val="3"/>
        <w:topLinePunct/>
        <w:spacing w:line="412" w:lineRule="exact"/>
        <w:ind w:firstLine="482"/>
        <w:rPr>
          <w:rFonts w:ascii="Times New Roman" w:hAnsi="Times New Roman"/>
          <w:sz w:val="24"/>
          <w:szCs w:val="24"/>
        </w:rPr>
      </w:pPr>
      <w:r>
        <w:rPr>
          <w:rFonts w:ascii="Times New Roman"/>
          <w:b/>
          <w:sz w:val="24"/>
          <w:szCs w:val="24"/>
        </w:rPr>
        <w:t>第五条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发生乳品质量安全事故，应当依照有关法律、行政法规的规定及时报告、处理；造成严重后果或者恶劣影响的，对有关人民政府、有关部门负有领导责任的负责人依法追究责任。</w:t>
      </w:r>
    </w:p>
    <w:p>
      <w:pPr>
        <w:pStyle w:val="3"/>
        <w:topLinePunct/>
        <w:spacing w:line="412" w:lineRule="exact"/>
        <w:ind w:firstLine="482"/>
        <w:rPr>
          <w:rFonts w:ascii="Times New Roman" w:hAnsi="Times New Roman"/>
          <w:sz w:val="24"/>
          <w:szCs w:val="24"/>
        </w:rPr>
      </w:pPr>
      <w:r>
        <w:rPr>
          <w:rFonts w:ascii="Times New Roman"/>
          <w:b/>
          <w:sz w:val="24"/>
          <w:szCs w:val="24"/>
        </w:rPr>
        <w:t>第六条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生鲜乳和乳制品应当符合乳品质量安全国家标准。乳品质量安全国家标准由国务院卫生主管部门组织制定，并根据风险监测和风险评估的结果及时组织修订。</w:t>
      </w:r>
    </w:p>
    <w:p>
      <w:pPr>
        <w:pStyle w:val="3"/>
        <w:topLinePunct/>
        <w:spacing w:line="412" w:lineRule="exact"/>
        <w:ind w:firstLine="480"/>
        <w:rPr>
          <w:rFonts w:ascii="Times New Roman" w:hAnsi="Times New Roman"/>
          <w:sz w:val="24"/>
          <w:szCs w:val="24"/>
        </w:rPr>
      </w:pPr>
      <w:r>
        <w:rPr>
          <w:rFonts w:ascii="Times New Roman"/>
          <w:sz w:val="24"/>
          <w:szCs w:val="24"/>
        </w:rPr>
        <w:t>乳品质量安全国家标准应当包括乳品中的致病性微生物、农药残留、兽药残留、重金属以及其他危害人体健康物质的限量规定，乳品生产经营过程的卫生要求，通用的乳品检验方法与规程，与乳品安全有关的质量要求，以及其他需要制定为乳品质量安全国家标准的内容。</w:t>
      </w:r>
    </w:p>
    <w:p>
      <w:pPr>
        <w:pStyle w:val="3"/>
        <w:topLinePunct/>
        <w:spacing w:line="412" w:lineRule="exact"/>
        <w:ind w:firstLine="480"/>
        <w:rPr>
          <w:rFonts w:ascii="Times New Roman" w:hAnsi="Times New Roman"/>
          <w:sz w:val="24"/>
          <w:szCs w:val="24"/>
        </w:rPr>
      </w:pPr>
      <w:r>
        <w:rPr>
          <w:rFonts w:ascii="Times New Roman"/>
          <w:sz w:val="24"/>
          <w:szCs w:val="24"/>
        </w:rPr>
        <w:t>制定婴幼儿奶粉的质量安全国家标准应当充分考虑婴幼儿身体特点和生长发育需要，保证婴幼儿生长发育所需的营养成分。</w:t>
      </w:r>
    </w:p>
    <w:p>
      <w:pPr>
        <w:pStyle w:val="3"/>
        <w:topLinePunct/>
        <w:spacing w:line="412" w:lineRule="exact"/>
        <w:ind w:firstLine="480"/>
        <w:rPr>
          <w:rFonts w:ascii="Times New Roman" w:hAnsi="Times New Roman"/>
          <w:sz w:val="24"/>
          <w:szCs w:val="24"/>
        </w:rPr>
      </w:pPr>
      <w:r>
        <w:rPr>
          <w:rFonts w:ascii="Times New Roman"/>
          <w:sz w:val="24"/>
          <w:szCs w:val="24"/>
        </w:rPr>
        <w:t>国务院卫生主管部门应当根据疾病信息和监督管理部门的监督管理信息等，对发现添加或者可能添加到乳品中的非食品用化学物质和其他可能危害人体健康的物质，立即组织进行风险评估，采取相应的监测、检测和监督措施。</w:t>
      </w:r>
    </w:p>
    <w:p>
      <w:pPr>
        <w:pStyle w:val="3"/>
        <w:topLinePunct/>
        <w:spacing w:line="412" w:lineRule="exact"/>
        <w:ind w:firstLine="482"/>
        <w:rPr>
          <w:rFonts w:ascii="Times New Roman" w:hAnsi="Times New Roman"/>
          <w:sz w:val="24"/>
          <w:szCs w:val="24"/>
        </w:rPr>
      </w:pPr>
      <w:r>
        <w:rPr>
          <w:rFonts w:ascii="Times New Roman"/>
          <w:b/>
          <w:sz w:val="24"/>
          <w:szCs w:val="24"/>
        </w:rPr>
        <w:t>第七条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禁止在生鲜乳生产、收购、贮存、运输、销售过程中添加任何物质。</w:t>
      </w:r>
    </w:p>
    <w:p>
      <w:pPr>
        <w:pStyle w:val="3"/>
        <w:topLinePunct/>
        <w:spacing w:line="412" w:lineRule="exact"/>
        <w:ind w:firstLine="480"/>
        <w:rPr>
          <w:rFonts w:ascii="Times New Roman" w:hAnsi="Times New Roman"/>
          <w:sz w:val="24"/>
          <w:szCs w:val="24"/>
        </w:rPr>
      </w:pPr>
      <w:r>
        <w:rPr>
          <w:rFonts w:ascii="Times New Roman"/>
          <w:sz w:val="24"/>
          <w:szCs w:val="24"/>
        </w:rPr>
        <w:t>禁止在乳制品生产过程中添加非食品用化学物质或者其他可能危害人体健康的物质。</w:t>
      </w:r>
    </w:p>
    <w:p>
      <w:pPr>
        <w:pStyle w:val="3"/>
        <w:topLinePunct/>
        <w:spacing w:line="412" w:lineRule="exact"/>
        <w:ind w:firstLine="482"/>
        <w:rPr>
          <w:rFonts w:ascii="Times New Roman" w:hAnsi="Times New Roman"/>
          <w:sz w:val="24"/>
          <w:szCs w:val="24"/>
        </w:rPr>
      </w:pPr>
      <w:r>
        <w:rPr>
          <w:rFonts w:ascii="Times New Roman"/>
          <w:b/>
          <w:sz w:val="24"/>
          <w:szCs w:val="24"/>
        </w:rPr>
        <w:t>第八条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国务院畜牧兽医主管部门会同国务院发展改革部门、工业和信息化部门、商务部门，制定全国奶业发展规划，加强奶源基地建设，完善服务体系，促进奶业健康发展。</w:t>
      </w:r>
    </w:p>
    <w:p>
      <w:pPr>
        <w:pStyle w:val="3"/>
        <w:topLinePunct/>
        <w:spacing w:line="412" w:lineRule="exact"/>
        <w:ind w:firstLine="480"/>
        <w:rPr>
          <w:rFonts w:ascii="Times New Roman" w:hAnsi="Times New Roman"/>
          <w:sz w:val="24"/>
          <w:szCs w:val="24"/>
        </w:rPr>
      </w:pPr>
      <w:r>
        <w:rPr>
          <w:rFonts w:ascii="Times New Roman"/>
          <w:sz w:val="24"/>
          <w:szCs w:val="24"/>
        </w:rPr>
        <w:t>县级以上地方人民政府应当根据全国奶业发展规划，合理确定本行政区域内奶畜养殖规模，科学安排生鲜乳的生产、收购布局。</w:t>
      </w:r>
    </w:p>
    <w:p>
      <w:pPr>
        <w:pStyle w:val="3"/>
        <w:topLinePunct/>
        <w:spacing w:line="412" w:lineRule="exact"/>
        <w:ind w:firstLine="482"/>
        <w:rPr>
          <w:rFonts w:ascii="Times New Roman" w:hAnsi="Times New Roman"/>
          <w:sz w:val="24"/>
          <w:szCs w:val="24"/>
        </w:rPr>
      </w:pPr>
      <w:r>
        <w:rPr>
          <w:rFonts w:ascii="Times New Roman"/>
          <w:b/>
          <w:sz w:val="24"/>
          <w:szCs w:val="24"/>
        </w:rPr>
        <w:t>第九条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有关行业协会应当加强行业自律，推动行业诚信建设，引导、规范奶畜养殖者、生鲜乳收购者、乳制品生产企业和销售者依法生产经营。</w:t>
      </w:r>
    </w:p>
    <w:p>
      <w:pPr>
        <w:pStyle w:val="63"/>
        <w:spacing w:before="218" w:after="218" w:line="412" w:lineRule="exact"/>
        <w:rPr>
          <w:rFonts w:hAnsi="Times New Roman"/>
        </w:rPr>
      </w:pPr>
      <w:r>
        <w:t>第二章</w:t>
      </w:r>
      <w:r>
        <w:rPr>
          <w:rFonts w:hAnsi="Times New Roman"/>
        </w:rPr>
        <w:t xml:space="preserve"> </w:t>
      </w:r>
      <w:r>
        <w:rPr>
          <w:rFonts w:hint="eastAsia" w:hAnsi="Times New Roman"/>
        </w:rPr>
        <w:t xml:space="preserve"> </w:t>
      </w:r>
      <w:r>
        <w:t>奶畜养殖</w:t>
      </w:r>
    </w:p>
    <w:p>
      <w:pPr>
        <w:pStyle w:val="3"/>
        <w:topLinePunct/>
        <w:spacing w:line="412" w:lineRule="exact"/>
        <w:ind w:firstLine="482"/>
        <w:rPr>
          <w:sz w:val="24"/>
          <w:szCs w:val="24"/>
        </w:rPr>
      </w:pPr>
      <w:r>
        <w:rPr>
          <w:b/>
          <w:sz w:val="24"/>
          <w:szCs w:val="24"/>
        </w:rPr>
        <w:t xml:space="preserve">第十条 </w:t>
      </w:r>
      <w:r>
        <w:rPr>
          <w:rFonts w:hint="eastAsia" w:asciiTheme="minorEastAsia" w:hAnsiTheme="minorEastAsia" w:eastAsiaTheme="minorEastAsia"/>
          <w:b/>
          <w:sz w:val="24"/>
          <w:szCs w:val="24"/>
        </w:rPr>
        <w:t xml:space="preserve"> </w:t>
      </w:r>
      <w:r>
        <w:rPr>
          <w:sz w:val="24"/>
          <w:szCs w:val="24"/>
        </w:rPr>
        <w:t>国家采取有效措施，鼓励、引导、扶持奶畜养殖者提高生鲜乳质量安全水平。省级以上人民政府应当在本级财政预算内安排支持奶业发展资金，并鼓励对奶畜养殖者、奶农专业生产合作社等给予信贷支持。</w:t>
      </w:r>
    </w:p>
    <w:p>
      <w:pPr>
        <w:pStyle w:val="3"/>
        <w:topLinePunct/>
        <w:spacing w:line="412" w:lineRule="exact"/>
        <w:ind w:firstLine="480"/>
        <w:rPr>
          <w:sz w:val="24"/>
          <w:szCs w:val="24"/>
        </w:rPr>
      </w:pPr>
      <w:r>
        <w:rPr>
          <w:sz w:val="24"/>
          <w:szCs w:val="24"/>
        </w:rPr>
        <w:t>国家建立奶畜政策性保险制度，对参保奶畜养殖者给予保费补助。</w:t>
      </w:r>
    </w:p>
    <w:p>
      <w:pPr>
        <w:pStyle w:val="3"/>
        <w:topLinePunct/>
        <w:spacing w:line="412" w:lineRule="exact"/>
        <w:ind w:firstLine="482"/>
        <w:rPr>
          <w:sz w:val="24"/>
          <w:szCs w:val="24"/>
        </w:rPr>
      </w:pPr>
      <w:r>
        <w:rPr>
          <w:b/>
          <w:sz w:val="24"/>
          <w:szCs w:val="24"/>
        </w:rPr>
        <w:t xml:space="preserve">第十一条 </w:t>
      </w:r>
      <w:r>
        <w:rPr>
          <w:rFonts w:hint="eastAsia" w:asciiTheme="minorEastAsia" w:hAnsiTheme="minorEastAsia" w:eastAsiaTheme="minorEastAsia"/>
          <w:b/>
          <w:sz w:val="24"/>
          <w:szCs w:val="24"/>
        </w:rPr>
        <w:t xml:space="preserve"> </w:t>
      </w:r>
      <w:r>
        <w:rPr>
          <w:sz w:val="24"/>
          <w:szCs w:val="24"/>
        </w:rPr>
        <w:t>畜牧兽医技术推广机构应当向奶畜养殖者提供养殖技术培训、良种推广、疫病防治等服务。</w:t>
      </w:r>
    </w:p>
    <w:p>
      <w:pPr>
        <w:pStyle w:val="3"/>
        <w:topLinePunct/>
        <w:spacing w:line="412" w:lineRule="exact"/>
        <w:ind w:firstLine="480"/>
        <w:rPr>
          <w:sz w:val="24"/>
          <w:szCs w:val="24"/>
        </w:rPr>
      </w:pPr>
      <w:r>
        <w:rPr>
          <w:sz w:val="24"/>
          <w:szCs w:val="24"/>
        </w:rPr>
        <w:t>国家鼓励乳制品生产企业和其他相关生产经营者为奶畜养殖者提供所需的服务。</w:t>
      </w:r>
    </w:p>
    <w:p>
      <w:pPr>
        <w:pStyle w:val="3"/>
        <w:topLinePunct/>
        <w:spacing w:line="412" w:lineRule="exact"/>
        <w:ind w:firstLine="482"/>
        <w:rPr>
          <w:sz w:val="24"/>
          <w:szCs w:val="24"/>
        </w:rPr>
      </w:pPr>
      <w:r>
        <w:rPr>
          <w:b/>
          <w:sz w:val="24"/>
          <w:szCs w:val="24"/>
        </w:rPr>
        <w:t xml:space="preserve">第十二条 </w:t>
      </w:r>
      <w:r>
        <w:rPr>
          <w:rFonts w:hint="eastAsia" w:asciiTheme="minorEastAsia" w:hAnsiTheme="minorEastAsia" w:eastAsiaTheme="minorEastAsia"/>
          <w:b/>
          <w:sz w:val="24"/>
          <w:szCs w:val="24"/>
        </w:rPr>
        <w:t xml:space="preserve"> </w:t>
      </w:r>
      <w:r>
        <w:rPr>
          <w:sz w:val="24"/>
          <w:szCs w:val="24"/>
        </w:rPr>
        <w:t>设立奶畜养殖场、养殖小区应当具备下列条件：</w:t>
      </w:r>
    </w:p>
    <w:p>
      <w:pPr>
        <w:pStyle w:val="3"/>
        <w:topLinePunct/>
        <w:spacing w:line="412" w:lineRule="exact"/>
        <w:ind w:firstLine="480"/>
        <w:rPr>
          <w:sz w:val="24"/>
          <w:szCs w:val="24"/>
        </w:rPr>
      </w:pPr>
      <w:r>
        <w:rPr>
          <w:sz w:val="24"/>
          <w:szCs w:val="24"/>
        </w:rPr>
        <w:t>（一）符合所在地人民政府确定的本行政区域奶畜养殖规模；</w:t>
      </w:r>
    </w:p>
    <w:p>
      <w:pPr>
        <w:pStyle w:val="3"/>
        <w:topLinePunct/>
        <w:spacing w:line="412" w:lineRule="exact"/>
        <w:ind w:firstLine="480"/>
        <w:rPr>
          <w:sz w:val="24"/>
          <w:szCs w:val="24"/>
        </w:rPr>
      </w:pPr>
      <w:r>
        <w:rPr>
          <w:sz w:val="24"/>
          <w:szCs w:val="24"/>
        </w:rPr>
        <w:t>（二）有与其养殖规模相适应的场所和配套设施；</w:t>
      </w:r>
    </w:p>
    <w:p>
      <w:pPr>
        <w:pStyle w:val="3"/>
        <w:topLinePunct/>
        <w:spacing w:line="412" w:lineRule="exact"/>
        <w:ind w:firstLine="480"/>
        <w:rPr>
          <w:sz w:val="24"/>
          <w:szCs w:val="24"/>
        </w:rPr>
      </w:pPr>
      <w:r>
        <w:rPr>
          <w:sz w:val="24"/>
          <w:szCs w:val="24"/>
        </w:rPr>
        <w:t>（三）有为其服务的畜牧兽医技术人员；</w:t>
      </w:r>
    </w:p>
    <w:p>
      <w:pPr>
        <w:pStyle w:val="3"/>
        <w:topLinePunct/>
        <w:spacing w:line="412" w:lineRule="exact"/>
        <w:ind w:firstLine="480"/>
        <w:rPr>
          <w:sz w:val="24"/>
          <w:szCs w:val="24"/>
        </w:rPr>
      </w:pPr>
      <w:r>
        <w:rPr>
          <w:sz w:val="24"/>
          <w:szCs w:val="24"/>
        </w:rPr>
        <w:t>（四）具备法律、行政法规和国务院畜牧兽医主管部门规定的防疫条件；</w:t>
      </w:r>
    </w:p>
    <w:p>
      <w:pPr>
        <w:pStyle w:val="3"/>
        <w:topLinePunct/>
        <w:spacing w:line="412" w:lineRule="exact"/>
        <w:ind w:firstLine="480"/>
        <w:rPr>
          <w:sz w:val="24"/>
          <w:szCs w:val="24"/>
        </w:rPr>
      </w:pPr>
      <w:r>
        <w:rPr>
          <w:sz w:val="24"/>
          <w:szCs w:val="24"/>
        </w:rPr>
        <w:t>（五）有对奶畜粪便、废水和其他固体废物进行综合利用的沼气池等设施或者其他无害化处理设施；</w:t>
      </w:r>
    </w:p>
    <w:p>
      <w:pPr>
        <w:pStyle w:val="3"/>
        <w:topLinePunct/>
        <w:spacing w:line="412" w:lineRule="exact"/>
        <w:ind w:firstLine="480"/>
        <w:rPr>
          <w:sz w:val="24"/>
          <w:szCs w:val="24"/>
        </w:rPr>
      </w:pPr>
      <w:r>
        <w:rPr>
          <w:sz w:val="24"/>
          <w:szCs w:val="24"/>
        </w:rPr>
        <w:t>（六）有生鲜乳生产、销售、运输管理制度；</w:t>
      </w:r>
    </w:p>
    <w:p>
      <w:pPr>
        <w:pStyle w:val="3"/>
        <w:topLinePunct/>
        <w:spacing w:line="412" w:lineRule="exact"/>
        <w:ind w:firstLine="480"/>
        <w:rPr>
          <w:sz w:val="24"/>
          <w:szCs w:val="24"/>
        </w:rPr>
      </w:pPr>
      <w:r>
        <w:rPr>
          <w:sz w:val="24"/>
          <w:szCs w:val="24"/>
        </w:rPr>
        <w:t>（七）法律、行政法规规定的其他条件。</w:t>
      </w:r>
    </w:p>
    <w:p>
      <w:pPr>
        <w:pStyle w:val="3"/>
        <w:topLinePunct/>
        <w:spacing w:line="412" w:lineRule="exact"/>
        <w:ind w:firstLine="480"/>
        <w:rPr>
          <w:sz w:val="24"/>
          <w:szCs w:val="24"/>
        </w:rPr>
      </w:pPr>
      <w:r>
        <w:rPr>
          <w:sz w:val="24"/>
          <w:szCs w:val="24"/>
        </w:rPr>
        <w:t>奶畜养殖场、养殖小区开办者应当将养殖场、养殖小区的名称、养殖地址、奶畜品种和养殖规模向养殖场、养殖小区所在地县级人民政府畜牧兽医主管部门备案。</w:t>
      </w:r>
    </w:p>
    <w:p>
      <w:pPr>
        <w:pStyle w:val="3"/>
        <w:topLinePunct/>
        <w:spacing w:line="412" w:lineRule="exact"/>
        <w:ind w:firstLine="482"/>
        <w:rPr>
          <w:sz w:val="24"/>
          <w:szCs w:val="24"/>
        </w:rPr>
      </w:pPr>
      <w:r>
        <w:rPr>
          <w:b/>
          <w:sz w:val="24"/>
          <w:szCs w:val="24"/>
        </w:rPr>
        <w:t xml:space="preserve">第十三条 </w:t>
      </w:r>
      <w:r>
        <w:rPr>
          <w:rFonts w:hint="eastAsia" w:asciiTheme="minorEastAsia" w:hAnsiTheme="minorEastAsia" w:eastAsiaTheme="minorEastAsia"/>
          <w:b/>
          <w:sz w:val="24"/>
          <w:szCs w:val="24"/>
        </w:rPr>
        <w:t xml:space="preserve"> </w:t>
      </w:r>
      <w:r>
        <w:rPr>
          <w:sz w:val="24"/>
          <w:szCs w:val="24"/>
        </w:rPr>
        <w:t>奶畜养殖场应当建立养殖档案，载明以下内容：</w:t>
      </w:r>
    </w:p>
    <w:p>
      <w:pPr>
        <w:pStyle w:val="3"/>
        <w:topLinePunct/>
        <w:spacing w:line="412" w:lineRule="exact"/>
        <w:ind w:firstLine="480"/>
        <w:rPr>
          <w:sz w:val="24"/>
          <w:szCs w:val="24"/>
        </w:rPr>
      </w:pPr>
      <w:r>
        <w:rPr>
          <w:sz w:val="24"/>
          <w:szCs w:val="24"/>
        </w:rPr>
        <w:t>（一）奶畜的品种、数量、繁殖记录、标识情况、来源和进出场日期；</w:t>
      </w:r>
    </w:p>
    <w:p>
      <w:pPr>
        <w:pStyle w:val="3"/>
        <w:topLinePunct/>
        <w:spacing w:line="412" w:lineRule="exact"/>
        <w:ind w:firstLine="480"/>
        <w:rPr>
          <w:sz w:val="24"/>
          <w:szCs w:val="24"/>
        </w:rPr>
      </w:pPr>
      <w:r>
        <w:rPr>
          <w:sz w:val="24"/>
          <w:szCs w:val="24"/>
        </w:rPr>
        <w:t>（二）饲料、饲料添加剂、兽药等投入品的来源、名称、使用对象、时间和用量；</w:t>
      </w:r>
    </w:p>
    <w:p>
      <w:pPr>
        <w:pStyle w:val="3"/>
        <w:topLinePunct/>
        <w:spacing w:line="412" w:lineRule="exact"/>
        <w:ind w:firstLine="480"/>
        <w:rPr>
          <w:sz w:val="24"/>
          <w:szCs w:val="24"/>
        </w:rPr>
      </w:pPr>
      <w:r>
        <w:rPr>
          <w:sz w:val="24"/>
          <w:szCs w:val="24"/>
        </w:rPr>
        <w:t>（三）检疫、免疫、消毒情况；</w:t>
      </w:r>
    </w:p>
    <w:p>
      <w:pPr>
        <w:pStyle w:val="3"/>
        <w:topLinePunct/>
        <w:spacing w:line="412" w:lineRule="exact"/>
        <w:ind w:firstLine="480"/>
        <w:rPr>
          <w:sz w:val="24"/>
          <w:szCs w:val="24"/>
        </w:rPr>
      </w:pPr>
      <w:r>
        <w:rPr>
          <w:sz w:val="24"/>
          <w:szCs w:val="24"/>
        </w:rPr>
        <w:t>（四）奶畜发病、死亡和无害化处理情况；</w:t>
      </w:r>
    </w:p>
    <w:p>
      <w:pPr>
        <w:pStyle w:val="3"/>
        <w:topLinePunct/>
        <w:spacing w:line="412" w:lineRule="exact"/>
        <w:ind w:firstLine="480"/>
        <w:rPr>
          <w:sz w:val="24"/>
          <w:szCs w:val="24"/>
        </w:rPr>
      </w:pPr>
      <w:r>
        <w:rPr>
          <w:sz w:val="24"/>
          <w:szCs w:val="24"/>
        </w:rPr>
        <w:t>（五）生鲜乳生产、检测、销售情况；</w:t>
      </w:r>
    </w:p>
    <w:p>
      <w:pPr>
        <w:pStyle w:val="3"/>
        <w:topLinePunct/>
        <w:spacing w:line="412" w:lineRule="exact"/>
        <w:ind w:firstLine="480"/>
        <w:rPr>
          <w:sz w:val="24"/>
          <w:szCs w:val="24"/>
        </w:rPr>
      </w:pPr>
      <w:r>
        <w:rPr>
          <w:sz w:val="24"/>
          <w:szCs w:val="24"/>
        </w:rPr>
        <w:t>（六）国务院畜牧兽医主管部门规定的其他内容。</w:t>
      </w:r>
    </w:p>
    <w:p>
      <w:pPr>
        <w:pStyle w:val="3"/>
        <w:topLinePunct/>
        <w:spacing w:line="412" w:lineRule="exact"/>
        <w:ind w:firstLine="480"/>
        <w:rPr>
          <w:sz w:val="24"/>
          <w:szCs w:val="24"/>
        </w:rPr>
      </w:pPr>
      <w:r>
        <w:rPr>
          <w:sz w:val="24"/>
          <w:szCs w:val="24"/>
        </w:rPr>
        <w:t>奶畜养殖小区开办者应当逐步建立养殖档案。</w:t>
      </w:r>
    </w:p>
    <w:p>
      <w:pPr>
        <w:pStyle w:val="3"/>
        <w:topLinePunct/>
        <w:spacing w:line="412" w:lineRule="exact"/>
        <w:ind w:firstLine="482"/>
        <w:rPr>
          <w:sz w:val="24"/>
          <w:szCs w:val="24"/>
        </w:rPr>
      </w:pPr>
      <w:r>
        <w:rPr>
          <w:b/>
          <w:sz w:val="24"/>
          <w:szCs w:val="24"/>
        </w:rPr>
        <w:t xml:space="preserve">第十四条 </w:t>
      </w:r>
      <w:r>
        <w:rPr>
          <w:rFonts w:hint="eastAsia" w:asciiTheme="minorEastAsia" w:hAnsiTheme="minorEastAsia" w:eastAsiaTheme="minorEastAsia"/>
          <w:b/>
          <w:sz w:val="24"/>
          <w:szCs w:val="24"/>
        </w:rPr>
        <w:t xml:space="preserve"> </w:t>
      </w:r>
      <w:r>
        <w:rPr>
          <w:sz w:val="24"/>
          <w:szCs w:val="24"/>
        </w:rPr>
        <w:t>从事奶畜养殖，不得使用国家禁用的饲料、饲料添加剂、兽药以及其他对动物和人体具有直接或者潜在危害的物质。</w:t>
      </w:r>
    </w:p>
    <w:p>
      <w:pPr>
        <w:pStyle w:val="3"/>
        <w:topLinePunct/>
        <w:spacing w:line="412" w:lineRule="exact"/>
        <w:ind w:firstLine="480"/>
        <w:rPr>
          <w:sz w:val="24"/>
          <w:szCs w:val="24"/>
        </w:rPr>
      </w:pPr>
      <w:r>
        <w:rPr>
          <w:sz w:val="24"/>
          <w:szCs w:val="24"/>
        </w:rPr>
        <w:t>禁止销售在规定用药期和休药期内的奶畜产的生鲜乳。</w:t>
      </w:r>
    </w:p>
    <w:p>
      <w:pPr>
        <w:pStyle w:val="3"/>
        <w:topLinePunct/>
        <w:spacing w:line="412" w:lineRule="exact"/>
        <w:ind w:firstLine="482"/>
        <w:rPr>
          <w:sz w:val="24"/>
          <w:szCs w:val="24"/>
        </w:rPr>
      </w:pPr>
      <w:r>
        <w:rPr>
          <w:b/>
          <w:sz w:val="24"/>
          <w:szCs w:val="24"/>
        </w:rPr>
        <w:t xml:space="preserve">第十五条 </w:t>
      </w:r>
      <w:r>
        <w:rPr>
          <w:rFonts w:hint="eastAsia" w:asciiTheme="minorEastAsia" w:hAnsiTheme="minorEastAsia" w:eastAsiaTheme="minorEastAsia"/>
          <w:b/>
          <w:sz w:val="24"/>
          <w:szCs w:val="24"/>
        </w:rPr>
        <w:t xml:space="preserve"> </w:t>
      </w:r>
      <w:r>
        <w:rPr>
          <w:sz w:val="24"/>
          <w:szCs w:val="24"/>
        </w:rPr>
        <w:t>奶畜养殖者应当确保奶畜符合国务院畜牧兽医主管部门规定的健康标准，并确保奶畜接受强制免疫。</w:t>
      </w:r>
    </w:p>
    <w:p>
      <w:pPr>
        <w:pStyle w:val="3"/>
        <w:topLinePunct/>
        <w:spacing w:line="412" w:lineRule="exact"/>
        <w:ind w:firstLine="480"/>
        <w:rPr>
          <w:sz w:val="24"/>
          <w:szCs w:val="24"/>
        </w:rPr>
      </w:pPr>
      <w:r>
        <w:rPr>
          <w:sz w:val="24"/>
          <w:szCs w:val="24"/>
        </w:rPr>
        <w:t>动物疫病预防控制机构应当对奶畜的健康情况进行定期检测；经检测不符合健康标准的，应当立即隔离、治疗或者做无害化处理。</w:t>
      </w:r>
    </w:p>
    <w:p>
      <w:pPr>
        <w:pStyle w:val="3"/>
        <w:topLinePunct/>
        <w:spacing w:line="412" w:lineRule="exact"/>
        <w:ind w:firstLine="482"/>
        <w:rPr>
          <w:sz w:val="24"/>
          <w:szCs w:val="24"/>
        </w:rPr>
      </w:pPr>
      <w:r>
        <w:rPr>
          <w:b/>
          <w:sz w:val="24"/>
          <w:szCs w:val="24"/>
        </w:rPr>
        <w:t xml:space="preserve">第十六条 </w:t>
      </w:r>
      <w:r>
        <w:rPr>
          <w:rFonts w:hint="eastAsia" w:asciiTheme="minorEastAsia" w:hAnsiTheme="minorEastAsia" w:eastAsiaTheme="minorEastAsia"/>
          <w:b/>
          <w:sz w:val="24"/>
          <w:szCs w:val="24"/>
        </w:rPr>
        <w:t xml:space="preserve"> </w:t>
      </w:r>
      <w:r>
        <w:rPr>
          <w:sz w:val="24"/>
          <w:szCs w:val="24"/>
        </w:rPr>
        <w:t>奶畜养殖者应当做好奶畜和养殖场所的动物防疫工作，发现奶畜染疫或者疑似染疫的，应当立即报告，停止生鲜乳生产，并采取隔离等控制措施，防止疫病扩散。</w:t>
      </w:r>
    </w:p>
    <w:p>
      <w:pPr>
        <w:pStyle w:val="3"/>
        <w:topLinePunct/>
        <w:spacing w:line="412" w:lineRule="exact"/>
        <w:ind w:firstLine="480"/>
        <w:rPr>
          <w:sz w:val="24"/>
          <w:szCs w:val="24"/>
        </w:rPr>
      </w:pPr>
      <w:r>
        <w:rPr>
          <w:sz w:val="24"/>
          <w:szCs w:val="24"/>
        </w:rPr>
        <w:t>奶畜养殖者对奶畜养殖过程中的排泄物、废弃物应当及时清运、处理。</w:t>
      </w:r>
    </w:p>
    <w:p>
      <w:pPr>
        <w:pStyle w:val="3"/>
        <w:topLinePunct/>
        <w:spacing w:line="412" w:lineRule="exact"/>
        <w:ind w:firstLine="482"/>
        <w:rPr>
          <w:sz w:val="24"/>
          <w:szCs w:val="24"/>
        </w:rPr>
      </w:pPr>
      <w:r>
        <w:rPr>
          <w:b/>
          <w:sz w:val="24"/>
          <w:szCs w:val="24"/>
        </w:rPr>
        <w:t xml:space="preserve">第十七条 </w:t>
      </w:r>
      <w:r>
        <w:rPr>
          <w:rFonts w:hint="eastAsia" w:asciiTheme="minorEastAsia" w:hAnsiTheme="minorEastAsia" w:eastAsiaTheme="minorEastAsia"/>
          <w:b/>
          <w:sz w:val="24"/>
          <w:szCs w:val="24"/>
        </w:rPr>
        <w:t xml:space="preserve"> </w:t>
      </w:r>
      <w:r>
        <w:rPr>
          <w:sz w:val="24"/>
          <w:szCs w:val="24"/>
        </w:rPr>
        <w:t>奶畜养殖者应当遵守国务院畜牧兽医主管部门制定的生鲜乳生产技术规程。直接从事挤奶工作的人员应当持有有效的健康证明。</w:t>
      </w:r>
    </w:p>
    <w:p>
      <w:pPr>
        <w:pStyle w:val="3"/>
        <w:topLinePunct/>
        <w:spacing w:line="412" w:lineRule="exact"/>
        <w:ind w:firstLine="480"/>
        <w:rPr>
          <w:sz w:val="24"/>
          <w:szCs w:val="24"/>
        </w:rPr>
      </w:pPr>
      <w:r>
        <w:rPr>
          <w:sz w:val="24"/>
          <w:szCs w:val="24"/>
        </w:rPr>
        <w:t>奶畜养殖者对挤奶设施、生鲜乳贮存设施等应当及时清洗、消毒，避免对生鲜乳造成污染。</w:t>
      </w:r>
    </w:p>
    <w:p>
      <w:pPr>
        <w:pStyle w:val="3"/>
        <w:topLinePunct/>
        <w:spacing w:line="412" w:lineRule="exact"/>
        <w:ind w:firstLine="482"/>
        <w:rPr>
          <w:sz w:val="24"/>
          <w:szCs w:val="24"/>
        </w:rPr>
      </w:pPr>
      <w:r>
        <w:rPr>
          <w:b/>
          <w:sz w:val="24"/>
          <w:szCs w:val="24"/>
        </w:rPr>
        <w:t>第十八条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生鲜乳应当冷藏。超过2小时未冷藏的生鲜乳，不得销售。</w:t>
      </w:r>
    </w:p>
    <w:p>
      <w:pPr>
        <w:pStyle w:val="63"/>
        <w:spacing w:before="218" w:after="218" w:line="412" w:lineRule="exact"/>
        <w:rPr>
          <w:rFonts w:hAnsi="Times New Roman"/>
        </w:rPr>
      </w:pPr>
      <w:r>
        <w:t>第三章</w:t>
      </w:r>
      <w:r>
        <w:rPr>
          <w:rFonts w:hint="eastAsia"/>
        </w:rPr>
        <w:t xml:space="preserve"> </w:t>
      </w:r>
      <w:r>
        <w:rPr>
          <w:rFonts w:hAnsi="Times New Roman"/>
        </w:rPr>
        <w:t xml:space="preserve"> </w:t>
      </w:r>
      <w:r>
        <w:t>生鲜乳收购</w:t>
      </w:r>
    </w:p>
    <w:p>
      <w:pPr>
        <w:pStyle w:val="3"/>
        <w:topLinePunct/>
        <w:spacing w:line="412" w:lineRule="exact"/>
        <w:ind w:firstLine="482"/>
        <w:rPr>
          <w:sz w:val="24"/>
          <w:szCs w:val="24"/>
        </w:rPr>
      </w:pPr>
      <w:r>
        <w:rPr>
          <w:b/>
          <w:sz w:val="24"/>
          <w:szCs w:val="24"/>
        </w:rPr>
        <w:t xml:space="preserve">第十九条 </w:t>
      </w:r>
      <w:r>
        <w:rPr>
          <w:rFonts w:hint="eastAsia" w:asciiTheme="minorEastAsia" w:hAnsiTheme="minorEastAsia" w:eastAsiaTheme="minorEastAsia"/>
          <w:b/>
          <w:sz w:val="24"/>
          <w:szCs w:val="24"/>
        </w:rPr>
        <w:t xml:space="preserve"> </w:t>
      </w:r>
      <w:r>
        <w:rPr>
          <w:sz w:val="24"/>
          <w:szCs w:val="24"/>
        </w:rPr>
        <w:t>省、自治区、直辖市人民政府畜牧兽医主管部门应当根据当地奶源分布情况，按照方便奶畜养殖者、促进规模化养殖的原则，对生鲜乳收购站的建设进行科学规划和合理布局。必要时，可以实行生鲜乳集中定点收购。</w:t>
      </w:r>
    </w:p>
    <w:p>
      <w:pPr>
        <w:pStyle w:val="3"/>
        <w:topLinePunct/>
        <w:spacing w:line="412" w:lineRule="exact"/>
        <w:ind w:firstLine="480"/>
        <w:rPr>
          <w:sz w:val="24"/>
          <w:szCs w:val="24"/>
        </w:rPr>
      </w:pPr>
      <w:r>
        <w:rPr>
          <w:sz w:val="24"/>
          <w:szCs w:val="24"/>
        </w:rPr>
        <w:t>国家鼓励乳制品生产企业按照规划布局，自行建设生鲜乳收购站或者收购原有生鲜乳收购站。</w:t>
      </w:r>
    </w:p>
    <w:p>
      <w:pPr>
        <w:pStyle w:val="3"/>
        <w:topLinePunct/>
        <w:spacing w:line="412" w:lineRule="exact"/>
        <w:ind w:firstLine="482"/>
        <w:rPr>
          <w:sz w:val="24"/>
          <w:szCs w:val="24"/>
        </w:rPr>
      </w:pPr>
      <w:r>
        <w:rPr>
          <w:b/>
          <w:sz w:val="24"/>
          <w:szCs w:val="24"/>
        </w:rPr>
        <w:t xml:space="preserve">第二十条 </w:t>
      </w:r>
      <w:r>
        <w:rPr>
          <w:rFonts w:hint="eastAsia" w:asciiTheme="minorEastAsia" w:hAnsiTheme="minorEastAsia" w:eastAsiaTheme="minorEastAsia"/>
          <w:b/>
          <w:sz w:val="24"/>
          <w:szCs w:val="24"/>
        </w:rPr>
        <w:t xml:space="preserve"> </w:t>
      </w:r>
      <w:r>
        <w:rPr>
          <w:sz w:val="24"/>
          <w:szCs w:val="24"/>
        </w:rPr>
        <w:t>生鲜乳收购站应当由取得工商登记的乳制品生产企业、奶畜养殖场、奶农专业生产合作社开办，并具备下列条件，取得所在地县级人民政府畜牧兽医主管部门颁发的生鲜乳收购许可证：</w:t>
      </w:r>
    </w:p>
    <w:p>
      <w:pPr>
        <w:pStyle w:val="3"/>
        <w:topLinePunct/>
        <w:spacing w:line="412" w:lineRule="exact"/>
        <w:ind w:firstLine="480"/>
        <w:rPr>
          <w:sz w:val="24"/>
          <w:szCs w:val="24"/>
        </w:rPr>
      </w:pPr>
      <w:r>
        <w:rPr>
          <w:sz w:val="24"/>
          <w:szCs w:val="24"/>
        </w:rPr>
        <w:t>（一）符合生鲜乳收购站建设规划布局；</w:t>
      </w:r>
    </w:p>
    <w:p>
      <w:pPr>
        <w:pStyle w:val="3"/>
        <w:topLinePunct/>
        <w:spacing w:line="412" w:lineRule="exact"/>
        <w:ind w:firstLine="480"/>
        <w:rPr>
          <w:sz w:val="24"/>
          <w:szCs w:val="24"/>
        </w:rPr>
      </w:pPr>
      <w:r>
        <w:rPr>
          <w:sz w:val="24"/>
          <w:szCs w:val="24"/>
        </w:rPr>
        <w:t>（二）有符合环保和卫生要求的收购场所；</w:t>
      </w:r>
    </w:p>
    <w:p>
      <w:pPr>
        <w:pStyle w:val="3"/>
        <w:topLinePunct/>
        <w:spacing w:line="412" w:lineRule="exact"/>
        <w:ind w:firstLine="480"/>
        <w:rPr>
          <w:sz w:val="24"/>
          <w:szCs w:val="24"/>
        </w:rPr>
      </w:pPr>
      <w:r>
        <w:rPr>
          <w:sz w:val="24"/>
          <w:szCs w:val="24"/>
        </w:rPr>
        <w:t>（三）有与收奶量相适应的冷却、冷藏、保鲜设施和低温运输设备；</w:t>
      </w:r>
    </w:p>
    <w:p>
      <w:pPr>
        <w:pStyle w:val="3"/>
        <w:topLinePunct/>
        <w:spacing w:line="412" w:lineRule="exact"/>
        <w:ind w:firstLine="480"/>
        <w:rPr>
          <w:sz w:val="24"/>
          <w:szCs w:val="24"/>
        </w:rPr>
      </w:pPr>
      <w:r>
        <w:rPr>
          <w:sz w:val="24"/>
          <w:szCs w:val="24"/>
        </w:rPr>
        <w:t>（四）有与检测项目相适应的化验、计量、检测仪器设备；</w:t>
      </w:r>
    </w:p>
    <w:p>
      <w:pPr>
        <w:pStyle w:val="3"/>
        <w:topLinePunct/>
        <w:spacing w:line="412" w:lineRule="exact"/>
        <w:ind w:firstLine="480"/>
        <w:rPr>
          <w:sz w:val="24"/>
          <w:szCs w:val="24"/>
        </w:rPr>
      </w:pPr>
      <w:r>
        <w:rPr>
          <w:sz w:val="24"/>
          <w:szCs w:val="24"/>
        </w:rPr>
        <w:t>（五）有经培训合格并持有有效健康证明的从业人员；</w:t>
      </w:r>
    </w:p>
    <w:p>
      <w:pPr>
        <w:pStyle w:val="3"/>
        <w:topLinePunct/>
        <w:spacing w:line="412" w:lineRule="exact"/>
        <w:ind w:firstLine="480"/>
        <w:rPr>
          <w:sz w:val="24"/>
          <w:szCs w:val="24"/>
        </w:rPr>
      </w:pPr>
      <w:r>
        <w:rPr>
          <w:sz w:val="24"/>
          <w:szCs w:val="24"/>
        </w:rPr>
        <w:t>（六）有卫生管理和质量安全保障制度。</w:t>
      </w:r>
    </w:p>
    <w:p>
      <w:pPr>
        <w:pStyle w:val="3"/>
        <w:topLinePunct/>
        <w:spacing w:line="412" w:lineRule="exact"/>
        <w:ind w:firstLine="480"/>
        <w:rPr>
          <w:sz w:val="24"/>
          <w:szCs w:val="24"/>
        </w:rPr>
      </w:pPr>
      <w:r>
        <w:rPr>
          <w:sz w:val="24"/>
          <w:szCs w:val="24"/>
        </w:rPr>
        <w:t>生鲜乳收购许可证有效期2年；生鲜乳收购站不再办理工商登记。</w:t>
      </w:r>
    </w:p>
    <w:p>
      <w:pPr>
        <w:pStyle w:val="3"/>
        <w:topLinePunct/>
        <w:spacing w:line="412" w:lineRule="exact"/>
        <w:ind w:firstLine="480"/>
        <w:rPr>
          <w:sz w:val="24"/>
          <w:szCs w:val="24"/>
        </w:rPr>
      </w:pPr>
      <w:r>
        <w:rPr>
          <w:sz w:val="24"/>
          <w:szCs w:val="24"/>
        </w:rPr>
        <w:t>禁止其他单位或者个人开办生鲜乳收购站。禁止其他单位或者个人收购生鲜乳。</w:t>
      </w:r>
    </w:p>
    <w:p>
      <w:pPr>
        <w:pStyle w:val="3"/>
        <w:topLinePunct/>
        <w:spacing w:line="412" w:lineRule="exact"/>
        <w:ind w:firstLine="480"/>
        <w:rPr>
          <w:sz w:val="24"/>
          <w:szCs w:val="24"/>
        </w:rPr>
      </w:pPr>
      <w:r>
        <w:rPr>
          <w:sz w:val="24"/>
          <w:szCs w:val="24"/>
        </w:rPr>
        <w:t>国家对生鲜乳收购站给予扶持和补贴，提高其机械化挤奶和生鲜乳冷藏运输能力。</w:t>
      </w:r>
    </w:p>
    <w:p>
      <w:pPr>
        <w:pStyle w:val="3"/>
        <w:topLinePunct/>
        <w:spacing w:line="412" w:lineRule="exact"/>
        <w:ind w:firstLine="482"/>
        <w:rPr>
          <w:sz w:val="24"/>
          <w:szCs w:val="24"/>
        </w:rPr>
      </w:pPr>
      <w:r>
        <w:rPr>
          <w:b/>
          <w:sz w:val="24"/>
          <w:szCs w:val="24"/>
        </w:rPr>
        <w:t xml:space="preserve">第二十一条 </w:t>
      </w:r>
      <w:r>
        <w:rPr>
          <w:rFonts w:hint="eastAsia" w:asciiTheme="minorEastAsia" w:hAnsiTheme="minorEastAsia" w:eastAsiaTheme="minorEastAsia"/>
          <w:b/>
          <w:sz w:val="24"/>
          <w:szCs w:val="24"/>
        </w:rPr>
        <w:t xml:space="preserve"> </w:t>
      </w:r>
      <w:r>
        <w:rPr>
          <w:sz w:val="24"/>
          <w:szCs w:val="24"/>
        </w:rPr>
        <w:t>生鲜乳收购站应当及时对挤奶设施、生鲜乳贮存运输设施等进行清洗、消毒，避免对生鲜乳造成污染。</w:t>
      </w:r>
    </w:p>
    <w:p>
      <w:pPr>
        <w:pStyle w:val="3"/>
        <w:topLinePunct/>
        <w:spacing w:line="412" w:lineRule="exact"/>
        <w:ind w:firstLine="480"/>
        <w:rPr>
          <w:sz w:val="24"/>
          <w:szCs w:val="24"/>
        </w:rPr>
      </w:pPr>
      <w:r>
        <w:rPr>
          <w:sz w:val="24"/>
          <w:szCs w:val="24"/>
        </w:rPr>
        <w:t>生鲜乳收购站应当按照乳品质量安全国家标准对收购的生鲜乳进行常规检测。检测费用不得向奶畜养殖者收取。</w:t>
      </w:r>
    </w:p>
    <w:p>
      <w:pPr>
        <w:pStyle w:val="3"/>
        <w:topLinePunct/>
        <w:spacing w:line="412" w:lineRule="exact"/>
        <w:ind w:firstLine="480"/>
        <w:rPr>
          <w:sz w:val="24"/>
          <w:szCs w:val="24"/>
        </w:rPr>
      </w:pPr>
      <w:r>
        <w:rPr>
          <w:sz w:val="24"/>
          <w:szCs w:val="24"/>
        </w:rPr>
        <w:t>生鲜乳收购站应当保持生鲜乳的质量。</w:t>
      </w:r>
    </w:p>
    <w:p>
      <w:pPr>
        <w:pStyle w:val="3"/>
        <w:topLinePunct/>
        <w:spacing w:line="412" w:lineRule="exact"/>
        <w:ind w:firstLine="482"/>
        <w:rPr>
          <w:sz w:val="24"/>
          <w:szCs w:val="24"/>
        </w:rPr>
      </w:pPr>
      <w:r>
        <w:rPr>
          <w:b/>
          <w:sz w:val="24"/>
          <w:szCs w:val="24"/>
        </w:rPr>
        <w:t>第二十二条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生鲜乳收购站应当建立生鲜乳收购、销售和检测记录。生鲜乳收购、销售和检测记录应当包括畜主姓名、单次收购量、生鲜乳检测结果、销售去向等内容，并保存2年。</w:t>
      </w:r>
    </w:p>
    <w:p>
      <w:pPr>
        <w:pStyle w:val="3"/>
        <w:topLinePunct/>
        <w:spacing w:line="412" w:lineRule="exact"/>
        <w:ind w:firstLine="482"/>
        <w:rPr>
          <w:sz w:val="24"/>
          <w:szCs w:val="24"/>
        </w:rPr>
      </w:pPr>
      <w:r>
        <w:rPr>
          <w:b/>
          <w:sz w:val="24"/>
          <w:szCs w:val="24"/>
        </w:rPr>
        <w:t xml:space="preserve">第二十三条 </w:t>
      </w:r>
      <w:r>
        <w:rPr>
          <w:rFonts w:hint="eastAsia" w:asciiTheme="minorEastAsia" w:hAnsiTheme="minorEastAsia" w:eastAsiaTheme="minorEastAsia"/>
          <w:b/>
          <w:sz w:val="24"/>
          <w:szCs w:val="24"/>
        </w:rPr>
        <w:t xml:space="preserve"> </w:t>
      </w:r>
      <w:r>
        <w:rPr>
          <w:sz w:val="24"/>
          <w:szCs w:val="24"/>
        </w:rPr>
        <w:t>县级以上地方人民政府价格主管部门应当加强对生鲜乳价格的监控和通报，及时发布市场供求信息和价格信息。必要时，县级以上地方人民政府建立由价格、畜牧兽医等部门以及行业协会、乳制品生产企业、生鲜乳收购者、奶畜养殖者代表组成的生鲜乳价格协调委员会，确定生鲜乳交易参考价格，供购销双方签订合同时参考。</w:t>
      </w:r>
    </w:p>
    <w:p>
      <w:pPr>
        <w:pStyle w:val="3"/>
        <w:topLinePunct/>
        <w:spacing w:line="412" w:lineRule="exact"/>
        <w:ind w:firstLine="480"/>
        <w:rPr>
          <w:sz w:val="24"/>
          <w:szCs w:val="24"/>
        </w:rPr>
      </w:pPr>
      <w:r>
        <w:rPr>
          <w:sz w:val="24"/>
          <w:szCs w:val="24"/>
        </w:rPr>
        <w:t>生鲜乳购销双方应当签订书面合同。生鲜乳购销合同示范文本由国务院畜牧兽医主管部门会同国务院工商行政管理部门制定并公布。</w:t>
      </w:r>
    </w:p>
    <w:p>
      <w:pPr>
        <w:pStyle w:val="3"/>
        <w:topLinePunct/>
        <w:spacing w:line="412" w:lineRule="exact"/>
        <w:ind w:firstLine="482"/>
        <w:rPr>
          <w:sz w:val="24"/>
          <w:szCs w:val="24"/>
        </w:rPr>
      </w:pPr>
      <w:r>
        <w:rPr>
          <w:b/>
          <w:sz w:val="24"/>
          <w:szCs w:val="24"/>
        </w:rPr>
        <w:t>第二十四条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禁止收购下列生鲜乳：</w:t>
      </w:r>
    </w:p>
    <w:p>
      <w:pPr>
        <w:pStyle w:val="3"/>
        <w:topLinePunct/>
        <w:spacing w:line="412" w:lineRule="exact"/>
        <w:ind w:firstLine="480"/>
        <w:rPr>
          <w:sz w:val="24"/>
          <w:szCs w:val="24"/>
        </w:rPr>
      </w:pPr>
      <w:r>
        <w:rPr>
          <w:sz w:val="24"/>
          <w:szCs w:val="24"/>
        </w:rPr>
        <w:t>（一）经检测不符合健康标准或者未经检疫合格的奶畜产的；</w:t>
      </w:r>
    </w:p>
    <w:p>
      <w:pPr>
        <w:pStyle w:val="3"/>
        <w:topLinePunct/>
        <w:spacing w:line="412" w:lineRule="exact"/>
        <w:ind w:firstLine="480"/>
        <w:rPr>
          <w:sz w:val="24"/>
          <w:szCs w:val="24"/>
        </w:rPr>
      </w:pPr>
      <w:r>
        <w:rPr>
          <w:sz w:val="24"/>
          <w:szCs w:val="24"/>
        </w:rPr>
        <w:t>（二）奶畜产犊7日内的初乳，但以初乳为原料从事乳制品生产的除外；</w:t>
      </w:r>
    </w:p>
    <w:p>
      <w:pPr>
        <w:pStyle w:val="3"/>
        <w:topLinePunct/>
        <w:spacing w:line="412" w:lineRule="exact"/>
        <w:ind w:firstLine="480"/>
        <w:rPr>
          <w:sz w:val="24"/>
          <w:szCs w:val="24"/>
        </w:rPr>
      </w:pPr>
      <w:r>
        <w:rPr>
          <w:sz w:val="24"/>
          <w:szCs w:val="24"/>
        </w:rPr>
        <w:t>（三）在规定用药期和休药期内的奶畜产的；</w:t>
      </w:r>
    </w:p>
    <w:p>
      <w:pPr>
        <w:pStyle w:val="3"/>
        <w:topLinePunct/>
        <w:spacing w:line="412" w:lineRule="exact"/>
        <w:ind w:firstLine="480"/>
        <w:rPr>
          <w:sz w:val="24"/>
          <w:szCs w:val="24"/>
        </w:rPr>
      </w:pPr>
      <w:r>
        <w:rPr>
          <w:sz w:val="24"/>
          <w:szCs w:val="24"/>
        </w:rPr>
        <w:t>（四）其他不符合乳品质量安全国家标准的。</w:t>
      </w:r>
    </w:p>
    <w:p>
      <w:pPr>
        <w:pStyle w:val="3"/>
        <w:topLinePunct/>
        <w:spacing w:line="412" w:lineRule="exact"/>
        <w:ind w:firstLine="480"/>
        <w:rPr>
          <w:sz w:val="24"/>
          <w:szCs w:val="24"/>
        </w:rPr>
      </w:pPr>
      <w:r>
        <w:rPr>
          <w:sz w:val="24"/>
          <w:szCs w:val="24"/>
        </w:rPr>
        <w:t>对前款规定的生鲜乳，经检测无误后，应当予以销毁或者采取其他无害化处理措施。</w:t>
      </w:r>
    </w:p>
    <w:p>
      <w:pPr>
        <w:pStyle w:val="3"/>
        <w:topLinePunct/>
        <w:spacing w:line="412" w:lineRule="exact"/>
        <w:ind w:firstLine="482"/>
        <w:rPr>
          <w:sz w:val="24"/>
          <w:szCs w:val="24"/>
        </w:rPr>
      </w:pPr>
      <w:r>
        <w:rPr>
          <w:b/>
          <w:sz w:val="24"/>
          <w:szCs w:val="24"/>
        </w:rPr>
        <w:t>第二十五条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贮存生鲜乳的容器，应当符合国家有关卫生标准，在挤奶后2小时内应当降温至0－4℃。</w:t>
      </w:r>
    </w:p>
    <w:p>
      <w:pPr>
        <w:pStyle w:val="3"/>
        <w:topLinePunct/>
        <w:spacing w:line="412" w:lineRule="exact"/>
        <w:ind w:firstLine="480"/>
        <w:rPr>
          <w:sz w:val="24"/>
          <w:szCs w:val="24"/>
        </w:rPr>
      </w:pPr>
      <w:r>
        <w:rPr>
          <w:sz w:val="24"/>
          <w:szCs w:val="24"/>
        </w:rPr>
        <w:t>生鲜乳运输车辆应当取得所在地县级人民政府畜牧兽医主管部门核发的生鲜乳准运证明，并随车携带生鲜乳交接单。交接单应当载明生鲜乳收购站的名称、生鲜乳数量、交接时间，并由生鲜乳收购站经手人、押运员、司机、收奶员签字。</w:t>
      </w:r>
    </w:p>
    <w:p>
      <w:pPr>
        <w:pStyle w:val="3"/>
        <w:topLinePunct/>
        <w:spacing w:line="412" w:lineRule="exact"/>
        <w:ind w:firstLine="480"/>
        <w:rPr>
          <w:sz w:val="24"/>
          <w:szCs w:val="24"/>
        </w:rPr>
      </w:pPr>
      <w:r>
        <w:rPr>
          <w:sz w:val="24"/>
          <w:szCs w:val="24"/>
        </w:rPr>
        <w:t>生鲜乳交接单一式两份，分别由生鲜乳收购站和乳品生产者保存，保存时间2年。准运证明和交接单式样由省、自治区、直辖市人民政府畜牧兽医主管部门制定。</w:t>
      </w:r>
    </w:p>
    <w:p>
      <w:pPr>
        <w:pStyle w:val="3"/>
        <w:topLinePunct/>
        <w:spacing w:line="412" w:lineRule="exact"/>
        <w:ind w:firstLine="482"/>
        <w:rPr>
          <w:sz w:val="24"/>
          <w:szCs w:val="24"/>
        </w:rPr>
      </w:pPr>
      <w:r>
        <w:rPr>
          <w:b/>
          <w:sz w:val="24"/>
          <w:szCs w:val="24"/>
        </w:rPr>
        <w:t>第二十六条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县级以上人民政府应当加强生鲜乳质量安全监测体系建设，配备相应的人员和设备，确保监测能力与监测任务相适应。</w:t>
      </w:r>
    </w:p>
    <w:p>
      <w:pPr>
        <w:pStyle w:val="3"/>
        <w:topLinePunct/>
        <w:spacing w:line="412" w:lineRule="exact"/>
        <w:ind w:firstLine="482"/>
        <w:rPr>
          <w:sz w:val="24"/>
          <w:szCs w:val="24"/>
        </w:rPr>
      </w:pPr>
      <w:r>
        <w:rPr>
          <w:b/>
          <w:sz w:val="24"/>
          <w:szCs w:val="24"/>
        </w:rPr>
        <w:t>第二十七条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县级以上人民政府畜牧兽医主管部门应当加强生鲜乳质量安全监测工作，制定并组织实施生鲜乳质量安全监测计划，对生鲜乳进行监督抽查，并按照法定权限及时公布监督抽查结果。</w:t>
      </w:r>
    </w:p>
    <w:p>
      <w:pPr>
        <w:pStyle w:val="3"/>
        <w:topLinePunct/>
        <w:spacing w:line="412" w:lineRule="exact"/>
        <w:ind w:firstLine="480"/>
        <w:rPr>
          <w:sz w:val="24"/>
          <w:szCs w:val="24"/>
        </w:rPr>
      </w:pPr>
      <w:r>
        <w:rPr>
          <w:sz w:val="24"/>
          <w:szCs w:val="24"/>
        </w:rPr>
        <w:t>监测抽查不得向被抽查人收取任何费用，所需费用由同级财政列支。</w:t>
      </w:r>
    </w:p>
    <w:p>
      <w:pPr>
        <w:pStyle w:val="63"/>
        <w:spacing w:before="218" w:after="218" w:line="412" w:lineRule="exact"/>
        <w:rPr>
          <w:rFonts w:hAnsi="Times New Roman"/>
        </w:rPr>
      </w:pPr>
      <w:r>
        <w:t>第四章</w:t>
      </w:r>
      <w:r>
        <w:rPr>
          <w:rFonts w:hAnsi="Times New Roman"/>
        </w:rPr>
        <w:t xml:space="preserve"> </w:t>
      </w:r>
      <w:r>
        <w:rPr>
          <w:rFonts w:hint="eastAsia" w:hAnsi="Times New Roman"/>
        </w:rPr>
        <w:t xml:space="preserve"> </w:t>
      </w:r>
      <w:r>
        <w:t>乳制品生产</w:t>
      </w:r>
    </w:p>
    <w:p>
      <w:pPr>
        <w:pStyle w:val="3"/>
        <w:topLinePunct/>
        <w:spacing w:line="412" w:lineRule="exact"/>
        <w:ind w:firstLine="482"/>
        <w:rPr>
          <w:sz w:val="24"/>
          <w:szCs w:val="24"/>
        </w:rPr>
      </w:pPr>
      <w:r>
        <w:rPr>
          <w:b/>
          <w:sz w:val="24"/>
          <w:szCs w:val="24"/>
        </w:rPr>
        <w:t>第二十八条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从事乳制品生产活动，应当具备下列条件，取得所在地质量监督部门颁发的食品生产许可证：</w:t>
      </w:r>
    </w:p>
    <w:p>
      <w:pPr>
        <w:pStyle w:val="3"/>
        <w:topLinePunct/>
        <w:spacing w:line="412" w:lineRule="exact"/>
        <w:ind w:firstLine="480"/>
        <w:rPr>
          <w:sz w:val="24"/>
          <w:szCs w:val="24"/>
        </w:rPr>
      </w:pPr>
      <w:r>
        <w:rPr>
          <w:sz w:val="24"/>
          <w:szCs w:val="24"/>
        </w:rPr>
        <w:t>（一）符合国家奶业产业政策；</w:t>
      </w:r>
    </w:p>
    <w:p>
      <w:pPr>
        <w:pStyle w:val="3"/>
        <w:topLinePunct/>
        <w:spacing w:line="412" w:lineRule="exact"/>
        <w:ind w:firstLine="480"/>
        <w:rPr>
          <w:sz w:val="24"/>
          <w:szCs w:val="24"/>
        </w:rPr>
      </w:pPr>
      <w:r>
        <w:rPr>
          <w:sz w:val="24"/>
          <w:szCs w:val="24"/>
        </w:rPr>
        <w:t>（二）厂房的选址和设计符合国家有关规定；</w:t>
      </w:r>
    </w:p>
    <w:p>
      <w:pPr>
        <w:pStyle w:val="3"/>
        <w:topLinePunct/>
        <w:spacing w:line="412" w:lineRule="exact"/>
        <w:ind w:firstLine="480"/>
        <w:rPr>
          <w:sz w:val="24"/>
          <w:szCs w:val="24"/>
        </w:rPr>
      </w:pPr>
      <w:r>
        <w:rPr>
          <w:sz w:val="24"/>
          <w:szCs w:val="24"/>
        </w:rPr>
        <w:t>（三）有与所生产的乳制品品种和数量相适应的生产、包装和检测设备；</w:t>
      </w:r>
    </w:p>
    <w:p>
      <w:pPr>
        <w:pStyle w:val="3"/>
        <w:topLinePunct/>
        <w:spacing w:line="412" w:lineRule="exact"/>
        <w:ind w:firstLine="480"/>
        <w:rPr>
          <w:sz w:val="24"/>
          <w:szCs w:val="24"/>
        </w:rPr>
      </w:pPr>
      <w:r>
        <w:rPr>
          <w:sz w:val="24"/>
          <w:szCs w:val="24"/>
        </w:rPr>
        <w:t>（四）有相应的专业技术人员和质量检验人员；</w:t>
      </w:r>
    </w:p>
    <w:p>
      <w:pPr>
        <w:pStyle w:val="3"/>
        <w:topLinePunct/>
        <w:spacing w:line="412" w:lineRule="exact"/>
        <w:ind w:firstLine="480"/>
        <w:rPr>
          <w:sz w:val="24"/>
          <w:szCs w:val="24"/>
        </w:rPr>
      </w:pPr>
      <w:r>
        <w:rPr>
          <w:sz w:val="24"/>
          <w:szCs w:val="24"/>
        </w:rPr>
        <w:t>（五）有符合环保要求的废水、废气、垃圾等污染物的处理设施；</w:t>
      </w:r>
    </w:p>
    <w:p>
      <w:pPr>
        <w:pStyle w:val="3"/>
        <w:topLinePunct/>
        <w:spacing w:line="412" w:lineRule="exact"/>
        <w:ind w:firstLine="480"/>
        <w:rPr>
          <w:sz w:val="24"/>
          <w:szCs w:val="24"/>
        </w:rPr>
      </w:pPr>
      <w:r>
        <w:rPr>
          <w:sz w:val="24"/>
          <w:szCs w:val="24"/>
        </w:rPr>
        <w:t>（六）有经培训合格并持有有效健康证明的从业人员；</w:t>
      </w:r>
    </w:p>
    <w:p>
      <w:pPr>
        <w:pStyle w:val="3"/>
        <w:topLinePunct/>
        <w:spacing w:line="412" w:lineRule="exact"/>
        <w:ind w:firstLine="480"/>
        <w:rPr>
          <w:sz w:val="24"/>
          <w:szCs w:val="24"/>
        </w:rPr>
      </w:pPr>
      <w:r>
        <w:rPr>
          <w:sz w:val="24"/>
          <w:szCs w:val="24"/>
        </w:rPr>
        <w:t>（七）法律、行政法规规定的其他条件。</w:t>
      </w:r>
    </w:p>
    <w:p>
      <w:pPr>
        <w:pStyle w:val="3"/>
        <w:topLinePunct/>
        <w:spacing w:line="412" w:lineRule="exact"/>
        <w:ind w:firstLine="480"/>
        <w:rPr>
          <w:sz w:val="24"/>
          <w:szCs w:val="24"/>
        </w:rPr>
      </w:pPr>
      <w:r>
        <w:rPr>
          <w:sz w:val="24"/>
          <w:szCs w:val="24"/>
        </w:rPr>
        <w:t>质量监督部门对乳制品生产企业颁发食品生产许可证，应当征求所在地工业行业管理部门的意见。</w:t>
      </w:r>
    </w:p>
    <w:p>
      <w:pPr>
        <w:pStyle w:val="3"/>
        <w:topLinePunct/>
        <w:spacing w:line="412" w:lineRule="exact"/>
        <w:ind w:firstLine="480"/>
        <w:rPr>
          <w:sz w:val="24"/>
          <w:szCs w:val="24"/>
        </w:rPr>
      </w:pPr>
      <w:r>
        <w:rPr>
          <w:sz w:val="24"/>
          <w:szCs w:val="24"/>
        </w:rPr>
        <w:t>未取得食品生产许可证的任何单位和个人，不得从事乳制品生产。</w:t>
      </w:r>
    </w:p>
    <w:p>
      <w:pPr>
        <w:pStyle w:val="3"/>
        <w:topLinePunct/>
        <w:spacing w:line="412" w:lineRule="exact"/>
        <w:ind w:firstLine="482"/>
        <w:rPr>
          <w:sz w:val="24"/>
          <w:szCs w:val="24"/>
        </w:rPr>
      </w:pPr>
      <w:r>
        <w:rPr>
          <w:b/>
          <w:sz w:val="24"/>
          <w:szCs w:val="24"/>
        </w:rPr>
        <w:t xml:space="preserve">第二十九条 </w:t>
      </w:r>
      <w:r>
        <w:rPr>
          <w:rFonts w:hint="eastAsia" w:asciiTheme="minorEastAsia" w:hAnsiTheme="minorEastAsia" w:eastAsiaTheme="minorEastAsia"/>
          <w:b/>
          <w:sz w:val="24"/>
          <w:szCs w:val="24"/>
        </w:rPr>
        <w:t xml:space="preserve"> </w:t>
      </w:r>
      <w:r>
        <w:rPr>
          <w:sz w:val="24"/>
          <w:szCs w:val="24"/>
        </w:rPr>
        <w:t>乳制品生产企业应当建立质量管理制度，采取质量安全管理措施，对乳制品生产实施从原料进厂到成品出厂的全过程质量控制，保证产品质量安全。</w:t>
      </w:r>
    </w:p>
    <w:p>
      <w:pPr>
        <w:pStyle w:val="3"/>
        <w:topLinePunct/>
        <w:spacing w:line="412" w:lineRule="exact"/>
        <w:ind w:firstLine="482"/>
        <w:rPr>
          <w:sz w:val="24"/>
          <w:szCs w:val="24"/>
        </w:rPr>
      </w:pPr>
      <w:r>
        <w:rPr>
          <w:b/>
          <w:sz w:val="24"/>
          <w:szCs w:val="24"/>
        </w:rPr>
        <w:t>第三十条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乳制品生产企业应当符合良好生产规范要求。国家鼓励乳制品生产企业实施危害分析与关键控制点体系，提高乳制品安全管理水平。生产婴幼儿奶粉的企业应当实施危害分析与关键控制点体系。</w:t>
      </w:r>
    </w:p>
    <w:p>
      <w:pPr>
        <w:pStyle w:val="3"/>
        <w:topLinePunct/>
        <w:spacing w:line="412" w:lineRule="exact"/>
        <w:ind w:firstLine="480"/>
        <w:rPr>
          <w:sz w:val="24"/>
          <w:szCs w:val="24"/>
        </w:rPr>
      </w:pPr>
      <w:r>
        <w:rPr>
          <w:sz w:val="24"/>
          <w:szCs w:val="24"/>
        </w:rPr>
        <w:t>对通过良好生产规范、危害分析与关键控制点体系认证的乳制品生产企业，认证机构应当依法实施跟踪调查；对不再符合认证要求的企业，应当依法撤销认证，并及时向有关主管部门报告。</w:t>
      </w:r>
    </w:p>
    <w:p>
      <w:pPr>
        <w:pStyle w:val="3"/>
        <w:topLinePunct/>
        <w:spacing w:line="412" w:lineRule="exact"/>
        <w:ind w:firstLine="482"/>
        <w:rPr>
          <w:sz w:val="24"/>
          <w:szCs w:val="24"/>
        </w:rPr>
      </w:pPr>
      <w:r>
        <w:rPr>
          <w:b/>
          <w:sz w:val="24"/>
          <w:szCs w:val="24"/>
        </w:rPr>
        <w:t>第三十一条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乳制品生产企业应当建立生鲜乳进货查验制度，逐批检测收购的生鲜乳，如实记录质量检测情况、供货者的名称以及联系方式、进货日期等内容，并查验运输车辆生鲜乳交接单。查验记录和生鲜乳交接单应当保存2年。乳制品生产企业不得向未取得生鲜乳收购许可证的单位和个人购进生鲜乳。</w:t>
      </w:r>
    </w:p>
    <w:p>
      <w:pPr>
        <w:pStyle w:val="3"/>
        <w:topLinePunct/>
        <w:spacing w:line="412" w:lineRule="exact"/>
        <w:ind w:firstLine="480"/>
        <w:rPr>
          <w:sz w:val="24"/>
          <w:szCs w:val="24"/>
        </w:rPr>
      </w:pPr>
      <w:r>
        <w:rPr>
          <w:sz w:val="24"/>
          <w:szCs w:val="24"/>
        </w:rPr>
        <w:t>乳制品生产企业不得购进兽药等化学物质残留超标，或者含有重金属等有毒有害物质、致病性的寄生虫和微生物、生物毒素以及其他不符合乳品质量安全国家标准的生鲜乳。</w:t>
      </w:r>
    </w:p>
    <w:p>
      <w:pPr>
        <w:pStyle w:val="3"/>
        <w:topLinePunct/>
        <w:spacing w:line="412" w:lineRule="exact"/>
        <w:ind w:firstLine="482"/>
        <w:rPr>
          <w:sz w:val="24"/>
          <w:szCs w:val="24"/>
        </w:rPr>
      </w:pPr>
      <w:r>
        <w:rPr>
          <w:b/>
          <w:sz w:val="24"/>
          <w:szCs w:val="24"/>
        </w:rPr>
        <w:t>第三十二条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生产乳制品使用的生鲜乳、辅料、添加剂等，应当符合法律、行政法规的规定和乳品质量安全国家标准。</w:t>
      </w:r>
    </w:p>
    <w:p>
      <w:pPr>
        <w:pStyle w:val="3"/>
        <w:topLinePunct/>
        <w:spacing w:line="412" w:lineRule="exact"/>
        <w:ind w:firstLine="480"/>
        <w:rPr>
          <w:sz w:val="24"/>
          <w:szCs w:val="24"/>
        </w:rPr>
      </w:pPr>
      <w:r>
        <w:rPr>
          <w:sz w:val="24"/>
          <w:szCs w:val="24"/>
        </w:rPr>
        <w:t>生产的乳制品应当经过巴氏杀菌、高温杀菌、超高温杀菌或者其他有效方式杀菌。</w:t>
      </w:r>
    </w:p>
    <w:p>
      <w:pPr>
        <w:pStyle w:val="3"/>
        <w:topLinePunct/>
        <w:spacing w:line="412" w:lineRule="exact"/>
        <w:ind w:firstLine="480"/>
        <w:rPr>
          <w:sz w:val="24"/>
          <w:szCs w:val="24"/>
        </w:rPr>
      </w:pPr>
      <w:r>
        <w:rPr>
          <w:sz w:val="24"/>
          <w:szCs w:val="24"/>
        </w:rPr>
        <w:t>生产发酵乳制品的菌种应当纯良、无害，定期鉴定，防止杂菌污染。</w:t>
      </w:r>
    </w:p>
    <w:p>
      <w:pPr>
        <w:pStyle w:val="3"/>
        <w:topLinePunct/>
        <w:spacing w:line="412" w:lineRule="exact"/>
        <w:ind w:firstLine="480"/>
        <w:rPr>
          <w:sz w:val="24"/>
          <w:szCs w:val="24"/>
        </w:rPr>
      </w:pPr>
      <w:r>
        <w:rPr>
          <w:sz w:val="24"/>
          <w:szCs w:val="24"/>
        </w:rPr>
        <w:t>生产婴幼儿奶粉应当保证婴幼儿生长发育所需的营养成分，不得添加任何可能危害婴幼儿身体健康和生长发育的物质。</w:t>
      </w:r>
    </w:p>
    <w:p>
      <w:pPr>
        <w:pStyle w:val="3"/>
        <w:topLinePunct/>
        <w:spacing w:line="412" w:lineRule="exact"/>
        <w:ind w:firstLine="482"/>
        <w:rPr>
          <w:sz w:val="24"/>
          <w:szCs w:val="24"/>
        </w:rPr>
      </w:pPr>
      <w:r>
        <w:rPr>
          <w:b/>
          <w:sz w:val="24"/>
          <w:szCs w:val="24"/>
        </w:rPr>
        <w:t>第三十三条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乳制品的包装应当有标签。标签应当如实标明产品名称、规格、净含量、生产日期，成分或者配料表，生产企业的名称、地址、联系方式，保质期，产品标准代号，贮存条件，所使用的食品添加剂的化学通用名称，食品生产许可证编号，法律、行政法规或者乳品质量安全国家标准规定必须标明的其他事项。</w:t>
      </w:r>
    </w:p>
    <w:p>
      <w:pPr>
        <w:pStyle w:val="3"/>
        <w:topLinePunct/>
        <w:spacing w:line="412" w:lineRule="exact"/>
        <w:ind w:firstLine="480"/>
        <w:rPr>
          <w:sz w:val="24"/>
          <w:szCs w:val="24"/>
        </w:rPr>
      </w:pPr>
      <w:r>
        <w:rPr>
          <w:sz w:val="24"/>
          <w:szCs w:val="24"/>
        </w:rPr>
        <w:t>使用奶粉、黄油、乳清粉等原料加工的液态奶，应当在包装上注明；使用复原乳作为原料生产液态奶的，应当标明“复原乳”字样，并在产品配料中如实标明复原乳所含原料及比例。</w:t>
      </w:r>
    </w:p>
    <w:p>
      <w:pPr>
        <w:pStyle w:val="3"/>
        <w:topLinePunct/>
        <w:spacing w:line="412" w:lineRule="exact"/>
        <w:ind w:firstLine="480"/>
        <w:rPr>
          <w:sz w:val="24"/>
          <w:szCs w:val="24"/>
        </w:rPr>
      </w:pPr>
      <w:r>
        <w:rPr>
          <w:sz w:val="24"/>
          <w:szCs w:val="24"/>
        </w:rPr>
        <w:t>婴幼儿奶粉标签还应当标明主要营养成分及其含量，详细说明使用方法和注意事项。</w:t>
      </w:r>
    </w:p>
    <w:p>
      <w:pPr>
        <w:pStyle w:val="3"/>
        <w:topLinePunct/>
        <w:spacing w:line="412" w:lineRule="exact"/>
        <w:ind w:firstLine="482"/>
        <w:rPr>
          <w:sz w:val="24"/>
          <w:szCs w:val="24"/>
        </w:rPr>
      </w:pPr>
      <w:r>
        <w:rPr>
          <w:b/>
          <w:sz w:val="24"/>
          <w:szCs w:val="24"/>
        </w:rPr>
        <w:t xml:space="preserve">第三十四条 </w:t>
      </w:r>
      <w:r>
        <w:rPr>
          <w:rFonts w:hint="eastAsia" w:asciiTheme="minorEastAsia" w:hAnsiTheme="minorEastAsia" w:eastAsiaTheme="minorEastAsia"/>
          <w:b/>
          <w:sz w:val="24"/>
          <w:szCs w:val="24"/>
        </w:rPr>
        <w:t xml:space="preserve"> </w:t>
      </w:r>
      <w:r>
        <w:rPr>
          <w:sz w:val="24"/>
          <w:szCs w:val="24"/>
        </w:rPr>
        <w:t>出厂的乳制品应当符合乳品质量安全国家标准。</w:t>
      </w:r>
    </w:p>
    <w:p>
      <w:pPr>
        <w:pStyle w:val="3"/>
        <w:topLinePunct/>
        <w:spacing w:line="412" w:lineRule="exact"/>
        <w:ind w:firstLine="480"/>
        <w:rPr>
          <w:sz w:val="24"/>
          <w:szCs w:val="24"/>
        </w:rPr>
      </w:pPr>
      <w:r>
        <w:rPr>
          <w:sz w:val="24"/>
          <w:szCs w:val="24"/>
        </w:rPr>
        <w:t>乳制品生产企业应当对出厂的乳制品逐批检验，并保存检验报告，留取样品。检验内容应当包括乳制品的感官指标、理化指标、卫生指标和乳制品中使用的添加剂、稳定剂以及酸奶中使用的菌种等；婴幼儿奶粉在出厂前还应当检测营养成分。对检验合格的乳制品应当标识检验合格证号；检验不合格的不得出厂。检验报告应当保存2年。</w:t>
      </w:r>
    </w:p>
    <w:p>
      <w:pPr>
        <w:pStyle w:val="3"/>
        <w:topLinePunct/>
        <w:spacing w:line="412" w:lineRule="exact"/>
        <w:ind w:firstLine="482"/>
        <w:rPr>
          <w:sz w:val="24"/>
          <w:szCs w:val="24"/>
        </w:rPr>
      </w:pPr>
      <w:r>
        <w:rPr>
          <w:b/>
          <w:sz w:val="24"/>
          <w:szCs w:val="24"/>
        </w:rPr>
        <w:t xml:space="preserve">第三十五条 </w:t>
      </w:r>
      <w:r>
        <w:rPr>
          <w:rFonts w:hint="eastAsia" w:asciiTheme="minorEastAsia" w:hAnsiTheme="minorEastAsia" w:eastAsiaTheme="minorEastAsia"/>
          <w:b/>
          <w:sz w:val="24"/>
          <w:szCs w:val="24"/>
        </w:rPr>
        <w:t xml:space="preserve"> </w:t>
      </w:r>
      <w:r>
        <w:rPr>
          <w:sz w:val="24"/>
          <w:szCs w:val="24"/>
        </w:rPr>
        <w:t>乳制品生产企业应当如实记录销售的乳制品名称、数量、生产日期、生产批号、检验合格证号、购货者名称及其联系方式、销售日期等。</w:t>
      </w:r>
    </w:p>
    <w:p>
      <w:pPr>
        <w:pStyle w:val="3"/>
        <w:topLinePunct/>
        <w:spacing w:line="412" w:lineRule="exact"/>
        <w:ind w:firstLine="482"/>
        <w:rPr>
          <w:sz w:val="24"/>
          <w:szCs w:val="24"/>
        </w:rPr>
      </w:pPr>
      <w:r>
        <w:rPr>
          <w:b/>
          <w:sz w:val="24"/>
          <w:szCs w:val="24"/>
        </w:rPr>
        <w:t xml:space="preserve">第三十六条 </w:t>
      </w:r>
      <w:r>
        <w:rPr>
          <w:rFonts w:hint="eastAsia" w:asciiTheme="minorEastAsia" w:hAnsiTheme="minorEastAsia" w:eastAsiaTheme="minorEastAsia"/>
          <w:b/>
          <w:sz w:val="24"/>
          <w:szCs w:val="24"/>
        </w:rPr>
        <w:t xml:space="preserve"> </w:t>
      </w:r>
      <w:r>
        <w:rPr>
          <w:sz w:val="24"/>
          <w:szCs w:val="24"/>
        </w:rPr>
        <w:t>乳制品生产企业发现其生产的乳制品不符合乳品质量安全国家标准、存在危害人体健康和生命安全危险或者可能危害婴幼儿身体健康或者生长发育的，应当立即停止生产，报告有关主管部门，告知销售者、消费者，召回已经出厂、上市销售的乳制品，并记录召回情况。</w:t>
      </w:r>
    </w:p>
    <w:p>
      <w:pPr>
        <w:pStyle w:val="3"/>
        <w:topLinePunct/>
        <w:spacing w:line="412" w:lineRule="exact"/>
        <w:ind w:firstLine="480"/>
        <w:rPr>
          <w:sz w:val="24"/>
          <w:szCs w:val="24"/>
        </w:rPr>
      </w:pPr>
      <w:r>
        <w:rPr>
          <w:sz w:val="24"/>
          <w:szCs w:val="24"/>
        </w:rPr>
        <w:t>乳制品生产企业对召回的乳制品应当采取销毁、无害化处理等措施，防止其再次流入市场。</w:t>
      </w:r>
    </w:p>
    <w:p>
      <w:pPr>
        <w:pStyle w:val="63"/>
        <w:spacing w:before="218" w:after="218" w:line="412" w:lineRule="exact"/>
        <w:rPr>
          <w:rFonts w:hAnsi="Times New Roman"/>
        </w:rPr>
      </w:pPr>
      <w:r>
        <w:t>第五章</w:t>
      </w:r>
      <w:r>
        <w:rPr>
          <w:rFonts w:hAnsi="Times New Roman"/>
        </w:rPr>
        <w:t xml:space="preserve"> </w:t>
      </w:r>
      <w:r>
        <w:rPr>
          <w:rFonts w:hint="eastAsia" w:hAnsi="Times New Roman"/>
        </w:rPr>
        <w:t xml:space="preserve"> </w:t>
      </w:r>
      <w:r>
        <w:t>乳制品销售</w:t>
      </w:r>
    </w:p>
    <w:p>
      <w:pPr>
        <w:pStyle w:val="3"/>
        <w:topLinePunct/>
        <w:spacing w:line="412" w:lineRule="exact"/>
        <w:ind w:firstLine="482"/>
        <w:rPr>
          <w:rFonts w:ascii="Times New Roman" w:hAnsi="Times New Roman"/>
          <w:sz w:val="24"/>
          <w:szCs w:val="24"/>
        </w:rPr>
      </w:pPr>
      <w:r>
        <w:rPr>
          <w:rFonts w:ascii="Times New Roman"/>
          <w:b/>
          <w:sz w:val="24"/>
          <w:szCs w:val="24"/>
        </w:rPr>
        <w:t>第三十七条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从事乳制品销售应当按照食品安全监督管理的有关规定，依法向工商行政管理部门申请领取有关证照。</w:t>
      </w:r>
    </w:p>
    <w:p>
      <w:pPr>
        <w:pStyle w:val="3"/>
        <w:topLinePunct/>
        <w:spacing w:line="412" w:lineRule="exact"/>
        <w:ind w:firstLine="482"/>
        <w:rPr>
          <w:rFonts w:ascii="Times New Roman" w:hAnsi="Times New Roman"/>
          <w:sz w:val="24"/>
          <w:szCs w:val="24"/>
        </w:rPr>
      </w:pPr>
      <w:r>
        <w:rPr>
          <w:rFonts w:ascii="Times New Roman"/>
          <w:b/>
          <w:sz w:val="24"/>
          <w:szCs w:val="24"/>
        </w:rPr>
        <w:t>第三十八条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乳制品销售者应当建立并执行进货查验制度，审验供货商的经营资格，验明乳制品合格证明和产品标识，并建立乳制品进货台账，如实记录乳制品的名称、规格、数量、供货商及其联系方式、进货时间等内容。从事乳制品批发业务的销售企业应当建立乳制品销售台账，如实记录批发的乳制品的品种、规格、数量、流向等内容。进货台账和销售台账保存期限不得少于</w:t>
      </w:r>
      <w:r>
        <w:rPr>
          <w:rFonts w:ascii="Times New Roman" w:hAnsi="Times New Roman"/>
          <w:sz w:val="24"/>
          <w:szCs w:val="24"/>
        </w:rPr>
        <w:t>2</w:t>
      </w:r>
      <w:r>
        <w:rPr>
          <w:rFonts w:ascii="Times New Roman"/>
          <w:sz w:val="24"/>
          <w:szCs w:val="24"/>
        </w:rPr>
        <w:t>年。</w:t>
      </w:r>
    </w:p>
    <w:p>
      <w:pPr>
        <w:pStyle w:val="3"/>
        <w:topLinePunct/>
        <w:spacing w:line="412" w:lineRule="exact"/>
        <w:ind w:firstLine="482"/>
        <w:rPr>
          <w:rFonts w:ascii="Times New Roman" w:hAnsi="Times New Roman"/>
          <w:sz w:val="24"/>
          <w:szCs w:val="24"/>
        </w:rPr>
      </w:pPr>
      <w:r>
        <w:rPr>
          <w:rFonts w:ascii="Times New Roman"/>
          <w:b/>
          <w:sz w:val="24"/>
          <w:szCs w:val="24"/>
        </w:rPr>
        <w:t>第三十九条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乳制品销售者应当采取措施，保持所销售乳制品的质量。</w:t>
      </w:r>
    </w:p>
    <w:p>
      <w:pPr>
        <w:pStyle w:val="3"/>
        <w:topLinePunct/>
        <w:spacing w:line="412" w:lineRule="exact"/>
        <w:ind w:firstLine="480"/>
        <w:rPr>
          <w:rFonts w:ascii="Times New Roman" w:hAnsi="Times New Roman"/>
          <w:sz w:val="24"/>
          <w:szCs w:val="24"/>
        </w:rPr>
      </w:pPr>
      <w:r>
        <w:rPr>
          <w:rFonts w:ascii="Times New Roman"/>
          <w:sz w:val="24"/>
          <w:szCs w:val="24"/>
        </w:rPr>
        <w:t>销售需要低温保存的乳制品的，应当配备冷藏设备或者采取冷藏措施。</w:t>
      </w:r>
    </w:p>
    <w:p>
      <w:pPr>
        <w:pStyle w:val="3"/>
        <w:topLinePunct/>
        <w:spacing w:line="412" w:lineRule="exact"/>
        <w:ind w:firstLine="482"/>
        <w:rPr>
          <w:rFonts w:ascii="Times New Roman" w:hAnsi="Times New Roman"/>
          <w:sz w:val="24"/>
          <w:szCs w:val="24"/>
        </w:rPr>
      </w:pPr>
      <w:r>
        <w:rPr>
          <w:rFonts w:ascii="Times New Roman"/>
          <w:b/>
          <w:sz w:val="24"/>
          <w:szCs w:val="24"/>
        </w:rPr>
        <w:t>第四十条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禁止购进、销售无质量合格证明、无标签或者标签残缺不清的乳制品。</w:t>
      </w:r>
    </w:p>
    <w:p>
      <w:pPr>
        <w:pStyle w:val="3"/>
        <w:topLinePunct/>
        <w:spacing w:line="412" w:lineRule="exact"/>
        <w:ind w:firstLine="480"/>
        <w:rPr>
          <w:rFonts w:ascii="Times New Roman" w:hAnsi="Times New Roman"/>
          <w:sz w:val="24"/>
          <w:szCs w:val="24"/>
        </w:rPr>
      </w:pPr>
      <w:r>
        <w:rPr>
          <w:rFonts w:ascii="Times New Roman"/>
          <w:sz w:val="24"/>
          <w:szCs w:val="24"/>
        </w:rPr>
        <w:t>禁止购进、销售过期、变质或者不符合乳品质量安全国家标准的乳制品。</w:t>
      </w:r>
    </w:p>
    <w:p>
      <w:pPr>
        <w:pStyle w:val="3"/>
        <w:topLinePunct/>
        <w:spacing w:line="412" w:lineRule="exact"/>
        <w:ind w:firstLine="482"/>
        <w:rPr>
          <w:rFonts w:ascii="Times New Roman" w:hAnsi="Times New Roman"/>
          <w:sz w:val="24"/>
          <w:szCs w:val="24"/>
        </w:rPr>
      </w:pPr>
      <w:r>
        <w:rPr>
          <w:rFonts w:ascii="Times New Roman"/>
          <w:b/>
          <w:sz w:val="24"/>
          <w:szCs w:val="24"/>
        </w:rPr>
        <w:t>第四十一条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乳制品销售者不得伪造产地，不得伪造或者冒用他人的厂名、厂址，不得伪造或者冒用认证标志等质量标志。</w:t>
      </w:r>
    </w:p>
    <w:p>
      <w:pPr>
        <w:pStyle w:val="3"/>
        <w:topLinePunct/>
        <w:spacing w:line="412" w:lineRule="exact"/>
        <w:ind w:firstLine="482"/>
        <w:rPr>
          <w:rFonts w:ascii="Times New Roman" w:hAnsi="Times New Roman"/>
          <w:sz w:val="24"/>
          <w:szCs w:val="24"/>
        </w:rPr>
      </w:pPr>
      <w:r>
        <w:rPr>
          <w:rFonts w:ascii="Times New Roman"/>
          <w:b/>
          <w:sz w:val="24"/>
          <w:szCs w:val="24"/>
        </w:rPr>
        <w:t>第四十二条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对不符合乳品质量安全国家标准、存在危害人体健康和生命安全或者可能危害婴幼儿身体健康和生长发育的乳制品，销售者应当立即停止销售，追回已经售出的乳制品，并记录追回情况。</w:t>
      </w:r>
    </w:p>
    <w:p>
      <w:pPr>
        <w:pStyle w:val="3"/>
        <w:topLinePunct/>
        <w:spacing w:line="412" w:lineRule="exact"/>
        <w:ind w:firstLine="480"/>
        <w:rPr>
          <w:rFonts w:ascii="Times New Roman" w:hAnsi="Times New Roman"/>
          <w:sz w:val="24"/>
          <w:szCs w:val="24"/>
        </w:rPr>
      </w:pPr>
      <w:r>
        <w:rPr>
          <w:rFonts w:ascii="Times New Roman"/>
          <w:sz w:val="24"/>
          <w:szCs w:val="24"/>
        </w:rPr>
        <w:t>乳制品销售者自行发现其销售的乳制品有前款规定情况的，还应当立即报告所在地工商行政管理等有关部门，通知乳制品生产企业。</w:t>
      </w:r>
    </w:p>
    <w:p>
      <w:pPr>
        <w:pStyle w:val="3"/>
        <w:topLinePunct/>
        <w:spacing w:line="412" w:lineRule="exact"/>
        <w:ind w:firstLine="482"/>
        <w:rPr>
          <w:rFonts w:ascii="Times New Roman" w:hAnsi="Times New Roman"/>
          <w:sz w:val="24"/>
          <w:szCs w:val="24"/>
        </w:rPr>
      </w:pPr>
      <w:r>
        <w:rPr>
          <w:rFonts w:ascii="Times New Roman"/>
          <w:b/>
          <w:sz w:val="24"/>
          <w:szCs w:val="24"/>
        </w:rPr>
        <w:t>第四十三条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乳制品销售者应当向消费者提供购货凭证，履行不合格乳制品的更换、退货等义务。</w:t>
      </w:r>
    </w:p>
    <w:p>
      <w:pPr>
        <w:pStyle w:val="3"/>
        <w:topLinePunct/>
        <w:spacing w:line="412" w:lineRule="exact"/>
        <w:ind w:firstLine="480"/>
        <w:rPr>
          <w:rFonts w:ascii="Times New Roman" w:hAnsi="Times New Roman"/>
          <w:sz w:val="24"/>
          <w:szCs w:val="24"/>
        </w:rPr>
      </w:pPr>
      <w:r>
        <w:rPr>
          <w:rFonts w:ascii="Times New Roman"/>
          <w:sz w:val="24"/>
          <w:szCs w:val="24"/>
        </w:rPr>
        <w:t>乳制品销售者依照前款规定履行更换、退货等义务后，属于乳制品生产企业或者供货商的责任的，销售者可以向乳制品生产企业或者供货商追偿。</w:t>
      </w:r>
    </w:p>
    <w:p>
      <w:pPr>
        <w:pStyle w:val="3"/>
        <w:topLinePunct/>
        <w:spacing w:line="412" w:lineRule="exact"/>
        <w:ind w:firstLine="482"/>
        <w:rPr>
          <w:rFonts w:ascii="Times New Roman" w:hAnsi="Times New Roman"/>
          <w:sz w:val="24"/>
          <w:szCs w:val="24"/>
        </w:rPr>
      </w:pPr>
      <w:r>
        <w:rPr>
          <w:rFonts w:ascii="Times New Roman"/>
          <w:b/>
          <w:sz w:val="24"/>
          <w:szCs w:val="24"/>
        </w:rPr>
        <w:t>第四十四条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进口的乳品应当按照乳品质量安全国家标准进行检验；尚未制定乳品质量安全国家标准的，可以参照国家有关部门指定的国外有关标准进行检验。</w:t>
      </w:r>
    </w:p>
    <w:p>
      <w:pPr>
        <w:pStyle w:val="3"/>
        <w:topLinePunct/>
        <w:spacing w:line="412" w:lineRule="exact"/>
        <w:ind w:firstLine="482"/>
        <w:rPr>
          <w:rFonts w:ascii="Times New Roman" w:hAnsi="Times New Roman"/>
          <w:sz w:val="24"/>
          <w:szCs w:val="24"/>
        </w:rPr>
      </w:pPr>
      <w:r>
        <w:rPr>
          <w:rFonts w:ascii="Times New Roman"/>
          <w:b/>
          <w:sz w:val="24"/>
          <w:szCs w:val="24"/>
        </w:rPr>
        <w:t>第四十五条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出口乳品的生产者、销售者应当保证其出口乳品符合乳品质量安全国家标准的同时还符合进口国家（地区）的标准或者合同要求。</w:t>
      </w:r>
    </w:p>
    <w:p>
      <w:pPr>
        <w:pStyle w:val="63"/>
        <w:spacing w:before="218" w:after="218" w:line="412" w:lineRule="exact"/>
        <w:rPr>
          <w:rFonts w:hAnsi="Times New Roman"/>
        </w:rPr>
      </w:pPr>
      <w:r>
        <w:t>第六章</w:t>
      </w:r>
      <w:r>
        <w:rPr>
          <w:rFonts w:hint="eastAsia"/>
        </w:rPr>
        <w:t xml:space="preserve"> </w:t>
      </w:r>
      <w:r>
        <w:rPr>
          <w:rFonts w:hAnsi="Times New Roman"/>
        </w:rPr>
        <w:t xml:space="preserve"> </w:t>
      </w:r>
      <w:r>
        <w:t>监督检查</w:t>
      </w:r>
    </w:p>
    <w:p>
      <w:pPr>
        <w:pStyle w:val="3"/>
        <w:topLinePunct/>
        <w:spacing w:line="412" w:lineRule="exact"/>
        <w:ind w:firstLine="482"/>
        <w:rPr>
          <w:rFonts w:ascii="Times New Roman" w:hAnsi="Times New Roman"/>
          <w:sz w:val="24"/>
          <w:szCs w:val="24"/>
        </w:rPr>
      </w:pPr>
      <w:r>
        <w:rPr>
          <w:rFonts w:ascii="Times New Roman"/>
          <w:b/>
          <w:sz w:val="24"/>
          <w:szCs w:val="24"/>
        </w:rPr>
        <w:t>第四十六条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县级以上人民政府畜牧兽医主管部门应当加强对奶畜饲养以及生鲜乳生产环节、收购环节的监督检查。县级以上质量监督检验检疫部门应当加强对乳制品生产环节和乳品进出口环节的监督检查。县级以上工商行政管理部门应当加强对乳制品销售环节的监督检查。县级以上食品药品监督部门应当加强对乳制品餐饮服务环节的监督管理。监督检查部门之间，监督检查部门与其他有关部门之间，应当及时通报乳品质量安全监督管理信息。</w:t>
      </w:r>
    </w:p>
    <w:p>
      <w:pPr>
        <w:pStyle w:val="3"/>
        <w:topLinePunct/>
        <w:spacing w:line="412" w:lineRule="exact"/>
        <w:ind w:firstLine="480"/>
        <w:rPr>
          <w:rFonts w:ascii="Times New Roman" w:hAnsi="Times New Roman"/>
          <w:sz w:val="24"/>
          <w:szCs w:val="24"/>
        </w:rPr>
      </w:pPr>
      <w:r>
        <w:rPr>
          <w:rFonts w:ascii="Times New Roman"/>
          <w:sz w:val="24"/>
          <w:szCs w:val="24"/>
        </w:rPr>
        <w:t>畜牧兽医、质量监督、工商行政管理等部门应当定期开展监督抽查，并记录监督抽查的情况和处理结果。需要对乳品进行抽样检查的，不得收取任何费用，所需费用由同级财政列支。</w:t>
      </w:r>
    </w:p>
    <w:p>
      <w:pPr>
        <w:pStyle w:val="3"/>
        <w:topLinePunct/>
        <w:spacing w:line="412" w:lineRule="exact"/>
        <w:ind w:firstLine="482"/>
        <w:rPr>
          <w:rFonts w:ascii="Times New Roman" w:hAnsi="Times New Roman"/>
          <w:sz w:val="24"/>
          <w:szCs w:val="24"/>
        </w:rPr>
      </w:pPr>
      <w:r>
        <w:rPr>
          <w:rFonts w:ascii="Times New Roman"/>
          <w:b/>
          <w:sz w:val="24"/>
          <w:szCs w:val="24"/>
        </w:rPr>
        <w:t>第四十七条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畜牧兽医、质量监督、工商行政管理等部门在依据各自职责进行监督检查时，行使下列职权：</w:t>
      </w:r>
    </w:p>
    <w:p>
      <w:pPr>
        <w:pStyle w:val="3"/>
        <w:topLinePunct/>
        <w:spacing w:line="412" w:lineRule="exact"/>
        <w:ind w:firstLine="480"/>
        <w:rPr>
          <w:rFonts w:ascii="Times New Roman" w:hAnsi="Times New Roman"/>
          <w:sz w:val="24"/>
          <w:szCs w:val="24"/>
        </w:rPr>
      </w:pPr>
      <w:r>
        <w:rPr>
          <w:rFonts w:ascii="Times New Roman"/>
          <w:sz w:val="24"/>
          <w:szCs w:val="24"/>
        </w:rPr>
        <w:t>（一）实施现场检查；</w:t>
      </w:r>
    </w:p>
    <w:p>
      <w:pPr>
        <w:pStyle w:val="3"/>
        <w:topLinePunct/>
        <w:spacing w:line="412" w:lineRule="exact"/>
        <w:ind w:firstLine="480"/>
        <w:rPr>
          <w:rFonts w:ascii="Times New Roman" w:hAnsi="Times New Roman"/>
          <w:sz w:val="24"/>
          <w:szCs w:val="24"/>
        </w:rPr>
      </w:pPr>
      <w:r>
        <w:rPr>
          <w:rFonts w:ascii="Times New Roman"/>
          <w:sz w:val="24"/>
          <w:szCs w:val="24"/>
        </w:rPr>
        <w:t>（二）向有关人员调查、了解有关情况；</w:t>
      </w:r>
    </w:p>
    <w:p>
      <w:pPr>
        <w:pStyle w:val="3"/>
        <w:topLinePunct/>
        <w:spacing w:line="412" w:lineRule="exact"/>
        <w:ind w:firstLine="480"/>
        <w:rPr>
          <w:rFonts w:ascii="Times New Roman" w:hAnsi="Times New Roman"/>
          <w:sz w:val="24"/>
          <w:szCs w:val="24"/>
        </w:rPr>
      </w:pPr>
      <w:r>
        <w:rPr>
          <w:rFonts w:ascii="Times New Roman"/>
          <w:sz w:val="24"/>
          <w:szCs w:val="24"/>
        </w:rPr>
        <w:t>（三）查阅、复制有关合同、票据、账簿、检验报告等资料；</w:t>
      </w:r>
    </w:p>
    <w:p>
      <w:pPr>
        <w:pStyle w:val="3"/>
        <w:topLinePunct/>
        <w:spacing w:line="412" w:lineRule="exact"/>
        <w:ind w:firstLine="480"/>
        <w:rPr>
          <w:rFonts w:ascii="Times New Roman" w:hAnsi="Times New Roman"/>
          <w:sz w:val="24"/>
          <w:szCs w:val="24"/>
        </w:rPr>
      </w:pPr>
      <w:r>
        <w:rPr>
          <w:rFonts w:ascii="Times New Roman"/>
          <w:sz w:val="24"/>
          <w:szCs w:val="24"/>
        </w:rPr>
        <w:t>（四）查封、扣押有证据证明不符合乳品质量安全国家标准的乳品以及违法使用的生鲜乳、辅料、添加剂；</w:t>
      </w:r>
    </w:p>
    <w:p>
      <w:pPr>
        <w:pStyle w:val="3"/>
        <w:topLinePunct/>
        <w:spacing w:line="412" w:lineRule="exact"/>
        <w:ind w:firstLine="480"/>
        <w:rPr>
          <w:rFonts w:ascii="Times New Roman" w:hAnsi="Times New Roman"/>
          <w:sz w:val="24"/>
          <w:szCs w:val="24"/>
        </w:rPr>
      </w:pPr>
      <w:r>
        <w:rPr>
          <w:rFonts w:ascii="Times New Roman"/>
          <w:sz w:val="24"/>
          <w:szCs w:val="24"/>
        </w:rPr>
        <w:t>（五）查封涉嫌违法从事乳品生产经营活动的场所，扣押用于违法生产经营的工具、设备；</w:t>
      </w:r>
    </w:p>
    <w:p>
      <w:pPr>
        <w:pStyle w:val="3"/>
        <w:topLinePunct/>
        <w:spacing w:line="412" w:lineRule="exact"/>
        <w:ind w:firstLine="480"/>
        <w:rPr>
          <w:rFonts w:ascii="Times New Roman" w:hAnsi="Times New Roman"/>
          <w:sz w:val="24"/>
          <w:szCs w:val="24"/>
        </w:rPr>
      </w:pPr>
      <w:r>
        <w:rPr>
          <w:rFonts w:ascii="Times New Roman"/>
          <w:sz w:val="24"/>
          <w:szCs w:val="24"/>
        </w:rPr>
        <w:t>（六）法律、行政法规规定的其他职权。</w:t>
      </w:r>
    </w:p>
    <w:p>
      <w:pPr>
        <w:pStyle w:val="3"/>
        <w:topLinePunct/>
        <w:spacing w:line="412" w:lineRule="exact"/>
        <w:ind w:firstLine="482"/>
        <w:rPr>
          <w:rFonts w:ascii="Times New Roman" w:hAnsi="Times New Roman"/>
          <w:sz w:val="24"/>
          <w:szCs w:val="24"/>
        </w:rPr>
      </w:pPr>
      <w:r>
        <w:rPr>
          <w:rFonts w:ascii="Times New Roman"/>
          <w:b/>
          <w:sz w:val="24"/>
          <w:szCs w:val="24"/>
        </w:rPr>
        <w:t>第四十八条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县级以上质量监督部门、工商行政管理部门在监督检查中，对不符合乳品质量安全国家标准、存在危害人体健康和生命安全危险或者可能危害婴幼儿身体健康和生长发育的乳制品，责令并监督生产企业召回、销售者停止销售。</w:t>
      </w:r>
    </w:p>
    <w:p>
      <w:pPr>
        <w:pStyle w:val="3"/>
        <w:topLinePunct/>
        <w:spacing w:line="412" w:lineRule="exact"/>
        <w:ind w:firstLine="482"/>
        <w:rPr>
          <w:rFonts w:ascii="Times New Roman" w:hAnsi="Times New Roman"/>
          <w:sz w:val="24"/>
          <w:szCs w:val="24"/>
        </w:rPr>
      </w:pPr>
      <w:r>
        <w:rPr>
          <w:rFonts w:ascii="Times New Roman"/>
          <w:b/>
          <w:sz w:val="24"/>
          <w:szCs w:val="24"/>
        </w:rPr>
        <w:t>第四十九条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县级以上人民政府价格主管部门应当加强对生鲜乳购销过程中压级压价、价格欺诈、价格串通等不正当价格行为的监督检查。</w:t>
      </w:r>
    </w:p>
    <w:p>
      <w:pPr>
        <w:pStyle w:val="3"/>
        <w:topLinePunct/>
        <w:spacing w:line="412" w:lineRule="exact"/>
        <w:ind w:firstLine="482"/>
        <w:rPr>
          <w:rFonts w:ascii="Times New Roman" w:hAnsi="Times New Roman"/>
          <w:sz w:val="24"/>
          <w:szCs w:val="24"/>
        </w:rPr>
      </w:pPr>
      <w:r>
        <w:rPr>
          <w:rFonts w:ascii="Times New Roman"/>
          <w:b/>
          <w:sz w:val="24"/>
          <w:szCs w:val="24"/>
        </w:rPr>
        <w:t>第五十条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畜牧兽医主管部门、质量监督部门、工商行政管理部门应当建立乳品生产经营者违法行为记录，及时提供给中国人民银行，由中国人民银行纳入企业信用信息基础数据库。</w:t>
      </w:r>
    </w:p>
    <w:p>
      <w:pPr>
        <w:pStyle w:val="3"/>
        <w:topLinePunct/>
        <w:spacing w:line="412" w:lineRule="exact"/>
        <w:ind w:firstLine="482"/>
        <w:rPr>
          <w:rFonts w:ascii="Times New Roman" w:hAnsi="Times New Roman"/>
          <w:sz w:val="24"/>
          <w:szCs w:val="24"/>
        </w:rPr>
      </w:pPr>
      <w:r>
        <w:rPr>
          <w:rFonts w:ascii="Times New Roman"/>
          <w:b/>
          <w:sz w:val="24"/>
          <w:szCs w:val="24"/>
        </w:rPr>
        <w:t>第五十一条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省级以上人民政府畜牧兽医主管部门、质量监督部门、工商行政管理部门依据各自职责，公布乳品质量安全监督管理信息。有关监督管理部门应当及时向同级卫生主管部门通报乳品质量安全事故信息；乳品质量安全重大事故信息由省级以上人民政府卫生主管部门公布。</w:t>
      </w:r>
    </w:p>
    <w:p>
      <w:pPr>
        <w:pStyle w:val="3"/>
        <w:topLinePunct/>
        <w:spacing w:line="412" w:lineRule="exact"/>
        <w:ind w:firstLine="482"/>
        <w:rPr>
          <w:rFonts w:ascii="Times New Roman" w:hAnsi="Times New Roman"/>
          <w:sz w:val="24"/>
          <w:szCs w:val="24"/>
        </w:rPr>
      </w:pPr>
      <w:r>
        <w:rPr>
          <w:rFonts w:ascii="Times New Roman"/>
          <w:b/>
          <w:sz w:val="24"/>
          <w:szCs w:val="24"/>
        </w:rPr>
        <w:t>第五十二条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有关监督管理部门发现奶畜养殖者、生鲜乳收购者、乳制品生产企业和销售者涉嫌犯罪的，应当及时移送公安机关立案侦查。</w:t>
      </w:r>
    </w:p>
    <w:p>
      <w:pPr>
        <w:pStyle w:val="3"/>
        <w:topLinePunct/>
        <w:spacing w:line="412" w:lineRule="exact"/>
        <w:ind w:firstLine="482"/>
        <w:rPr>
          <w:rFonts w:ascii="Times New Roman" w:hAnsi="Times New Roman"/>
          <w:sz w:val="24"/>
          <w:szCs w:val="24"/>
        </w:rPr>
      </w:pPr>
      <w:r>
        <w:rPr>
          <w:rFonts w:ascii="Times New Roman"/>
          <w:b/>
          <w:sz w:val="24"/>
          <w:szCs w:val="24"/>
        </w:rPr>
        <w:t>第五十三条</w:t>
      </w:r>
      <w:r>
        <w:rPr>
          <w:rFonts w:hint="eastAsia" w:ascii="Times New Roman" w:hAnsiTheme="minorEastAsia" w:eastAsiaTheme="minorEastAsia"/>
          <w:b/>
          <w:sz w:val="24"/>
          <w:szCs w:val="24"/>
        </w:rPr>
        <w:t xml:space="preserve"> </w:t>
      </w:r>
      <w:r>
        <w:rPr>
          <w:rFonts w:ascii="Times New Roman" w:hAnsi="Times New Roman"/>
          <w:b/>
          <w:sz w:val="24"/>
          <w:szCs w:val="24"/>
        </w:rPr>
        <w:t xml:space="preserve"> </w:t>
      </w:r>
      <w:r>
        <w:rPr>
          <w:rFonts w:ascii="Times New Roman"/>
          <w:sz w:val="24"/>
          <w:szCs w:val="24"/>
        </w:rPr>
        <w:t>任何单位和个人有权向畜牧兽医、卫生、质量监督、工商行政管理、食品药品监督等部门举报乳品生产经营中的违法行为。畜牧兽医、卫生、质量监督、工商行政管理、食品药品监督等部门应当公布本单位的电子邮件地址和举报电话；对接到的举报，应当完整地记录、保存。</w:t>
      </w:r>
    </w:p>
    <w:p>
      <w:pPr>
        <w:pStyle w:val="3"/>
        <w:topLinePunct/>
        <w:spacing w:line="412" w:lineRule="exact"/>
        <w:ind w:firstLine="480"/>
        <w:rPr>
          <w:rFonts w:ascii="Times New Roman" w:hAnsi="Times New Roman"/>
          <w:sz w:val="24"/>
          <w:szCs w:val="24"/>
        </w:rPr>
      </w:pPr>
      <w:r>
        <w:rPr>
          <w:rFonts w:ascii="Times New Roman"/>
          <w:sz w:val="24"/>
          <w:szCs w:val="24"/>
        </w:rPr>
        <w:t>接到举报的部门对属于本部门职责范围内的事项，应当及时依法处理，对于实名举报，应当及时答复；对不属于本部门职责范围内的事项，应当及时移交有权处理的部门，有权处理的部门应当立即处理，不得推诿。</w:t>
      </w:r>
    </w:p>
    <w:p>
      <w:pPr>
        <w:pStyle w:val="63"/>
        <w:spacing w:before="218" w:after="218" w:line="412" w:lineRule="exact"/>
        <w:rPr>
          <w:rFonts w:hAnsi="Times New Roman"/>
        </w:rPr>
      </w:pPr>
      <w:r>
        <w:t>第七章</w:t>
      </w:r>
      <w:r>
        <w:rPr>
          <w:rFonts w:hAnsi="Times New Roman"/>
        </w:rPr>
        <w:t xml:space="preserve"> </w:t>
      </w:r>
      <w:r>
        <w:rPr>
          <w:rFonts w:hint="eastAsia" w:hAnsi="Times New Roman"/>
        </w:rPr>
        <w:t xml:space="preserve"> </w:t>
      </w:r>
      <w:r>
        <w:t>法律责任</w:t>
      </w:r>
    </w:p>
    <w:p>
      <w:pPr>
        <w:pStyle w:val="3"/>
        <w:topLinePunct/>
        <w:spacing w:line="412" w:lineRule="exact"/>
        <w:ind w:firstLine="482"/>
        <w:rPr>
          <w:sz w:val="24"/>
          <w:szCs w:val="24"/>
        </w:rPr>
      </w:pPr>
      <w:r>
        <w:rPr>
          <w:b/>
          <w:sz w:val="24"/>
          <w:szCs w:val="24"/>
        </w:rPr>
        <w:t xml:space="preserve">第五十四条 </w:t>
      </w:r>
      <w:r>
        <w:rPr>
          <w:rFonts w:hint="eastAsia" w:asciiTheme="minorEastAsia" w:hAnsiTheme="minorEastAsia" w:eastAsiaTheme="minorEastAsia"/>
          <w:b/>
          <w:sz w:val="24"/>
          <w:szCs w:val="24"/>
        </w:rPr>
        <w:t xml:space="preserve"> </w:t>
      </w:r>
      <w:r>
        <w:rPr>
          <w:sz w:val="24"/>
          <w:szCs w:val="24"/>
        </w:rPr>
        <w:t>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p>
      <w:pPr>
        <w:pStyle w:val="3"/>
        <w:topLinePunct/>
        <w:spacing w:line="412" w:lineRule="exact"/>
        <w:ind w:firstLine="482"/>
        <w:rPr>
          <w:sz w:val="24"/>
          <w:szCs w:val="24"/>
        </w:rPr>
      </w:pPr>
      <w:r>
        <w:rPr>
          <w:b/>
          <w:sz w:val="24"/>
          <w:szCs w:val="24"/>
        </w:rPr>
        <w:t xml:space="preserve">第五十五条 </w:t>
      </w:r>
      <w:r>
        <w:rPr>
          <w:rFonts w:hint="eastAsia" w:asciiTheme="minorEastAsia" w:hAnsiTheme="minorEastAsia" w:eastAsiaTheme="minorEastAsia"/>
          <w:b/>
          <w:sz w:val="24"/>
          <w:szCs w:val="24"/>
        </w:rPr>
        <w:t xml:space="preserve"> </w:t>
      </w:r>
      <w:r>
        <w:rPr>
          <w:sz w:val="24"/>
          <w:szCs w:val="24"/>
        </w:rPr>
        <w:t>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p>
      <w:pPr>
        <w:pStyle w:val="3"/>
        <w:topLinePunct/>
        <w:spacing w:line="412" w:lineRule="exact"/>
        <w:ind w:firstLine="482"/>
        <w:rPr>
          <w:sz w:val="24"/>
          <w:szCs w:val="24"/>
        </w:rPr>
      </w:pPr>
      <w:r>
        <w:rPr>
          <w:b/>
          <w:sz w:val="24"/>
          <w:szCs w:val="24"/>
        </w:rPr>
        <w:t xml:space="preserve">第五十六条 </w:t>
      </w:r>
      <w:r>
        <w:rPr>
          <w:rFonts w:hint="eastAsia" w:asciiTheme="minorEastAsia" w:hAnsiTheme="minorEastAsia" w:eastAsiaTheme="minorEastAsia"/>
          <w:b/>
          <w:sz w:val="24"/>
          <w:szCs w:val="24"/>
        </w:rPr>
        <w:t xml:space="preserve"> </w:t>
      </w:r>
      <w:r>
        <w:rPr>
          <w:sz w:val="24"/>
          <w:szCs w:val="24"/>
        </w:rPr>
        <w:t>乳制品生产企业违反本条例第三十六条的规定，对不符合乳品质量安全国家标准、存在危害人体健康和生命安全或者可能危害婴幼儿身体健康和生长发育的乳制品，不停止生产、不召回的，由质量监督部门责令停止生产、召回；拒不停止生产、拒不召回的，没收其违法所得、违法乳制品和相关的工具、设备等物品，并处违法乳制品货值金额15倍以上30倍以下罚款，由发证机关吊销许可证照。</w:t>
      </w:r>
    </w:p>
    <w:p>
      <w:pPr>
        <w:pStyle w:val="3"/>
        <w:topLinePunct/>
        <w:spacing w:line="412" w:lineRule="exact"/>
        <w:ind w:firstLine="482"/>
        <w:rPr>
          <w:sz w:val="24"/>
          <w:szCs w:val="24"/>
        </w:rPr>
      </w:pPr>
      <w:r>
        <w:rPr>
          <w:b/>
          <w:sz w:val="24"/>
          <w:szCs w:val="24"/>
        </w:rPr>
        <w:t>第五十七条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乳制品销售者违反本条例第四十二条的规定，对不符合乳品质量安全国家标准、存在危害人体健康和生命安全或者可能危害婴幼儿身体健康和生长发育的乳制品，不停止销售、不追回的，由工商行政管理部门责令停止销售、追回；拒不停止销售、拒不追回的，没收其违法所得、违法乳制品和相关的工具、设备等物品，并处违法乳制品货值金额15倍以上30倍以下罚款，由发证机关吊销许可证照。</w:t>
      </w:r>
    </w:p>
    <w:p>
      <w:pPr>
        <w:pStyle w:val="3"/>
        <w:topLinePunct/>
        <w:spacing w:line="412" w:lineRule="exact"/>
        <w:ind w:firstLine="482"/>
        <w:rPr>
          <w:sz w:val="24"/>
          <w:szCs w:val="24"/>
        </w:rPr>
      </w:pPr>
      <w:r>
        <w:rPr>
          <w:b/>
          <w:sz w:val="24"/>
          <w:szCs w:val="24"/>
        </w:rPr>
        <w:t xml:space="preserve">第五十八条 </w:t>
      </w:r>
      <w:r>
        <w:rPr>
          <w:rFonts w:hint="eastAsia" w:asciiTheme="minorEastAsia" w:hAnsiTheme="minorEastAsia" w:eastAsiaTheme="minorEastAsia"/>
          <w:b/>
          <w:sz w:val="24"/>
          <w:szCs w:val="24"/>
        </w:rPr>
        <w:t xml:space="preserve"> </w:t>
      </w:r>
      <w:r>
        <w:rPr>
          <w:sz w:val="24"/>
          <w:szCs w:val="24"/>
        </w:rPr>
        <w:t>违反本条例规定，在婴幼儿奶粉生产过程中，加入非食品用化学物质或其他可能危害人体健康的物质的，或者生产、销售的婴幼儿奶粉营养成分不足、不符合乳品质量安全国家标准的，依照本条例规定，从重处罚。</w:t>
      </w:r>
    </w:p>
    <w:p>
      <w:pPr>
        <w:pStyle w:val="3"/>
        <w:topLinePunct/>
        <w:spacing w:line="412" w:lineRule="exact"/>
        <w:ind w:firstLine="482"/>
        <w:rPr>
          <w:sz w:val="24"/>
          <w:szCs w:val="24"/>
        </w:rPr>
      </w:pPr>
      <w:r>
        <w:rPr>
          <w:b/>
          <w:sz w:val="24"/>
          <w:szCs w:val="24"/>
        </w:rPr>
        <w:t xml:space="preserve">第五十九条 </w:t>
      </w:r>
      <w:r>
        <w:rPr>
          <w:rFonts w:hint="eastAsia" w:asciiTheme="minorEastAsia" w:hAnsiTheme="minorEastAsia" w:eastAsiaTheme="minorEastAsia"/>
          <w:b/>
          <w:sz w:val="24"/>
          <w:szCs w:val="24"/>
        </w:rPr>
        <w:t xml:space="preserve"> </w:t>
      </w:r>
      <w:r>
        <w:rPr>
          <w:sz w:val="24"/>
          <w:szCs w:val="24"/>
        </w:rPr>
        <w:t>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p>
      <w:pPr>
        <w:pStyle w:val="3"/>
        <w:topLinePunct/>
        <w:spacing w:line="412" w:lineRule="exact"/>
        <w:ind w:firstLine="482"/>
        <w:rPr>
          <w:sz w:val="24"/>
          <w:szCs w:val="24"/>
        </w:rPr>
      </w:pPr>
      <w:r>
        <w:rPr>
          <w:b/>
          <w:sz w:val="24"/>
          <w:szCs w:val="24"/>
        </w:rPr>
        <w:t xml:space="preserve">第六十条 </w:t>
      </w:r>
      <w:r>
        <w:rPr>
          <w:rFonts w:hint="eastAsia" w:asciiTheme="minorEastAsia" w:hAnsiTheme="minorEastAsia" w:eastAsiaTheme="minorEastAsia"/>
          <w:b/>
          <w:sz w:val="24"/>
          <w:szCs w:val="24"/>
        </w:rPr>
        <w:t xml:space="preserve"> </w:t>
      </w:r>
      <w:r>
        <w:rPr>
          <w:sz w:val="24"/>
          <w:szCs w:val="24"/>
        </w:rPr>
        <w:t>有下列情形之一的，由县级以上地方人民政府畜牧兽医主管部门没收违法所得、违法收购的生鲜乳和相关的设备、设施等物品，并处违法乳品货值金额5倍以上10倍以下罚款；有许可证照的，由发证机关吊销许可证照：</w:t>
      </w:r>
    </w:p>
    <w:p>
      <w:pPr>
        <w:pStyle w:val="3"/>
        <w:topLinePunct/>
        <w:spacing w:line="412" w:lineRule="exact"/>
        <w:ind w:firstLine="480"/>
        <w:rPr>
          <w:sz w:val="24"/>
          <w:szCs w:val="24"/>
        </w:rPr>
      </w:pPr>
      <w:r>
        <w:rPr>
          <w:sz w:val="24"/>
          <w:szCs w:val="24"/>
        </w:rPr>
        <w:t>（一）未取得生鲜乳收购许可证收购生鲜乳的；</w:t>
      </w:r>
    </w:p>
    <w:p>
      <w:pPr>
        <w:pStyle w:val="3"/>
        <w:topLinePunct/>
        <w:spacing w:line="412" w:lineRule="exact"/>
        <w:ind w:firstLine="480"/>
        <w:rPr>
          <w:sz w:val="24"/>
          <w:szCs w:val="24"/>
        </w:rPr>
      </w:pPr>
      <w:r>
        <w:rPr>
          <w:sz w:val="24"/>
          <w:szCs w:val="24"/>
        </w:rPr>
        <w:t>（二）生鲜乳收购站取得生鲜乳收购许可证后，不再符合许可条件继续从事生鲜乳收购的；</w:t>
      </w:r>
    </w:p>
    <w:p>
      <w:pPr>
        <w:pStyle w:val="3"/>
        <w:topLinePunct/>
        <w:spacing w:line="412" w:lineRule="exact"/>
        <w:ind w:firstLine="480"/>
        <w:rPr>
          <w:sz w:val="24"/>
          <w:szCs w:val="24"/>
        </w:rPr>
      </w:pPr>
      <w:r>
        <w:rPr>
          <w:sz w:val="24"/>
          <w:szCs w:val="24"/>
        </w:rPr>
        <w:t>（三）生鲜乳收购站收购本条例第二十四条规定禁止收购的生鲜乳的</w:t>
      </w:r>
    </w:p>
    <w:p>
      <w:pPr>
        <w:pStyle w:val="3"/>
        <w:topLinePunct/>
        <w:spacing w:line="412" w:lineRule="exact"/>
        <w:ind w:firstLine="482"/>
        <w:rPr>
          <w:sz w:val="24"/>
          <w:szCs w:val="24"/>
        </w:rPr>
      </w:pPr>
      <w:r>
        <w:rPr>
          <w:b/>
          <w:sz w:val="24"/>
          <w:szCs w:val="24"/>
        </w:rPr>
        <w:t>第六十一条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乳制品生产企业和销售者未取得许可证，或者取得许可证后不按照法定条件、法定要求从事生产销售活动的，由县级以上地方质量监督部门、工商行政管理部门依照《国务院关于加强食品等产品安全监督管理的特别规定》等法律、行政法规的规定处罚。</w:t>
      </w:r>
    </w:p>
    <w:p>
      <w:pPr>
        <w:pStyle w:val="3"/>
        <w:topLinePunct/>
        <w:spacing w:line="412" w:lineRule="exact"/>
        <w:ind w:firstLine="482"/>
        <w:rPr>
          <w:sz w:val="24"/>
          <w:szCs w:val="24"/>
        </w:rPr>
      </w:pPr>
      <w:r>
        <w:rPr>
          <w:b/>
          <w:sz w:val="24"/>
          <w:szCs w:val="24"/>
        </w:rPr>
        <w:t>第六十二条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者开除的处分；构成犯罪的，依法追究刑事责任。</w:t>
      </w:r>
    </w:p>
    <w:p>
      <w:pPr>
        <w:pStyle w:val="63"/>
        <w:spacing w:before="218" w:after="218" w:line="412" w:lineRule="exact"/>
        <w:rPr>
          <w:rFonts w:hAnsi="Times New Roman"/>
        </w:rPr>
      </w:pPr>
      <w:r>
        <w:t>第八章</w:t>
      </w:r>
      <w:r>
        <w:rPr>
          <w:rFonts w:hint="eastAsia"/>
        </w:rPr>
        <w:t xml:space="preserve"> </w:t>
      </w:r>
      <w:r>
        <w:rPr>
          <w:rFonts w:hAnsi="Times New Roman"/>
        </w:rPr>
        <w:t xml:space="preserve"> </w:t>
      </w:r>
      <w:r>
        <w:t>附</w:t>
      </w:r>
      <w:r>
        <w:rPr>
          <w:rFonts w:hint="eastAsia"/>
        </w:rPr>
        <w:t xml:space="preserve">  </w:t>
      </w:r>
      <w:r>
        <w:t>则</w:t>
      </w:r>
    </w:p>
    <w:p>
      <w:pPr>
        <w:pStyle w:val="3"/>
        <w:topLinePunct/>
        <w:spacing w:line="412" w:lineRule="exact"/>
        <w:ind w:firstLine="482"/>
        <w:rPr>
          <w:rFonts w:ascii="Times New Roman" w:hAnsi="Times New Roman"/>
          <w:sz w:val="24"/>
          <w:szCs w:val="24"/>
        </w:rPr>
      </w:pPr>
      <w:r>
        <w:rPr>
          <w:rFonts w:ascii="Times New Roman"/>
          <w:b/>
          <w:sz w:val="24"/>
          <w:szCs w:val="24"/>
        </w:rPr>
        <w:t>第六十三条</w:t>
      </w:r>
      <w:r>
        <w:rPr>
          <w:rFonts w:ascii="Times New Roman" w:hAnsi="Times New Roman"/>
          <w:b/>
          <w:sz w:val="24"/>
          <w:szCs w:val="24"/>
        </w:rPr>
        <w:t xml:space="preserve"> </w:t>
      </w:r>
      <w:r>
        <w:rPr>
          <w:rFonts w:hint="eastAsia" w:ascii="Times New Roman" w:hAnsi="Times New Roman" w:eastAsiaTheme="minorEastAsia"/>
          <w:b/>
          <w:sz w:val="24"/>
          <w:szCs w:val="24"/>
        </w:rPr>
        <w:t xml:space="preserve"> </w:t>
      </w:r>
      <w:r>
        <w:rPr>
          <w:rFonts w:ascii="Times New Roman"/>
          <w:sz w:val="24"/>
          <w:szCs w:val="24"/>
        </w:rPr>
        <w:t>草原牧区放牧饲养的奶畜所产的生鲜乳收购办法，由所在省、自治区、直辖市人民政府参照本条例另行制定。</w:t>
      </w:r>
    </w:p>
    <w:p>
      <w:pPr>
        <w:topLinePunct/>
        <w:spacing w:beforeLines="0" w:afterLines="0" w:line="412" w:lineRule="exact"/>
        <w:ind w:firstLine="482" w:firstLineChars="200"/>
        <w:rPr>
          <w:rFonts w:ascii="Times New Roman" w:hAnsi="Times New Roman" w:cs="Times New Roman"/>
          <w:sz w:val="24"/>
          <w:szCs w:val="24"/>
        </w:rPr>
      </w:pPr>
      <w:r>
        <w:rPr>
          <w:rFonts w:ascii="Times New Roman" w:hAnsi="宋体" w:eastAsia="宋体" w:cs="Times New Roman"/>
          <w:b/>
          <w:sz w:val="24"/>
          <w:szCs w:val="24"/>
        </w:rPr>
        <w:t>第六十四条</w:t>
      </w:r>
      <w:r>
        <w:rPr>
          <w:rFonts w:ascii="Times New Roman" w:hAnsi="Times New Roman" w:eastAsia="宋体" w:cs="Times New Roman"/>
          <w:b/>
          <w:sz w:val="24"/>
          <w:szCs w:val="24"/>
        </w:rPr>
        <w:t xml:space="preserve"> </w:t>
      </w:r>
      <w:r>
        <w:rPr>
          <w:rFonts w:hint="eastAsia" w:ascii="Times New Roman" w:hAnsi="Times New Roman" w:cs="Times New Roman"/>
          <w:b/>
          <w:sz w:val="24"/>
          <w:szCs w:val="24"/>
        </w:rPr>
        <w:t xml:space="preserve"> </w:t>
      </w:r>
      <w:r>
        <w:rPr>
          <w:rFonts w:ascii="Times New Roman" w:hAnsi="宋体" w:eastAsia="宋体" w:cs="Times New Roman"/>
          <w:sz w:val="24"/>
          <w:szCs w:val="24"/>
        </w:rPr>
        <w:t>本条例自公布之日起施行。</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779" w:name="_Toc466579854"/>
      <w:bookmarkStart w:id="780" w:name="_Toc15797"/>
      <w:bookmarkStart w:id="781" w:name="_Toc21450026"/>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782" w:name="_Toc25648233"/>
      <w:bookmarkStart w:id="783" w:name="_Toc25653728"/>
      <w:bookmarkStart w:id="784" w:name="_Toc28252214"/>
      <w:bookmarkStart w:id="785" w:name="_Toc26347989"/>
      <w:bookmarkStart w:id="786" w:name="_Toc28250939"/>
      <w:bookmarkStart w:id="787" w:name="_Toc28157011"/>
      <w:r>
        <w:t>生鲜乳生产收购管理办法</w:t>
      </w:r>
      <w:bookmarkEnd w:id="779"/>
      <w:bookmarkEnd w:id="780"/>
      <w:bookmarkEnd w:id="781"/>
      <w:bookmarkEnd w:id="782"/>
      <w:bookmarkEnd w:id="783"/>
      <w:bookmarkEnd w:id="784"/>
      <w:bookmarkEnd w:id="785"/>
      <w:bookmarkEnd w:id="786"/>
      <w:bookmarkEnd w:id="787"/>
    </w:p>
    <w:p>
      <w:pPr>
        <w:pStyle w:val="62"/>
        <w:topLinePunct w:val="0"/>
        <w:ind w:firstLine="0" w:firstLineChars="0"/>
        <w:jc w:val="center"/>
      </w:pPr>
      <w:r>
        <w:t>（2008年11月7日</w:t>
      </w:r>
      <w:r>
        <w:rPr>
          <w:shd w:val="clear" w:color="auto" w:fill="FFFFFF"/>
        </w:rPr>
        <w:t>中华人民共和国</w:t>
      </w:r>
      <w:r>
        <w:t>农业部令第15号公布）</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为加强生鲜乳生产收购管理，保证生鲜乳质量安全，促进奶业健康发展，根据《乳品质量安全监督管理条例》，制定本办法。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本办法所称生鲜乳，是指未经加工的奶畜原奶。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在中华人民共和国境内从事生鲜乳生产、收购、贮存、运输、出售活动，应当遵守本办法。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奶畜养殖者、生鲜乳收购者、生鲜乳运输者对其生产、收购、运输和销售的生鲜乳质量安全负责，是生鲜乳质量安全的第一责任者。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县级以上人民政府畜牧兽医主管部门负责奶畜饲养以及生鲜乳生产环节、收购环节的监督管理。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县级以上人民政府其他有关部门在各自职责范围内负责生鲜乳质量安全监督管理的其他工作。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生产、收购、贮存、运输、销售的生鲜乳，应当符合乳品质量安全国家标准。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禁止在生鲜乳生产、收购、贮存、运输、销售过程中添加任何物质。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省级人民政府畜牧兽医主管部门会同发展改革部门、工业和信息化部门、商务部门，制定本行政区域的奶业发展规划，加强奶源基地建设，鼓励和支持标准化规模养殖，完善服务体系，促进奶业健康发展。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县级以上地方人民政府应当根据全国和省级奶业发展规划，合理确定本行政区域内奶畜养殖规模，科学安排生鲜乳的生产、收购布局。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奶业协会应当加强行业自律，推动行业诚信建设，引导、规范奶畜养殖者、生鲜乳收购者依法生产经营。</w:t>
      </w:r>
    </w:p>
    <w:p>
      <w:pPr>
        <w:pStyle w:val="63"/>
        <w:spacing w:before="218" w:after="218" w:line="412" w:lineRule="exact"/>
        <w:rPr>
          <w:b/>
        </w:rPr>
      </w:pPr>
      <w:r>
        <w:t>第二章  生鲜乳生产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地方畜牧兽医技术推广机构，应当结合当地奶畜发展需要，向奶畜养殖者提供奶畜品种登记、奶牛生产性能测定、青粗饲料生产与利用、标准化养殖、奶畜疫病防治、粪便无害化处理等技术服务，并开展相关技术培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鼓励大专院校、科研院所、乳制品生产企业及其他相关生产经营者为养殖者提供所需的服务。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奶畜养殖场、养殖小区，应当符合法律、行政法规规定的条件，并向县级人民政府畜牧兽医主管部门或者其委托的畜牧技术推广机构备案，获得奶畜养殖代码。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鼓励乳制品生产企业建立自己的奶源基地，按照良好规范要求实施标准化生产和管理。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奶畜养殖场应当按照《乳品质量安全监督管理条例》第十三条规定建立养殖档案，准确填写有关信息，做好档案保存工作。奶畜养殖小区应当逐步建立养殖档案。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县级人民政府畜牧兽医主管部门应当督促和指导奶畜养殖场、奶畜养殖小区依法建立科学、规范的养殖档案。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从事奶畜养殖，不得在饲料、饲料添加剂、兽药中添加动物源性成分（乳及乳制品除外），不得添加对动物和人体具有直接或者潜在危害的物质。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奶畜养殖者应当遵守农业部制定的生鲜乳生产技术规程。直接从事挤奶工作的人员应当持有有效的健康证明。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奶畜养殖者对挤奶设施、生鲜乳贮存设施等应当在使用前后及时进行清洗、消毒，避免对生鲜乳造成污染，并建立清洗、消毒记录。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挤奶完成后，生鲜乳应当储存在密封的容器中，并及时做降温处理，使其温度保持在0～4℃之间。超过2小时未冷藏的，不得销售。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奶畜养殖者可以向符合本办法规定的生鲜乳收购站出售自养奶畜产的生鲜乳。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禁止出售下列生鲜乳：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（一）经检测不符合健康标准或者未经检疫合格的奶畜产的；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（二）奶畜产犊7日内的初乳，但以初乳为原料从事乳制品生产的除外；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（三）在规定用药期和休药期内的奶畜产的；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（四）添加其他物质和其他不符合乳品质量安全国家标准的。</w:t>
      </w:r>
    </w:p>
    <w:p>
      <w:pPr>
        <w:pStyle w:val="63"/>
        <w:spacing w:before="218" w:after="218" w:line="412" w:lineRule="exact"/>
        <w:rPr>
          <w:b/>
        </w:rPr>
      </w:pPr>
      <w:r>
        <w:t>第三章  生鲜乳收购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省级人民政府畜牧兽医主管部门应当根据当地奶源分布情况，按照方便奶畜养殖者、促进规模化养殖的原则，制定生鲜乳收购站建设规划，对生鲜乳收购站进行科学合理布局。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县级人民政府畜牧兽医主管部门应当根据本省的生鲜乳收购站建设规划，结合本地区奶畜存栏量、日产奶量、运输半径等因素，确定生鲜乳收购站的建设数量和规模，并报省级人民政府畜牧兽医主管部门批准。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取得工商登记的乳制品生产企业、奶畜养殖场、奶农专业生产合作社开办生鲜乳收购站，应当符合法定条件，向所在地县级人民政府畜牧兽医主管部门提出申请，并提交以下材料：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（一）开办生鲜乳收购站申请；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（二）生鲜乳收购站平面图和周围环境示意图；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（三）冷却、冷藏、保鲜设施和低温运输设备清单；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（四）化验、计量、检测仪器设备清单；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（五）开办者的营业执照复印件和法定代表人身份证明复印件；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（六）从业人员的培训证明和有效的健康证明；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（七）卫生管理和质量安全保障制度。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县级人民政府畜牧兽医主管部门应当自受理申请材料之日起20日内，完成申请材料的审核和对生鲜乳收购站的现场核查。符合规定条件的，向申请人颁发生鲜乳收购许可证，并报省级人民政府畜牧兽医主管部门备案。不符合条件的，书面通知当事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生鲜乳收购许可证有效期2年。有效期满后，需要继续从事生鲜乳收购的，应当在生鲜乳收购许可证有效期满30日前，持原证重新申请。重新申请的程序与原申请程序相同。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生鲜乳收购站的名称或者负责人变更的，应当向原发证机关申请换发生鲜乳收购许可证，并提供相应证明材料。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生鲜乳收购站的挤奶设施和生鲜乳贮存设施使用前应当消毒并晾干，使用后1小时内应当清洗、消毒并晾干；不用时，用防止污染的方法存放好，避免对生鲜乳造成污染。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生鲜乳收购站使用的洗涤剂、消毒剂、杀虫剂和其他控制害虫的产品应当确保不对生鲜乳造成污染。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生鲜乳收购站应当按照乳品质量安全国家标准对收购的生鲜乳进行感官、酸度、密度、含碱等常规检测。检测费用由生鲜乳收购站自行承担，不得向奶畜养殖者收取，或者变相转嫁给奶畜养殖者。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生鲜</w:t>
      </w:r>
      <w:r>
        <w:rPr>
          <w:rFonts w:asciiTheme="minorEastAsia" w:hAnsiTheme="minorEastAsia" w:eastAsiaTheme="minorEastAsia"/>
          <w:spacing w:val="-6"/>
          <w:sz w:val="24"/>
          <w:szCs w:val="24"/>
        </w:rPr>
        <w:t>乳收购站应当建立生鲜乳收购、销售和检测记录，并保存2年。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生鲜乳收购记录应当载明生鲜乳收购站名称及生鲜乳收购许可证编号、畜主姓名、单次收购量、收购日期和时点。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生鲜乳销售记录应当载明生鲜乳装载量、装运地、运输车辆牌照、承运人姓名、装运时间、装运时生鲜乳温度等内容。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生鲜乳检测记录应当载明检测人员、检测项目、检测结果、检测时间。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生鲜乳收购站收购的生鲜乳应当符合乳品质量安全国家标准。不符合乳品质量安全国家标准的生鲜乳，经检测无误后，应当在当地畜牧兽医主管部门的监督下销毁或者采取其他无害化处理措施。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贮存生鲜乳的容器，应当符合散装乳冷藏罐国家标准。</w:t>
      </w:r>
    </w:p>
    <w:p>
      <w:pPr>
        <w:pStyle w:val="63"/>
        <w:spacing w:before="218" w:after="218" w:line="412" w:lineRule="exact"/>
        <w:rPr>
          <w:b/>
        </w:rPr>
      </w:pPr>
      <w:r>
        <w:t>第四章  生鲜乳运输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运输生鲜乳的车辆应当取得所在地县级人民政府畜牧兽医主管部门核发的生鲜乳准运证明。无生鲜乳准运证明的车辆，不得从事生鲜乳运输。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生鲜乳运输车辆只能用于运送生鲜乳和饮用水，不得运输其他物品。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生鲜乳运输车辆使用前后应当及时清洗消毒。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生鲜乳运输车辆应当具备以下条件：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（一）奶罐隔热、保温，内壁由防腐蚀材料制造，对生鲜乳质量安全没有影响；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（二）奶罐外壁用坚硬光滑、防腐、可冲洗的防水材料制造；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（三）奶罐设有奶样存放舱和装备隔离箱，保持清洁卫生，避免尘土污染；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（四）奶罐密封材料耐脂肪、无毒，在温度正常的情况下具有耐清洗剂的能力；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（五）奶车顶盖装置、通气和防尘罩设计合理，防止奶罐和生鲜乳受到污染。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生鲜乳运输车辆的所有者，应当向所在地县级人民政府畜牧兽医主管部门提出生鲜乳运输申请。县级人民政府畜牧兽医主管部门应当自受理申请之日起5日内，对车辆进行检查，符合规定条件的，核发生鲜乳准运证明。不符合条件的，书面通知当事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从事生鲜乳运输的驾驶员、押运员应当持有有效的健康证明，并具有保持生鲜乳质量安全的基本知识。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生鲜乳运输车辆应当随车携带生鲜乳交接单。生鲜乳交接单应当载明生鲜乳收购站名称、运输车辆牌照、装运数量、装运时间、装运时生鲜乳温度等内容，并由生鲜乳收购站经手人、押运员、驾驶员、收奶员签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生鲜乳交接单一式两份，分别由生鲜乳收购站和乳品生产者保存，保存时间2年。</w:t>
      </w:r>
    </w:p>
    <w:p>
      <w:pPr>
        <w:pStyle w:val="63"/>
        <w:spacing w:before="218" w:after="218" w:line="412" w:lineRule="exact"/>
        <w:rPr>
          <w:b/>
        </w:rPr>
      </w:pPr>
      <w:r>
        <w:t>第五章  监督检查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县级以上人民政府畜牧兽医主管部门应当加强对奶畜饲养以及生鲜乳生产、收购环节的监督检查，定期开展生鲜乳质量检测抽查，并记录监督抽查的情况和处理结果。需要对生鲜乳进行抽样检查的，不得收取任何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县级以上人民政府畜牧兽医主管部门在进行监督检查时，行使下列职权：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（一）对奶畜养殖场所、生鲜乳收购站、生鲜乳运输车辆实施现场检查；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（二）向有关人员调查、了解有关情况；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（三）查阅、复制养殖档案、生鲜乳收购记录、购销合同、检验报告、生鲜乳交接单等资料；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（四）查封、扣押有证据证明不符合乳品质量安全标准的生鲜乳；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（五）查封涉嫌违法从事生鲜乳生产经营活动的场所，扣押用于违法生产、收购、贮存、运输生鲜乳的车辆、工具、设备；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（六）法律、行政法规规定的其他职权。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畜牧兽医主管部门应当建立生鲜乳生产者、收购者、运输者违法行为记录，及时提供给中国人民银行，由中国人民银行纳入企业信用信息基础数据库。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省级以上人民政府畜牧兽医主管部门应当依法公布生鲜乳质量安全监督管理信息，并及时向同级卫生主管部门通报生鲜乳质量安全事故信息。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县级以上人民政府畜牧兽医主管部门发现奶畜养殖者和生鲜乳收购者、运输者、销售者涉嫌犯罪的，应当及时移送公安机关立案侦查。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任何单位和个人有权向畜牧兽医主管部门举报生鲜乳生产经营中的违法行为。各级畜牧兽医主管部门应当公布本单位的电子邮件地址或者举报电话；对接到的举报，应当完整地记录、保存。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各级畜牧兽医主管部门收到举报的，对属于本部门职责范围内的事项，应当及时依法查处，对于实名举报，应当及时答复；对不属于本部门职责范围内的事项，应当及时移交有权处理的部门。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县级人民政府畜牧兽医主管部门在监督检查中发现生鲜乳运输车辆不符合规定条件的，应当收回生鲜乳准运证明，或者通报核发生鲜乳准运证明的畜牧兽医主管部门收回，同时通报有关乳制品加工企业。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其他违反本办法规定的行为，依照《畜牧法》、《乳品质量安全监督管理条例》的有关规定进行处罚。</w:t>
      </w:r>
    </w:p>
    <w:p>
      <w:pPr>
        <w:pStyle w:val="63"/>
        <w:spacing w:before="218" w:after="218" w:line="412" w:lineRule="exact"/>
        <w:rPr>
          <w:b/>
        </w:rPr>
      </w:pPr>
      <w:r>
        <w:t>第六章  附则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本办法自发布之日起施行。</w:t>
      </w: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788" w:name="_Toc21450011"/>
    </w:p>
    <w:p>
      <w:pPr>
        <w:pStyle w:val="61"/>
      </w:pPr>
      <w:bookmarkStart w:id="789" w:name="_Toc28252215"/>
      <w:bookmarkStart w:id="790" w:name="_Toc28157012"/>
      <w:bookmarkStart w:id="791" w:name="_Toc28250940"/>
      <w:bookmarkStart w:id="792" w:name="_Toc26347990"/>
      <w:bookmarkStart w:id="793" w:name="_Toc25648234"/>
      <w:bookmarkStart w:id="794" w:name="_Toc25653729"/>
      <w:r>
        <w:t>中华人民共和国畜禽遗传资源进出境和</w:t>
      </w:r>
      <w:r>
        <w:rPr>
          <w:rFonts w:hint="eastAsia"/>
        </w:rPr>
        <w:br w:type="textWrapping"/>
      </w:r>
      <w:r>
        <w:t>对外合作研究利用审批办法</w:t>
      </w:r>
      <w:bookmarkEnd w:id="788"/>
      <w:bookmarkEnd w:id="789"/>
      <w:bookmarkEnd w:id="790"/>
      <w:bookmarkEnd w:id="791"/>
      <w:bookmarkEnd w:id="792"/>
      <w:bookmarkEnd w:id="793"/>
      <w:bookmarkEnd w:id="794"/>
    </w:p>
    <w:p>
      <w:pPr>
        <w:pStyle w:val="62"/>
        <w:topLinePunct w:val="0"/>
        <w:ind w:firstLine="0" w:firstLineChars="0"/>
        <w:jc w:val="center"/>
        <w:rPr>
          <w:b/>
        </w:rPr>
      </w:pPr>
      <w:r>
        <w:t>（2008年8月28日中华人民共和国</w:t>
      </w:r>
      <w:r>
        <w:rPr>
          <w:shd w:val="clear" w:color="auto" w:fill="FFFFFF"/>
        </w:rPr>
        <w:t>国务院</w:t>
      </w:r>
      <w:r>
        <w:t>令第533号公布）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为了加强对畜禽遗传资源进出境和对外合作研究利用的管理，保护和合理利用畜禽遗传资源，防止畜禽遗传资源流失，促进畜牧业持续健康发展，根据《中华人民共和国畜牧法》，制定本办法。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从境外引进畜禽遗传资源，向境外输出或者在境内与境外机构、个人合作研究利用列入畜禽遗传资源保护名录的畜禽遗传资源，应当遵守《中华人民共和国畜牧法》，并依照本办法的规定办理审批手续。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本办法所称畜禽，是指列入依照《中华人民共和国畜牧法》第十一条规定公布的畜禽遗传资源目录的畜禽。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本办法所称畜禽遗传资源，是指畜禽及其卵子（蛋）、胚胎、精液、基因物质等遗传材料。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从境外引进畜禽遗传资源，应当具备下列条件：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（一）引进的目的明确、用途合理；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（二）符合畜禽遗传资源保护和利用规划；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（三）引进的畜禽遗传资源来自非疫区；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（四）符合进出境动植物检疫和农业转基因生物安全的有关规定，不对境内畜禽遗传资源和生态环境安全构成威胁。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拟从境外引进畜禽遗传资源的单位，应当向其所在地的省、自治区、直辖市人民政府畜牧兽医行政主管部门提出申请，并提交畜禽遗传资源买卖合同或者赠与协议。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引进种用畜禽遗传资源的，还应当提交下列资料：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（一）种畜禽生产经营许可证；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（二）出口国家或者地区法定机构出具的种畜系谱或者种禽代次证明；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（三）首次引进的，同时提交种用畜禽遗传资源的产地、分布、培育过程、生态特征、生产性能、群体存在的主要遗传缺陷和特有疾病等资料。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向境外输出列入畜禽遗传资源保护名录的畜禽遗传资源，应当具备下列条件：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（一）用途明确；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（二）符合畜禽遗传资源保护和利用规划；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（三）不对境内畜牧业生产和畜禽产品出口构成威胁；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（四）国家共享惠益方案合理。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拟向境外输出列入畜禽遗传资源保护名录的畜禽遗传资源的单位，应当向其所在地的省、自治区、直辖市人民政府畜牧兽医行政主管部门提出申请，并提交下列资料：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（一）畜禽遗传资源买卖合同或者赠与协议；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（二）与境外进口方签订的国家共享惠益方案。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在境内与境外机构、个人合作研究利用列入畜禽遗传资源保护名录的畜禽遗传资源，应当具备下列条件：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（一）研究目的、范围和合作期限明确；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（二）符合畜禽遗传资源保护和利用规划；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（三）知识产权归属明确、研究成果共享方案合理；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（四）不对境内畜禽遗传资源和生态环境安全构成威胁；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（五）国家共享惠益方案合理。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在境内与境外机构、个人合作研究利用畜禽遗传资源的单位，应当是依法取得法人资格的中方教育科研机构、中方独资企业。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拟在境内与境外机构、个人合作研究利用列入畜禽遗传资源保护名录的畜禽遗传资源的单位，应当向其所在地的省、自治区、直辖市人民政府畜牧兽医行政主管部门提出申请，并提交下列资料：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（一）项目可行性研究报告；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（二）合作研究合同；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（三）与境外合作者签订的国家共享惠益方案。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禁止向境外输出或者在境内与境外机构、个人合作研究利用我国特有的、新发现未经鉴定的畜禽遗传资源以及国务院畜牧兽医行政主管部门禁止出口的其他畜禽遗传资源。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省、自治区、直辖市人民政府畜牧兽医行政主管部门，应当自收到畜禽遗传资源引进、输出或者对外合作研究利用申请之日起20个工作日内完成审核工作，并将审核意见和申请资料报国务院畜牧兽医行政主管部门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国务院畜牧兽医行政主管部门，应当自收到畜禽遗传资源引进、输出或者对外合作研究利用审核意见和申请资料之日起20个工作日内，对具备本办法第四条、第六条、第八条规定条件的，签发审批表；对不具备条件的，书面通知申请人，并说明理由。其中，对输出或者在境内与境外机构、个人合作研究利用列入畜禽遗传资源保护名录的畜禽遗传资源，或者首次引进畜禽遗传资源的，国务院畜牧兽医行政主管部门应当自收到审核意见和申请资料之日起3个工作日内，将审核意见和申请资料送国家畜禽遗传资源委员会评估或者评审。评估或者评审时间不计入审批期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国务院畜牧兽医行政主管部门在20个工作日内不能做出审批决定的，经本部门负责人批准，可以延长10个工作日。延长期限的理由应当告知申请人。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畜禽遗传资源引进、输出审批表的有效期为6个月；需要延续的，申请人应当在有效期届满10个工作日前向原审批机关申请延续。延续期不得超过3个月。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从境外引进畜禽遗传资源、向境外输出列入畜禽遗传资源保护名录的畜禽遗传资源的单位，凭审批表办理检疫手续。海关凭出入境检验检疫部门出具的进出境货物通关单办理验放手续。从境外引进畜禽遗传资源、向境外输出列入畜禽遗传资源保护名录的畜禽遗传资源的单位，应当自海关放行之日起10个工作日内，将实际引进、输出畜禽遗传资源的数量报国务院畜牧兽医行政主管部门备案。国务院畜牧兽医行政主管部门应当定期将有关资料抄送国务院环境保护行政主管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在对外合作研究利用过程中需要更改研究目的和范围、合作期限、知识产权归属、研究成果共享方案或者国家共享惠益方案的，在境内与境外机构、个人合作研究利用列入畜禽遗传资源保护名录的畜禽遗传资源的单位，应当按照原申请程序重新办理审批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省、自治区、直辖市人民政府畜牧兽医行政主管部门应当对引进的畜禽遗传资源进行跟踪评价，组织专家对引进的畜禽遗传资源的生产性能、健康状况、适应性以及对生态环境和本地畜禽遗传资源的影响等进行测定、评估，并及时将测定、评估结果报国务院畜牧兽医行政主管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发现引进的畜禽遗传资源对境内畜禽遗传资源、生态环境有危害或者可能产生危害的，国务院畜牧兽医行政主管部门应当商有关主管部门，采取相应的安全控制措施。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在境内与境外机构、个人合作研究利用列入畜禽遗传资源保护名录的畜禽遗传资源的单位，应当于每年12月31日前，将合作研究利用畜禽遗传资源的情况报所在地的省、自治区、直辖市人民政府畜牧兽医行政主管部门。省、自治区、直辖市人民政府畜牧兽医行政主管部门应当对合作研究利用情况提出审核意见，一并报国务院畜牧兽医行政主管部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与畜禽遗传资源引进、输出和对外合作研究利用的单位以及与境外机构或者个人有利害关系的人员，不得参与对有关申请的评估、评审以及对进境畜禽遗传资源的测定、评估工作。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我国的畜禽遗传资源信息，包括重要的畜禽遗传家系和特定地区遗传资源及其数据、资料、样本等，未经国务院畜牧兽医行政主管部门许可，任何单位或者个人不得向境外机构和个人转让。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畜牧兽医行政主管部门工作人员在畜禽遗传资源引进、输出和对外合作研究利用审批过程中玩忽职守、滥用职权、徇私舞弊的，依法给予处分；构成犯罪的，依法追究刑事责任。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依照本办法的规定参与评估、评审、测定的专家，利用职务上的便利收取他人财物或者谋取其他利益，或者出具虚假意见的，没收违法所得，依法给予处分；构成犯罪的，依法追究刑事责任。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申请从境外引进畜禽遗传资源，向境外输出或者在境内与境外机构、个人合作研究利用列入畜禽遗传资源保护名录的畜禽遗传资源的单位，隐瞒有关情况或者提供虚假资料的，由省、自治区、直辖市人民政府畜牧兽医行政主管部门给予警告，3年内不再受理该单位的同类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以欺骗、贿赂等不正当手段取得批准从境外引进畜禽遗传资源，向境外输出或者在境内与境外机构、个人合作研究利用列入畜禽遗传资源保护名录的畜禽遗传资源的，由国务院畜牧兽医行政主管部门撤销批准决定，没收有关畜禽遗传资源和违法所得，并处以1万元以上5万元以下罚款，10年内不再受理该单位的同类申请；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未经审核批准，从境外引进畜禽遗传资源，或者在境内与境外机构、个人合作研究利用列入畜禽遗传资源保护名录的畜禽遗传资源，或者在境内与境外机构、个人合作研究利用未经国家畜禽遗传资源委员会鉴定的新发现的畜禽遗传资源的，依照《中华人民共和国畜牧法》的有关规定追究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未经审核批准，向境外输出列入畜禽遗传资源保护名录的畜禽遗传资源的，依照《中华人民共和国海关法》的有关规定追究法律责任。海关应当将扣留的畜禽遗传资源移送省、自治区、直辖市人民政府畜牧兽医行政主管部门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向境外输出或者在境内与境外机构、个人合作研究利用列入畜禽遗传资源保护名录的畜禽遗传资源，违反国家保密规定的，依照《中华人民共和国保守国家秘密法》的有关规定追究法律责任。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本办法自2008年10月1日起施行。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795" w:name="_Toc8589"/>
      <w:bookmarkStart w:id="796" w:name="_Toc466579859"/>
      <w:bookmarkStart w:id="797" w:name="_Toc21450012"/>
    </w:p>
    <w:p>
      <w:pPr>
        <w:pStyle w:val="61"/>
      </w:pPr>
      <w:bookmarkStart w:id="798" w:name="_Toc25648235"/>
      <w:bookmarkStart w:id="799" w:name="_Toc28157013"/>
      <w:bookmarkStart w:id="800" w:name="_Toc28252216"/>
      <w:bookmarkStart w:id="801" w:name="_Toc26347991"/>
      <w:bookmarkStart w:id="802" w:name="_Toc25653730"/>
      <w:bookmarkStart w:id="803" w:name="_Toc28250941"/>
      <w:r>
        <w:t>畜禽遗传资源保种场保护区和基因库管理办法</w:t>
      </w:r>
      <w:bookmarkEnd w:id="795"/>
      <w:bookmarkEnd w:id="796"/>
      <w:bookmarkEnd w:id="797"/>
      <w:bookmarkEnd w:id="798"/>
      <w:bookmarkEnd w:id="799"/>
      <w:bookmarkEnd w:id="800"/>
      <w:bookmarkEnd w:id="801"/>
      <w:bookmarkEnd w:id="802"/>
      <w:bookmarkEnd w:id="803"/>
    </w:p>
    <w:p>
      <w:pPr>
        <w:pStyle w:val="62"/>
        <w:topLinePunct w:val="0"/>
        <w:ind w:firstLine="0" w:firstLineChars="0"/>
        <w:jc w:val="center"/>
      </w:pPr>
      <w:r>
        <w:t>（2006年6月5日中华人民共和国农业部令第64号公布）</w:t>
      </w:r>
    </w:p>
    <w:p>
      <w:pPr>
        <w:pStyle w:val="63"/>
        <w:spacing w:before="218" w:after="218" w:line="412" w:lineRule="exact"/>
        <w:rPr>
          <w:b/>
        </w:rPr>
      </w:pPr>
      <w:r>
        <w:t>第一章  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为了加强畜禽遗传资源保护与管理，根据《中华人民共和国畜牧法》的有关规定，制定本办法。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畜禽遗传资源保种场、保护区、基因库的建立或者确定、监督管理，适用本办法。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农业部负责全国畜禽遗传资源保种场、保护区、基因库的管理，并负责建立或者确定国家级畜禽遗传资源保种场、保护区和基因库。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全国畜牧总站承担国家级畜禽遗传资源保种场、保护区、基因库的具体管理工作。</w:t>
      </w:r>
    </w:p>
    <w:p>
      <w:pPr>
        <w:pStyle w:val="63"/>
        <w:spacing w:before="218" w:after="218" w:line="412" w:lineRule="exact"/>
        <w:rPr>
          <w:b/>
        </w:rPr>
      </w:pPr>
      <w:r>
        <w:t>第二章  基本条件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国家级畜禽遗传资源保种场应当具备下列条件：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（一）场址在原产地或与原产地自然生态条件一致或相近的区域；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场区布局合理，生产区与办公区、生活区隔离分开。办公区设技术室、资料档案室等。生产区设置饲养繁育场地、兽医室、隔离舍、畜禽无害化处理、粪污排放处理等场所，配备相应的设施设备，防疫条件符合《中华人民共和国动物防疫法》等有关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与保种规模相适应的畜牧兽医技术人员。主管生产的技术负责人具备大专以上相关专业学历或中级以上技术职称；直接从事保种工作的技术人员需经专业技术培训，掌握保护畜禽遗传资源的基本知识和技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（四）符合种用标准的单品种基础畜禽数量要求：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猪：母猪100头以上，公猪12头以上，三代之内没有血缘关系的家系数不少于6个。</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牛、马、驴、骆驼：母畜150头（匹、峰）以上，公畜12头（匹、峰）以上，三代之内没有血缘关系的家系数不少于6个。</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羊：母羊250只以上，公羊25只以上，三代之内没有血缘关系的家系数不少于6个。</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鸡：母鸡300只以上；公鸡不少于30个家系。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鸭、鹅：母禽200只以上；公禽不少于30个家系。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兔：母兔300只以上，公兔60只以上，三代之内没有血缘关系的家系数不少于6个。</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犬：母犬30条以上，公犬不少于10条。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蜂：60箱以上。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抢救性保护品种及其他品种的基础畜禽数量要求由国家畜禽遗传资源委员会规定。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（五）有完善的管理制度和健全的饲养、繁育、免疫等技术规程。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国家级畜禽遗传资源保护区应当具备下列条件：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（一）设在畜禽遗传资源的中心产区，范围界限明确；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（二）保护区内应有2个以上保种群，保种群之间的距离不小于3公里；蜂种保护区具有自然交尾隔离区，其中，山区隔离区半径距离不小于12公里，平原隔离区半径距离不小于16公里；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（三）保护区具备一定的群体规模，单品种资源保护数量不少于保种场群体规模的5倍，所保护的畜禽品种质量符合品种标准。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国家级畜禽遗传资源基因库应当具备下列条件：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（一）有固定的场所，所在地及附近地区无重大疫病发生史；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（二）有遗传材料保存库、质量检测室、技术研究室、资料档案室等；有畜禽遗传材料制作、保存、检测、运输等设备；具备防疫、防火、防盗、防震等安全设施；水源、电源、液氮供应充足；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（三）有从事遗传资源保护工作的专职技术人员。专业技术人员比例不低于70%；从事畜禽遗传材料制作和检测工作的技术人员需经专业技术培训，并取得相应的国家职业资格证书；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（四）保存单品种遗传材料数量和质量要求：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牛羊单品种冷冻精液保存3000剂以上，精液质量达到国家有关标准；公畜必须符合其品种标准，级别为特级，系谱清楚，无传染性疾病和遗传疾病，三代之内没有血缘关系的家系数不少于6个。</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牛羊单品种冷冻胚胎保存200枚以上，胚胎质量为A级；胚胎供体必须符合其品种标准，系谱清楚，无传染性疾病和遗传疾病；供体公畜为特级，供体母畜为1级以上，三代之内没有血缘关系的家系数不少于6个。</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其他畜禽冷冻精液、冷冻胚胎以及其他遗传材料（组织、细胞、基因物质等）的保存数量和质量根据需要确定。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（五）有相应的保种计划和质量管理、出入库管理、安全管理、消毒防疫、重大突发事件应急预案等制度，以及遗传材料制作、保存和质量检测技术规程；有完整系统的技术档案资料;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（六）活体保种的基因库应当符合保种场条件。</w:t>
      </w:r>
    </w:p>
    <w:p>
      <w:pPr>
        <w:pStyle w:val="63"/>
        <w:spacing w:before="218" w:after="218" w:line="412" w:lineRule="exact"/>
        <w:rPr>
          <w:b/>
        </w:rPr>
      </w:pPr>
      <w:r>
        <w:t>第三章  建立和确定程序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建立或者确定畜禽遗传资源保种场、保护区和基因库，应当符合全国畜禽遗传资源保护和利用规划以及国家级畜禽遗传资源保护名录的要求。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从事国家级畜禽遗传资源保护名录内畜禽资源保护工作，符合本办法第二章要求的单位或者个人，可以申报国家级畜禽遗传资源保种场、保护区和基因库。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申请国家级畜禽遗传资源保种场、保护区、基因库的单位或者个人，应当于每年3月底前向省级人民政府畜牧行政主管部门提交下列材料：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（一）申请表（见附表）；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（二）符合第二章规定条件的说明资料；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（三）系谱、选育记录等有关证明材料；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（四）保种场和活体保种的基因库还应当提交《种畜禽生产经营许可证》复印件。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省级人民政府畜牧行政主管部门应当自申请受理之日起20个工作日内完成初审，并将初审意见和相关材料报送农业部。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农业部自收到申请材料后20个工作日内做出决定，经审查符合条件的，确定为畜禽遗传资源保种场、保护区和基因库，并予以公告；不符合条件的，书面通知申请人并说明理由。</w:t>
      </w:r>
    </w:p>
    <w:p>
      <w:pPr>
        <w:pStyle w:val="63"/>
        <w:spacing w:before="218" w:after="218" w:line="412" w:lineRule="exact"/>
        <w:rPr>
          <w:b/>
        </w:rPr>
      </w:pPr>
      <w:r>
        <w:t>第四章  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畜禽遗传资源保种场、保护区、基因库经公告后，任何单位和个人不得擅自变更其名称、地址、性质或者保护内容；确需变更的，应当按原程序重新申请。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县级以上畜牧技术推广机构负责畜禽遗传资源保种场、保护区、基因库的技术指导工作。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畜禽遗传资源保种场应当严格实施保种规划，开展选种选配工作，确保保种群体的数量和质量，并准确、完整记录畜禽品种的基本信息。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畜禽遗传资源保护区周边交通要道、重要地段，应当由所在地县级以上地方人民政府设立保护标志。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畜禽遗传资源基因库应当根据保种计划和工作需要，定期采集、补充和更新畜禽遗传材料，并对保存的遗传材料进行备份。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享受中央和省级财政资金支持的畜禽遗传资源保种场、保护区和基因库，未经农业部或者省级人民政府畜牧行政主管部门批准，不得擅自处理受保护的畜禽遗传资源。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国家级畜禽遗传资源保种场、保护区、基因库应当在每年1月底前将上年度工作报告报送全国畜牧总站。工作报告内容包括：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（一）群体规模数量；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（二）主要性状的变化情况；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（三）保护与选育的主要工作；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（四）财政专项资金使用情况；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（五）存在的主要问题、改进措施和建议。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全国畜牧总站负责对国家级畜禽遗传资源保种场、保护区、基因库的保种工作进行检查。发现保种工作中存在重大问题的，应当责令限期整改，并及时向农业部提出处理建议。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有下列行为之一的，取消国家级畜禽遗传资源保种场、保护区、基因库资格：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（一）违反本办法第十七条规定，情节严重的；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（二）截留、挤占、挪用专项资金，情节严重的；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（三）擅自变更地址或者保护内容的，或者擅自变更名称、性质等且在规定期限内拒不改正的；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（四）连续两年不提交工作报告的。</w:t>
      </w:r>
    </w:p>
    <w:p>
      <w:pPr>
        <w:pStyle w:val="63"/>
        <w:spacing w:before="218" w:after="218" w:line="412" w:lineRule="exact"/>
        <w:rPr>
          <w:b/>
        </w:rPr>
      </w:pPr>
      <w:r>
        <w:t>第五章  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本办法下列用语的含义：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（一）保种场，是指有固定场所、相应技术人员、设施设备等基本条件，以活体保护为手段，以保护畜禽遗传资源为目的的单位。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（二）保护区，是指国家或地方为保护特定畜禽遗传资源，在其原产地中心产区划定的特定区域。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基因库，是指在固定区域建立的，有相应人员、设施等基础条件，以低温生物学方法或活体保护为手段，保护多个畜禽遗传资源的单位。基因库保种范围包括活体、组织、胚胎、精液、卵、体细胞、基因物质等遗传材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省级畜禽遗传资源保种场、保护区、基因库的基本条件、建立或者确定程序和管理，参照本办法执行。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本办法自2006年7月1日起施行。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04" w:name="_Toc466579860"/>
      <w:bookmarkStart w:id="805" w:name="_Toc954"/>
      <w:bookmarkStart w:id="806" w:name="_Toc21450013"/>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07" w:name="_Toc25648236"/>
      <w:bookmarkStart w:id="808" w:name="_Toc26347992"/>
      <w:bookmarkStart w:id="809" w:name="_Toc28252217"/>
      <w:bookmarkStart w:id="810" w:name="_Toc28250942"/>
      <w:bookmarkStart w:id="811" w:name="_Toc25653731"/>
      <w:bookmarkStart w:id="812" w:name="_Toc28157014"/>
      <w:r>
        <w:t>畜禽新品种配套系审定和畜禽遗传资源鉴定办法</w:t>
      </w:r>
      <w:bookmarkEnd w:id="804"/>
      <w:bookmarkEnd w:id="805"/>
      <w:bookmarkEnd w:id="806"/>
      <w:bookmarkEnd w:id="807"/>
      <w:bookmarkEnd w:id="808"/>
      <w:bookmarkEnd w:id="809"/>
      <w:bookmarkEnd w:id="810"/>
      <w:bookmarkEnd w:id="811"/>
      <w:bookmarkEnd w:id="812"/>
    </w:p>
    <w:p>
      <w:pPr>
        <w:pStyle w:val="62"/>
        <w:topLinePunct w:val="0"/>
        <w:ind w:firstLine="0" w:firstLineChars="0"/>
        <w:jc w:val="center"/>
      </w:pPr>
      <w:r>
        <w:t>（2006年6月5日中华人民共和国</w:t>
      </w:r>
      <w:r>
        <w:rPr>
          <w:shd w:val="clear" w:color="auto" w:fill="FFFFFF"/>
        </w:rPr>
        <w:t>农业部</w:t>
      </w:r>
      <w:r>
        <w:t>令第65号公布）</w:t>
      </w:r>
    </w:p>
    <w:p>
      <w:pPr>
        <w:pStyle w:val="63"/>
        <w:spacing w:before="218" w:after="218" w:line="412" w:lineRule="exact"/>
        <w:rPr>
          <w:b/>
        </w:rPr>
      </w:pPr>
      <w:r>
        <w:t>第一章  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为了规范畜禽新品种、配套系审定和畜禽遗传资源鉴定工作，促进优良畜禽品种选育与推广，根据《中华人民共和国畜牧法》的有关规定，制定本办法。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畜禽新品种是指通过人工选育，主要遗传性状具备一致性和稳定性，并具有一定经济价值的畜禽群体；配套系是指利用不同品种或种群之间杂种优势，用于生产商品群体的品种或种群的特定组合；畜禽遗传资源是指未列入《中国畜禽遗传资源目录》，通过调查新发现的畜禽遗传资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培育的畜禽新品种、配套系和畜禽遗传资源在推广前，应当通过国家畜禽遗传资源委员会审定或者鉴定，并由农业部公告。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农业部主管全国畜禽新品种、配套系审定和畜禽遗传资源鉴定工作。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农业部国家畜禽遗传资源委员会负责畜禽新品种、配套系审定和畜禽遗传资源鉴定。国家畜禽遗传资源委员会办公室设在全国畜牧总站。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国家畜禽遗传资源委员会由科研、教学、生产、推广、管理等方面的专业人员组成，并设立牛、羊、家禽、猪、蜜蜂和其他动物等专业委员会，负责畜禽新品种、配套系审定和畜禽遗传资源鉴定的初审工作。</w:t>
      </w:r>
    </w:p>
    <w:p>
      <w:pPr>
        <w:pStyle w:val="63"/>
        <w:spacing w:before="218" w:after="218" w:line="412" w:lineRule="exact"/>
        <w:rPr>
          <w:b/>
        </w:rPr>
      </w:pPr>
      <w:r>
        <w:t>第二章  申请与受理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申请审定和鉴定的畜禽新品种、配套系和畜禽遗传资源，应当具备下列条件，并符合相关技术规范要求：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（一）主要特征一致、特性明显，遗传性稳定；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（二）与其他品种、配套系、畜禽遗传资源有明显区别；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（三）具有适当的名称。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畜禽新品种、配套系审定和畜禽遗传资源鉴定技术规范由农业部另行制定。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畜禽新品种、配套系审定的，由该品种或配套系的培育单位或者个人向所在地省级人民政府畜牧行政主管部门提出，省级人民政府畜牧行政主管部门应当在20个工作日内完成审核，并将审核意见和相关材料报送国家畜禽遗传资源委员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申请畜禽遗传资源鉴定的，由该资源所在地省级人民政府畜牧行政主管部门向国家畜禽遗传资源委员会提出。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在中国没有经常住所或者营业场所的外国人、外国企业或者其他组织在中国申请畜禽新品种、配套系审定的，应当委托具有法人资格的中国育种科研、生产、经营单位代理。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申请畜禽新品种、配套系审定的，应当向省级人民政府畜牧行政主管部门提交下列材料：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（一）畜禽新品种、配套系审定申请表；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（二）育种技术工作报告；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（三）新品种、配套系标准；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（四）具有法定资质的畜禽质量检验机构最近两年内出具的检测结果；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（五）中试报告或者试验单位的证明材料；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（六）声像、画册资料及必要的实物。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申请畜禽遗传资源鉴定的，应当向国家畜禽遗传资源委员会提交下列材料：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（一）畜禽遗传资源鉴定申请表；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（二）遗传资源介绍；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（三）遗传资源标准；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（四）声像、画册资料及必要的实物。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国家畜禽遗传资源委员会自收到申请材料之日起15个工作日内作出是否受理的决定，并书面通知申请人。不予受理的，应当说明理由。</w:t>
      </w:r>
    </w:p>
    <w:p>
      <w:pPr>
        <w:pStyle w:val="63"/>
        <w:spacing w:before="218" w:after="218" w:line="412" w:lineRule="exact"/>
        <w:rPr>
          <w:b/>
        </w:rPr>
      </w:pPr>
      <w:r>
        <w:t>第三章  审定、鉴定与公告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国家畜禽遗传资源委员会受理申请后，应当组织专业委员会进行初审。初审专家不少于5人。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初审可以采取下列方式：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（一）书面审查；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（二）现场考察、测试或者演示；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（三）答辩；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（四）会议讨论。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初审结论应当经三分之二以上专家通过，不同意见应当载明。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国家畜禽遗传资源委员会每半年召开一次专门会议，对初审结论进行讨论和表决。出席会议的委员不少于全体委员的三分之二。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表决采取无记名投票方式。同意票数超过到会委员半数的，通过审定或者鉴定。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通过审定或者鉴定的畜禽新品种、配套系或者畜禽遗传资源，由国家畜禽遗传资源委员会在中国农业信息网（www.agri.gov.cn）公示，公示期为一个月。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公示期满无异议的，由国家畜禽遗传资源委员会颁发证书并报农业部公告。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未通过审定或鉴定的，国家畜禽遗传资源委员会办公室应当在30个工作日内书面通知申请人。申请人有异议的，应当在接到通知后30个工作日内申请复审。国家畜禽遗传资源委员会应当在6个月内作出复审决定，并通知申请人。</w:t>
      </w:r>
    </w:p>
    <w:p>
      <w:pPr>
        <w:pStyle w:val="63"/>
        <w:spacing w:before="218" w:after="218" w:line="412" w:lineRule="exact"/>
        <w:rPr>
          <w:b/>
        </w:rPr>
      </w:pPr>
      <w:r>
        <w:t>第四章  中间试验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畜禽新品种、配套系申请审定前，培育者可以进行中间试验，对品种、配套系的生产性能、适应性、抗逆性等进行验证。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中间试验应当经试验所在地省级人民政府畜牧行政主管部门批准，培育者应当提交下列材料：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（一）新品种、配套系暂定名；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（二）新品种、配套系特征、特性；</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（三）拟进行中间试验的地点、期限和规模等。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]省级人民政府畜牧行政主管部门应当自收到申请之日起15个工作日内做出是否批准的决定。决定批准的，应当明确中间试验的地点、期限、规模及培育者应承担的责任；不予批准的，书面通知申请人并说明理由。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培育者不得改变中间试验的地点、期限和规模。确需改变的，应当报原批准机关批准。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中间试验结束后，培育者应当向批准机关提交书面报告。</w:t>
      </w:r>
    </w:p>
    <w:p>
      <w:pPr>
        <w:pStyle w:val="63"/>
        <w:spacing w:before="218" w:after="218" w:line="412" w:lineRule="exact"/>
        <w:rPr>
          <w:b/>
        </w:rPr>
      </w:pPr>
      <w:r>
        <w:t>第五章  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申请人隐瞒有关情况或者提供虚假材料的，不予受理，并给予警告，一年之内不得再次申请审定或者鉴定。已通过审定或者鉴定的，收回并注销证书，申请人三年之内不得再次申请审定或者鉴定。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已审定通过的新品种、配套系在生产推广过程中发现有重大缺陷的，经国家畜禽遗传资源委员会论证，由农业部作出停止生产、推广的决定，并予以公告，国家畜禽遗传资源委员会收回证书。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审定或者鉴定专家及其工作人员应当保守秘密，违反规定的，依照国家保密法有关规定处罚。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其他违反本办法的行为，依照《中华人民共和国畜牧法》的有关规定处罚。</w:t>
      </w:r>
    </w:p>
    <w:p>
      <w:pPr>
        <w:pStyle w:val="63"/>
        <w:spacing w:before="218" w:after="218" w:line="412" w:lineRule="exact"/>
        <w:rPr>
          <w:b/>
        </w:rPr>
      </w:pPr>
      <w:r>
        <w:t>第六章  附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审定或者鉴定所需的试验、检测等费用由申请人承担，具体标准按照国家有关规定执行。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转基因畜禽品种的培育、试验、审定，还应当符合国家有关农业转基因生物安全管理的规定。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本办法自2006年7月1日起施行。本办法施行前，省级人民政府畜牧行政主管部门审定通过的畜禽新品种、配套系，需要跨省推广的，应当依照本办法申请审定。</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13" w:name="_Toc466579863"/>
      <w:bookmarkStart w:id="814" w:name="_Toc21450014"/>
      <w:bookmarkStart w:id="815" w:name="_Toc20764"/>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16" w:name="_Toc26347993"/>
      <w:bookmarkStart w:id="817" w:name="_Toc28252218"/>
      <w:bookmarkStart w:id="818" w:name="_Toc25653732"/>
      <w:bookmarkStart w:id="819" w:name="_Toc28157015"/>
      <w:bookmarkStart w:id="820" w:name="_Toc25648237"/>
      <w:bookmarkStart w:id="821" w:name="_Toc28250943"/>
      <w:r>
        <w:t>家畜遗传材料生产许可办法</w:t>
      </w:r>
      <w:bookmarkEnd w:id="813"/>
      <w:bookmarkEnd w:id="814"/>
      <w:bookmarkEnd w:id="815"/>
      <w:bookmarkEnd w:id="816"/>
      <w:bookmarkEnd w:id="817"/>
      <w:bookmarkEnd w:id="818"/>
      <w:bookmarkEnd w:id="819"/>
      <w:bookmarkEnd w:id="820"/>
      <w:bookmarkEnd w:id="821"/>
    </w:p>
    <w:p>
      <w:pPr>
        <w:pStyle w:val="62"/>
      </w:pPr>
      <w:r>
        <w:t>（2010年1月21日中华人民共和国</w:t>
      </w:r>
      <w:bookmarkStart w:id="822" w:name="OLE_LINK58"/>
      <w:r>
        <w:t>农业部令第5号</w:t>
      </w:r>
      <w:bookmarkEnd w:id="822"/>
      <w:r>
        <w:t>公布，根据2015年10月30日中华人民共和国农业部令第3号修订）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为加强家畜冷冻精液、胚胎、卵子等遗传材料（以下简称家畜遗传材料）生产的管理，根据《中华人民共和国畜牧法》，制定本办法。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本办法所称冷冻精液，是指经超低温冷冻保存的家畜精液。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本办法所称胚胎，是指用人工方法获得的家畜早期胚胎，包括体内受精胚胎和体外受精胚胎。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本办法所称卵子，是指母畜卵巢所产生的卵母细胞，包括体外培养卵母细胞。</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从事家畜遗传材料生产的单位和个人，应当依照本办法取得省级人民政府畜牧兽医行政主管部门核发的《种畜禽生产经营许可证》。</w:t>
      </w:r>
    </w:p>
    <w:p>
      <w:pPr>
        <w:pStyle w:val="63"/>
        <w:spacing w:before="218" w:after="218" w:line="412" w:lineRule="exact"/>
        <w:rPr>
          <w:b/>
        </w:rPr>
      </w:pPr>
      <w:r>
        <w:t xml:space="preserve">第二章 </w:t>
      </w:r>
      <w:r>
        <w:rPr>
          <w:rFonts w:hint="eastAsia"/>
        </w:rPr>
        <w:t xml:space="preserve"> </w:t>
      </w:r>
      <w:r>
        <w:t>申</w:t>
      </w:r>
      <w:r>
        <w:rPr>
          <w:rFonts w:hint="eastAsia"/>
        </w:rPr>
        <w:t xml:space="preserve">  </w:t>
      </w:r>
      <w:r>
        <w:t>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从事家畜遗传材料生产的单位和个人，应当具备下列条件：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（一）与生产规模相适应的家畜饲养、繁育、治疗场地和家畜遗传材料生产、质量检测、产品储存、档案管理场所；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生产规模相适应的家畜饲养和遗传材料生产、检测、保存、运输等设施设备。其中，生产冷冻精液应当配备精子密度测定仪、相差显微镜、分析天平、细管精液分装机、细管印字机、精液冷冻程控仪、低温平衡柜、超低温贮存设备等仪器设备；生产胚胎和卵子应当配备超净台或洁净间、体视显微镜、超低温贮存设备等，生产体外胚胎还应当配备二氧化碳培养箱等仪器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（三）种畜为通过国家畜禽遗传资源委员会审定或者鉴定的品种，或者为农业部批准引进的境外品种，并符合种用标准；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（四）体外受精取得的胚胎、使用的卵子来源明确，三代系谱清楚，供体畜符合国家规定的种畜健康标准和质量要求；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饲养的种畜达到农业部规定的数量。其中，生产牛冷冻精液的合格采精种公牛数量不少于50头，生产羊冷冻精液的合格采精种公羊数量不少于100只；生产牛胚胎的一级以上基础母牛不少于200头，生产羊胚胎的一级以上基础母羊不少于300只；生产牛卵子的一级以上基础母牛不少于100头，生产羊卵子的一级以上基础母羊不少于200只；其他家畜品种的种畜饲养数量由农业部另行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5名以上畜牧兽医技术人员。其中，主要技术负责人应当具有畜牧兽医类高级技术职称或者本科以上学历，并在本专业工作5年以上；产品质量检验人员应当在本专业工作2年以上，并经培训合格；初级以上技术职称或者大专以上学历的技术人员数量应当占技术人员总数的80％以上；具有提供诊疗服务的执业兽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（七）具备法律、行政法规和农业部规定的防疫条件；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（八）建立相应的管理规章制度，包括岗位责任制、产品质量控制和保障措施、生产销售记录制度等。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申请取得家畜遗传材料生产许可的，应当向所在地省级人民政府畜牧兽医行政主管部门提出，并提交以下材料：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（二）生产条件说明材料；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家畜遗传材料供体畜的原始系谱复印件；优良种畜证书复印件;从国内引进的种畜及遗传材料提供引种场的《种畜禽生产经营许可证》复印件，从境外引进的种畜及遗传材料提供农业部审批复印件；生产卵子、胚胎的提供供体畜来源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（四）仪器设备检定报告复印件；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（五）技术人员资格证书或者学历证书及培训合格证明的复印件；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（六）动物防疫条件合格证复印件；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（七）饲养、繁育、生产、质量检测、储存等管理制度；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（八）申请换发家畜遗传材料生产许可证的，应当提供近三年内家畜遗传材料的生产和销售情况；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（九）农业部规定的其他技术材料。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申请材料不齐全，或者不符合法定形式的，省级人民政府畜牧兽医行政主管部门应当当场或者自收到申请材料之日起5个工作日内，一次告知申请人需要补正的全部内容。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省级人民政府畜牧兽医行政主管部门自受理申请之日起10个工作日内完成书面审查。对通过书面审查的，组织专家现场评审。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农业部设立家畜遗传材料生产许可专家库，负责家畜遗传材料生产许可的技术支撑工作。</w:t>
      </w:r>
    </w:p>
    <w:p>
      <w:pPr>
        <w:pStyle w:val="63"/>
        <w:spacing w:before="218" w:after="218" w:line="412" w:lineRule="exact"/>
        <w:rPr>
          <w:b/>
        </w:rPr>
      </w:pPr>
      <w:r>
        <w:t xml:space="preserve">第三章 </w:t>
      </w:r>
      <w:r>
        <w:rPr>
          <w:rFonts w:hint="eastAsia"/>
        </w:rPr>
        <w:t xml:space="preserve"> </w:t>
      </w:r>
      <w:r>
        <w:t>现场评审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现场评审实行专家组负责制。专家组由省级人民政府畜牧兽医行政主管部门指定的5名以上畜牧兽医专业高级技术职称人员组成，人数为单数，可以从农业部家畜遗传材料生产许可专家库中选取。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专家组组长负责现场评审的召集、组织和汇总现场评审意见等工作。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专家组应当对家畜遗传材料生产场所及布局、仪器设备、防疫等基本条件进行审查。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专家组应当根据家畜种用标准和全国畜牧总站公布的种公牛育种值，对家畜冷冻精液、胚胎、卵子的供体畜逐一进行评定。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专家组应当对技术人员的相关法律法规、生产规程、产品技术标准等知识进行理论考核；对家畜冷冻精液、胚胎、卵子的完整生产流程进行考核，并随机抽取3个以上关键环节，对相关技术人员进行实际操作考核。</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专家组应当抽查30％以上的仪器设备，对设备的性能与分辨率、完好率、操作规程、使用记录、检测情况等内容进行核查。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申请人应当在专家组的监督下，对每头供体畜生产的冷冻精液、3%供体畜生产的胚胎和卵子进行现场随机取样封存，送具有法定资质的种畜禽质量检验机构检测。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现场评审完成后，专家组应当形成书面评审意见，由专家组成员签字确认。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评审意见书包括以下内容：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（一）申报材料核查情况；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（二）生产基本条件审查结论；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（三）家畜遗传材料供体评定结果；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（四）技术人员理论和实际操作考核结果；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（五）家畜饲养、繁育和遗传材料生产、产品质量控制、质量检测等规章制度落实情况。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评审意见一式三份，一份交申请人保存，两份报省级人民政府畜牧兽医行政主管部门。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现场评审应当自书面审查通过之日起40个工作日内完成。</w:t>
      </w:r>
    </w:p>
    <w:p>
      <w:pPr>
        <w:pStyle w:val="63"/>
        <w:spacing w:before="218" w:after="218" w:line="412" w:lineRule="exact"/>
        <w:rPr>
          <w:b/>
        </w:rPr>
      </w:pPr>
      <w:r>
        <w:t xml:space="preserve">第四章 </w:t>
      </w:r>
      <w:r>
        <w:rPr>
          <w:rFonts w:hint="eastAsia"/>
        </w:rPr>
        <w:t xml:space="preserve"> </w:t>
      </w:r>
      <w:r>
        <w:t>审批及监督管理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省级人民政府畜牧兽医行政主管部门自收到现场评审意见和家畜遗传材料质量检测报告后10个工作日内，决定是否发放《种畜禽生产经营许可证》。不予发放的，书面通知申请人，并说明理由。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有下列情形之一的，不予发放《种畜禽生产经营许可证》：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（一）现场评审不合格的；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（二）冷冻精液质量检测合格的供体畜数量低于本办法第四条第五项规定的；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（三）送检的胚胎或者卵子质量检测不合格的。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省级人民政府畜牧兽医行政主管部门在核发生产家畜冷冻精液的《种畜禽生产经营许可证》的同时，公布合格供体畜的编号。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家畜冷冻精液生产单位和个人在许可证有效期内新增供体畜的，应当及时向省级人民政府畜牧兽医行政主管部门申报。省级人民政府畜牧兽医行政主管部门按照本办法的规定组织对供体畜进行现场评审及冷冻精液质量检测，符合规定条件的，公布供体畜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未经公布编号的供体畜，不得投入生产。</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w:t>
      </w:r>
      <w:r>
        <w:rPr>
          <w:rFonts w:asciiTheme="minorEastAsia" w:hAnsiTheme="minorEastAsia" w:eastAsiaTheme="minorEastAsia"/>
          <w:spacing w:val="4"/>
          <w:sz w:val="24"/>
          <w:szCs w:val="24"/>
        </w:rPr>
        <w:t>单位和个人应当及时淘汰冷冻精液不合格的供体畜。拒不淘汰的，由省级人民政府畜牧兽医行政主管部门公布不合格供体畜的编号，并依法予以处罚。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省级人民政府畜牧兽医行政主管部门核发的家畜遗传材料《种畜禽生产经营许可证》有效期3年。期满继续从事家畜遗传材料生产的，申请人应当在许可证有效期满5个月前，依照本办法规定重新提出申请。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已取得家畜遗传材料《种畜禽生产经营许可证》的单位和个人，申请扩大家畜遗传材料生产范围时，省级人民政府畜牧兽医行政主管部门可在组织现场评审环节适当简化相关程序。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省级人</w:t>
      </w:r>
      <w:r>
        <w:rPr>
          <w:rFonts w:asciiTheme="minorEastAsia" w:hAnsiTheme="minorEastAsia" w:eastAsiaTheme="minorEastAsia"/>
          <w:spacing w:val="4"/>
          <w:sz w:val="24"/>
          <w:szCs w:val="24"/>
        </w:rPr>
        <w:t>民政府畜牧兽医行政主管部门应当自发放家畜遗传材料《种畜禽生产经营许可证》起20个工作日内，将现场评审、质量检测报告、批准发放家畜遗传材料《种畜禽生产经营许可证》公告等有关材料报农业部备案。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农业部可以对取得家畜遗传材料《种畜禽生产经营许可证》的单位和个人实施监督检查和质量抽查，对不符合要求的，通报所在地省级人民政府畜牧兽医行政主管部门处理，必要时由农业部依法处理。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县级以上人民政府畜牧兽医行政主管部门依法对家畜遗传材料生产活动实施监督检查和质量抽查，对违反本办法从事家畜遗传材料生产活动的，依照《中华人民共和国畜牧法》的有关规定处罚。</w:t>
      </w:r>
    </w:p>
    <w:p>
      <w:pPr>
        <w:pStyle w:val="63"/>
        <w:spacing w:before="218" w:after="218" w:line="412" w:lineRule="exact"/>
        <w:rPr>
          <w:b/>
        </w:rPr>
      </w:pPr>
      <w:r>
        <w:t xml:space="preserve">第五章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不从事家畜遗传材料生产、只从事经营活动的单位和个人，应当依照省级人民政府的规定取得《种畜禽生产经营许可证》。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本办法自2010年3月1日起施行。1998年11月5日农业部发布的《〈种畜禽生产经营许可证〉管理办法》（农业部令第4号）同时废止。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23" w:name="_Toc21450016"/>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24" w:name="_Toc25653733"/>
      <w:bookmarkStart w:id="825" w:name="_Toc25648238"/>
      <w:bookmarkStart w:id="826" w:name="_Toc28157016"/>
      <w:bookmarkStart w:id="827" w:name="_Toc28250944"/>
      <w:bookmarkStart w:id="828" w:name="_Toc28252219"/>
      <w:bookmarkStart w:id="829" w:name="_Toc26347994"/>
      <w:r>
        <w:t>畜禽规模养殖污染防治条例</w:t>
      </w:r>
      <w:bookmarkEnd w:id="823"/>
      <w:bookmarkEnd w:id="824"/>
      <w:bookmarkEnd w:id="825"/>
      <w:bookmarkEnd w:id="826"/>
      <w:bookmarkEnd w:id="827"/>
      <w:bookmarkEnd w:id="828"/>
      <w:bookmarkEnd w:id="829"/>
    </w:p>
    <w:p>
      <w:pPr>
        <w:pStyle w:val="62"/>
        <w:topLinePunct w:val="0"/>
        <w:ind w:firstLine="0" w:firstLineChars="0"/>
        <w:jc w:val="center"/>
      </w:pPr>
      <w:r>
        <w:t>（2013年11月11日</w:t>
      </w:r>
      <w:r>
        <w:rPr>
          <w:shd w:val="clear" w:color="auto" w:fill="FFFFFF"/>
        </w:rPr>
        <w:t>国务院</w:t>
      </w:r>
      <w:r>
        <w:t>令第643号公布）</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为了防治畜禽养殖污染，推进畜禽养殖废弃物的综合利用和无害化处理，保护和改善环境，保障公众身体健康，促进畜牧业持续健康发展，制定本条例。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本条例适用于畜禽养殖场、养殖小区的养殖污染防治。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畜禽养殖场、养殖小区的规模标准根据畜牧业发展状况和畜禽养殖污染防治要求确定。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牧区放牧养殖污染防治，不适用本条例。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畜禽养殖污染防治，应当统筹考虑保护环境与促进畜牧业发展的需要，坚持预防为主、防治结合的原则，实行统筹规划、合理布局、综合利用、激励引导。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各级人民政府应当加强对畜禽养殖污染防治工作的组织领导，采取有效措施，加大资金投入，扶持畜禽养殖污染防治以及畜禽养殖废弃物综合利用。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县级以上人民政府环境保护主管部门负责畜禽养殖污染防治的统一监督管理。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县级以上人民政府农牧主管部门负责畜禽养殖废弃物综合利用的指导和服务。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县级以上人民政府循环经济发展综合管理部门负责畜禽养殖循环经济工作的组织协调。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县级以上人民政府其他有关部门依照本条例规定和各自职责，负责畜禽养殖污染防治相关工作。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乡镇人民政府应当协助有关部门做好本行政区域的畜禽养殖污染防治工作。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从事畜禽养殖以及畜禽养殖废弃物综合利用和无害化处理活动，应当符合国家有关畜禽养殖污染防治的要求，并依法接受有关主管部门的监督检查。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国家鼓励和支持畜禽养殖污染防治以及畜禽养殖废弃物综合利用和无害化处理的科学技术研究和装备研发。各级人民政府应当支持先进适用技术的推广，促进畜禽养殖污染防治水平的提高。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任何单位和个人对违反本条例规定的行为，有权向县级以上人民政府环境保护等有关部门举报。接到举报的部门应当及时调查处理。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对在畜禽养殖污染防治中作出突出贡献的单位和个人，按照国家有关规定给予表彰和奖励。</w:t>
      </w:r>
    </w:p>
    <w:p>
      <w:pPr>
        <w:pStyle w:val="63"/>
        <w:spacing w:before="218" w:after="218" w:line="412" w:lineRule="exact"/>
        <w:rPr>
          <w:b/>
        </w:rPr>
      </w:pPr>
      <w:r>
        <w:t>第二章  预</w:t>
      </w:r>
      <w:r>
        <w:rPr>
          <w:rFonts w:hint="eastAsia"/>
        </w:rPr>
        <w:t xml:space="preserve">  </w:t>
      </w:r>
      <w:r>
        <w:t>防</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县级以上人民政府农牧主管部门编制畜牧业发展规划，报本级人民政府或者其授权的部门批准实施。畜牧业发展规划应当统筹考虑环境承载能力以及畜禽养殖污染防治要求，合理布局，科学确定畜禽养殖的品种、规模、总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县级以上人民政府环境保护主管部门会同农牧主管部门编制畜禽养殖污染防治规划，报本级人民政府或者其授权的部门批准实施。畜禽养殖污染防治规划应当与畜牧业发展规划相衔接，统筹考虑畜禽养殖生产布局，明确畜禽养殖污染防治目标、任务、重点区域，明确污染治理重点设施建设，以及废弃物综合利用等污染防治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禁止在下列区域内建设畜禽养殖场、养殖小区：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（一）饮用水水源保护区，风景名胜区；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（二）自然保护区的核心区和缓冲区；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（三）城镇居民区、文化教育科学研究区等人口集中区域；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（四）法律、法规规定的其他禁止养殖区域。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大型畜禽养殖场、养殖小区的管理目录，由国务院环境保护主管部门商国务院农牧主管部门确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环境影响评价的重点应当包括：畜禽养殖产生的废弃物种类和数量，废弃物综合利用和无害化处理方案和措施，废弃物的消纳和处理情况以及向环境直接排放的情况，最终可能对水体、土壤等环境和人体健康产生的影响以及控制和减少影响的方案和措施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未建设污染防治配套设施、自行建设的配套设施不合格，或者未委托他人对畜禽养殖废弃物进行综合利用和无害化处理的，畜禽养殖场、养殖小区不得投入生产或者使用。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畜禽养殖场、养殖小区自行建设污染防治配套设施的，应当确保其正常运行。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从事畜禽养殖活动，应当采取科学的饲养方式和废弃物处理工艺等有效措施，减少畜禽养殖废弃物的产生量和向环境的排放量。</w:t>
      </w:r>
    </w:p>
    <w:p>
      <w:pPr>
        <w:pStyle w:val="63"/>
        <w:spacing w:before="218" w:after="218" w:line="412" w:lineRule="exact"/>
        <w:rPr>
          <w:b/>
        </w:rPr>
      </w:pPr>
      <w:r>
        <w:t>第三章  综合利用与治理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国家鼓励和支持采取粪肥还田、制取沼气、制造有机肥等方法，对畜禽养殖废弃物进行综合利用。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国家鼓励和支持采取种植和养殖相结合的方式消纳利用畜禽养殖废弃物，促进畜禽粪便、污水等废弃物就地就近利用。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国家鼓励和支持沼气制取、有机肥生产等废弃物综合利用以及沼渣沼液输送和施用、沼气发电等相关配套设施建设。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将畜禽粪便、污水、沼渣、沼液等用作肥料的，应当与土地的消纳能力相适应，并采取有效措施，消除可能引起传染病的微生物，防止污染环境和传播疫病。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从事畜禽养殖活动和畜禽养殖废弃物处理活动，应当及时对畜禽粪便、畜禽尸体、污水等进行收集、贮存、清运，防止恶臭和畜禽养殖废弃物渗出、泄漏。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向环境排放经过处理的畜禽养殖废弃物，应当符合国家和地方规定的污染物排放标准和总量控制指标。畜禽养殖废弃物未经处理，不得直接向环境排放。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染疫畜禽以及染疫畜禽排泄物、染疫畜禽产品、病死或者死因不明的畜禽尸体等病害畜禽养殖废弃物，应当按照有关法律、法规和国务院农牧主管部门的规定，进行深埋、化制、焚烧等无害化处理，不得随意处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畜禽养殖场、养殖小区应当定期将畜禽养殖品种、规模以及畜禽养殖废弃物的产生、排放和综合利用等情况，报县级人民政府环境保护主管部门备案。环境保护主管部门应当定期将备案情况抄送同级农牧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县级以上人民政府环境保护主管部门应当依据职责对畜禽养殖污染防治情况进行监督检查，并加强对畜禽养殖环境污染的监测。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乡镇人民政府、基层群众自治组织发现畜禽养殖环境污染行为的，应当及时制止和报告。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对污染严重的畜禽养殖密集区域，市、县人民政府应当制定综合整治方案，采取组织建设畜禽养殖废弃物综合利用和无害化处理设施、有计划搬迁或者关闭畜禽养殖场所等措施，对畜禽养殖污染进行治理。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因畜牧业发展规划、土地利用总体规划、城乡规划调整以及划定禁止养殖区域，或者因对污染严重的畜禽养殖密集区域进行综合整治，确需关闭或者搬迁现有畜禽养殖场所，致使畜禽养殖者遭受经济损失的，由县级以上地方人民政府依法予以补偿。</w:t>
      </w:r>
    </w:p>
    <w:p>
      <w:pPr>
        <w:pStyle w:val="63"/>
        <w:spacing w:before="218" w:after="218" w:line="412" w:lineRule="exact"/>
        <w:rPr>
          <w:b/>
        </w:rPr>
      </w:pPr>
      <w:r>
        <w:t>第四章  激励措施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县级以上人民政府应当采取示范奖励等措施，扶持规模化、标准化畜禽养殖，支持畜禽养殖场、养殖小区进行标准化改造和污染防治设施建设与改造，鼓励分散饲养向集约饲养方式转变。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县级以上地方人民政府在组织编制土地利用总体规划过程中，应当统筹安排，将规模化畜禽养殖用地纳入规划，落实养殖用地。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国家鼓励利用废弃地和荒山、荒沟、荒丘、荒滩等未利用地开展规模化、标准化畜禽养殖。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畜禽养殖用地按农用地管理，并按照国家有关规定确定生产设施用地和必要的污染防治等附属设施用地。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建设和改造畜禽养殖污染防治设施，可以按照国家规定申请包括污染治理贷款贴息补助在内的环境保护等相关资金支持。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进行畜禽养殖污染防治，从事利用畜禽养殖废弃物进行有机肥产品生产经营等畜禽养殖废弃物综合利用活动的，享受国家规定的相关税收优惠政策。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利用畜禽养殖废弃物生产有机肥产品的，享受国家关于化肥运力安排等支持政策；购买使用有机肥产品的，享受不低于国家关于化肥的使用补贴等优惠政策。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畜禽养殖场、养殖小区的畜禽养殖污染防治设施运行用电执行农业用电价格。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国家鼓励和支持利用畜禽养殖废弃物进行沼气发电，自发自用、多余电量接入电网。电网企业应当依照法律和国家有关规定为沼气发电提供无歧视的电网接入服务，并全额收购其电网覆盖范围内符合并网技术标准的多余电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利用畜禽养殖废弃物进行沼气发电的，依法享受国家规定的上网电价优惠政策。利用畜禽养殖废弃物制取沼气或进而制取天然气的，依法享受新能源优惠政策。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地方各级人民政府可以根据本地区实际，对畜禽养殖场、养殖小区支出的建设项目环境影响咨询费用给予补助。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国家鼓励和支持对染疫畜禽、病死或者死因不明畜禽尸体进行集中无害化处理，并按照国家有关规定对处理费用、养殖损失给予适当补助。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畜禽养殖场、养殖小区排放污染物符合国家和地方规定的污染物排放标准和总量控制指标，自愿与环境保护主管部门签订进一步削减污染物排放量协议的，由县级人民政府按照国家有关规定给予奖励，并优先列入县级以上人民政府安排的环境保护和畜禽养殖发展相关财政资金扶持范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畜禽养殖户自愿建设综合利用和无害化处理设施、采取措施减少污染物排放的，可以依照本条例规定享受相关激励和扶持政策。</w:t>
      </w:r>
    </w:p>
    <w:p>
      <w:pPr>
        <w:pStyle w:val="63"/>
        <w:spacing w:before="218" w:after="218" w:line="412" w:lineRule="exact"/>
        <w:rPr>
          <w:b/>
        </w:rPr>
      </w:pPr>
      <w:r>
        <w:t>第五章  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各级人民政府环境保护主管部门、农牧主管部门以及其他有关部门未依照本条例规定履行职责的，对直接负责的主管人员和其他直接责任人员依法给予处分；直接负责的主管人员和其他直接责任人员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违反本条例规定，在禁止养殖区域内建设畜禽养殖场、养殖小区的，由县级以上地方人民政府环境保护主管部门责令停止违法行为；拒不停止违法行为的，处3万元以上10万元以下的罚款，并报县级以上人民政府责令拆除或者关闭。在饮用水水源保护区建设畜禽养殖场、养殖小区的，由县级以上地方人民政府环境保护主管部门责令停止违法行为，处10万元以上50万元以下的罚款，并报经有批准权的人民政府批准，责令拆除或者关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违反本条例规定，畜禽养殖场、养殖小区依法应当进行环境影响评价而未进行的，由有权审批该项目环境影响评价文件的环境保护主管部门责令停止建设，限期补办手续；逾期不补办手续的，处5万元以上20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违反本条例规定，未建设污染防治配套设施或者自行建设的配套设施不合格，也未委托他人对畜禽养殖废弃物进行综合利用和无害化处理，畜禽养殖场、养殖小区即投入生产、使用，或者建设的污染防治配套设施未正常运行的，由县级以上人民政府环境保护主管部门责令停止生产或者使用，可以处10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违反本条例规定，有下列行为之一的，由县级以上地方人民政府环境保护主管部门责令停止违法行为，限期采取治理措施消除污染，依照《中华人民共和国水污染防治法》、《中华人民共和国固体废物污染环境防治法》的有关规定予以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（一）将畜禽养殖废弃物用作肥料，超出土地消纳能力，造成环境污染的；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（二）从事畜禽养殖活动或者畜禽养殖废弃物处理活动，未采取有效措施，导致畜禽养殖废弃物渗出、泄漏的。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排放畜禽养殖废弃物不符合国家或者地方规定的污染物排放标准或者总量控制指标，或者未经无害化处理直接向环境排放畜禽养殖废弃物的，由县级以上地方人民政府环境保护主管部门责令限期治理，可以处5万元以下的罚款。县级以上地方人民政府环境保护主管部门作出限期治理决定后，应当会同同级人民政府农牧等有关部门对整改措施的落实情况及时进行核查，并向社会公布核查结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未按照规定对染疫畜禽和病害畜禽养殖废弃物进行无害化处理的，由动物卫生监督机构责令无害化处理，所需处理费用由违法行为人承担，可以处3000元以下的罚款。</w:t>
      </w:r>
    </w:p>
    <w:p>
      <w:pPr>
        <w:pStyle w:val="63"/>
        <w:spacing w:before="218" w:after="218" w:line="412" w:lineRule="exact"/>
        <w:rPr>
          <w:b/>
        </w:rPr>
      </w:pPr>
      <w:r>
        <w:t>第六章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畜禽养殖场、养殖小区的具体规模标准由省级人民政府确定，并报国务院环境保护主管部门和国务院农牧主管部门备案。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本条例自2014年1月1日起施行。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30" w:name="_Toc30081"/>
      <w:bookmarkStart w:id="831" w:name="_Toc21450038"/>
      <w:bookmarkStart w:id="832" w:name="_Toc466579891"/>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33" w:name="_Toc25653734"/>
      <w:bookmarkStart w:id="834" w:name="_Toc28157017"/>
      <w:bookmarkStart w:id="835" w:name="_Toc28252220"/>
      <w:bookmarkStart w:id="836" w:name="_Toc25648239"/>
      <w:bookmarkStart w:id="837" w:name="_Toc28250945"/>
      <w:bookmarkStart w:id="838" w:name="_Toc26347995"/>
      <w:r>
        <w:t>生猪屠宰管理条例</w:t>
      </w:r>
      <w:bookmarkEnd w:id="830"/>
      <w:bookmarkEnd w:id="831"/>
      <w:bookmarkEnd w:id="832"/>
      <w:bookmarkEnd w:id="833"/>
      <w:bookmarkEnd w:id="834"/>
      <w:bookmarkEnd w:id="835"/>
      <w:bookmarkEnd w:id="836"/>
      <w:bookmarkEnd w:id="837"/>
      <w:bookmarkEnd w:id="838"/>
    </w:p>
    <w:p>
      <w:pPr>
        <w:pStyle w:val="62"/>
      </w:pPr>
      <w:r>
        <w:t>（</w:t>
      </w:r>
      <w:r>
        <w:rPr>
          <w:rFonts w:hint="eastAsia"/>
        </w:rPr>
        <w:t>1997年12月19日中华人民共和国国务院令第238号公布，根据2008年5月25日中华人民共和国国务院令第525号第一次修订，根据2011年1月8日中华人民共和国国务院令第588号第二次修订，根据2016年2月6日中华人民共和国国务院令第666号第三次修订</w:t>
      </w:r>
      <w:r>
        <w:t>）</w:t>
      </w:r>
    </w:p>
    <w:p>
      <w:pPr>
        <w:pStyle w:val="63"/>
        <w:spacing w:before="218" w:after="218" w:line="412" w:lineRule="exact"/>
        <w:rPr>
          <w:b/>
        </w:rPr>
      </w:pPr>
      <w:r>
        <w:t>第一章  总则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为了加强生猪屠宰管理，保证生猪产品质量安全，保障人民身体健康，制定本条例。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国家实行生猪定点屠宰、集中检疫制度。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未经定点，任何单位和个人不得从事生猪屠宰活动。但是，农村地区个人自宰自食的除外。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在边远和交通不便的农村地区，可以设置仅限于向本地市场供应生猪产品的小型生猪屠宰场点，具体管理办法由省、自治区、直辖市制定。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国务院畜牧兽医行政主管部门负责全国生猪屠宰的行业管理工作。县级以上地方人民政府畜牧兽医行政主管部门负责本行政区域内生猪屠宰活动的监督管理。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县级以上人民政府有关部门在各自职责范围内负责生猪屠宰活动的相关管理工作。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根据生猪定点屠宰厂（场）的规模、生产和技术条件以及质量安全管理状况，推行生猪定点屠宰厂（场）分级管理制度，鼓励、引导、扶持生猪定点屠宰厂（场）改善生产和技术条件，加强质量安全管理，提高生猪产品质量安全水平。生猪定点屠宰厂（场）分级管理的具体办法由国务院畜牧兽医行政主管部门制定。</w:t>
      </w:r>
    </w:p>
    <w:p>
      <w:pPr>
        <w:pStyle w:val="63"/>
        <w:spacing w:before="218" w:after="218" w:line="412" w:lineRule="exact"/>
        <w:rPr>
          <w:b/>
        </w:rPr>
      </w:pPr>
      <w:r>
        <w:t>第二章  生猪定点屠宰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生猪定点屠宰厂（场）的设置规划（以下简称设置规划），由省、自治区、直辖市人民政府畜牧兽医行政主管部门会同环境保护</w:t>
      </w:r>
      <w:r>
        <w:rPr>
          <w:rFonts w:asciiTheme="minorEastAsia" w:hAnsiTheme="minorEastAsia" w:eastAsiaTheme="minorEastAsia"/>
          <w:b/>
          <w:sz w:val="24"/>
          <w:szCs w:val="24"/>
        </w:rPr>
        <w:t>主管</w:t>
      </w:r>
      <w:r>
        <w:rPr>
          <w:rFonts w:asciiTheme="minorEastAsia" w:hAnsiTheme="minorEastAsia" w:eastAsiaTheme="minorEastAsia"/>
          <w:sz w:val="24"/>
          <w:szCs w:val="24"/>
        </w:rPr>
        <w:t>部门以及其他有关部门，按照合理布局、适当集中、有利流通、方便群众的原则，结合本地实际情况制订，报本级人民政府批准后实施。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生猪定点屠宰厂（场）由设区的市级人民政府根据设置规划，组织畜牧兽医行政主管部门、环境保护</w:t>
      </w:r>
      <w:r>
        <w:rPr>
          <w:rFonts w:asciiTheme="minorEastAsia" w:hAnsiTheme="minorEastAsia" w:eastAsiaTheme="minorEastAsia"/>
          <w:b/>
          <w:sz w:val="24"/>
          <w:szCs w:val="24"/>
        </w:rPr>
        <w:t>主管</w:t>
      </w:r>
      <w:r>
        <w:rPr>
          <w:rFonts w:asciiTheme="minorEastAsia" w:hAnsiTheme="minorEastAsia" w:eastAsiaTheme="minorEastAsia"/>
          <w:sz w:val="24"/>
          <w:szCs w:val="24"/>
        </w:rPr>
        <w:t>部门以及其他有关部门，依照本条例规定的条件进行审查，经征求省、自治区、直辖市人民政府畜牧兽医行政主管部门的意见确定，并颁发生猪定点屠宰证书和生猪定点屠宰标志牌。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设区的市级人民政府应当将其确定的生猪定点屠宰厂（场）名单及时向社会公布，并报省、自治区、直辖市人民政府备案。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生猪定点屠宰厂（场）应当将生猪定点屠宰标志牌悬挂于厂（场）区的显著位置。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生猪定点屠宰证书和生猪定点屠宰标志牌不得出借、转让。任何单位和个人不得冒用或者使用伪造的生猪定点屠宰证书和生猪定点屠宰标志牌。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生猪定点屠宰厂（场）应当具备下列条件：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（一）有与屠宰规模相适应、水质符合国家规定标准的水源条件；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（二）有符合国家规定要求的待宰间、屠宰间、急宰间以及生猪屠宰设备和运载工具；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（三）有依法取得健康证明的屠宰技术人员；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（四）有经考核合格的肉品品质检验人员；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（五）有符合国家规定要求的检验设备、消毒设施以及符合环境保护要求的污染防治设施；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（六）有病害生猪及生猪产品无害化处理设施；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（七）依法取得动物防疫条件合格证。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生猪屠宰的检疫及其监督，依照动物防疫法和国务院的有关规定执行。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生猪屠宰的卫生检验及其监督，依照食品安全法的规定执行。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生猪定点屠宰厂（场）屠宰的生猪，应当依法经动物卫生监督机构检疫合格，并附有检疫证明。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生猪定点屠宰厂（场）屠宰生猪，应当符合国家规定的操作规程和技术要求。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生猪定点屠宰厂（场）应当如实记录其屠宰的生猪来源和生猪产品流向。生猪来源和生猪产品流向记录保存期限不得少于2年。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生猪定点屠宰厂（场）应当建立严格的肉品品质检验管理制度。肉品品质检验应当与生猪屠宰同步进行，并如实记录检验结果。检验结果记录保存期限不得少于2年。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肉品品质检验合格的生猪产品，生猪定点屠宰厂（场）应当加盖肉品品质检验合格验讫印章或者附具肉品品质检验合格标志。经肉品品质检验不合格的生猪产品，应当在肉品品质检验人员的监督下，按照国家有关规定处理，并如实记录处理情况；处理情况记录保存期限不得少于2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生猪定点屠宰厂（场）的生猪产品未经肉品品质检验或者经肉品品质检验不合格的，不得出厂（场）。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生猪定点屠宰厂（场）对病害生猪及生猪产品进行无害化处理的费用和损失，按照国务院财政部门的规定，由国家财政予以适当补助。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生猪定点屠宰厂（场）以及其他任何单位和个人不得对生猪或者生猪产品注水或者注入其他物质。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生猪定点屠宰厂（场）不得屠宰注水或者注入其他物质的生猪。</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生猪定点屠宰厂（场）对未能及时销售或者及时出厂（场）的生猪产品，应当采取冷冻或者冷藏等必要措施予以储存。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任何单位和个人不得为未经定点违法从事生猪屠宰活动的单位或者个人提供生猪屠宰场所或者生猪产品储存设施，不得为对生猪或者生猪产品注水或者注入其他物质的单位或者个人提供场所。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从事生猪产品销售、肉食品生产加工的单位和个人以及餐饮服务经营者、集体伙食单位销售、使用的生猪产品，应当是生猪定点屠宰厂（场）经检疫和肉品品质检验合格的生猪产品。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地方人民政府及其有关部门不得限制外地生猪定点屠宰厂（场）经检疫和肉品品质检验合格的生猪产品进入本地市场。</w:t>
      </w:r>
    </w:p>
    <w:p>
      <w:pPr>
        <w:pStyle w:val="63"/>
        <w:spacing w:before="218" w:after="218" w:line="412" w:lineRule="exact"/>
        <w:rPr>
          <w:b/>
        </w:rPr>
      </w:pPr>
      <w:r>
        <w:t>第三章  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县级以上地方人民政府应当加强对生猪屠宰监督管理工作的领导，及时协调、解决生猪屠宰监督管理工作中的重大问题。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畜牧兽医行政主管部门应当依照本条例的规定严格履行职责，加强对生猪屠宰活动的日常监督检查。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畜牧兽医行政主管部门依法进行监督检查，可以采取下列措施：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（一）进入生猪屠宰等有关场所实施现场检查；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（二）向有关单位和个人了解情况；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（三）查阅、复制有关记录、票据以及其他资料；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（四）查封与违法生猪屠宰活动有关的场所、设施，扣押与违法生猪屠宰活动有关的生猪、生猪产品以及屠宰工具和设备。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畜牧兽医行政主管部门进行监督检查时，监督检查人员不得少于2人，并应当出示执法证件。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对畜牧兽医行政主管部门依法进行的监督检查，有关单位和个人应当予以配合，不得拒绝、阻挠。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畜牧兽医行政主管部门应当建立举报制度，公布举报电话、信箱或者电子邮箱，受理对违反本条例规定行为的举报，并及时依法处理。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畜牧兽医行政主管部门在监督检查中发现生猪定点屠宰厂（场）不再具备本条例规定条件的，应当责令其限期整改；逾期仍达不到本条例规定条件的，由设区的市级人民政府取消其生猪定点屠宰厂（场）资格。</w:t>
      </w:r>
    </w:p>
    <w:p>
      <w:pPr>
        <w:pStyle w:val="63"/>
        <w:spacing w:before="218" w:after="218" w:line="412" w:lineRule="exact"/>
        <w:rPr>
          <w:b/>
        </w:rPr>
      </w:pPr>
      <w:r>
        <w:t>第四章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违反本条例规定，未经定点从事生猪屠宰活动的，由畜牧兽医行政主管部门予以取缔，没收生猪、生猪产品、屠宰工具和设备以及违法所得，并处货值金额3倍以上5倍以下的罚款；货值金额难以确定的，对单位并处10万元以上20万元以下的罚款，对个人并处5000元以上1万元以下的罚款；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冒用或者使用伪造的生猪定点屠宰证书或者生猪定点屠宰标志牌的，依照前款的规定处罚。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生猪定点屠宰厂（场）出借、转让生猪定点屠宰证书或者生猪定点屠宰标志牌的，由设区的市级人民政府取消其生猪定点屠宰厂（场）资格；有违法所得的，由畜牧兽医行政主管部门没收违法所得。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生猪定点屠宰厂（场）有下列情形之一的，由畜牧兽医行政主管部门责令限期改正，处2万元以上5万元以下的罚款；逾期不改正的，责令停业整顿，对其主要负责人处5000元以上1万元以下的罚款：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（一）屠宰生猪不符合国家规定的操作规程和技术要求的；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（二）未如实记录其屠宰的生猪来源和生猪产品流向的；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（三）未建立或者实施肉品品质检验制度的；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（四）对经肉品品质检验不合格的生猪产品未按照国家有关规定处理并如实记录处理情况的。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生猪定点屠宰厂（场）出厂（场）未经肉品品质检验或者经肉品品质检验不合格的生猪产品的，由畜牧兽医行政主管部门责令停业整顿，没收生猪产品和违法所得，并处货值金额1倍以上3倍以下的罚款，对其主要负责人处1万元以上2万元以下的罚款；货值金额难以确定的，并处5万元以上10万元以下的罚款；造成严重后果的，由设区的市级人民政府取消其生猪定点屠宰厂（场）资格；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生猪定点屠宰厂（场）、其他单位或者个人对生猪、生猪产品注水或者注入其他物质的，由畜牧兽医行政主管部门没收注水或者注入其他物质的生猪、生猪产品、注水工具和设备以及违法所得，并处货值金额3倍以上5倍以下的罚款，对生猪定点屠宰厂（场）或者其他单位的主要负责人处1万元以上2万元以下的罚款；货值金额难以确定的，对生猪定点屠宰厂（场）或者其他单位并处5万元以上10万元以下的罚款，对个人并处1万元以上2万元以下的罚款；构成犯罪的，依法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猪定点屠宰厂（场）对生猪、生猪产品注水或者注入其他物质的，除依照前款的规定处罚外，还应当由畜牧兽医行政主管部门责令停业整顿；造成严重后果，或者两次以上对生猪、生猪产品注水或者注入其他物质的，由设区的市级人民政府取消其生猪定点屠宰厂（场）资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生猪定点屠宰厂（场）屠宰注水或者注入其他物质的生猪的，由畜牧兽医行政主管部门责令改正，没收注水或者注入其他物质的生猪、生猪产品以及违法所得，并处货值金额1倍以上3倍以下的罚款，对其主要负责人处1万元以上2万元以下的罚款；货值金额难以确定的，并处2万元以上5万元以下的罚款；拒不改正的，责令停业整顿；造成严重后果的，由设区的市级人民政府取消其生猪定点屠宰厂（场）资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从事生猪产品销售、肉食品生产加工的单位和个人以及餐饮服务经营者、集体伙食单位，销售、使用非生猪定点屠宰厂（场）屠宰的生猪产品、未经肉品品质检验或者经肉品品质检验不合格的生猪产品以及注水或者注入其他物质的生猪产品的，由食品药品监督管理部门没收尚未销售、使用的相关生猪产品以及违法所得，并处货值金额3倍以上5倍以下的罚款；货值金额难以确定的，对单位处5万元以上10万元以下的罚款，对个人处1万元以上2万元以下的罚款；情节严重的，由发证（照）机关吊销有关证照；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为未经定点违法从事生猪屠宰活动的单位或者个人提供生猪屠宰场所或者生猪产品储存设施，或者为对生猪、生猪产品注水或者注入其他物质的单位或者个人提供场所的，由畜牧兽医行政主管部门责令改正，没收违法所得，对单位并处2万元以上5万元以下的罚款，对个人并处5000元以上1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畜牧兽医行政主管部门和其他有关部门的工作人员在生猪屠宰监督管理工作中滥用职权、玩忽职守、徇私舞弊，构成犯罪的，依法追究刑事责任；尚不构成犯罪的，依法给予处分。</w:t>
      </w:r>
    </w:p>
    <w:p>
      <w:pPr>
        <w:pStyle w:val="63"/>
        <w:spacing w:before="218" w:after="218" w:line="412" w:lineRule="exact"/>
        <w:rPr>
          <w:b/>
        </w:rPr>
      </w:pPr>
      <w:r>
        <w:t>第五章  附则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省、自治区、直辖市人民政府确定实行定点屠宰的其他动物的屠宰管理办法，由省、自治区、直辖市根据本地区的实际情况，参照本条例制定。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本条例所称生猪产品，是指生猪屠宰后未经加工的胴体、肉、脂、脏器、血液、骨、头、蹄、皮。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本条例施行前设立的生猪定点屠宰厂（场），自本条例施行之日起180日内，由设区的市级人民政府换发生猪定点屠宰标志牌，并发给生猪定点屠宰证书。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生猪定点屠宰证书、生猪定点屠宰标志牌以及肉品品质检验合格验讫印章和肉品品质检验合格标志的式样，由国务院畜牧兽医行政主管部门统一规定。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本条例自2008年8月1日起施行。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39" w:name="_Toc75"/>
      <w:bookmarkStart w:id="840" w:name="_Toc21450019"/>
      <w:bookmarkStart w:id="841" w:name="_Toc466579865"/>
    </w:p>
    <w:bookmarkEnd w:id="839"/>
    <w:bookmarkEnd w:id="840"/>
    <w:bookmarkEnd w:id="841"/>
    <w:p>
      <w:pPr>
        <w:pStyle w:val="2"/>
        <w:keepNext w:val="0"/>
        <w:keepLines w:val="0"/>
        <w:topLinePunct/>
        <w:spacing w:line="416" w:lineRule="exact"/>
        <w:ind w:firstLine="482" w:firstLineChars="200"/>
        <w:jc w:val="both"/>
        <w:rPr>
          <w:sz w:val="24"/>
          <w:szCs w:val="24"/>
        </w:rPr>
      </w:pPr>
      <w:bookmarkStart w:id="842" w:name="_Toc19696481"/>
      <w:bookmarkStart w:id="843" w:name="_Toc21450020"/>
      <w:bookmarkStart w:id="844" w:name="_Toc466579868"/>
      <w:bookmarkStart w:id="845" w:name="_Toc13017"/>
      <w:bookmarkStart w:id="846" w:name="_Toc27801"/>
      <w:bookmarkStart w:id="847" w:name="_Toc466579866"/>
    </w:p>
    <w:p>
      <w:pPr>
        <w:pStyle w:val="61"/>
      </w:pPr>
      <w:bookmarkStart w:id="848" w:name="_Toc28252221"/>
      <w:bookmarkStart w:id="849" w:name="_Toc28250946"/>
      <w:bookmarkStart w:id="850" w:name="_Toc26347996"/>
      <w:bookmarkStart w:id="851" w:name="_Toc25653735"/>
      <w:bookmarkStart w:id="852" w:name="_Toc28157018"/>
      <w:bookmarkStart w:id="853" w:name="_Toc25648240"/>
      <w:r>
        <w:rPr>
          <w:rFonts w:hint="eastAsia"/>
        </w:rPr>
        <w:t>饲料和饲料添加剂管理条例</w:t>
      </w:r>
      <w:bookmarkEnd w:id="842"/>
      <w:bookmarkEnd w:id="848"/>
      <w:bookmarkEnd w:id="849"/>
      <w:bookmarkEnd w:id="850"/>
      <w:bookmarkEnd w:id="851"/>
      <w:bookmarkEnd w:id="852"/>
      <w:bookmarkEnd w:id="853"/>
    </w:p>
    <w:p>
      <w:pPr>
        <w:pStyle w:val="62"/>
      </w:pPr>
      <w:r>
        <w:rPr>
          <w:rFonts w:hint="eastAsia"/>
        </w:rPr>
        <w:t>（1999年5月29日中华人民共和国国务院令第266号发布，根据2001年11月29日《国务院关于修改〈饲料和饲料添加剂管理条例〉的决定》第一次修订，2011年10月26日国务院第177次常务会议修订通过，根据2013年12月7日《国务院 关于修改部分行政法规的决定》第二次修订，根据2016年2月6日《国务院关于修改部分行政法规的决定》第三次修订，根据2017年3月1日《国务院关于修改和废止部分行政法规的决定》第四次修订）</w:t>
      </w:r>
    </w:p>
    <w:p>
      <w:pPr>
        <w:pStyle w:val="63"/>
        <w:spacing w:before="218" w:after="218" w:line="412" w:lineRule="exact"/>
      </w:pPr>
      <w:r>
        <w:rPr>
          <w:rFonts w:hint="eastAsia"/>
        </w:rPr>
        <w:t>第一章  总  则</w:t>
      </w:r>
    </w:p>
    <w:p>
      <w:pPr>
        <w:pStyle w:val="3"/>
        <w:topLinePunct/>
        <w:spacing w:line="412" w:lineRule="exact"/>
        <w:ind w:firstLine="482"/>
        <w:rPr>
          <w:rFonts w:ascii="微软雅黑" w:hAnsi="微软雅黑" w:eastAsia="微软雅黑"/>
          <w:sz w:val="24"/>
          <w:szCs w:val="24"/>
        </w:rPr>
      </w:pPr>
      <w:r>
        <w:rPr>
          <w:rFonts w:hint="eastAsia"/>
          <w:b/>
          <w:sz w:val="24"/>
          <w:szCs w:val="24"/>
        </w:rPr>
        <w:t>第一条</w:t>
      </w:r>
      <w:r>
        <w:rPr>
          <w:rFonts w:hint="eastAsia"/>
          <w:sz w:val="24"/>
          <w:szCs w:val="24"/>
        </w:rPr>
        <w:t xml:space="preserve">  为了加强对饲料、饲料添加剂的管理，提高饲料、饲料添加剂的质量，保障动物产品质量安全，维护公众健康，制定本条例。</w:t>
      </w:r>
    </w:p>
    <w:p>
      <w:pPr>
        <w:pStyle w:val="3"/>
        <w:topLinePunct/>
        <w:spacing w:line="412" w:lineRule="exact"/>
        <w:ind w:firstLine="482"/>
        <w:rPr>
          <w:rFonts w:ascii="微软雅黑" w:hAnsi="微软雅黑" w:eastAsia="微软雅黑"/>
          <w:sz w:val="24"/>
          <w:szCs w:val="24"/>
        </w:rPr>
      </w:pPr>
      <w:r>
        <w:rPr>
          <w:rFonts w:hint="eastAsia"/>
          <w:b/>
          <w:sz w:val="24"/>
          <w:szCs w:val="24"/>
        </w:rPr>
        <w:t>第二条</w:t>
      </w:r>
      <w:r>
        <w:rPr>
          <w:rFonts w:hint="eastAsia"/>
          <w:sz w:val="24"/>
          <w:szCs w:val="24"/>
        </w:rPr>
        <w:t xml:space="preserve">  本条例所称饲料，是指经工业化加工、制作的供动物食用的产品，包括单一饲料、添加剂预混合饲料、浓缩饲料、配合饲料和精料补充料。</w:t>
      </w:r>
    </w:p>
    <w:p>
      <w:pPr>
        <w:pStyle w:val="3"/>
        <w:topLinePunct/>
        <w:spacing w:line="412" w:lineRule="exact"/>
        <w:ind w:firstLine="480"/>
        <w:rPr>
          <w:rFonts w:ascii="微软雅黑" w:hAnsi="微软雅黑" w:eastAsia="微软雅黑"/>
          <w:sz w:val="24"/>
          <w:szCs w:val="24"/>
        </w:rPr>
      </w:pPr>
      <w:r>
        <w:rPr>
          <w:rFonts w:hint="eastAsia"/>
          <w:sz w:val="24"/>
          <w:szCs w:val="24"/>
        </w:rPr>
        <w:t>本条例所称饲料添加剂，是指在饲料加工、制作、使用过程中添加的少量或者微量物质，包括营养性饲料添加剂和一般饲料添加剂。</w:t>
      </w:r>
    </w:p>
    <w:p>
      <w:pPr>
        <w:pStyle w:val="3"/>
        <w:topLinePunct/>
        <w:spacing w:line="412" w:lineRule="exact"/>
        <w:ind w:firstLine="480"/>
        <w:rPr>
          <w:rFonts w:ascii="微软雅黑" w:hAnsi="微软雅黑" w:eastAsia="微软雅黑"/>
          <w:sz w:val="24"/>
          <w:szCs w:val="24"/>
        </w:rPr>
      </w:pPr>
      <w:r>
        <w:rPr>
          <w:rFonts w:hint="eastAsia"/>
          <w:sz w:val="24"/>
          <w:szCs w:val="24"/>
        </w:rPr>
        <w:t>饲料原料目录和饲料添加剂品种目录由国务院农业行政主管部门制定并公布。</w:t>
      </w:r>
    </w:p>
    <w:p>
      <w:pPr>
        <w:pStyle w:val="3"/>
        <w:topLinePunct/>
        <w:spacing w:line="412" w:lineRule="exact"/>
        <w:ind w:firstLine="482"/>
        <w:rPr>
          <w:rFonts w:ascii="微软雅黑" w:hAnsi="微软雅黑" w:eastAsia="微软雅黑"/>
          <w:sz w:val="24"/>
          <w:szCs w:val="24"/>
        </w:rPr>
      </w:pPr>
      <w:r>
        <w:rPr>
          <w:rFonts w:hint="eastAsia"/>
          <w:b/>
          <w:sz w:val="24"/>
          <w:szCs w:val="24"/>
        </w:rPr>
        <w:t>第三条</w:t>
      </w:r>
      <w:r>
        <w:rPr>
          <w:rFonts w:hint="eastAsia"/>
          <w:sz w:val="24"/>
          <w:szCs w:val="24"/>
        </w:rPr>
        <w:t xml:space="preserve">  国务院农业行政主管部门负责全国饲料、饲料添加剂的监督管理工作。</w:t>
      </w:r>
    </w:p>
    <w:p>
      <w:pPr>
        <w:pStyle w:val="3"/>
        <w:topLinePunct/>
        <w:spacing w:line="412" w:lineRule="exact"/>
        <w:ind w:firstLine="480"/>
        <w:rPr>
          <w:rFonts w:ascii="微软雅黑" w:hAnsi="微软雅黑" w:eastAsia="微软雅黑"/>
          <w:sz w:val="24"/>
          <w:szCs w:val="24"/>
        </w:rPr>
      </w:pPr>
      <w:r>
        <w:rPr>
          <w:rFonts w:hint="eastAsia"/>
          <w:sz w:val="24"/>
          <w:szCs w:val="24"/>
        </w:rPr>
        <w:t>县级以上地方人民政府负责饲料、饲料添加剂管理的部门（以下简称饲料管理部门），负责本行政区域饲料、饲料添加剂的监督管理工作。</w:t>
      </w:r>
    </w:p>
    <w:p>
      <w:pPr>
        <w:pStyle w:val="3"/>
        <w:topLinePunct/>
        <w:spacing w:line="412" w:lineRule="exact"/>
        <w:ind w:firstLine="482"/>
        <w:rPr>
          <w:rFonts w:ascii="微软雅黑" w:hAnsi="微软雅黑" w:eastAsia="微软雅黑"/>
          <w:sz w:val="24"/>
          <w:szCs w:val="24"/>
        </w:rPr>
      </w:pPr>
      <w:r>
        <w:rPr>
          <w:rFonts w:hint="eastAsia"/>
          <w:b/>
          <w:sz w:val="24"/>
          <w:szCs w:val="24"/>
        </w:rPr>
        <w:t>第四条</w:t>
      </w:r>
      <w:r>
        <w:rPr>
          <w:rFonts w:hint="eastAsia"/>
          <w:sz w:val="24"/>
          <w:szCs w:val="24"/>
        </w:rPr>
        <w:t xml:space="preserve">  县级以上地方人民政府统一领导本行政区域饲料、饲料添加剂的监督管理工作，建立健全监督管理机制，保障监督管理工作的开展。</w:t>
      </w:r>
    </w:p>
    <w:p>
      <w:pPr>
        <w:pStyle w:val="3"/>
        <w:topLinePunct/>
        <w:spacing w:line="412" w:lineRule="exact"/>
        <w:ind w:firstLine="482"/>
        <w:rPr>
          <w:rFonts w:ascii="微软雅黑" w:hAnsi="微软雅黑" w:eastAsia="微软雅黑"/>
          <w:sz w:val="24"/>
          <w:szCs w:val="24"/>
        </w:rPr>
      </w:pPr>
      <w:r>
        <w:rPr>
          <w:rFonts w:hint="eastAsia"/>
          <w:b/>
          <w:sz w:val="24"/>
          <w:szCs w:val="24"/>
        </w:rPr>
        <w:t>第五条</w:t>
      </w:r>
      <w:r>
        <w:rPr>
          <w:rFonts w:hint="eastAsia"/>
          <w:sz w:val="24"/>
          <w:szCs w:val="24"/>
        </w:rPr>
        <w:t xml:space="preserve">  饲料、饲料添加剂生产企业、经营者应当建立健全质量安全制度，对其生产、经营的饲料、饲料添加剂的质量安全负责。</w:t>
      </w:r>
    </w:p>
    <w:p>
      <w:pPr>
        <w:pStyle w:val="3"/>
        <w:topLinePunct/>
        <w:spacing w:line="412" w:lineRule="exact"/>
        <w:ind w:firstLine="482"/>
        <w:rPr>
          <w:rFonts w:ascii="微软雅黑" w:hAnsi="微软雅黑" w:eastAsia="微软雅黑"/>
          <w:sz w:val="24"/>
          <w:szCs w:val="24"/>
        </w:rPr>
      </w:pPr>
      <w:r>
        <w:rPr>
          <w:rFonts w:hint="eastAsia"/>
          <w:b/>
          <w:sz w:val="24"/>
          <w:szCs w:val="24"/>
        </w:rPr>
        <w:t>第六条</w:t>
      </w:r>
      <w:r>
        <w:rPr>
          <w:rFonts w:hint="eastAsia"/>
          <w:sz w:val="24"/>
          <w:szCs w:val="24"/>
        </w:rPr>
        <w:t xml:space="preserve">  任</w:t>
      </w:r>
      <w:r>
        <w:rPr>
          <w:rFonts w:hint="eastAsia"/>
          <w:spacing w:val="-4"/>
          <w:sz w:val="24"/>
          <w:szCs w:val="24"/>
        </w:rPr>
        <w:t>何组织或者个人有权举报在饲料、饲料添加剂生产、经营、使用过程中违反本条例的行为，有权对饲料、饲料添加剂监督管理工作提出意见和建议。</w:t>
      </w:r>
    </w:p>
    <w:p>
      <w:pPr>
        <w:pStyle w:val="63"/>
        <w:spacing w:before="218" w:after="218" w:line="412" w:lineRule="exact"/>
      </w:pPr>
      <w:r>
        <w:rPr>
          <w:rFonts w:hint="eastAsia"/>
        </w:rPr>
        <w:t>第二章  审定和登记</w:t>
      </w:r>
    </w:p>
    <w:p>
      <w:pPr>
        <w:pStyle w:val="3"/>
        <w:topLinePunct/>
        <w:spacing w:line="412" w:lineRule="exact"/>
        <w:ind w:firstLine="482"/>
        <w:rPr>
          <w:rFonts w:ascii="微软雅黑" w:hAnsi="微软雅黑" w:eastAsia="微软雅黑"/>
          <w:sz w:val="24"/>
          <w:szCs w:val="24"/>
        </w:rPr>
      </w:pPr>
      <w:r>
        <w:rPr>
          <w:rFonts w:hint="eastAsia"/>
          <w:b/>
          <w:sz w:val="24"/>
          <w:szCs w:val="24"/>
        </w:rPr>
        <w:t>第七条</w:t>
      </w:r>
      <w:r>
        <w:rPr>
          <w:rFonts w:hint="eastAsia"/>
          <w:sz w:val="24"/>
          <w:szCs w:val="24"/>
        </w:rPr>
        <w:t xml:space="preserve">  国家鼓励研制新饲料、新饲料添加剂。</w:t>
      </w:r>
    </w:p>
    <w:p>
      <w:pPr>
        <w:pStyle w:val="3"/>
        <w:topLinePunct/>
        <w:spacing w:line="412" w:lineRule="exact"/>
        <w:ind w:firstLine="480"/>
        <w:rPr>
          <w:rFonts w:ascii="微软雅黑" w:hAnsi="微软雅黑" w:eastAsia="微软雅黑"/>
          <w:sz w:val="24"/>
          <w:szCs w:val="24"/>
        </w:rPr>
      </w:pPr>
      <w:r>
        <w:rPr>
          <w:rFonts w:hint="eastAsia"/>
          <w:sz w:val="24"/>
          <w:szCs w:val="24"/>
        </w:rPr>
        <w:t>研制新饲料、新饲料添加剂，应当遵循科学、安全、有效、环保的原则，保证新饲料、新饲料添加剂的质量安全。</w:t>
      </w:r>
    </w:p>
    <w:p>
      <w:pPr>
        <w:pStyle w:val="3"/>
        <w:topLinePunct/>
        <w:spacing w:line="412" w:lineRule="exact"/>
        <w:ind w:firstLine="482"/>
        <w:rPr>
          <w:rFonts w:ascii="微软雅黑" w:hAnsi="微软雅黑" w:eastAsia="微软雅黑"/>
          <w:sz w:val="24"/>
          <w:szCs w:val="24"/>
        </w:rPr>
      </w:pPr>
      <w:r>
        <w:rPr>
          <w:rFonts w:hint="eastAsia"/>
          <w:b/>
          <w:sz w:val="24"/>
          <w:szCs w:val="24"/>
        </w:rPr>
        <w:t>第八条</w:t>
      </w:r>
      <w:r>
        <w:rPr>
          <w:rFonts w:hint="eastAsia"/>
          <w:sz w:val="24"/>
          <w:szCs w:val="24"/>
        </w:rPr>
        <w:t xml:space="preserve">  研制的新饲料、新饲料添加剂投入生产前，研制者或者生产企业应当向国务院农业行政主管部门提出审定申请，并提供该新饲料、新饲料添加剂的样品和下列资料：</w:t>
      </w:r>
    </w:p>
    <w:p>
      <w:pPr>
        <w:pStyle w:val="3"/>
        <w:topLinePunct/>
        <w:spacing w:line="412" w:lineRule="exact"/>
        <w:ind w:firstLine="480"/>
        <w:rPr>
          <w:rFonts w:ascii="微软雅黑" w:hAnsi="微软雅黑" w:eastAsia="微软雅黑"/>
          <w:sz w:val="24"/>
          <w:szCs w:val="24"/>
        </w:rPr>
      </w:pPr>
      <w:r>
        <w:rPr>
          <w:rFonts w:hint="eastAsia"/>
          <w:sz w:val="24"/>
          <w:szCs w:val="24"/>
        </w:rPr>
        <w:t>（一）名称、主要成分、理化性质、研制方法、生产工艺、质量标准、检测方法、检验报告、稳定性试验报告、环境影响报告和污染防治措施；</w:t>
      </w:r>
    </w:p>
    <w:p>
      <w:pPr>
        <w:pStyle w:val="3"/>
        <w:topLinePunct/>
        <w:spacing w:line="412" w:lineRule="exact"/>
        <w:ind w:firstLine="480"/>
        <w:rPr>
          <w:rFonts w:ascii="微软雅黑" w:hAnsi="微软雅黑" w:eastAsia="微软雅黑"/>
          <w:sz w:val="24"/>
          <w:szCs w:val="24"/>
        </w:rPr>
      </w:pPr>
      <w:r>
        <w:rPr>
          <w:rFonts w:hint="eastAsia"/>
          <w:sz w:val="24"/>
          <w:szCs w:val="24"/>
        </w:rPr>
        <w:t>（二）国务院农业行政主管部门指定的试验机构出具的该新饲料、新饲料添加剂的饲喂效果、残留消解动态以及毒理学安全性评价报告。</w:t>
      </w:r>
    </w:p>
    <w:p>
      <w:pPr>
        <w:pStyle w:val="3"/>
        <w:topLinePunct/>
        <w:spacing w:line="412" w:lineRule="exact"/>
        <w:ind w:firstLine="480"/>
        <w:rPr>
          <w:rFonts w:ascii="微软雅黑" w:hAnsi="微软雅黑" w:eastAsia="微软雅黑"/>
          <w:sz w:val="24"/>
          <w:szCs w:val="24"/>
        </w:rPr>
      </w:pPr>
      <w:r>
        <w:rPr>
          <w:rFonts w:hint="eastAsia"/>
          <w:sz w:val="24"/>
          <w:szCs w:val="24"/>
        </w:rPr>
        <w:t>申请新饲料添加剂审定的，还应当说明该新饲料添加剂的添加目的、使用方法，并提供该饲料添加剂残留可能对人体健康造成影响的分析评价报告。</w:t>
      </w:r>
    </w:p>
    <w:p>
      <w:pPr>
        <w:pStyle w:val="3"/>
        <w:topLinePunct/>
        <w:spacing w:line="412" w:lineRule="exact"/>
        <w:ind w:firstLine="482"/>
        <w:rPr>
          <w:rFonts w:ascii="微软雅黑" w:hAnsi="微软雅黑" w:eastAsia="微软雅黑"/>
          <w:sz w:val="24"/>
          <w:szCs w:val="24"/>
        </w:rPr>
      </w:pPr>
      <w:r>
        <w:rPr>
          <w:rFonts w:hint="eastAsia"/>
          <w:b/>
          <w:sz w:val="24"/>
          <w:szCs w:val="24"/>
        </w:rPr>
        <w:t>第九条</w:t>
      </w:r>
      <w:r>
        <w:rPr>
          <w:rFonts w:hint="eastAsia"/>
          <w:sz w:val="24"/>
          <w:szCs w:val="24"/>
        </w:rPr>
        <w:t xml:space="preserve">  国务院农业行政主管部门应当自受理申请之日起5个工作日内，将新饲料、新饲料添加剂的样品和申请资料交全国饲料评审委员会，对该新饲料、新饲料添加剂的安全性、有效性及其对环境的影响进行评审。</w:t>
      </w:r>
    </w:p>
    <w:p>
      <w:pPr>
        <w:pStyle w:val="3"/>
        <w:topLinePunct/>
        <w:spacing w:line="412" w:lineRule="exact"/>
        <w:ind w:firstLine="480"/>
        <w:rPr>
          <w:rFonts w:ascii="微软雅黑" w:hAnsi="微软雅黑" w:eastAsia="微软雅黑"/>
          <w:sz w:val="24"/>
          <w:szCs w:val="24"/>
        </w:rPr>
      </w:pPr>
      <w:r>
        <w:rPr>
          <w:rFonts w:hint="eastAsia"/>
          <w:sz w:val="24"/>
          <w:szCs w:val="24"/>
        </w:rPr>
        <w:t>全国饲料评审委员会由养殖、饲料加工、动物营养、毒理、药理、代谢、卫生、化工合成、生物技术、质量标准、环境保护、食品安全风险评估等方面的专家组成。全国饲料评审委员会对新饲料、新饲料添加剂的评审采取评审会议的形式，评审会议应当有9名以上全国饲料评审委员会专家参加，根据需要也可以邀请1至2名全国饲料评审委员会专家以外的专家参加，参加评审的专家对评审事项具有表决权。评审会议应当形成评审意见和会议纪要，并由参加评审的专家审核签字；有不同意见的，应当注明。参加评审的专家应当依法公平、公正履行职责，对评审资料保密，存在回避事由的，应当主动回避。</w:t>
      </w:r>
    </w:p>
    <w:p>
      <w:pPr>
        <w:pStyle w:val="3"/>
        <w:topLinePunct/>
        <w:spacing w:line="412" w:lineRule="exact"/>
        <w:ind w:firstLine="480"/>
        <w:rPr>
          <w:rFonts w:ascii="微软雅黑" w:hAnsi="微软雅黑" w:eastAsia="微软雅黑"/>
          <w:sz w:val="24"/>
          <w:szCs w:val="24"/>
        </w:rPr>
      </w:pPr>
      <w:r>
        <w:rPr>
          <w:rFonts w:hint="eastAsia"/>
          <w:sz w:val="24"/>
          <w:szCs w:val="24"/>
        </w:rPr>
        <w:t>全国饲料评审委员会应当自收到新饲料、新饲料添加剂的样品和申请资料之日起9个月内出具评审结果并提交国务院农业行政主管部门；但是，全国饲料评审委员会决定由申请人进行相关试验的，经国务院农业行政主管部门同意，评审时间可以延长3个月。</w:t>
      </w:r>
    </w:p>
    <w:p>
      <w:pPr>
        <w:pStyle w:val="3"/>
        <w:topLinePunct/>
        <w:spacing w:line="412" w:lineRule="exact"/>
        <w:ind w:firstLine="480"/>
        <w:rPr>
          <w:rFonts w:ascii="微软雅黑" w:hAnsi="微软雅黑" w:eastAsia="微软雅黑"/>
          <w:sz w:val="24"/>
          <w:szCs w:val="24"/>
        </w:rPr>
      </w:pPr>
      <w:r>
        <w:rPr>
          <w:rFonts w:hint="eastAsia"/>
          <w:sz w:val="24"/>
          <w:szCs w:val="24"/>
        </w:rPr>
        <w:t>国务院农业行政主管部门应当自收到评审结果之日起10个工作日内作出是否核发新饲料、新饲料添加剂证书的决定；决定不予核发的，应当书面通知申请人并说明理由。</w:t>
      </w:r>
    </w:p>
    <w:p>
      <w:pPr>
        <w:pStyle w:val="3"/>
        <w:topLinePunct/>
        <w:spacing w:line="412" w:lineRule="exact"/>
        <w:ind w:firstLine="482"/>
        <w:rPr>
          <w:rFonts w:ascii="微软雅黑" w:hAnsi="微软雅黑" w:eastAsia="微软雅黑"/>
          <w:sz w:val="24"/>
          <w:szCs w:val="24"/>
        </w:rPr>
      </w:pPr>
      <w:r>
        <w:rPr>
          <w:rFonts w:hint="eastAsia"/>
          <w:b/>
          <w:sz w:val="24"/>
          <w:szCs w:val="24"/>
        </w:rPr>
        <w:t>第十条</w:t>
      </w:r>
      <w:r>
        <w:rPr>
          <w:rFonts w:hint="eastAsia"/>
          <w:sz w:val="24"/>
          <w:szCs w:val="24"/>
        </w:rPr>
        <w:t xml:space="preserve">  国务院农业行政主管部门核发新饲料、新饲料添加剂证书，应当同时按照职责权限公布该新饲料、新饲料添加剂的产品质量标准。</w:t>
      </w:r>
    </w:p>
    <w:p>
      <w:pPr>
        <w:pStyle w:val="3"/>
        <w:topLinePunct/>
        <w:spacing w:line="412" w:lineRule="exact"/>
        <w:ind w:firstLine="482"/>
        <w:rPr>
          <w:rFonts w:ascii="微软雅黑" w:hAnsi="微软雅黑" w:eastAsia="微软雅黑"/>
          <w:sz w:val="24"/>
          <w:szCs w:val="24"/>
        </w:rPr>
      </w:pPr>
      <w:r>
        <w:rPr>
          <w:rFonts w:hint="eastAsia"/>
          <w:b/>
          <w:sz w:val="24"/>
          <w:szCs w:val="24"/>
        </w:rPr>
        <w:t>第十一条</w:t>
      </w:r>
      <w:r>
        <w:rPr>
          <w:rFonts w:hint="eastAsia"/>
          <w:sz w:val="24"/>
          <w:szCs w:val="24"/>
        </w:rPr>
        <w:t xml:space="preserve">  新饲料、新饲料添加剂的监测期为5年。新饲料、新饲料添加剂处于监测期的，不受理其他就该新饲料、新饲料添加剂的生产申请和进口登记申请，但超过3年不投入生产的除外。</w:t>
      </w:r>
    </w:p>
    <w:p>
      <w:pPr>
        <w:pStyle w:val="3"/>
        <w:topLinePunct/>
        <w:spacing w:line="412" w:lineRule="exact"/>
        <w:ind w:firstLine="480"/>
        <w:rPr>
          <w:rFonts w:ascii="微软雅黑" w:hAnsi="微软雅黑" w:eastAsia="微软雅黑"/>
          <w:sz w:val="24"/>
          <w:szCs w:val="24"/>
        </w:rPr>
      </w:pPr>
      <w:r>
        <w:rPr>
          <w:rFonts w:hint="eastAsia"/>
          <w:sz w:val="24"/>
          <w:szCs w:val="24"/>
        </w:rPr>
        <w:t>生产企业应当收集处于监测期的新饲料、新饲料添加剂的质量稳定性及其对动物产品质量安全的影响等信息，并向国务院农业行政主管部门报告；国务院农业行政主管部门应当对新饲料、新饲料添加剂的质量安全状况组织跟踪监测，证实其存在安全问题的，应当撤销新饲料、新饲料添加剂证书并予以公告。</w:t>
      </w:r>
    </w:p>
    <w:p>
      <w:pPr>
        <w:pStyle w:val="3"/>
        <w:topLinePunct/>
        <w:spacing w:line="412" w:lineRule="exact"/>
        <w:ind w:firstLine="482"/>
        <w:rPr>
          <w:rFonts w:ascii="微软雅黑" w:hAnsi="微软雅黑" w:eastAsia="微软雅黑"/>
          <w:sz w:val="24"/>
          <w:szCs w:val="24"/>
        </w:rPr>
      </w:pPr>
      <w:r>
        <w:rPr>
          <w:rFonts w:hint="eastAsia"/>
          <w:b/>
          <w:sz w:val="24"/>
          <w:szCs w:val="24"/>
        </w:rPr>
        <w:t>第十二条</w:t>
      </w:r>
      <w:r>
        <w:rPr>
          <w:rFonts w:hint="eastAsia"/>
          <w:sz w:val="24"/>
          <w:szCs w:val="24"/>
        </w:rPr>
        <w:t xml:space="preserve">  向中国出口中国境内尚未使用但出口国已经批准生产和使用的饲料、饲料添加剂的，由出口方驻中国境内的办事机构或者其委托的中国境内代理机构向国务院农业行政主管部门申请登记，并提供该饲料、饲料添加剂的样品和下列资料：</w:t>
      </w:r>
    </w:p>
    <w:p>
      <w:pPr>
        <w:pStyle w:val="3"/>
        <w:topLinePunct/>
        <w:spacing w:line="412" w:lineRule="exact"/>
        <w:ind w:firstLine="480"/>
        <w:rPr>
          <w:rFonts w:ascii="微软雅黑" w:hAnsi="微软雅黑" w:eastAsia="微软雅黑"/>
          <w:sz w:val="24"/>
          <w:szCs w:val="24"/>
        </w:rPr>
      </w:pPr>
      <w:r>
        <w:rPr>
          <w:rFonts w:hint="eastAsia"/>
          <w:sz w:val="24"/>
          <w:szCs w:val="24"/>
        </w:rPr>
        <w:t>（一）商标、标签和推广应用情况；</w:t>
      </w:r>
    </w:p>
    <w:p>
      <w:pPr>
        <w:pStyle w:val="3"/>
        <w:topLinePunct/>
        <w:spacing w:line="412" w:lineRule="exact"/>
        <w:ind w:firstLine="480"/>
        <w:rPr>
          <w:rFonts w:ascii="微软雅黑" w:hAnsi="微软雅黑" w:eastAsia="微软雅黑"/>
          <w:sz w:val="24"/>
          <w:szCs w:val="24"/>
        </w:rPr>
      </w:pPr>
      <w:r>
        <w:rPr>
          <w:rFonts w:hint="eastAsia"/>
          <w:sz w:val="24"/>
          <w:szCs w:val="24"/>
        </w:rPr>
        <w:t>（二）生产地批准生产、使用的证明和生产地以外其他国家、地区的登记资料；</w:t>
      </w:r>
    </w:p>
    <w:p>
      <w:pPr>
        <w:pStyle w:val="3"/>
        <w:topLinePunct/>
        <w:spacing w:line="412" w:lineRule="exact"/>
        <w:ind w:firstLine="480"/>
        <w:rPr>
          <w:rFonts w:ascii="微软雅黑" w:hAnsi="微软雅黑" w:eastAsia="微软雅黑"/>
          <w:sz w:val="24"/>
          <w:szCs w:val="24"/>
        </w:rPr>
      </w:pPr>
      <w:r>
        <w:rPr>
          <w:rFonts w:hint="eastAsia"/>
          <w:sz w:val="24"/>
          <w:szCs w:val="24"/>
        </w:rPr>
        <w:t>（三）主要成分、理化性质、研制方法、生产工艺、质量标准、检测方法、检验报告、稳定性试验报告、环境影响报告和污染防治措施；</w:t>
      </w:r>
    </w:p>
    <w:p>
      <w:pPr>
        <w:pStyle w:val="3"/>
        <w:topLinePunct/>
        <w:spacing w:line="412" w:lineRule="exact"/>
        <w:ind w:firstLine="480"/>
        <w:rPr>
          <w:rFonts w:ascii="微软雅黑" w:hAnsi="微软雅黑" w:eastAsia="微软雅黑"/>
          <w:sz w:val="24"/>
          <w:szCs w:val="24"/>
        </w:rPr>
      </w:pPr>
      <w:r>
        <w:rPr>
          <w:rFonts w:hint="eastAsia"/>
          <w:sz w:val="24"/>
          <w:szCs w:val="24"/>
        </w:rPr>
        <w:t>（四）国务院农业行政主管部门指定的试验机构出具的该饲料、饲料添加剂的饲喂效果、残留消解动态以及毒理学安全性评价报告。</w:t>
      </w:r>
    </w:p>
    <w:p>
      <w:pPr>
        <w:pStyle w:val="3"/>
        <w:topLinePunct/>
        <w:spacing w:line="412" w:lineRule="exact"/>
        <w:ind w:firstLine="480"/>
        <w:rPr>
          <w:rFonts w:ascii="微软雅黑" w:hAnsi="微软雅黑" w:eastAsia="微软雅黑"/>
          <w:sz w:val="24"/>
          <w:szCs w:val="24"/>
        </w:rPr>
      </w:pPr>
      <w:r>
        <w:rPr>
          <w:rFonts w:hint="eastAsia"/>
          <w:sz w:val="24"/>
          <w:szCs w:val="24"/>
        </w:rPr>
        <w:t>申请饲料添加剂进口登记的，还应当说明该饲料添加剂的添加目的、使用方法，并提供该饲料添加剂残留可能对人体健康造成影响的分析评价报告。</w:t>
      </w:r>
    </w:p>
    <w:p>
      <w:pPr>
        <w:pStyle w:val="3"/>
        <w:topLinePunct/>
        <w:spacing w:line="412" w:lineRule="exact"/>
        <w:ind w:firstLine="480"/>
        <w:rPr>
          <w:rFonts w:ascii="微软雅黑" w:hAnsi="微软雅黑" w:eastAsia="微软雅黑"/>
          <w:sz w:val="24"/>
          <w:szCs w:val="24"/>
        </w:rPr>
      </w:pPr>
      <w:r>
        <w:rPr>
          <w:rFonts w:hint="eastAsia"/>
          <w:sz w:val="24"/>
          <w:szCs w:val="24"/>
        </w:rPr>
        <w:t>国务院农业行政主管部门应当依照本条例第九条规定的新饲料、新饲料添加剂的评审程序组织评审，并决定是否核发饲料、饲料添加剂进口登记证。</w:t>
      </w:r>
    </w:p>
    <w:p>
      <w:pPr>
        <w:pStyle w:val="3"/>
        <w:topLinePunct/>
        <w:spacing w:line="412" w:lineRule="exact"/>
        <w:ind w:firstLine="480"/>
        <w:rPr>
          <w:rFonts w:ascii="微软雅黑" w:hAnsi="微软雅黑" w:eastAsia="微软雅黑"/>
          <w:sz w:val="24"/>
          <w:szCs w:val="24"/>
        </w:rPr>
      </w:pPr>
      <w:r>
        <w:rPr>
          <w:rFonts w:hint="eastAsia"/>
          <w:sz w:val="24"/>
          <w:szCs w:val="24"/>
        </w:rPr>
        <w:t>首次向中国出口中国境内已经使用且出口国已经批准生产和使用的饲料、饲料添加剂的，应当依照本条第一款、第二款的规定申请登记。国务院农业行政主管部门应当自受理申请之日起10个工作日内对申请资料进行审查；审查合格的，将样品交由指定的机构进行复核检测；复核检测合格的，国务院农业行政主管部门应当在10个工作日内核发饲料、饲料添加剂进口登记证。</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饲料、饲料添加剂进口登记证有效期为5年。进口登记证有效期满需要继续向中国出口饲料、饲料添加剂的，应当在有效期届满6个月前申请续展。</w:t>
      </w:r>
    </w:p>
    <w:p>
      <w:pPr>
        <w:pStyle w:val="3"/>
        <w:topLinePunct/>
        <w:spacing w:line="412" w:lineRule="exact"/>
        <w:ind w:firstLine="480"/>
        <w:rPr>
          <w:rFonts w:ascii="微软雅黑" w:hAnsi="微软雅黑" w:eastAsia="微软雅黑"/>
          <w:sz w:val="24"/>
          <w:szCs w:val="24"/>
        </w:rPr>
      </w:pPr>
      <w:r>
        <w:rPr>
          <w:rFonts w:hint="eastAsia"/>
          <w:sz w:val="24"/>
          <w:szCs w:val="24"/>
        </w:rPr>
        <w:t>禁止进口未取得饲料、饲料添加剂进口登记证的饲料、饲料添加剂。</w:t>
      </w:r>
    </w:p>
    <w:p>
      <w:pPr>
        <w:pStyle w:val="3"/>
        <w:topLinePunct/>
        <w:spacing w:line="412" w:lineRule="exact"/>
        <w:ind w:firstLine="482"/>
        <w:rPr>
          <w:rFonts w:ascii="微软雅黑" w:hAnsi="微软雅黑" w:eastAsia="微软雅黑"/>
          <w:sz w:val="24"/>
          <w:szCs w:val="24"/>
        </w:rPr>
      </w:pPr>
      <w:r>
        <w:rPr>
          <w:rFonts w:hint="eastAsia"/>
          <w:b/>
          <w:sz w:val="24"/>
          <w:szCs w:val="24"/>
        </w:rPr>
        <w:t>第十三条</w:t>
      </w:r>
      <w:r>
        <w:rPr>
          <w:rFonts w:hint="eastAsia"/>
          <w:sz w:val="24"/>
          <w:szCs w:val="24"/>
        </w:rPr>
        <w:t xml:space="preserve">  国家对已经取得新饲料、新饲料添加剂证书或者饲料、饲料添加剂进口登记证的、含有新化合物的饲料、饲料添加剂的申请人提交的其自己所取得且未披露的试验数据和其他数据实施保护。</w:t>
      </w:r>
    </w:p>
    <w:p>
      <w:pPr>
        <w:pStyle w:val="3"/>
        <w:topLinePunct/>
        <w:spacing w:line="412" w:lineRule="exact"/>
        <w:ind w:firstLine="480"/>
        <w:rPr>
          <w:rFonts w:ascii="微软雅黑" w:hAnsi="微软雅黑" w:eastAsia="微软雅黑"/>
          <w:sz w:val="24"/>
          <w:szCs w:val="24"/>
        </w:rPr>
      </w:pPr>
      <w:r>
        <w:rPr>
          <w:rFonts w:hint="eastAsia"/>
          <w:sz w:val="24"/>
          <w:szCs w:val="24"/>
        </w:rPr>
        <w:t>自核发证书之日起6年内，对其他申请人未经已取得新饲料、新饲料添加剂证书或者饲料、饲料添加剂进口登记证的申请人同意，使用前款规定的数据申请新饲料、新饲料添加剂审定或者饲料、饲料添加剂进口登记的，国务院农业行政主管部门不予审定或者登记；但是，其他申请人提交其自己所取得的数据的除外。</w:t>
      </w:r>
    </w:p>
    <w:p>
      <w:pPr>
        <w:pStyle w:val="3"/>
        <w:topLinePunct/>
        <w:spacing w:line="412" w:lineRule="exact"/>
        <w:ind w:firstLine="480"/>
        <w:rPr>
          <w:rFonts w:ascii="微软雅黑" w:hAnsi="微软雅黑" w:eastAsia="微软雅黑"/>
          <w:sz w:val="24"/>
          <w:szCs w:val="24"/>
        </w:rPr>
      </w:pPr>
      <w:r>
        <w:rPr>
          <w:rFonts w:hint="eastAsia"/>
          <w:sz w:val="24"/>
          <w:szCs w:val="24"/>
        </w:rPr>
        <w:t>除下列情形外，国务院农业行政主管部门不得披露本条第一款规定的数据：</w:t>
      </w:r>
    </w:p>
    <w:p>
      <w:pPr>
        <w:pStyle w:val="3"/>
        <w:topLinePunct/>
        <w:spacing w:line="412" w:lineRule="exact"/>
        <w:ind w:firstLine="480"/>
        <w:rPr>
          <w:rFonts w:ascii="微软雅黑" w:hAnsi="微软雅黑" w:eastAsia="微软雅黑"/>
          <w:sz w:val="24"/>
          <w:szCs w:val="24"/>
        </w:rPr>
      </w:pPr>
      <w:r>
        <w:rPr>
          <w:rFonts w:hint="eastAsia"/>
          <w:sz w:val="24"/>
          <w:szCs w:val="24"/>
        </w:rPr>
        <w:t>（一）公共利益需要；</w:t>
      </w:r>
    </w:p>
    <w:p>
      <w:pPr>
        <w:pStyle w:val="3"/>
        <w:topLinePunct/>
        <w:spacing w:line="412" w:lineRule="exact"/>
        <w:ind w:firstLine="480"/>
        <w:rPr>
          <w:rFonts w:ascii="微软雅黑" w:hAnsi="微软雅黑" w:eastAsia="微软雅黑"/>
          <w:sz w:val="24"/>
          <w:szCs w:val="24"/>
        </w:rPr>
      </w:pPr>
      <w:r>
        <w:rPr>
          <w:rFonts w:hint="eastAsia"/>
          <w:sz w:val="24"/>
          <w:szCs w:val="24"/>
        </w:rPr>
        <w:t>（二）已采取措施确保该类信息不会被不正当地进行商业使用。</w:t>
      </w:r>
    </w:p>
    <w:p>
      <w:pPr>
        <w:pStyle w:val="63"/>
        <w:spacing w:before="218" w:after="218" w:line="412" w:lineRule="exact"/>
      </w:pPr>
      <w:r>
        <w:rPr>
          <w:rFonts w:hint="eastAsia"/>
        </w:rPr>
        <w:t>第三章  生产、经营和使用</w:t>
      </w:r>
    </w:p>
    <w:p>
      <w:pPr>
        <w:pStyle w:val="3"/>
        <w:topLinePunct/>
        <w:spacing w:line="412" w:lineRule="exact"/>
        <w:ind w:firstLine="482"/>
        <w:rPr>
          <w:rFonts w:ascii="微软雅黑" w:hAnsi="微软雅黑" w:eastAsia="微软雅黑"/>
          <w:sz w:val="24"/>
          <w:szCs w:val="24"/>
        </w:rPr>
      </w:pPr>
      <w:r>
        <w:rPr>
          <w:rFonts w:hint="eastAsia"/>
          <w:b/>
          <w:sz w:val="24"/>
          <w:szCs w:val="24"/>
        </w:rPr>
        <w:t>第十四条</w:t>
      </w:r>
      <w:r>
        <w:rPr>
          <w:rFonts w:hint="eastAsia"/>
          <w:sz w:val="24"/>
          <w:szCs w:val="24"/>
        </w:rPr>
        <w:t xml:space="preserve">  设立饲料、饲料添加剂生产企业，应当符合饲料工业发展规划和产业政策，并具备下列条件：</w:t>
      </w:r>
    </w:p>
    <w:p>
      <w:pPr>
        <w:pStyle w:val="3"/>
        <w:topLinePunct/>
        <w:spacing w:line="412" w:lineRule="exact"/>
        <w:ind w:firstLine="480"/>
        <w:rPr>
          <w:rFonts w:ascii="微软雅黑" w:hAnsi="微软雅黑" w:eastAsia="微软雅黑"/>
          <w:sz w:val="24"/>
          <w:szCs w:val="24"/>
        </w:rPr>
      </w:pPr>
      <w:r>
        <w:rPr>
          <w:rFonts w:hint="eastAsia"/>
          <w:sz w:val="24"/>
          <w:szCs w:val="24"/>
        </w:rPr>
        <w:t>（一）有与生产饲料、饲料添加剂相适应的厂房、设备和仓储设施；</w:t>
      </w:r>
    </w:p>
    <w:p>
      <w:pPr>
        <w:pStyle w:val="3"/>
        <w:topLinePunct/>
        <w:spacing w:line="412" w:lineRule="exact"/>
        <w:ind w:firstLine="480"/>
        <w:rPr>
          <w:rFonts w:ascii="微软雅黑" w:hAnsi="微软雅黑" w:eastAsia="微软雅黑"/>
          <w:sz w:val="24"/>
          <w:szCs w:val="24"/>
        </w:rPr>
      </w:pPr>
      <w:r>
        <w:rPr>
          <w:rFonts w:hint="eastAsia"/>
          <w:sz w:val="24"/>
          <w:szCs w:val="24"/>
        </w:rPr>
        <w:t>（二）有与生产饲料、饲料添加剂相适应的专职技术人员；</w:t>
      </w:r>
    </w:p>
    <w:p>
      <w:pPr>
        <w:pStyle w:val="3"/>
        <w:topLinePunct/>
        <w:spacing w:line="412" w:lineRule="exact"/>
        <w:ind w:firstLine="480"/>
        <w:rPr>
          <w:rFonts w:ascii="微软雅黑" w:hAnsi="微软雅黑" w:eastAsia="微软雅黑"/>
          <w:sz w:val="24"/>
          <w:szCs w:val="24"/>
        </w:rPr>
      </w:pPr>
      <w:r>
        <w:rPr>
          <w:rFonts w:hint="eastAsia"/>
          <w:sz w:val="24"/>
          <w:szCs w:val="24"/>
        </w:rPr>
        <w:t>（三）有必要的产品质量检验机构、人员、设施和质量管理制度；</w:t>
      </w:r>
    </w:p>
    <w:p>
      <w:pPr>
        <w:pStyle w:val="3"/>
        <w:topLinePunct/>
        <w:spacing w:line="412" w:lineRule="exact"/>
        <w:ind w:firstLine="480"/>
        <w:rPr>
          <w:rFonts w:ascii="微软雅黑" w:hAnsi="微软雅黑" w:eastAsia="微软雅黑"/>
          <w:sz w:val="24"/>
          <w:szCs w:val="24"/>
        </w:rPr>
      </w:pPr>
      <w:r>
        <w:rPr>
          <w:rFonts w:hint="eastAsia"/>
          <w:sz w:val="24"/>
          <w:szCs w:val="24"/>
        </w:rPr>
        <w:t>（四）有符合国家规定的安全、卫生要求的生产环境；</w:t>
      </w:r>
    </w:p>
    <w:p>
      <w:pPr>
        <w:pStyle w:val="3"/>
        <w:topLinePunct/>
        <w:spacing w:line="412" w:lineRule="exact"/>
        <w:ind w:firstLine="480"/>
        <w:rPr>
          <w:rFonts w:ascii="微软雅黑" w:hAnsi="微软雅黑" w:eastAsia="微软雅黑"/>
          <w:sz w:val="24"/>
          <w:szCs w:val="24"/>
        </w:rPr>
      </w:pPr>
      <w:r>
        <w:rPr>
          <w:rFonts w:hint="eastAsia"/>
          <w:sz w:val="24"/>
          <w:szCs w:val="24"/>
        </w:rPr>
        <w:t>（五）有符合国家环境保护要求的污染防治措施；</w:t>
      </w:r>
    </w:p>
    <w:p>
      <w:pPr>
        <w:pStyle w:val="3"/>
        <w:topLinePunct/>
        <w:spacing w:line="412" w:lineRule="exact"/>
        <w:ind w:firstLine="480"/>
        <w:rPr>
          <w:rFonts w:ascii="微软雅黑" w:hAnsi="微软雅黑" w:eastAsia="微软雅黑"/>
          <w:sz w:val="24"/>
          <w:szCs w:val="24"/>
        </w:rPr>
      </w:pPr>
      <w:r>
        <w:rPr>
          <w:rFonts w:hint="eastAsia"/>
          <w:sz w:val="24"/>
          <w:szCs w:val="24"/>
        </w:rPr>
        <w:t>（六）国务院农业行政主管部门制定的饲料、饲料添加剂质量安全管理规范规定的其他条件。</w:t>
      </w:r>
    </w:p>
    <w:p>
      <w:pPr>
        <w:pStyle w:val="3"/>
        <w:topLinePunct/>
        <w:spacing w:line="412" w:lineRule="exact"/>
        <w:ind w:firstLine="482"/>
        <w:rPr>
          <w:rFonts w:ascii="微软雅黑" w:hAnsi="微软雅黑" w:eastAsia="微软雅黑"/>
          <w:sz w:val="24"/>
          <w:szCs w:val="24"/>
        </w:rPr>
      </w:pPr>
      <w:r>
        <w:rPr>
          <w:rFonts w:hint="eastAsia"/>
          <w:b/>
          <w:sz w:val="24"/>
          <w:szCs w:val="24"/>
        </w:rPr>
        <w:t>第十五条</w:t>
      </w:r>
      <w:r>
        <w:rPr>
          <w:rFonts w:hint="eastAsia"/>
          <w:sz w:val="24"/>
          <w:szCs w:val="24"/>
        </w:rPr>
        <w:t xml:space="preserve">  申请从事饲料、饲料添加剂生产的企业，申请人应当向省、自治区、直辖市人民政府饲料管理部门提出申请。省、自治区、直辖市人民政府饲料管理部门应当自受理申请之日起10个工作日内进行书面审查；审查合格的，组织进行现场审核，并根据审核结果在10个工作日内作出是否核发生产许可证的决定。</w:t>
      </w:r>
    </w:p>
    <w:p>
      <w:pPr>
        <w:pStyle w:val="3"/>
        <w:topLinePunct/>
        <w:spacing w:line="412" w:lineRule="exact"/>
        <w:ind w:firstLine="480"/>
        <w:rPr>
          <w:rFonts w:ascii="微软雅黑" w:hAnsi="微软雅黑" w:eastAsia="微软雅黑"/>
          <w:sz w:val="24"/>
          <w:szCs w:val="24"/>
        </w:rPr>
      </w:pPr>
      <w:r>
        <w:rPr>
          <w:rFonts w:hint="eastAsia"/>
          <w:sz w:val="24"/>
          <w:szCs w:val="24"/>
        </w:rPr>
        <w:t>生产许可证有效期为5年。生产许可证有效期满需要继续生产饲料、饲料添加剂的，应当在有效期届满6个月前申请续展。</w:t>
      </w:r>
    </w:p>
    <w:p>
      <w:pPr>
        <w:pStyle w:val="3"/>
        <w:topLinePunct/>
        <w:spacing w:line="412" w:lineRule="exact"/>
        <w:ind w:firstLine="482"/>
        <w:rPr>
          <w:rFonts w:ascii="微软雅黑" w:hAnsi="微软雅黑" w:eastAsia="微软雅黑"/>
          <w:sz w:val="24"/>
          <w:szCs w:val="24"/>
        </w:rPr>
      </w:pPr>
      <w:r>
        <w:rPr>
          <w:rFonts w:hint="eastAsia"/>
          <w:b/>
          <w:sz w:val="24"/>
          <w:szCs w:val="24"/>
        </w:rPr>
        <w:t>第十六条</w:t>
      </w:r>
      <w:r>
        <w:rPr>
          <w:rFonts w:hint="eastAsia"/>
          <w:sz w:val="24"/>
          <w:szCs w:val="24"/>
        </w:rPr>
        <w:t xml:space="preserve">  饲料添加剂、添加剂预混合饲料生产企业取得生产许可证后，由省、自治区、直辖市人民政府饲料管理部门按照国务院农业行政主管部门的规定，核发相应的产品批准文号。</w:t>
      </w:r>
    </w:p>
    <w:p>
      <w:pPr>
        <w:pStyle w:val="3"/>
        <w:topLinePunct/>
        <w:spacing w:line="412" w:lineRule="exact"/>
        <w:ind w:firstLine="482"/>
        <w:rPr>
          <w:rFonts w:ascii="微软雅黑" w:hAnsi="微软雅黑" w:eastAsia="微软雅黑"/>
          <w:sz w:val="24"/>
          <w:szCs w:val="24"/>
        </w:rPr>
      </w:pPr>
      <w:r>
        <w:rPr>
          <w:rFonts w:hint="eastAsia"/>
          <w:b/>
          <w:sz w:val="24"/>
          <w:szCs w:val="24"/>
        </w:rPr>
        <w:t>第十七条</w:t>
      </w:r>
      <w:r>
        <w:rPr>
          <w:rFonts w:hint="eastAsia"/>
          <w:sz w:val="24"/>
          <w:szCs w:val="24"/>
        </w:rPr>
        <w:t xml:space="preserve">  饲料、饲料添加剂生产企业应当按照国务院农业行政主管部门的规定和有关标准，对采购的饲料原料、单一饲料、饲料添加剂、药物饲料添加剂、添加剂预混合饲料和用于饲料添加剂生产的原料进行查验或者检验。</w:t>
      </w:r>
    </w:p>
    <w:p>
      <w:pPr>
        <w:pStyle w:val="3"/>
        <w:topLinePunct/>
        <w:spacing w:line="412" w:lineRule="exact"/>
        <w:ind w:firstLine="480"/>
        <w:rPr>
          <w:rFonts w:ascii="微软雅黑" w:hAnsi="微软雅黑" w:eastAsia="微软雅黑"/>
          <w:sz w:val="24"/>
          <w:szCs w:val="24"/>
        </w:rPr>
      </w:pPr>
      <w:r>
        <w:rPr>
          <w:rFonts w:hint="eastAsia"/>
          <w:sz w:val="24"/>
          <w:szCs w:val="24"/>
        </w:rPr>
        <w:t>饲料生产企业使用限制使用的饲料原料、单一饲料、饲料添加剂、药物饲料添加剂、添加剂预混合饲料生产饲料的，应当遵守国务院农业行政主管部门的限制性规定。禁止使用国务院农业行政主管部门公布的饲料原料目录、饲料添加剂品种目录和药物饲料添加剂品种目录以外的任何物质生产饲料。</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生产企业应当如实记录采购的饲料原料、单一饲料、饲料添加剂、药物饲料添加剂、添加剂预混合饲料和用于饲料添加剂生产的原料的名称、产地、数量、保质期、许可证明文件编号、质量检验信息、生产企业名称或者供货者名称及其联系方式、进货日期等。记录保存期限不得少于2年。</w:t>
      </w:r>
    </w:p>
    <w:p>
      <w:pPr>
        <w:pStyle w:val="3"/>
        <w:topLinePunct/>
        <w:spacing w:line="412" w:lineRule="exact"/>
        <w:ind w:firstLine="482"/>
        <w:rPr>
          <w:rFonts w:ascii="微软雅黑" w:hAnsi="微软雅黑" w:eastAsia="微软雅黑"/>
          <w:sz w:val="24"/>
          <w:szCs w:val="24"/>
        </w:rPr>
      </w:pPr>
      <w:r>
        <w:rPr>
          <w:rFonts w:hint="eastAsia"/>
          <w:b/>
          <w:sz w:val="24"/>
          <w:szCs w:val="24"/>
        </w:rPr>
        <w:t>第十八条</w:t>
      </w:r>
      <w:r>
        <w:rPr>
          <w:rFonts w:hint="eastAsia"/>
          <w:sz w:val="24"/>
          <w:szCs w:val="24"/>
        </w:rPr>
        <w:t xml:space="preserve">  饲料、饲料添加剂生产企业，应当按照产品质量标准以及国务院农业行政主管部门制定的饲料、饲料添加剂质量安全管理规范和饲料添加剂安全使用规范组织生产，对生产过程实施有效控制并实行生产记录和产品留样观察制度。</w:t>
      </w:r>
    </w:p>
    <w:p>
      <w:pPr>
        <w:pStyle w:val="3"/>
        <w:topLinePunct/>
        <w:spacing w:line="412" w:lineRule="exact"/>
        <w:ind w:firstLine="482"/>
        <w:rPr>
          <w:rFonts w:ascii="微软雅黑" w:hAnsi="微软雅黑" w:eastAsia="微软雅黑"/>
          <w:sz w:val="24"/>
          <w:szCs w:val="24"/>
        </w:rPr>
      </w:pPr>
      <w:r>
        <w:rPr>
          <w:rFonts w:hint="eastAsia"/>
          <w:b/>
          <w:sz w:val="24"/>
          <w:szCs w:val="24"/>
        </w:rPr>
        <w:t>第十九条</w:t>
      </w:r>
      <w:r>
        <w:rPr>
          <w:rFonts w:hint="eastAsia"/>
          <w:sz w:val="24"/>
          <w:szCs w:val="24"/>
        </w:rPr>
        <w:t xml:space="preserve">  饲料、饲料添加剂生产企业应当对生产的饲料、饲料添加剂进行产品质量检验；检验合格的，应当附具产品质量检验合格证。未经产品质量检验、检验不合格或者未附具产品质量检验合格证的，不得出厂销售。</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饲料、饲料添加剂生产企业应当如实记录出厂销售的饲料、饲料添加剂的名称、数量、生产日期、生产批次、质量检验信息、购货者名称及其联系方式、销售日期等。记录保存期限不得少于2年。</w:t>
      </w:r>
    </w:p>
    <w:p>
      <w:pPr>
        <w:pStyle w:val="3"/>
        <w:topLinePunct/>
        <w:spacing w:line="412" w:lineRule="exact"/>
        <w:ind w:firstLine="482"/>
        <w:rPr>
          <w:rFonts w:ascii="微软雅黑" w:hAnsi="微软雅黑" w:eastAsia="微软雅黑"/>
          <w:sz w:val="24"/>
          <w:szCs w:val="24"/>
        </w:rPr>
      </w:pPr>
      <w:r>
        <w:rPr>
          <w:rFonts w:hint="eastAsia"/>
          <w:b/>
          <w:sz w:val="24"/>
          <w:szCs w:val="24"/>
        </w:rPr>
        <w:t>第二十条</w:t>
      </w:r>
      <w:r>
        <w:rPr>
          <w:rFonts w:hint="eastAsia"/>
          <w:sz w:val="24"/>
          <w:szCs w:val="24"/>
        </w:rPr>
        <w:t xml:space="preserve">  出厂销售的饲料、饲料添加剂应当包装，包装应当符合国家有关安全、卫生的规定。</w:t>
      </w:r>
    </w:p>
    <w:p>
      <w:pPr>
        <w:pStyle w:val="3"/>
        <w:topLinePunct/>
        <w:spacing w:line="412" w:lineRule="exact"/>
        <w:ind w:firstLine="480"/>
        <w:rPr>
          <w:rFonts w:ascii="微软雅黑" w:hAnsi="微软雅黑" w:eastAsia="微软雅黑"/>
          <w:sz w:val="24"/>
          <w:szCs w:val="24"/>
        </w:rPr>
      </w:pPr>
      <w:r>
        <w:rPr>
          <w:rFonts w:hint="eastAsia"/>
          <w:sz w:val="24"/>
          <w:szCs w:val="24"/>
        </w:rPr>
        <w:t>饲料生产企业直接销售给养殖者的饲料可以使用罐装车运输。罐装车应当符合国家有关安全、卫生的规定，并随罐装车附具符合本条例第二十一条规定的标签。</w:t>
      </w:r>
    </w:p>
    <w:p>
      <w:pPr>
        <w:pStyle w:val="3"/>
        <w:topLinePunct/>
        <w:spacing w:line="412" w:lineRule="exact"/>
        <w:ind w:firstLine="480"/>
        <w:rPr>
          <w:rFonts w:ascii="微软雅黑" w:hAnsi="微软雅黑" w:eastAsia="微软雅黑"/>
          <w:sz w:val="24"/>
          <w:szCs w:val="24"/>
        </w:rPr>
      </w:pPr>
      <w:r>
        <w:rPr>
          <w:rFonts w:hint="eastAsia"/>
          <w:sz w:val="24"/>
          <w:szCs w:val="24"/>
        </w:rPr>
        <w:t>易燃或者其他特殊的饲料、饲料添加剂的包装应当有警示标志或者说明，并注明储运注意事项。</w:t>
      </w:r>
    </w:p>
    <w:p>
      <w:pPr>
        <w:pStyle w:val="3"/>
        <w:topLinePunct/>
        <w:spacing w:line="412" w:lineRule="exact"/>
        <w:ind w:firstLine="482"/>
        <w:rPr>
          <w:rFonts w:ascii="微软雅黑" w:hAnsi="微软雅黑" w:eastAsia="微软雅黑"/>
          <w:sz w:val="24"/>
          <w:szCs w:val="24"/>
        </w:rPr>
      </w:pPr>
      <w:r>
        <w:rPr>
          <w:rFonts w:hint="eastAsia"/>
          <w:b/>
          <w:sz w:val="24"/>
          <w:szCs w:val="24"/>
        </w:rPr>
        <w:t>第二十一条</w:t>
      </w:r>
      <w:r>
        <w:rPr>
          <w:rFonts w:hint="eastAsia"/>
          <w:sz w:val="24"/>
          <w:szCs w:val="24"/>
        </w:rPr>
        <w:t xml:space="preserve">  饲料、饲料添加剂的包装上应当附具标签。标签应当以中文或者适用符号标明产品名称、原料组成、产品成分分析保证值、净重或者净含量、贮存条件、使用说明、注意事项、生产日期、保质期、生产企业名称以及地址、许可证明文件编号和产品质量标准等。加入药物饲料添加剂的，还应当标明“加入药物饲料添加剂”字样，并标明其通用名称、含量和休药期。乳和乳制品以外的动物源性饲料，还应当标明“本产品不得饲喂反刍动物”字样。</w:t>
      </w:r>
    </w:p>
    <w:p>
      <w:pPr>
        <w:pStyle w:val="3"/>
        <w:topLinePunct/>
        <w:spacing w:line="412" w:lineRule="exact"/>
        <w:ind w:firstLine="482"/>
        <w:rPr>
          <w:rFonts w:ascii="微软雅黑" w:hAnsi="微软雅黑" w:eastAsia="微软雅黑"/>
          <w:sz w:val="24"/>
          <w:szCs w:val="24"/>
        </w:rPr>
      </w:pPr>
      <w:r>
        <w:rPr>
          <w:rFonts w:hint="eastAsia"/>
          <w:b/>
          <w:sz w:val="24"/>
          <w:szCs w:val="24"/>
        </w:rPr>
        <w:t>第二十二条</w:t>
      </w:r>
      <w:r>
        <w:rPr>
          <w:rFonts w:hint="eastAsia"/>
          <w:sz w:val="24"/>
          <w:szCs w:val="24"/>
        </w:rPr>
        <w:t xml:space="preserve">  饲料、饲料添加剂经营者应当符合下列条件：</w:t>
      </w:r>
    </w:p>
    <w:p>
      <w:pPr>
        <w:pStyle w:val="3"/>
        <w:topLinePunct/>
        <w:spacing w:line="412" w:lineRule="exact"/>
        <w:ind w:firstLine="480"/>
        <w:rPr>
          <w:rFonts w:ascii="微软雅黑" w:hAnsi="微软雅黑" w:eastAsia="微软雅黑"/>
          <w:sz w:val="24"/>
          <w:szCs w:val="24"/>
        </w:rPr>
      </w:pPr>
      <w:r>
        <w:rPr>
          <w:rFonts w:hint="eastAsia"/>
          <w:sz w:val="24"/>
          <w:szCs w:val="24"/>
        </w:rPr>
        <w:t>（一）有与经营饲料、饲料添加剂相适应的经营场所和仓储设施；</w:t>
      </w:r>
    </w:p>
    <w:p>
      <w:pPr>
        <w:pStyle w:val="3"/>
        <w:topLinePunct/>
        <w:spacing w:line="412" w:lineRule="exact"/>
        <w:ind w:firstLine="480"/>
        <w:rPr>
          <w:rFonts w:ascii="微软雅黑" w:hAnsi="微软雅黑" w:eastAsia="微软雅黑"/>
          <w:sz w:val="24"/>
          <w:szCs w:val="24"/>
        </w:rPr>
      </w:pPr>
      <w:r>
        <w:rPr>
          <w:rFonts w:hint="eastAsia"/>
          <w:sz w:val="24"/>
          <w:szCs w:val="24"/>
        </w:rPr>
        <w:t>（二）有具备饲料、饲料添加剂使用、贮存等知识的技术人员；</w:t>
      </w:r>
    </w:p>
    <w:p>
      <w:pPr>
        <w:pStyle w:val="3"/>
        <w:topLinePunct/>
        <w:spacing w:line="412" w:lineRule="exact"/>
        <w:ind w:firstLine="480"/>
        <w:rPr>
          <w:rFonts w:ascii="微软雅黑" w:hAnsi="微软雅黑" w:eastAsia="微软雅黑"/>
          <w:sz w:val="24"/>
          <w:szCs w:val="24"/>
        </w:rPr>
      </w:pPr>
      <w:r>
        <w:rPr>
          <w:rFonts w:hint="eastAsia"/>
          <w:sz w:val="24"/>
          <w:szCs w:val="24"/>
        </w:rPr>
        <w:t>（三）有必要的产品质量管理和安全管理制度。</w:t>
      </w:r>
    </w:p>
    <w:p>
      <w:pPr>
        <w:pStyle w:val="3"/>
        <w:topLinePunct/>
        <w:spacing w:line="412" w:lineRule="exact"/>
        <w:ind w:firstLine="482"/>
        <w:rPr>
          <w:rFonts w:ascii="微软雅黑" w:hAnsi="微软雅黑" w:eastAsia="微软雅黑"/>
          <w:sz w:val="24"/>
          <w:szCs w:val="24"/>
        </w:rPr>
      </w:pPr>
      <w:r>
        <w:rPr>
          <w:rFonts w:hint="eastAsia"/>
          <w:b/>
          <w:sz w:val="24"/>
          <w:szCs w:val="24"/>
        </w:rPr>
        <w:t>第二十三条</w:t>
      </w:r>
      <w:r>
        <w:rPr>
          <w:rFonts w:hint="eastAsia"/>
          <w:sz w:val="24"/>
          <w:szCs w:val="24"/>
        </w:rPr>
        <w:t xml:space="preserve">  饲料、饲料添加剂经营者进货时应当查验产品标签、产品质量检验合格证和相应的许可证明文件。</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饲料、饲料添加剂经营者不得对饲料、饲料添加剂进行拆包、分装，不得对饲料、饲料添加剂进行再加工或者添加任何物质。</w:t>
      </w:r>
    </w:p>
    <w:p>
      <w:pPr>
        <w:pStyle w:val="3"/>
        <w:topLinePunct/>
        <w:spacing w:line="412" w:lineRule="exact"/>
        <w:ind w:firstLine="480"/>
        <w:rPr>
          <w:rFonts w:ascii="微软雅黑" w:hAnsi="微软雅黑" w:eastAsia="微软雅黑"/>
          <w:sz w:val="24"/>
          <w:szCs w:val="24"/>
        </w:rPr>
      </w:pPr>
      <w:r>
        <w:rPr>
          <w:rFonts w:hint="eastAsia"/>
          <w:sz w:val="24"/>
          <w:szCs w:val="24"/>
        </w:rPr>
        <w:t>禁止经营用国务院农业行政主管部门公布的饲料原料目录、饲料添加剂品种目录和药物饲料添加剂品种目录以外的任何物质生产的饲料。</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经营者应当建立产品购销台账，如实记录购销产品的名称、许可证明文件编号、规格、数量、保质期、生产企业名称或者供货者名称及其联系方式、购销时间等。购销台账保存期限不得少于2年。</w:t>
      </w:r>
    </w:p>
    <w:p>
      <w:pPr>
        <w:pStyle w:val="3"/>
        <w:topLinePunct/>
        <w:spacing w:line="412" w:lineRule="exact"/>
        <w:ind w:firstLine="482"/>
        <w:rPr>
          <w:rFonts w:ascii="微软雅黑" w:hAnsi="微软雅黑" w:eastAsia="微软雅黑"/>
          <w:sz w:val="24"/>
          <w:szCs w:val="24"/>
        </w:rPr>
      </w:pPr>
      <w:r>
        <w:rPr>
          <w:rFonts w:hint="eastAsia"/>
          <w:b/>
          <w:sz w:val="24"/>
          <w:szCs w:val="24"/>
        </w:rPr>
        <w:t>第二十四条</w:t>
      </w:r>
      <w:r>
        <w:rPr>
          <w:rFonts w:hint="eastAsia"/>
          <w:sz w:val="24"/>
          <w:szCs w:val="24"/>
        </w:rPr>
        <w:t xml:space="preserve">  向中国出口的饲料、饲料添加剂应当包装，包装应当符合中国有关安全、卫生的规定，并附具符合本条例第二十一条规定的标签。</w:t>
      </w:r>
    </w:p>
    <w:p>
      <w:pPr>
        <w:pStyle w:val="3"/>
        <w:topLinePunct/>
        <w:spacing w:line="412" w:lineRule="exact"/>
        <w:ind w:firstLine="480"/>
        <w:rPr>
          <w:rFonts w:ascii="微软雅黑" w:hAnsi="微软雅黑" w:eastAsia="微软雅黑"/>
          <w:sz w:val="24"/>
          <w:szCs w:val="24"/>
        </w:rPr>
      </w:pPr>
      <w:r>
        <w:rPr>
          <w:rFonts w:hint="eastAsia"/>
          <w:sz w:val="24"/>
          <w:szCs w:val="24"/>
        </w:rPr>
        <w:t>向中国出口的饲料、饲料添加剂应当符合中国有关检验检疫的要求，由出入境检验检疫机构依法实施检验检疫，并对其包装和标签进行核查。包装和标签不符合要求的，不得入境。</w:t>
      </w:r>
    </w:p>
    <w:p>
      <w:pPr>
        <w:pStyle w:val="3"/>
        <w:topLinePunct/>
        <w:spacing w:line="412" w:lineRule="exact"/>
        <w:ind w:firstLine="480"/>
        <w:rPr>
          <w:rFonts w:ascii="微软雅黑" w:hAnsi="微软雅黑" w:eastAsia="微软雅黑"/>
          <w:sz w:val="24"/>
          <w:szCs w:val="24"/>
        </w:rPr>
      </w:pPr>
      <w:r>
        <w:rPr>
          <w:rFonts w:hint="eastAsia"/>
          <w:sz w:val="24"/>
          <w:szCs w:val="24"/>
        </w:rPr>
        <w:t>境外企业不得直接在中国销售饲料、饲料添加剂。境外企业在中国销售饲料、饲料添加剂的，应当依法在中国境内设立销售机构或者委托符合条件的中国境内代理机构销售。</w:t>
      </w:r>
    </w:p>
    <w:p>
      <w:pPr>
        <w:pStyle w:val="3"/>
        <w:topLinePunct/>
        <w:spacing w:line="412" w:lineRule="exact"/>
        <w:ind w:firstLine="482"/>
        <w:rPr>
          <w:rFonts w:ascii="微软雅黑" w:hAnsi="微软雅黑" w:eastAsia="微软雅黑"/>
          <w:sz w:val="24"/>
          <w:szCs w:val="24"/>
        </w:rPr>
      </w:pPr>
      <w:r>
        <w:rPr>
          <w:rFonts w:hint="eastAsia"/>
          <w:b/>
          <w:sz w:val="24"/>
          <w:szCs w:val="24"/>
        </w:rPr>
        <w:t>第二十五条</w:t>
      </w:r>
      <w:r>
        <w:rPr>
          <w:rFonts w:hint="eastAsia"/>
          <w:sz w:val="24"/>
          <w:szCs w:val="24"/>
        </w:rPr>
        <w:t xml:space="preserve">  养殖者应当按照产品使用说明和注意事项使用饲料。在饲料或者动物饮用水中添加饲料添加剂的，应当符合饲料添加剂使用说明和注意事项的要求，遵守国务院农业行政主管部门制定的饲料添加剂安全使用规范。</w:t>
      </w:r>
    </w:p>
    <w:p>
      <w:pPr>
        <w:pStyle w:val="3"/>
        <w:topLinePunct/>
        <w:spacing w:line="412" w:lineRule="exact"/>
        <w:ind w:firstLine="480"/>
        <w:rPr>
          <w:rFonts w:ascii="微软雅黑" w:hAnsi="微软雅黑" w:eastAsia="微软雅黑"/>
          <w:sz w:val="24"/>
          <w:szCs w:val="24"/>
        </w:rPr>
      </w:pPr>
      <w:r>
        <w:rPr>
          <w:rFonts w:hint="eastAsia"/>
          <w:sz w:val="24"/>
          <w:szCs w:val="24"/>
        </w:rPr>
        <w:t>养殖者使用自行配制的饲料的，应当遵守国务院农业行政主管部门制定的自行配制饲料使用规范，并不得对外提供自行配制的饲料。</w:t>
      </w:r>
    </w:p>
    <w:p>
      <w:pPr>
        <w:pStyle w:val="3"/>
        <w:topLinePunct/>
        <w:spacing w:line="412" w:lineRule="exact"/>
        <w:ind w:firstLine="480"/>
        <w:rPr>
          <w:rFonts w:ascii="微软雅黑" w:hAnsi="微软雅黑" w:eastAsia="微软雅黑"/>
          <w:sz w:val="24"/>
          <w:szCs w:val="24"/>
        </w:rPr>
      </w:pPr>
      <w:r>
        <w:rPr>
          <w:rFonts w:hint="eastAsia"/>
          <w:sz w:val="24"/>
          <w:szCs w:val="24"/>
        </w:rPr>
        <w:t>使用限制使用的物质养殖动物的，应当遵守国务院农业行政主管部门的限制性规定。禁止在饲料、动物饮用水中添加国务院农业行政主管部门公布禁用的物质以及对人体具有直接或者潜在危害的其他物质，或者直接使用上述物质养殖动物。禁止在反刍动物饲料中添加乳和乳制品以外的动物源性成分。</w:t>
      </w:r>
    </w:p>
    <w:p>
      <w:pPr>
        <w:pStyle w:val="3"/>
        <w:topLinePunct/>
        <w:spacing w:line="412" w:lineRule="exact"/>
        <w:ind w:firstLine="482"/>
        <w:rPr>
          <w:rFonts w:ascii="微软雅黑" w:hAnsi="微软雅黑" w:eastAsia="微软雅黑"/>
          <w:sz w:val="24"/>
          <w:szCs w:val="24"/>
        </w:rPr>
      </w:pPr>
      <w:r>
        <w:rPr>
          <w:rFonts w:hint="eastAsia"/>
          <w:b/>
          <w:sz w:val="24"/>
          <w:szCs w:val="24"/>
        </w:rPr>
        <w:t>第二十六条</w:t>
      </w:r>
      <w:r>
        <w:rPr>
          <w:rFonts w:hint="eastAsia"/>
          <w:sz w:val="24"/>
          <w:szCs w:val="24"/>
        </w:rPr>
        <w:t xml:space="preserve">  国务院农业行政主管部门和县级以上地方人民政府饲料管理部门应当加强饲料、饲料添加剂质量安全知识的宣传，提高养殖者的质量安全意识，指导养殖者安全、合理使用饲料、饲料添加剂。</w:t>
      </w:r>
    </w:p>
    <w:p>
      <w:pPr>
        <w:pStyle w:val="3"/>
        <w:topLinePunct/>
        <w:spacing w:line="412" w:lineRule="exact"/>
        <w:ind w:firstLine="482"/>
        <w:rPr>
          <w:rFonts w:ascii="微软雅黑" w:hAnsi="微软雅黑" w:eastAsia="微软雅黑"/>
          <w:sz w:val="24"/>
          <w:szCs w:val="24"/>
        </w:rPr>
      </w:pPr>
      <w:r>
        <w:rPr>
          <w:rFonts w:hint="eastAsia"/>
          <w:b/>
          <w:sz w:val="24"/>
          <w:szCs w:val="24"/>
        </w:rPr>
        <w:t>第二十七条</w:t>
      </w:r>
      <w:r>
        <w:rPr>
          <w:rFonts w:hint="eastAsia"/>
          <w:sz w:val="24"/>
          <w:szCs w:val="24"/>
        </w:rPr>
        <w:t xml:space="preserve">  饲料、饲料添加剂在使用过程中被证实对养殖动物、人体健康或者环境有害的，由国务院农业行政主管部门决定禁用并予以公布。</w:t>
      </w:r>
    </w:p>
    <w:p>
      <w:pPr>
        <w:pStyle w:val="3"/>
        <w:topLinePunct/>
        <w:spacing w:line="412" w:lineRule="exact"/>
        <w:ind w:firstLine="482"/>
        <w:rPr>
          <w:rFonts w:ascii="微软雅黑" w:hAnsi="微软雅黑" w:eastAsia="微软雅黑"/>
          <w:sz w:val="24"/>
          <w:szCs w:val="24"/>
        </w:rPr>
      </w:pPr>
      <w:r>
        <w:rPr>
          <w:rFonts w:hint="eastAsia"/>
          <w:b/>
          <w:sz w:val="24"/>
          <w:szCs w:val="24"/>
        </w:rPr>
        <w:t>第二十八条</w:t>
      </w:r>
      <w:r>
        <w:rPr>
          <w:rFonts w:hint="eastAsia"/>
          <w:sz w:val="24"/>
          <w:szCs w:val="24"/>
        </w:rPr>
        <w:t xml:space="preserve">  饲料、饲料添加剂生产企业发现其生产的饲料、饲料添加剂对养殖动物、人体健康有害或者存在其他安全隐患的，应当立即停止生产，通知经营者、使用者，向饲料管理部门报告，主动召回产品，并记录召回和通知情况。召回的产品应当在饲料管理部门监督下予以无害化处理或者销毁。</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饲料、饲料添加剂经营者发现其销售的饲料、饲料添加剂具有前款规定情形的，应当立即停止销售，通知生产企业、供货者和使用者，向饲料管理部门报告，并记录通知情况。</w:t>
      </w:r>
    </w:p>
    <w:p>
      <w:pPr>
        <w:pStyle w:val="3"/>
        <w:topLinePunct/>
        <w:spacing w:line="412" w:lineRule="exact"/>
        <w:ind w:firstLine="480"/>
        <w:rPr>
          <w:rFonts w:ascii="微软雅黑" w:hAnsi="微软雅黑" w:eastAsia="微软雅黑"/>
          <w:sz w:val="24"/>
          <w:szCs w:val="24"/>
        </w:rPr>
      </w:pPr>
      <w:r>
        <w:rPr>
          <w:rFonts w:hint="eastAsia"/>
          <w:sz w:val="24"/>
          <w:szCs w:val="24"/>
        </w:rPr>
        <w:t>养殖者发现其使用的饲料、饲料添加剂具有本条第一款规定情形的，应当立即停止使用，通知供货者，并向饲料管理部门报告。</w:t>
      </w:r>
    </w:p>
    <w:p>
      <w:pPr>
        <w:pStyle w:val="3"/>
        <w:topLinePunct/>
        <w:spacing w:line="412" w:lineRule="exact"/>
        <w:ind w:firstLine="482"/>
        <w:rPr>
          <w:rFonts w:ascii="微软雅黑" w:hAnsi="微软雅黑" w:eastAsia="微软雅黑"/>
          <w:sz w:val="24"/>
          <w:szCs w:val="24"/>
        </w:rPr>
      </w:pPr>
      <w:r>
        <w:rPr>
          <w:rFonts w:hint="eastAsia"/>
          <w:b/>
          <w:sz w:val="24"/>
          <w:szCs w:val="24"/>
        </w:rPr>
        <w:t>第二十九条</w:t>
      </w:r>
      <w:r>
        <w:rPr>
          <w:rFonts w:hint="eastAsia"/>
          <w:sz w:val="24"/>
          <w:szCs w:val="24"/>
        </w:rPr>
        <w:t xml:space="preserve">  禁止生产、经营、使用未取得新饲料、新饲料添加剂证书的新饲料、新饲料添加剂以及禁用的饲料、饲料添加剂。</w:t>
      </w:r>
    </w:p>
    <w:p>
      <w:pPr>
        <w:pStyle w:val="3"/>
        <w:topLinePunct/>
        <w:spacing w:line="412" w:lineRule="exact"/>
        <w:ind w:firstLine="480"/>
        <w:rPr>
          <w:rFonts w:ascii="微软雅黑" w:hAnsi="微软雅黑" w:eastAsia="微软雅黑"/>
          <w:sz w:val="24"/>
          <w:szCs w:val="24"/>
        </w:rPr>
      </w:pPr>
      <w:r>
        <w:rPr>
          <w:rFonts w:hint="eastAsia"/>
          <w:sz w:val="24"/>
          <w:szCs w:val="24"/>
        </w:rPr>
        <w:t>禁止经营、使用无产品标签、无生产许可证、无产品质量标准、无产品质量检验合格证的饲料、饲料添加剂。禁止经营、使用无产品批准文号的饲料添加剂、添加剂预混合饲料。禁止经营、使用未取得饲料、饲料添加剂进口登记证的进口饲料、进口饲料添加剂。</w:t>
      </w:r>
    </w:p>
    <w:p>
      <w:pPr>
        <w:pStyle w:val="3"/>
        <w:topLinePunct/>
        <w:spacing w:line="412" w:lineRule="exact"/>
        <w:ind w:firstLine="482"/>
        <w:rPr>
          <w:rFonts w:ascii="微软雅黑" w:hAnsi="微软雅黑" w:eastAsia="微软雅黑"/>
          <w:sz w:val="24"/>
          <w:szCs w:val="24"/>
        </w:rPr>
      </w:pPr>
      <w:r>
        <w:rPr>
          <w:rFonts w:hint="eastAsia"/>
          <w:b/>
          <w:sz w:val="24"/>
          <w:szCs w:val="24"/>
        </w:rPr>
        <w:t>第三十条</w:t>
      </w:r>
      <w:r>
        <w:rPr>
          <w:rFonts w:hint="eastAsia"/>
          <w:sz w:val="24"/>
          <w:szCs w:val="24"/>
        </w:rPr>
        <w:t xml:space="preserve">  禁止对饲料、饲料添加剂作具有预防或者治疗动物疾病作用的说明或者宣传。但是，饲料中添加药物饲料添加剂的，可以对所添加的药物饲料添加剂的作用加以说明。</w:t>
      </w:r>
    </w:p>
    <w:p>
      <w:pPr>
        <w:pStyle w:val="3"/>
        <w:topLinePunct/>
        <w:spacing w:line="412" w:lineRule="exact"/>
        <w:ind w:firstLine="482"/>
        <w:rPr>
          <w:rFonts w:ascii="微软雅黑" w:hAnsi="微软雅黑" w:eastAsia="微软雅黑"/>
          <w:sz w:val="24"/>
          <w:szCs w:val="24"/>
        </w:rPr>
      </w:pPr>
      <w:r>
        <w:rPr>
          <w:rFonts w:hint="eastAsia"/>
          <w:b/>
          <w:sz w:val="24"/>
          <w:szCs w:val="24"/>
        </w:rPr>
        <w:t>第三十一条</w:t>
      </w:r>
      <w:r>
        <w:rPr>
          <w:rFonts w:hint="eastAsia"/>
          <w:sz w:val="24"/>
          <w:szCs w:val="24"/>
        </w:rPr>
        <w:t xml:space="preserve">  国务院农业行政主管部门和省、自治区、直辖市人民政府饲料管理部门应当按照职责权限对全国或者本行政区域饲料、饲料添加剂的质量安全状况进行监测，并根据监测情况发布饲料、饲料添加剂质量安全预警信息。</w:t>
      </w:r>
    </w:p>
    <w:p>
      <w:pPr>
        <w:pStyle w:val="3"/>
        <w:topLinePunct/>
        <w:spacing w:line="412" w:lineRule="exact"/>
        <w:ind w:firstLine="482"/>
        <w:rPr>
          <w:rFonts w:ascii="微软雅黑" w:hAnsi="微软雅黑" w:eastAsia="微软雅黑"/>
          <w:sz w:val="24"/>
          <w:szCs w:val="24"/>
        </w:rPr>
      </w:pPr>
      <w:r>
        <w:rPr>
          <w:rFonts w:hint="eastAsia"/>
          <w:b/>
          <w:sz w:val="24"/>
          <w:szCs w:val="24"/>
        </w:rPr>
        <w:t>第三十二条</w:t>
      </w:r>
      <w:r>
        <w:rPr>
          <w:rFonts w:hint="eastAsia"/>
          <w:sz w:val="24"/>
          <w:szCs w:val="24"/>
        </w:rPr>
        <w:t xml:space="preserve">  国务院农业行政主管部门和县级以上地方人民政府饲料管理部门，应当根据需要定期或者不定期组织实施饲料、饲料添加剂监督抽查；饲料、饲料添加剂监督抽查检测工作由国务院农业行政主管部门或者省、自治区、直辖市人民政府饲料管理部门指定的具有相应技术条件的机构承担。饲料、饲料添加剂监督抽查不得收费。</w:t>
      </w:r>
    </w:p>
    <w:p>
      <w:pPr>
        <w:pStyle w:val="3"/>
        <w:topLinePunct/>
        <w:spacing w:line="412" w:lineRule="exact"/>
        <w:ind w:firstLine="480"/>
        <w:rPr>
          <w:rFonts w:ascii="微软雅黑" w:hAnsi="微软雅黑" w:eastAsia="微软雅黑"/>
          <w:sz w:val="24"/>
          <w:szCs w:val="24"/>
        </w:rPr>
      </w:pPr>
      <w:r>
        <w:rPr>
          <w:rFonts w:hint="eastAsia"/>
          <w:sz w:val="24"/>
          <w:szCs w:val="24"/>
        </w:rPr>
        <w:t>国务院农业行政主管部门和省、自治区、直辖市人民政府饲料管理部门应当按照职责权限公布监督抽查结果，并可以公布具有不良记录的饲料、饲料添加剂生产企业、经营者名单。</w:t>
      </w:r>
    </w:p>
    <w:p>
      <w:pPr>
        <w:pStyle w:val="3"/>
        <w:topLinePunct/>
        <w:spacing w:line="412" w:lineRule="exact"/>
        <w:ind w:firstLine="482"/>
        <w:rPr>
          <w:rFonts w:ascii="微软雅黑" w:hAnsi="微软雅黑" w:eastAsia="微软雅黑"/>
          <w:sz w:val="24"/>
          <w:szCs w:val="24"/>
        </w:rPr>
      </w:pPr>
      <w:r>
        <w:rPr>
          <w:rFonts w:hint="eastAsia"/>
          <w:b/>
          <w:sz w:val="24"/>
          <w:szCs w:val="24"/>
        </w:rPr>
        <w:t>第三十三条</w:t>
      </w:r>
      <w:r>
        <w:rPr>
          <w:rFonts w:hint="eastAsia"/>
          <w:sz w:val="24"/>
          <w:szCs w:val="24"/>
        </w:rPr>
        <w:t xml:space="preserve">  县级以上地方人民政府饲料管理部门应当建立饲料、饲料添加剂监督管理档案，记录日常监督检查、违法行为查处等情况。</w:t>
      </w:r>
    </w:p>
    <w:p>
      <w:pPr>
        <w:pStyle w:val="3"/>
        <w:topLinePunct/>
        <w:spacing w:line="412" w:lineRule="exact"/>
        <w:ind w:firstLine="482"/>
        <w:rPr>
          <w:rFonts w:ascii="微软雅黑" w:hAnsi="微软雅黑" w:eastAsia="微软雅黑"/>
          <w:sz w:val="24"/>
          <w:szCs w:val="24"/>
        </w:rPr>
      </w:pPr>
      <w:r>
        <w:rPr>
          <w:rFonts w:hint="eastAsia"/>
          <w:b/>
          <w:sz w:val="24"/>
          <w:szCs w:val="24"/>
        </w:rPr>
        <w:t>第三十四条</w:t>
      </w:r>
      <w:r>
        <w:rPr>
          <w:rFonts w:hint="eastAsia"/>
          <w:sz w:val="24"/>
          <w:szCs w:val="24"/>
        </w:rPr>
        <w:t xml:space="preserve">  国务院农业行政主管部门和县级以上地方人民政府饲料管理部门在监督检查中可以采取下列措施：</w:t>
      </w:r>
    </w:p>
    <w:p>
      <w:pPr>
        <w:pStyle w:val="3"/>
        <w:topLinePunct/>
        <w:spacing w:line="412" w:lineRule="exact"/>
        <w:ind w:firstLine="480"/>
        <w:rPr>
          <w:rFonts w:ascii="微软雅黑" w:hAnsi="微软雅黑" w:eastAsia="微软雅黑"/>
          <w:sz w:val="24"/>
          <w:szCs w:val="24"/>
        </w:rPr>
      </w:pPr>
      <w:r>
        <w:rPr>
          <w:rFonts w:hint="eastAsia"/>
          <w:sz w:val="24"/>
          <w:szCs w:val="24"/>
        </w:rPr>
        <w:t>（一）对饲料、饲料添加剂生产、经营、使用场所实施现场检查；</w:t>
      </w:r>
    </w:p>
    <w:p>
      <w:pPr>
        <w:pStyle w:val="3"/>
        <w:topLinePunct/>
        <w:spacing w:line="412" w:lineRule="exact"/>
        <w:ind w:firstLine="480"/>
        <w:rPr>
          <w:rFonts w:ascii="微软雅黑" w:hAnsi="微软雅黑" w:eastAsia="微软雅黑"/>
          <w:sz w:val="24"/>
          <w:szCs w:val="24"/>
        </w:rPr>
      </w:pPr>
      <w:r>
        <w:rPr>
          <w:rFonts w:hint="eastAsia"/>
          <w:sz w:val="24"/>
          <w:szCs w:val="24"/>
        </w:rPr>
        <w:t>（二）查阅、复制有关合同、票据、账簿和其他相关资料；</w:t>
      </w:r>
    </w:p>
    <w:p>
      <w:pPr>
        <w:pStyle w:val="3"/>
        <w:topLinePunct/>
        <w:spacing w:line="412" w:lineRule="exact"/>
        <w:ind w:firstLine="480"/>
        <w:rPr>
          <w:rFonts w:ascii="微软雅黑" w:hAnsi="微软雅黑" w:eastAsia="微软雅黑"/>
          <w:sz w:val="24"/>
          <w:szCs w:val="24"/>
        </w:rPr>
      </w:pPr>
      <w:r>
        <w:rPr>
          <w:rFonts w:hint="eastAsia"/>
          <w:sz w:val="24"/>
          <w:szCs w:val="24"/>
        </w:rPr>
        <w:t>（三）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w:t>
      </w:r>
    </w:p>
    <w:p>
      <w:pPr>
        <w:pStyle w:val="3"/>
        <w:topLinePunct/>
        <w:spacing w:line="412" w:lineRule="exact"/>
        <w:ind w:firstLine="480"/>
        <w:rPr>
          <w:rFonts w:ascii="微软雅黑" w:hAnsi="微软雅黑" w:eastAsia="微软雅黑"/>
          <w:sz w:val="24"/>
          <w:szCs w:val="24"/>
        </w:rPr>
      </w:pPr>
      <w:r>
        <w:rPr>
          <w:rFonts w:hint="eastAsia"/>
          <w:sz w:val="24"/>
          <w:szCs w:val="24"/>
        </w:rPr>
        <w:t>（四）查封违法生产、经营饲料、饲料添加剂的场所。</w:t>
      </w:r>
    </w:p>
    <w:p>
      <w:pPr>
        <w:pStyle w:val="63"/>
        <w:spacing w:before="218" w:after="218" w:line="412" w:lineRule="exact"/>
      </w:pPr>
      <w:r>
        <w:rPr>
          <w:rFonts w:hint="eastAsia"/>
        </w:rPr>
        <w:t>第四章  法律责任</w:t>
      </w:r>
    </w:p>
    <w:p>
      <w:pPr>
        <w:pStyle w:val="3"/>
        <w:topLinePunct/>
        <w:spacing w:line="412" w:lineRule="exact"/>
        <w:ind w:firstLine="482"/>
        <w:rPr>
          <w:rFonts w:ascii="微软雅黑" w:hAnsi="微软雅黑" w:eastAsia="微软雅黑"/>
          <w:sz w:val="24"/>
          <w:szCs w:val="24"/>
        </w:rPr>
      </w:pPr>
      <w:r>
        <w:rPr>
          <w:rFonts w:hint="eastAsia"/>
          <w:b/>
          <w:sz w:val="24"/>
          <w:szCs w:val="24"/>
        </w:rPr>
        <w:t>第三十五条</w:t>
      </w:r>
      <w:r>
        <w:rPr>
          <w:rFonts w:hint="eastAsia"/>
          <w:sz w:val="24"/>
          <w:szCs w:val="24"/>
        </w:rPr>
        <w:t xml:space="preserve">  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p>
      <w:pPr>
        <w:pStyle w:val="3"/>
        <w:topLinePunct/>
        <w:spacing w:line="412" w:lineRule="exact"/>
        <w:ind w:firstLine="482"/>
        <w:rPr>
          <w:rFonts w:ascii="微软雅黑" w:hAnsi="微软雅黑" w:eastAsia="微软雅黑"/>
          <w:sz w:val="24"/>
          <w:szCs w:val="24"/>
        </w:rPr>
      </w:pPr>
      <w:r>
        <w:rPr>
          <w:rFonts w:hint="eastAsia"/>
          <w:b/>
          <w:sz w:val="24"/>
          <w:szCs w:val="24"/>
        </w:rPr>
        <w:t>第三十六条</w:t>
      </w:r>
      <w:r>
        <w:rPr>
          <w:rFonts w:hint="eastAsia"/>
          <w:sz w:val="24"/>
          <w:szCs w:val="24"/>
        </w:rPr>
        <w:t xml:space="preserve">  提供虚假的资料、样品或者采取其他欺骗方式取得许可证明文件的，由发证机关撤销相关许可证明文件，处5万元以上10万元以下罚款，申请人3年内不得就同一事项申请行政许可。以欺骗方式取得许可证明文件给他人造成损失的，依法承担赔偿责任。</w:t>
      </w:r>
    </w:p>
    <w:p>
      <w:pPr>
        <w:pStyle w:val="3"/>
        <w:topLinePunct/>
        <w:spacing w:line="412" w:lineRule="exact"/>
        <w:ind w:firstLine="482"/>
        <w:rPr>
          <w:rFonts w:ascii="微软雅黑" w:hAnsi="微软雅黑" w:eastAsia="微软雅黑"/>
          <w:sz w:val="24"/>
          <w:szCs w:val="24"/>
        </w:rPr>
      </w:pPr>
      <w:r>
        <w:rPr>
          <w:rFonts w:hint="eastAsia"/>
          <w:b/>
          <w:sz w:val="24"/>
          <w:szCs w:val="24"/>
        </w:rPr>
        <w:t>第三十七条</w:t>
      </w:r>
      <w:r>
        <w:rPr>
          <w:rFonts w:hint="eastAsia"/>
          <w:sz w:val="24"/>
          <w:szCs w:val="24"/>
        </w:rPr>
        <w:t xml:space="preserve">  假冒、伪造或者买卖许可证明文件的，由国务院农业行政主管部门或者县级以上地方人民政府饲料管理部门按照职责权限收缴或者吊销、撤销相关许可证明文件；构成犯罪的，依法追究刑事责任。</w:t>
      </w:r>
    </w:p>
    <w:p>
      <w:pPr>
        <w:pStyle w:val="3"/>
        <w:topLinePunct/>
        <w:spacing w:line="412" w:lineRule="exact"/>
        <w:ind w:firstLine="482"/>
        <w:rPr>
          <w:rFonts w:ascii="微软雅黑" w:hAnsi="微软雅黑" w:eastAsia="微软雅黑"/>
          <w:sz w:val="24"/>
          <w:szCs w:val="24"/>
        </w:rPr>
      </w:pPr>
      <w:r>
        <w:rPr>
          <w:rFonts w:hint="eastAsia"/>
          <w:b/>
          <w:sz w:val="24"/>
          <w:szCs w:val="24"/>
        </w:rPr>
        <w:t>第三十八条</w:t>
      </w:r>
      <w:r>
        <w:rPr>
          <w:rFonts w:hint="eastAsia"/>
          <w:sz w:val="24"/>
          <w:szCs w:val="24"/>
        </w:rPr>
        <w:t xml:space="preserve">  未取得生产许可证生产饲料、饲料添加剂的，由县级以上地方人民政府饲料管理部门责令停止生产，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1万元以上的，并处货值金额5倍以上10倍以下罚款；情节严重的，没收其生产设备，生产企业的主要负责人和直接负责的主管人员10年内不得从事饲料、饲料添加剂生产、经营活动。</w:t>
      </w:r>
    </w:p>
    <w:p>
      <w:pPr>
        <w:pStyle w:val="3"/>
        <w:topLinePunct/>
        <w:spacing w:line="412" w:lineRule="exact"/>
        <w:ind w:firstLine="480"/>
        <w:rPr>
          <w:rFonts w:ascii="微软雅黑" w:hAnsi="微软雅黑" w:eastAsia="微软雅黑"/>
          <w:sz w:val="24"/>
          <w:szCs w:val="24"/>
        </w:rPr>
      </w:pPr>
      <w:r>
        <w:rPr>
          <w:rFonts w:hint="eastAsia"/>
          <w:sz w:val="24"/>
          <w:szCs w:val="24"/>
        </w:rPr>
        <w:t>已经取得生产许可证，但不再具备本条例第十四条规定的条件而继续生产饲料、饲料添加剂的，由县级以上地方人民政府饲料管理部门责令停止生产、限期改正，并处1万元以上5万元以下罚款；逾期不改正的，由发证机关吊销生产许可证。</w:t>
      </w:r>
    </w:p>
    <w:p>
      <w:pPr>
        <w:pStyle w:val="3"/>
        <w:topLinePunct/>
        <w:spacing w:line="412" w:lineRule="exact"/>
        <w:ind w:firstLine="480"/>
        <w:rPr>
          <w:rFonts w:ascii="微软雅黑" w:hAnsi="微软雅黑" w:eastAsia="微软雅黑"/>
          <w:sz w:val="24"/>
          <w:szCs w:val="24"/>
        </w:rPr>
      </w:pPr>
      <w:r>
        <w:rPr>
          <w:rFonts w:hint="eastAsia"/>
          <w:sz w:val="24"/>
          <w:szCs w:val="24"/>
        </w:rPr>
        <w:t>已经取得生产许可证，但未取得产品批准文号而生产饲料添加剂、添加剂预混合饲料的，由县级以上地方人民政府饲料管理部门责令停止生产，没收违法所得、违法生产的产品和用于违法生产饲料的饲料原料、单一饲料、饲料添加剂、药物饲料添加剂以及用于违法生产饲料添加剂的原料，限期补办产品批准文号，并处违法生产的产品货值金额1倍以上3倍以下罚款；情节严重的，由发证机关吊销生产许可证。</w:t>
      </w:r>
    </w:p>
    <w:p>
      <w:pPr>
        <w:pStyle w:val="3"/>
        <w:topLinePunct/>
        <w:spacing w:line="412" w:lineRule="exact"/>
        <w:ind w:firstLine="482"/>
        <w:rPr>
          <w:rFonts w:ascii="微软雅黑" w:hAnsi="微软雅黑" w:eastAsia="微软雅黑"/>
          <w:sz w:val="24"/>
          <w:szCs w:val="24"/>
        </w:rPr>
      </w:pPr>
      <w:r>
        <w:rPr>
          <w:rFonts w:hint="eastAsia"/>
          <w:b/>
          <w:sz w:val="24"/>
          <w:szCs w:val="24"/>
        </w:rPr>
        <w:t>第三十九条</w:t>
      </w:r>
      <w:r>
        <w:rPr>
          <w:rFonts w:hint="eastAsia"/>
          <w:sz w:val="24"/>
          <w:szCs w:val="24"/>
        </w:rPr>
        <w:t xml:space="preserve">  饲料、饲料添加剂生产企业有下列行为之一的，由县级以上地方人民政府饲料管理部门责令改正，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1万元以上的，并处货值金额5倍以上10倍以下罚款；情节严重的，由发证机关吊销、撤销相关许可证明文件，生产企业的主要负责人和直接负责的主管人员10年内不得从事饲料、饲料添加剂生产、经营活动；构成犯罪的，依法追究刑事责任：</w:t>
      </w:r>
    </w:p>
    <w:p>
      <w:pPr>
        <w:pStyle w:val="3"/>
        <w:topLinePunct/>
        <w:spacing w:line="412" w:lineRule="exact"/>
        <w:ind w:firstLine="480"/>
        <w:rPr>
          <w:rFonts w:ascii="微软雅黑" w:hAnsi="微软雅黑" w:eastAsia="微软雅黑"/>
          <w:sz w:val="24"/>
          <w:szCs w:val="24"/>
        </w:rPr>
      </w:pPr>
      <w:r>
        <w:rPr>
          <w:rFonts w:hint="eastAsia"/>
          <w:sz w:val="24"/>
          <w:szCs w:val="24"/>
        </w:rPr>
        <w:t>（一）使用限制使用的饲料原料、单一饲料、饲料添加剂、药物饲料添加剂、添加剂预混合饲料生产饲料，不遵守国务院农业行政主管部门的限制性规定的；</w:t>
      </w:r>
    </w:p>
    <w:p>
      <w:pPr>
        <w:pStyle w:val="3"/>
        <w:topLinePunct/>
        <w:spacing w:line="412" w:lineRule="exact"/>
        <w:ind w:firstLine="480"/>
        <w:rPr>
          <w:rFonts w:ascii="微软雅黑" w:hAnsi="微软雅黑" w:eastAsia="微软雅黑"/>
          <w:sz w:val="24"/>
          <w:szCs w:val="24"/>
        </w:rPr>
      </w:pPr>
      <w:r>
        <w:rPr>
          <w:rFonts w:hint="eastAsia"/>
          <w:sz w:val="24"/>
          <w:szCs w:val="24"/>
        </w:rPr>
        <w:t>（二）使用国务院农业行政主管部门公布的饲料原料目录、饲料添加剂品种目录和药物饲料添加剂品种目录以外的物质生产饲料的；</w:t>
      </w:r>
    </w:p>
    <w:p>
      <w:pPr>
        <w:pStyle w:val="3"/>
        <w:topLinePunct/>
        <w:spacing w:line="412" w:lineRule="exact"/>
        <w:ind w:firstLine="480"/>
        <w:rPr>
          <w:rFonts w:ascii="微软雅黑" w:hAnsi="微软雅黑" w:eastAsia="微软雅黑"/>
          <w:sz w:val="24"/>
          <w:szCs w:val="24"/>
        </w:rPr>
      </w:pPr>
      <w:r>
        <w:rPr>
          <w:rFonts w:hint="eastAsia"/>
          <w:sz w:val="24"/>
          <w:szCs w:val="24"/>
        </w:rPr>
        <w:t>（三）生产未取得新饲料、新饲料添加剂证书的新饲料、新饲料添加剂或者禁用的饲料、饲料添加剂的。</w:t>
      </w:r>
    </w:p>
    <w:p>
      <w:pPr>
        <w:pStyle w:val="3"/>
        <w:topLinePunct/>
        <w:spacing w:line="412" w:lineRule="exact"/>
        <w:ind w:firstLine="482"/>
        <w:rPr>
          <w:rFonts w:ascii="微软雅黑" w:hAnsi="微软雅黑" w:eastAsia="微软雅黑"/>
          <w:sz w:val="24"/>
          <w:szCs w:val="24"/>
        </w:rPr>
      </w:pPr>
      <w:r>
        <w:rPr>
          <w:rFonts w:hint="eastAsia"/>
          <w:b/>
          <w:sz w:val="24"/>
          <w:szCs w:val="24"/>
        </w:rPr>
        <w:t>第四十条</w:t>
      </w:r>
      <w:r>
        <w:rPr>
          <w:rFonts w:hint="eastAsia"/>
          <w:sz w:val="24"/>
          <w:szCs w:val="24"/>
        </w:rPr>
        <w:t xml:space="preserve">  饲料、饲料添加剂生产企业有下列行为之一的，由县级以上地方人民政府饲料管理部门责令改正，处1万元以上2万元以下罚款；拒不改正的，没收违法所得、违法生产的产品和用于违法生产饲料的饲料原料、单一饲料、饲料添加剂、药物饲料添加剂、添加剂预混合饲料以及用于违法生产饲料添加剂的原料，并处5万元以上10万元以下罚款；情节严重的，责令停止生产，可以由发证机关吊销、撤销相关许可证明文件：</w:t>
      </w:r>
    </w:p>
    <w:p>
      <w:pPr>
        <w:pStyle w:val="3"/>
        <w:topLinePunct/>
        <w:spacing w:line="412" w:lineRule="exact"/>
        <w:ind w:firstLine="480"/>
        <w:rPr>
          <w:rFonts w:ascii="微软雅黑" w:hAnsi="微软雅黑" w:eastAsia="微软雅黑"/>
          <w:sz w:val="24"/>
          <w:szCs w:val="24"/>
        </w:rPr>
      </w:pPr>
      <w:r>
        <w:rPr>
          <w:rFonts w:hint="eastAsia"/>
          <w:sz w:val="24"/>
          <w:szCs w:val="24"/>
        </w:rPr>
        <w:t>（一）不按照国务院农业行政主管部门的规定和有关标准对采购的饲料原料、单一饲料、饲料添加剂、药物饲料添加剂、添加剂预混合饲料和用于饲料添加剂生产的原料进行查验或者检验的；</w:t>
      </w:r>
    </w:p>
    <w:p>
      <w:pPr>
        <w:pStyle w:val="3"/>
        <w:topLinePunct/>
        <w:spacing w:line="412" w:lineRule="exact"/>
        <w:ind w:firstLine="480"/>
        <w:rPr>
          <w:rFonts w:ascii="微软雅黑" w:hAnsi="微软雅黑" w:eastAsia="微软雅黑"/>
          <w:sz w:val="24"/>
          <w:szCs w:val="24"/>
        </w:rPr>
      </w:pPr>
      <w:r>
        <w:rPr>
          <w:rFonts w:hint="eastAsia"/>
          <w:sz w:val="24"/>
          <w:szCs w:val="24"/>
        </w:rPr>
        <w:t>（二）饲料、饲料添加剂生产过程中不遵守国务院农业行政主管部门制定的饲料、饲料添加剂质量安全管理规范和饲料添加剂安全使用规范的；</w:t>
      </w:r>
    </w:p>
    <w:p>
      <w:pPr>
        <w:pStyle w:val="3"/>
        <w:topLinePunct/>
        <w:spacing w:line="412" w:lineRule="exact"/>
        <w:ind w:firstLine="480"/>
        <w:rPr>
          <w:rFonts w:ascii="微软雅黑" w:hAnsi="微软雅黑" w:eastAsia="微软雅黑"/>
          <w:sz w:val="24"/>
          <w:szCs w:val="24"/>
        </w:rPr>
      </w:pPr>
      <w:r>
        <w:rPr>
          <w:rFonts w:hint="eastAsia"/>
          <w:sz w:val="24"/>
          <w:szCs w:val="24"/>
        </w:rPr>
        <w:t>（三）生产的饲料、饲料添加剂未经产品质量检验的。</w:t>
      </w:r>
    </w:p>
    <w:p>
      <w:pPr>
        <w:pStyle w:val="3"/>
        <w:topLinePunct/>
        <w:spacing w:line="412" w:lineRule="exact"/>
        <w:ind w:firstLine="482"/>
        <w:rPr>
          <w:rFonts w:ascii="微软雅黑" w:hAnsi="微软雅黑" w:eastAsia="微软雅黑"/>
          <w:sz w:val="24"/>
          <w:szCs w:val="24"/>
        </w:rPr>
      </w:pPr>
      <w:r>
        <w:rPr>
          <w:rFonts w:hint="eastAsia"/>
          <w:b/>
          <w:sz w:val="24"/>
          <w:szCs w:val="24"/>
        </w:rPr>
        <w:t>第四十一条</w:t>
      </w:r>
      <w:r>
        <w:rPr>
          <w:rFonts w:hint="eastAsia"/>
          <w:sz w:val="24"/>
          <w:szCs w:val="24"/>
        </w:rPr>
        <w:t xml:space="preserve">  饲料、饲料添加剂生产企业不依照本条例规定实行采购、生产、销售记录制度或者产品留样观察制度的，由县级以上地方人民政府饲料管理部门责令改正，处1万元以上2万元以下罚款；拒不改正的，没收违法所得、违法生产的产品和用于违法生产饲料的饲料原料、单一饲料、饲料添加剂、药物饲料添加剂、添加剂预混合饲料以及用于违法生产饲料添加剂的原料，处2万元以上5万元以下罚款，并可以由发证机关吊销、撤销相关许可证明文件。</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生产企业销售的饲料、饲料添加剂未附具产品质量检验合格证或者包装、标签不符合规定的，由县级以上地方人民政府饲料管理部门责令改正；情节严重的，没收违法所得和违法销售的产品，可以处违法销售的产品货值金额30%以下罚款。</w:t>
      </w:r>
    </w:p>
    <w:p>
      <w:pPr>
        <w:pStyle w:val="3"/>
        <w:topLinePunct/>
        <w:spacing w:line="412" w:lineRule="exact"/>
        <w:ind w:firstLine="482"/>
        <w:rPr>
          <w:rFonts w:ascii="微软雅黑" w:hAnsi="微软雅黑" w:eastAsia="微软雅黑"/>
          <w:sz w:val="24"/>
          <w:szCs w:val="24"/>
        </w:rPr>
      </w:pPr>
      <w:r>
        <w:rPr>
          <w:rFonts w:hint="eastAsia"/>
          <w:b/>
          <w:sz w:val="24"/>
          <w:szCs w:val="24"/>
        </w:rPr>
        <w:t>第四十二条</w:t>
      </w:r>
      <w:r>
        <w:rPr>
          <w:rFonts w:hint="eastAsia"/>
          <w:sz w:val="24"/>
          <w:szCs w:val="24"/>
        </w:rPr>
        <w:t xml:space="preserve">  不符合本条例第二十二条规定的条件经营饲料、饲料添加剂的，由县级人民政府饲料管理部门责令限期改正；逾期不改正的，没收违法所得和违法经营的产品，违法经营的产品货值金额不足1万元的，并处2000元以上2万元以下罚款，货值金额1万元以上的，并处货值金额2倍以上5倍以下罚款；情节严重的，责令停止经营，并通知工商行政管理部门，由工商行政管理部门吊销营业执照。</w:t>
      </w:r>
    </w:p>
    <w:p>
      <w:pPr>
        <w:pStyle w:val="3"/>
        <w:topLinePunct/>
        <w:spacing w:line="412" w:lineRule="exact"/>
        <w:ind w:firstLine="482"/>
        <w:rPr>
          <w:rFonts w:ascii="微软雅黑" w:hAnsi="微软雅黑" w:eastAsia="微软雅黑"/>
          <w:sz w:val="24"/>
          <w:szCs w:val="24"/>
        </w:rPr>
      </w:pPr>
      <w:r>
        <w:rPr>
          <w:rFonts w:hint="eastAsia"/>
          <w:b/>
          <w:sz w:val="24"/>
          <w:szCs w:val="24"/>
        </w:rPr>
        <w:t>第四十三条</w:t>
      </w:r>
      <w:r>
        <w:rPr>
          <w:rFonts w:hint="eastAsia"/>
          <w:sz w:val="24"/>
          <w:szCs w:val="24"/>
        </w:rPr>
        <w:t xml:space="preserve">  饲料、饲料添加剂经营者有下列行为之一的，由县级人民政府饲料管理部门责令改正，没收违法所得和违法经营的产品，违法经营的产品货值金额不足1万元的，并处2000元以上2万元以下罚款，货值金额1万元以上的，并处货值金额2倍以上5倍以下罚款；情节严重的，责令停止经营，并通知工商行政管理部门，由工商行政管理部门吊销营业执照；构成犯罪的，依法追究刑事责任：</w:t>
      </w:r>
    </w:p>
    <w:p>
      <w:pPr>
        <w:pStyle w:val="3"/>
        <w:topLinePunct/>
        <w:spacing w:line="412" w:lineRule="exact"/>
        <w:ind w:firstLine="480"/>
        <w:rPr>
          <w:rFonts w:ascii="微软雅黑" w:hAnsi="微软雅黑" w:eastAsia="微软雅黑"/>
          <w:sz w:val="24"/>
          <w:szCs w:val="24"/>
        </w:rPr>
      </w:pPr>
      <w:r>
        <w:rPr>
          <w:rFonts w:hint="eastAsia"/>
          <w:sz w:val="24"/>
          <w:szCs w:val="24"/>
        </w:rPr>
        <w:t>（一）对饲料、饲料添加剂进行再加工或者添加物质的；</w:t>
      </w:r>
    </w:p>
    <w:p>
      <w:pPr>
        <w:pStyle w:val="3"/>
        <w:topLinePunct/>
        <w:spacing w:line="412" w:lineRule="exact"/>
        <w:ind w:firstLine="480"/>
        <w:rPr>
          <w:rFonts w:ascii="微软雅黑" w:hAnsi="微软雅黑" w:eastAsia="微软雅黑"/>
          <w:sz w:val="24"/>
          <w:szCs w:val="24"/>
        </w:rPr>
      </w:pPr>
      <w:r>
        <w:rPr>
          <w:rFonts w:hint="eastAsia"/>
          <w:sz w:val="24"/>
          <w:szCs w:val="24"/>
        </w:rPr>
        <w:t>（二）经营无产品标签、无生产许可证、无产品质量检验合格证的饲料、饲料添加剂的；</w:t>
      </w:r>
    </w:p>
    <w:p>
      <w:pPr>
        <w:pStyle w:val="3"/>
        <w:topLinePunct/>
        <w:spacing w:line="412" w:lineRule="exact"/>
        <w:ind w:firstLine="480"/>
        <w:rPr>
          <w:rFonts w:ascii="微软雅黑" w:hAnsi="微软雅黑" w:eastAsia="微软雅黑"/>
          <w:sz w:val="24"/>
          <w:szCs w:val="24"/>
        </w:rPr>
      </w:pPr>
      <w:r>
        <w:rPr>
          <w:rFonts w:hint="eastAsia"/>
          <w:sz w:val="24"/>
          <w:szCs w:val="24"/>
        </w:rPr>
        <w:t>（三）经营无产品批准文号的饲料添加剂、添加剂预混合饲料的；</w:t>
      </w:r>
    </w:p>
    <w:p>
      <w:pPr>
        <w:pStyle w:val="3"/>
        <w:topLinePunct/>
        <w:spacing w:line="412" w:lineRule="exact"/>
        <w:ind w:firstLine="480"/>
        <w:rPr>
          <w:rFonts w:ascii="微软雅黑" w:hAnsi="微软雅黑" w:eastAsia="微软雅黑"/>
          <w:sz w:val="24"/>
          <w:szCs w:val="24"/>
        </w:rPr>
      </w:pPr>
      <w:r>
        <w:rPr>
          <w:rFonts w:hint="eastAsia"/>
          <w:sz w:val="24"/>
          <w:szCs w:val="24"/>
        </w:rPr>
        <w:t>（四）经营用国务院农业行政主管部门公布的饲料原料目录、饲料添加剂品种目录和药物饲料添加剂品种目录以外的物质生产的饲料的；</w:t>
      </w:r>
    </w:p>
    <w:p>
      <w:pPr>
        <w:pStyle w:val="3"/>
        <w:topLinePunct/>
        <w:spacing w:line="412" w:lineRule="exact"/>
        <w:ind w:firstLine="480"/>
        <w:rPr>
          <w:rFonts w:ascii="微软雅黑" w:hAnsi="微软雅黑" w:eastAsia="微软雅黑"/>
          <w:sz w:val="24"/>
          <w:szCs w:val="24"/>
        </w:rPr>
      </w:pPr>
      <w:r>
        <w:rPr>
          <w:rFonts w:hint="eastAsia"/>
          <w:sz w:val="24"/>
          <w:szCs w:val="24"/>
        </w:rPr>
        <w:t>（五）经营未取得新饲料、新饲料添加剂证书的新饲料、新饲料添加剂或者未取得饲料、饲料添加剂进口登记证的进口饲料、进口饲料添加剂以及禁用的饲料、饲料添加剂的。</w:t>
      </w:r>
    </w:p>
    <w:p>
      <w:pPr>
        <w:pStyle w:val="3"/>
        <w:topLinePunct/>
        <w:spacing w:line="412" w:lineRule="exact"/>
        <w:ind w:firstLine="482"/>
        <w:rPr>
          <w:rFonts w:ascii="微软雅黑" w:hAnsi="微软雅黑" w:eastAsia="微软雅黑"/>
          <w:sz w:val="24"/>
          <w:szCs w:val="24"/>
        </w:rPr>
      </w:pPr>
      <w:r>
        <w:rPr>
          <w:rFonts w:hint="eastAsia"/>
          <w:b/>
          <w:sz w:val="24"/>
          <w:szCs w:val="24"/>
        </w:rPr>
        <w:t>第四十四条</w:t>
      </w:r>
      <w:r>
        <w:rPr>
          <w:rFonts w:hint="eastAsia"/>
          <w:sz w:val="24"/>
          <w:szCs w:val="24"/>
        </w:rPr>
        <w:t xml:space="preserve">  饲料、饲料添加剂经营者有下列行为之一的，由县级人民政府饲料管理部门责令改正，没收违法所得和违法经营的产品，并处2000元以上1万元以下罚款：</w:t>
      </w:r>
    </w:p>
    <w:p>
      <w:pPr>
        <w:pStyle w:val="3"/>
        <w:topLinePunct/>
        <w:spacing w:line="412" w:lineRule="exact"/>
        <w:ind w:firstLine="480"/>
        <w:rPr>
          <w:rFonts w:ascii="微软雅黑" w:hAnsi="微软雅黑" w:eastAsia="微软雅黑"/>
          <w:sz w:val="24"/>
          <w:szCs w:val="24"/>
        </w:rPr>
      </w:pPr>
      <w:r>
        <w:rPr>
          <w:rFonts w:hint="eastAsia"/>
          <w:sz w:val="24"/>
          <w:szCs w:val="24"/>
        </w:rPr>
        <w:t>（一）对饲料、饲料添加剂进行拆包、分装的；</w:t>
      </w:r>
    </w:p>
    <w:p>
      <w:pPr>
        <w:pStyle w:val="3"/>
        <w:topLinePunct/>
        <w:spacing w:line="412" w:lineRule="exact"/>
        <w:ind w:firstLine="480"/>
        <w:rPr>
          <w:rFonts w:ascii="微软雅黑" w:hAnsi="微软雅黑" w:eastAsia="微软雅黑"/>
          <w:sz w:val="24"/>
          <w:szCs w:val="24"/>
        </w:rPr>
      </w:pPr>
      <w:r>
        <w:rPr>
          <w:rFonts w:hint="eastAsia"/>
          <w:sz w:val="24"/>
          <w:szCs w:val="24"/>
        </w:rPr>
        <w:t>（二）不依照本条例规定实行产品购销台账制度的；</w:t>
      </w:r>
    </w:p>
    <w:p>
      <w:pPr>
        <w:pStyle w:val="3"/>
        <w:topLinePunct/>
        <w:spacing w:line="412" w:lineRule="exact"/>
        <w:ind w:firstLine="480"/>
        <w:rPr>
          <w:rFonts w:ascii="微软雅黑" w:hAnsi="微软雅黑" w:eastAsia="微软雅黑"/>
          <w:sz w:val="24"/>
          <w:szCs w:val="24"/>
        </w:rPr>
      </w:pPr>
      <w:r>
        <w:rPr>
          <w:rFonts w:hint="eastAsia"/>
          <w:sz w:val="24"/>
          <w:szCs w:val="24"/>
        </w:rPr>
        <w:t>（三）经营的饲料、饲料添加剂失效、霉变或者超过保质期的。</w:t>
      </w:r>
    </w:p>
    <w:p>
      <w:pPr>
        <w:pStyle w:val="3"/>
        <w:topLinePunct/>
        <w:spacing w:line="412" w:lineRule="exact"/>
        <w:ind w:firstLine="482"/>
        <w:rPr>
          <w:rFonts w:ascii="微软雅黑" w:hAnsi="微软雅黑" w:eastAsia="微软雅黑"/>
          <w:sz w:val="24"/>
          <w:szCs w:val="24"/>
        </w:rPr>
      </w:pPr>
      <w:r>
        <w:rPr>
          <w:rFonts w:hint="eastAsia"/>
          <w:b/>
          <w:sz w:val="24"/>
          <w:szCs w:val="24"/>
        </w:rPr>
        <w:t>第四十五条</w:t>
      </w:r>
      <w:r>
        <w:rPr>
          <w:rFonts w:hint="eastAsia"/>
          <w:sz w:val="24"/>
          <w:szCs w:val="24"/>
        </w:rPr>
        <w:t xml:space="preserve">  对本条例第二十八条规定的饲料、饲料添加剂，生产企业不主动召回的，由县级以上地方人民政府饲料管理部门责令召回，并监督生产企业对召回的产品予以无害化处理或者销毁；情节严重的，没收违法所得，并处应召回的产品货值金额1倍以上3倍以下罚款，可以由发证机关吊销、撤销相关许可证明文件；生产企业对召回的产品不予以无害化处理或者销毁的，由县级人民政府饲料管理部门代为销毁，所需费用由生产企业承担。</w:t>
      </w:r>
    </w:p>
    <w:p>
      <w:pPr>
        <w:pStyle w:val="3"/>
        <w:topLinePunct/>
        <w:spacing w:line="412" w:lineRule="exact"/>
        <w:ind w:firstLine="480"/>
        <w:rPr>
          <w:rFonts w:ascii="微软雅黑" w:hAnsi="微软雅黑" w:eastAsia="微软雅黑"/>
          <w:sz w:val="24"/>
          <w:szCs w:val="24"/>
        </w:rPr>
      </w:pPr>
      <w:r>
        <w:rPr>
          <w:rFonts w:hint="eastAsia"/>
          <w:sz w:val="24"/>
          <w:szCs w:val="24"/>
        </w:rPr>
        <w:t>对本条例第二十八条规定的饲料、饲料添加剂，经营者不停止销售的，由县级以上地方人民政府饲料管理部门责令停止销售；拒不停止销售的，没收违法所得，处1000元以上5万元以下罚款；情节严重的，责令停止经营，并通知工商行政管理部门，由工商行政管理部门吊销营业执照。</w:t>
      </w:r>
    </w:p>
    <w:p>
      <w:pPr>
        <w:pStyle w:val="3"/>
        <w:topLinePunct/>
        <w:spacing w:line="412" w:lineRule="exact"/>
        <w:ind w:firstLine="482"/>
        <w:rPr>
          <w:rFonts w:ascii="微软雅黑" w:hAnsi="微软雅黑" w:eastAsia="微软雅黑"/>
          <w:sz w:val="24"/>
          <w:szCs w:val="24"/>
        </w:rPr>
      </w:pPr>
      <w:r>
        <w:rPr>
          <w:rFonts w:hint="eastAsia"/>
          <w:b/>
          <w:sz w:val="24"/>
          <w:szCs w:val="24"/>
        </w:rPr>
        <w:t>第四十六条</w:t>
      </w:r>
      <w:r>
        <w:rPr>
          <w:rFonts w:hint="eastAsia"/>
          <w:sz w:val="24"/>
          <w:szCs w:val="24"/>
        </w:rPr>
        <w:t xml:space="preserve">  饲料、饲料添加剂生产企业、经营者有下列行为之一的，由县级以上地方人民政府饲料管理部门责令停止生产、经营，没收违法所得和违法生产、经营的产品，违法生产、经营的产品货值金额不足1万元的，并处2000元以上2万元以下罚款，货值金额1万元以上的，并处货值金额2倍以上5倍以下罚款；构成犯罪的，依法追究刑事责任：</w:t>
      </w:r>
    </w:p>
    <w:p>
      <w:pPr>
        <w:pStyle w:val="3"/>
        <w:topLinePunct/>
        <w:spacing w:line="412" w:lineRule="exact"/>
        <w:ind w:firstLine="480"/>
        <w:rPr>
          <w:rFonts w:ascii="微软雅黑" w:hAnsi="微软雅黑" w:eastAsia="微软雅黑"/>
          <w:sz w:val="24"/>
          <w:szCs w:val="24"/>
        </w:rPr>
      </w:pPr>
      <w:r>
        <w:rPr>
          <w:rFonts w:hint="eastAsia"/>
          <w:sz w:val="24"/>
          <w:szCs w:val="24"/>
        </w:rPr>
        <w:t>（一）在生产、经营过程中，以非饲料、非饲料添加剂冒充饲料、饲料添加剂或者以此种饲料、饲料添加剂冒充他种饲料、饲料添加剂的；</w:t>
      </w:r>
    </w:p>
    <w:p>
      <w:pPr>
        <w:pStyle w:val="3"/>
        <w:topLinePunct/>
        <w:spacing w:line="412" w:lineRule="exact"/>
        <w:ind w:firstLine="480"/>
        <w:rPr>
          <w:rFonts w:ascii="微软雅黑" w:hAnsi="微软雅黑" w:eastAsia="微软雅黑"/>
          <w:sz w:val="24"/>
          <w:szCs w:val="24"/>
        </w:rPr>
      </w:pPr>
      <w:r>
        <w:rPr>
          <w:rFonts w:hint="eastAsia"/>
          <w:sz w:val="24"/>
          <w:szCs w:val="24"/>
        </w:rPr>
        <w:t>（二）生产、经营无产品质量标准或者不符合产品质量标准的饲料、饲料添加剂的；</w:t>
      </w:r>
    </w:p>
    <w:p>
      <w:pPr>
        <w:pStyle w:val="3"/>
        <w:topLinePunct/>
        <w:spacing w:line="412" w:lineRule="exact"/>
        <w:ind w:firstLine="480"/>
        <w:rPr>
          <w:rFonts w:ascii="微软雅黑" w:hAnsi="微软雅黑" w:eastAsia="微软雅黑"/>
          <w:sz w:val="24"/>
          <w:szCs w:val="24"/>
        </w:rPr>
      </w:pPr>
      <w:r>
        <w:rPr>
          <w:rFonts w:hint="eastAsia"/>
          <w:sz w:val="24"/>
          <w:szCs w:val="24"/>
        </w:rPr>
        <w:t>（三）生产、经营的饲料、饲料添加剂与标签标示的内容不一致的。</w:t>
      </w:r>
    </w:p>
    <w:p>
      <w:pPr>
        <w:pStyle w:val="3"/>
        <w:topLinePunct/>
        <w:spacing w:line="412" w:lineRule="exact"/>
        <w:ind w:firstLine="480"/>
        <w:rPr>
          <w:rFonts w:ascii="微软雅黑" w:hAnsi="微软雅黑" w:eastAsia="微软雅黑"/>
          <w:sz w:val="24"/>
          <w:szCs w:val="24"/>
        </w:rPr>
      </w:pPr>
      <w:r>
        <w:rPr>
          <w:rFonts w:hint="eastAsia"/>
          <w:sz w:val="24"/>
          <w:szCs w:val="24"/>
        </w:rPr>
        <w:t>饲料、饲料添加剂生产企业有前款规定的行为，情节严重的，由发证机关吊销、撤销相关许可证明文件；饲料、饲料添加剂经营者有前款规定的行为，情节严重的，通知工商行政管理部门，由工商行政管理部门吊销营业执照。</w:t>
      </w:r>
    </w:p>
    <w:p>
      <w:pPr>
        <w:pStyle w:val="3"/>
        <w:topLinePunct/>
        <w:spacing w:line="412" w:lineRule="exact"/>
        <w:ind w:firstLine="482"/>
        <w:rPr>
          <w:rFonts w:ascii="微软雅黑" w:hAnsi="微软雅黑" w:eastAsia="微软雅黑"/>
          <w:sz w:val="24"/>
          <w:szCs w:val="24"/>
        </w:rPr>
      </w:pPr>
      <w:r>
        <w:rPr>
          <w:rFonts w:hint="eastAsia"/>
          <w:b/>
          <w:sz w:val="24"/>
          <w:szCs w:val="24"/>
        </w:rPr>
        <w:t>第四十七条</w:t>
      </w:r>
      <w:r>
        <w:rPr>
          <w:rFonts w:hint="eastAsia"/>
          <w:sz w:val="24"/>
          <w:szCs w:val="24"/>
        </w:rPr>
        <w:t xml:space="preserve">  养殖者有下列行为之一的，由县级人民政府饲料管理部门没收违法使用的产品和非法添加物质，对单位处1万元以上5万元以下罚款，对个人处5000元以下罚款；构成犯罪的，依法追究刑事责任：</w:t>
      </w:r>
    </w:p>
    <w:p>
      <w:pPr>
        <w:pStyle w:val="3"/>
        <w:topLinePunct/>
        <w:spacing w:line="412" w:lineRule="exact"/>
        <w:ind w:firstLine="480"/>
        <w:rPr>
          <w:rFonts w:ascii="微软雅黑" w:hAnsi="微软雅黑" w:eastAsia="微软雅黑"/>
          <w:sz w:val="24"/>
          <w:szCs w:val="24"/>
        </w:rPr>
      </w:pPr>
      <w:r>
        <w:rPr>
          <w:rFonts w:hint="eastAsia"/>
          <w:sz w:val="24"/>
          <w:szCs w:val="24"/>
        </w:rPr>
        <w:t>（一）使用未取得新饲料、新饲料添加剂证书的新饲料、新饲料添加剂或者未取得饲料、饲料添加剂进口登记证的进口饲料、进口饲料添加剂的；</w:t>
      </w:r>
    </w:p>
    <w:p>
      <w:pPr>
        <w:pStyle w:val="3"/>
        <w:topLinePunct/>
        <w:spacing w:line="412" w:lineRule="exact"/>
        <w:ind w:firstLine="480"/>
        <w:rPr>
          <w:rFonts w:ascii="微软雅黑" w:hAnsi="微软雅黑" w:eastAsia="微软雅黑"/>
          <w:sz w:val="24"/>
          <w:szCs w:val="24"/>
        </w:rPr>
      </w:pPr>
      <w:r>
        <w:rPr>
          <w:rFonts w:hint="eastAsia"/>
          <w:sz w:val="24"/>
          <w:szCs w:val="24"/>
        </w:rPr>
        <w:t>（二）使用无产品标签、无生产许可证、无产品质量标准、无产品质量检验合格证的饲料、饲料添加剂的；</w:t>
      </w:r>
    </w:p>
    <w:p>
      <w:pPr>
        <w:pStyle w:val="3"/>
        <w:topLinePunct/>
        <w:spacing w:line="412" w:lineRule="exact"/>
        <w:ind w:firstLine="480"/>
        <w:rPr>
          <w:rFonts w:ascii="微软雅黑" w:hAnsi="微软雅黑" w:eastAsia="微软雅黑"/>
          <w:sz w:val="24"/>
          <w:szCs w:val="24"/>
        </w:rPr>
      </w:pPr>
      <w:r>
        <w:rPr>
          <w:rFonts w:hint="eastAsia"/>
          <w:sz w:val="24"/>
          <w:szCs w:val="24"/>
        </w:rPr>
        <w:t>（三）使用无产品批准文号的饲料添加剂、添加剂预混合饲料的；</w:t>
      </w:r>
    </w:p>
    <w:p>
      <w:pPr>
        <w:pStyle w:val="3"/>
        <w:topLinePunct/>
        <w:spacing w:line="412" w:lineRule="exact"/>
        <w:ind w:firstLine="480"/>
        <w:rPr>
          <w:rFonts w:ascii="微软雅黑" w:hAnsi="微软雅黑" w:eastAsia="微软雅黑"/>
          <w:sz w:val="24"/>
          <w:szCs w:val="24"/>
        </w:rPr>
      </w:pPr>
      <w:r>
        <w:rPr>
          <w:rFonts w:hint="eastAsia"/>
          <w:sz w:val="24"/>
          <w:szCs w:val="24"/>
        </w:rPr>
        <w:t>（四）在饲料或者动物饮用水中添加饲料添加剂，不遵守国务院农业行政主管部门制定的饲料添加剂安全使用规范的；</w:t>
      </w:r>
    </w:p>
    <w:p>
      <w:pPr>
        <w:pStyle w:val="3"/>
        <w:topLinePunct/>
        <w:spacing w:line="412" w:lineRule="exact"/>
        <w:ind w:firstLine="480"/>
        <w:rPr>
          <w:rFonts w:ascii="微软雅黑" w:hAnsi="微软雅黑" w:eastAsia="微软雅黑"/>
          <w:sz w:val="24"/>
          <w:szCs w:val="24"/>
        </w:rPr>
      </w:pPr>
      <w:r>
        <w:rPr>
          <w:rFonts w:hint="eastAsia"/>
          <w:sz w:val="24"/>
          <w:szCs w:val="24"/>
        </w:rPr>
        <w:t>（五）使用自行配制的饲料，不遵守国务院农业行政主管部门制定的自行配制饲料使用规范的；</w:t>
      </w:r>
    </w:p>
    <w:p>
      <w:pPr>
        <w:pStyle w:val="3"/>
        <w:topLinePunct/>
        <w:spacing w:line="412" w:lineRule="exact"/>
        <w:ind w:firstLine="480"/>
        <w:rPr>
          <w:rFonts w:ascii="微软雅黑" w:hAnsi="微软雅黑" w:eastAsia="微软雅黑"/>
          <w:sz w:val="24"/>
          <w:szCs w:val="24"/>
        </w:rPr>
      </w:pPr>
      <w:r>
        <w:rPr>
          <w:rFonts w:hint="eastAsia"/>
          <w:sz w:val="24"/>
          <w:szCs w:val="24"/>
        </w:rPr>
        <w:t>（六）使用限制使用的物质养殖动物，不遵守国务院农业行政主管部门的限制性规定的；</w:t>
      </w:r>
    </w:p>
    <w:p>
      <w:pPr>
        <w:pStyle w:val="3"/>
        <w:topLinePunct/>
        <w:spacing w:line="412" w:lineRule="exact"/>
        <w:ind w:firstLine="480"/>
        <w:rPr>
          <w:rFonts w:ascii="微软雅黑" w:hAnsi="微软雅黑" w:eastAsia="微软雅黑"/>
          <w:sz w:val="24"/>
          <w:szCs w:val="24"/>
        </w:rPr>
      </w:pPr>
      <w:r>
        <w:rPr>
          <w:rFonts w:hint="eastAsia"/>
          <w:sz w:val="24"/>
          <w:szCs w:val="24"/>
        </w:rPr>
        <w:t>（七）在反刍动物饲料中添加乳和乳制品以外的动物源性成分的。</w:t>
      </w:r>
    </w:p>
    <w:p>
      <w:pPr>
        <w:pStyle w:val="3"/>
        <w:topLinePunct/>
        <w:spacing w:line="412" w:lineRule="exact"/>
        <w:ind w:firstLine="480"/>
        <w:rPr>
          <w:rFonts w:ascii="微软雅黑" w:hAnsi="微软雅黑" w:eastAsia="微软雅黑"/>
          <w:sz w:val="24"/>
          <w:szCs w:val="24"/>
        </w:rPr>
      </w:pPr>
      <w:r>
        <w:rPr>
          <w:rFonts w:hint="eastAsia"/>
          <w:sz w:val="24"/>
          <w:szCs w:val="24"/>
        </w:rPr>
        <w:t>在饲料或者动物饮用水中添加国务院农业行政主管部门公布禁用的物质以及对人体具有直接或者潜在危害的其他物质，或者直接使用上述物质养殖动物的，由县级以上地方人民政府饲料管理部门责令其对饲喂了违禁物质的动物进行无害化处理，处3万元以上10万元以下罚款；构成犯罪的，依法追究刑事责任。</w:t>
      </w:r>
    </w:p>
    <w:p>
      <w:pPr>
        <w:pStyle w:val="3"/>
        <w:topLinePunct/>
        <w:spacing w:line="412" w:lineRule="exact"/>
        <w:ind w:firstLine="482"/>
        <w:rPr>
          <w:rFonts w:ascii="微软雅黑" w:hAnsi="微软雅黑" w:eastAsia="微软雅黑"/>
          <w:sz w:val="24"/>
          <w:szCs w:val="24"/>
        </w:rPr>
      </w:pPr>
      <w:r>
        <w:rPr>
          <w:rFonts w:hint="eastAsia"/>
          <w:b/>
          <w:sz w:val="24"/>
          <w:szCs w:val="24"/>
        </w:rPr>
        <w:t>第四十八条</w:t>
      </w:r>
      <w:r>
        <w:rPr>
          <w:rFonts w:hint="eastAsia"/>
          <w:sz w:val="24"/>
          <w:szCs w:val="24"/>
        </w:rPr>
        <w:t xml:space="preserve">  养殖者对外提供自行配制的饲料的，由县级人民政府饲料管理部门责令改正，处2000元以上2万元以下罚款。</w:t>
      </w:r>
    </w:p>
    <w:p>
      <w:pPr>
        <w:pStyle w:val="63"/>
        <w:spacing w:before="218" w:after="218" w:line="412" w:lineRule="exact"/>
      </w:pPr>
      <w:r>
        <w:rPr>
          <w:rFonts w:hint="eastAsia"/>
        </w:rPr>
        <w:t>第五章  附  则</w:t>
      </w:r>
    </w:p>
    <w:p>
      <w:pPr>
        <w:pStyle w:val="3"/>
        <w:topLinePunct/>
        <w:spacing w:line="412" w:lineRule="exact"/>
        <w:ind w:firstLine="482"/>
        <w:rPr>
          <w:rFonts w:ascii="微软雅黑" w:hAnsi="微软雅黑" w:eastAsia="微软雅黑"/>
          <w:sz w:val="24"/>
          <w:szCs w:val="24"/>
        </w:rPr>
      </w:pPr>
      <w:r>
        <w:rPr>
          <w:rFonts w:hint="eastAsia"/>
          <w:b/>
          <w:sz w:val="24"/>
          <w:szCs w:val="24"/>
        </w:rPr>
        <w:t>第四十九条</w:t>
      </w:r>
      <w:r>
        <w:rPr>
          <w:rFonts w:hint="eastAsia"/>
          <w:sz w:val="24"/>
          <w:szCs w:val="24"/>
        </w:rPr>
        <w:t xml:space="preserve">  本条例下列用语的含义：</w:t>
      </w:r>
    </w:p>
    <w:p>
      <w:pPr>
        <w:pStyle w:val="3"/>
        <w:topLinePunct/>
        <w:spacing w:line="412" w:lineRule="exact"/>
        <w:ind w:firstLine="480"/>
        <w:rPr>
          <w:rFonts w:ascii="微软雅黑" w:hAnsi="微软雅黑" w:eastAsia="微软雅黑"/>
          <w:sz w:val="24"/>
          <w:szCs w:val="24"/>
        </w:rPr>
      </w:pPr>
      <w:r>
        <w:rPr>
          <w:rFonts w:hint="eastAsia"/>
          <w:sz w:val="24"/>
          <w:szCs w:val="24"/>
        </w:rPr>
        <w:t>（一）饲料原料，是指来源于动物、植物、微生物或者矿物质，用于加工制作饲料但不属于饲料添加剂的饲用物质。</w:t>
      </w:r>
    </w:p>
    <w:p>
      <w:pPr>
        <w:pStyle w:val="3"/>
        <w:topLinePunct/>
        <w:spacing w:line="412" w:lineRule="exact"/>
        <w:ind w:firstLine="480"/>
        <w:rPr>
          <w:rFonts w:ascii="微软雅黑" w:hAnsi="微软雅黑" w:eastAsia="微软雅黑"/>
          <w:sz w:val="24"/>
          <w:szCs w:val="24"/>
        </w:rPr>
      </w:pPr>
      <w:r>
        <w:rPr>
          <w:rFonts w:hint="eastAsia"/>
          <w:sz w:val="24"/>
          <w:szCs w:val="24"/>
        </w:rPr>
        <w:t>（二）单一饲料，是指来源于一种动物、植物、微生物或者矿物质，用于饲料产品生产的饲料。</w:t>
      </w:r>
    </w:p>
    <w:p>
      <w:pPr>
        <w:pStyle w:val="3"/>
        <w:topLinePunct/>
        <w:spacing w:line="412" w:lineRule="exact"/>
        <w:ind w:firstLine="480"/>
        <w:rPr>
          <w:rFonts w:ascii="微软雅黑" w:hAnsi="微软雅黑" w:eastAsia="微软雅黑"/>
          <w:sz w:val="24"/>
          <w:szCs w:val="24"/>
        </w:rPr>
      </w:pPr>
      <w:r>
        <w:rPr>
          <w:rFonts w:hint="eastAsia"/>
          <w:sz w:val="24"/>
          <w:szCs w:val="24"/>
        </w:rPr>
        <w:t>（三）添加剂预混合饲料，是指由两种（类）或者两种（类）以上营养性饲料添加剂为主，与载体或者稀释剂按照一定比例配制的饲料，包括复合预混合饲料、微量元素预混合饲料、维生素预混合饲料。</w:t>
      </w:r>
    </w:p>
    <w:p>
      <w:pPr>
        <w:pStyle w:val="3"/>
        <w:topLinePunct/>
        <w:spacing w:line="412" w:lineRule="exact"/>
        <w:ind w:firstLine="480"/>
        <w:rPr>
          <w:rFonts w:ascii="微软雅黑" w:hAnsi="微软雅黑" w:eastAsia="微软雅黑"/>
          <w:sz w:val="24"/>
          <w:szCs w:val="24"/>
        </w:rPr>
      </w:pPr>
      <w:r>
        <w:rPr>
          <w:rFonts w:hint="eastAsia"/>
          <w:sz w:val="24"/>
          <w:szCs w:val="24"/>
        </w:rPr>
        <w:t>（四）浓缩饲料，是指主要由蛋白质、矿物质和饲料添加剂按照一定比例配制的饲料。</w:t>
      </w:r>
    </w:p>
    <w:p>
      <w:pPr>
        <w:pStyle w:val="3"/>
        <w:topLinePunct/>
        <w:spacing w:line="412" w:lineRule="exact"/>
        <w:ind w:firstLine="480"/>
        <w:rPr>
          <w:rFonts w:ascii="微软雅黑" w:hAnsi="微软雅黑" w:eastAsia="微软雅黑"/>
          <w:sz w:val="24"/>
          <w:szCs w:val="24"/>
        </w:rPr>
      </w:pPr>
      <w:r>
        <w:rPr>
          <w:rFonts w:hint="eastAsia"/>
          <w:sz w:val="24"/>
          <w:szCs w:val="24"/>
        </w:rPr>
        <w:t>（五）配合饲料，是指根据养殖动物营养需要，将多种饲料原料和饲料添加剂按照一定比例配制的饲料。</w:t>
      </w:r>
    </w:p>
    <w:p>
      <w:pPr>
        <w:pStyle w:val="3"/>
        <w:topLinePunct/>
        <w:spacing w:line="412" w:lineRule="exact"/>
        <w:ind w:firstLine="480"/>
        <w:rPr>
          <w:rFonts w:ascii="微软雅黑" w:hAnsi="微软雅黑" w:eastAsia="微软雅黑"/>
          <w:sz w:val="24"/>
          <w:szCs w:val="24"/>
        </w:rPr>
      </w:pPr>
      <w:r>
        <w:rPr>
          <w:rFonts w:hint="eastAsia"/>
          <w:sz w:val="24"/>
          <w:szCs w:val="24"/>
        </w:rPr>
        <w:t>（六）精料补充料，是指为补充草食动物的营养，将多种饲料原料和饲料添加剂按照一定比例配制的饲料。</w:t>
      </w:r>
    </w:p>
    <w:p>
      <w:pPr>
        <w:pStyle w:val="3"/>
        <w:topLinePunct/>
        <w:spacing w:line="412" w:lineRule="exact"/>
        <w:ind w:firstLine="480"/>
        <w:rPr>
          <w:rFonts w:ascii="微软雅黑" w:hAnsi="微软雅黑" w:eastAsia="微软雅黑"/>
          <w:sz w:val="24"/>
          <w:szCs w:val="24"/>
        </w:rPr>
      </w:pPr>
      <w:r>
        <w:rPr>
          <w:rFonts w:hint="eastAsia"/>
          <w:sz w:val="24"/>
          <w:szCs w:val="24"/>
        </w:rPr>
        <w:t>（七）营养性饲料添加剂，是指为补充饲料营养成分而掺入饲料中的少量或者微量物质，包括饲料级氨基酸、维生素、矿物质微量元素、酶制剂、非蛋白氮等。</w:t>
      </w:r>
    </w:p>
    <w:p>
      <w:pPr>
        <w:pStyle w:val="3"/>
        <w:topLinePunct/>
        <w:spacing w:line="412" w:lineRule="exact"/>
        <w:ind w:firstLine="480"/>
        <w:rPr>
          <w:rFonts w:ascii="微软雅黑" w:hAnsi="微软雅黑" w:eastAsia="微软雅黑"/>
          <w:sz w:val="24"/>
          <w:szCs w:val="24"/>
        </w:rPr>
      </w:pPr>
      <w:r>
        <w:rPr>
          <w:rFonts w:hint="eastAsia"/>
          <w:sz w:val="24"/>
          <w:szCs w:val="24"/>
        </w:rPr>
        <w:t>（八）一般饲料添加剂，是指为保证或者改善饲料品质、提高饲料利用率而掺入饲料中的少量或者微量物质。</w:t>
      </w:r>
    </w:p>
    <w:p>
      <w:pPr>
        <w:pStyle w:val="3"/>
        <w:topLinePunct/>
        <w:spacing w:line="412" w:lineRule="exact"/>
        <w:ind w:firstLine="480"/>
        <w:rPr>
          <w:rFonts w:ascii="微软雅黑" w:hAnsi="微软雅黑" w:eastAsia="微软雅黑"/>
          <w:sz w:val="24"/>
          <w:szCs w:val="24"/>
        </w:rPr>
      </w:pPr>
      <w:r>
        <w:rPr>
          <w:rFonts w:hint="eastAsia"/>
          <w:sz w:val="24"/>
          <w:szCs w:val="24"/>
        </w:rPr>
        <w:t>（九）药物饲料添加剂，是指为预防、治疗动物疾病而掺入载体或者稀释剂的兽药的预混合物质。</w:t>
      </w:r>
    </w:p>
    <w:p>
      <w:pPr>
        <w:pStyle w:val="3"/>
        <w:topLinePunct/>
        <w:spacing w:line="412" w:lineRule="exact"/>
        <w:ind w:firstLine="480"/>
        <w:rPr>
          <w:rFonts w:ascii="微软雅黑" w:hAnsi="微软雅黑" w:eastAsia="微软雅黑"/>
          <w:sz w:val="24"/>
          <w:szCs w:val="24"/>
        </w:rPr>
      </w:pPr>
      <w:r>
        <w:rPr>
          <w:rFonts w:hint="eastAsia"/>
          <w:sz w:val="24"/>
          <w:szCs w:val="24"/>
        </w:rPr>
        <w:t>（十）许可证明文件，是指新饲料、新饲料添加剂证书，饲料、饲料添加剂进口登记证，饲料、饲料添加剂生产许可证，饲料添加剂、添加剂预混合饲料产品批准文号。</w:t>
      </w:r>
    </w:p>
    <w:p>
      <w:pPr>
        <w:pStyle w:val="3"/>
        <w:topLinePunct/>
        <w:spacing w:line="412" w:lineRule="exact"/>
        <w:ind w:firstLine="482"/>
        <w:rPr>
          <w:rFonts w:ascii="微软雅黑" w:hAnsi="微软雅黑" w:eastAsia="微软雅黑"/>
          <w:sz w:val="24"/>
          <w:szCs w:val="24"/>
        </w:rPr>
      </w:pPr>
      <w:r>
        <w:rPr>
          <w:rFonts w:hint="eastAsia"/>
          <w:b/>
          <w:sz w:val="24"/>
          <w:szCs w:val="24"/>
        </w:rPr>
        <w:t>第五十条</w:t>
      </w:r>
      <w:r>
        <w:rPr>
          <w:rFonts w:hint="eastAsia"/>
          <w:sz w:val="24"/>
          <w:szCs w:val="24"/>
        </w:rPr>
        <w:t xml:space="preserve">  药物饲料添加剂的管理，依照《兽药管理条例》的规定执行。</w:t>
      </w:r>
    </w:p>
    <w:p>
      <w:pPr>
        <w:pStyle w:val="3"/>
        <w:topLinePunct/>
        <w:spacing w:line="412" w:lineRule="exact"/>
        <w:ind w:firstLine="482"/>
        <w:rPr>
          <w:sz w:val="24"/>
          <w:szCs w:val="24"/>
        </w:rPr>
      </w:pPr>
      <w:r>
        <w:rPr>
          <w:rFonts w:hint="eastAsia"/>
          <w:b/>
          <w:sz w:val="24"/>
          <w:szCs w:val="24"/>
        </w:rPr>
        <w:t>第五十一条</w:t>
      </w:r>
      <w:r>
        <w:rPr>
          <w:rFonts w:hint="eastAsia"/>
          <w:sz w:val="24"/>
          <w:szCs w:val="24"/>
        </w:rPr>
        <w:t xml:space="preserve">  本条例自2012年5月1日起施行。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54" w:name="_Toc28157019"/>
      <w:bookmarkStart w:id="855" w:name="_Toc28250947"/>
      <w:bookmarkStart w:id="856" w:name="_Toc28252222"/>
      <w:bookmarkStart w:id="857" w:name="_Toc25648241"/>
      <w:bookmarkStart w:id="858" w:name="_Toc26347997"/>
      <w:bookmarkStart w:id="859" w:name="_Toc25653736"/>
      <w:r>
        <w:t>饲料和饲料添加剂生产许可管理办法</w:t>
      </w:r>
      <w:bookmarkEnd w:id="843"/>
      <w:bookmarkEnd w:id="844"/>
      <w:bookmarkEnd w:id="845"/>
      <w:bookmarkEnd w:id="854"/>
      <w:bookmarkEnd w:id="855"/>
      <w:bookmarkEnd w:id="856"/>
      <w:bookmarkEnd w:id="857"/>
      <w:bookmarkEnd w:id="858"/>
      <w:bookmarkEnd w:id="859"/>
    </w:p>
    <w:p>
      <w:pPr>
        <w:pStyle w:val="62"/>
      </w:pPr>
      <w:r>
        <w:t>（</w:t>
      </w:r>
      <w:r>
        <w:rPr>
          <w:rFonts w:hint="eastAsia"/>
        </w:rPr>
        <w:t>2012年5月2日中华人民共和国农业部令2012年第3号公布，据2013年12月31日中华人民共和国农业部令第5号第一次修订，根据2016年5月30日中华人民共和国农业部令第3号第二次修订，根据2017年11月30日中华人民共和国农业部令第8号第三次修订</w:t>
      </w:r>
      <w:r>
        <w:t>）</w:t>
      </w:r>
    </w:p>
    <w:p>
      <w:pPr>
        <w:pStyle w:val="63"/>
        <w:spacing w:before="218" w:after="218" w:line="412" w:lineRule="exact"/>
        <w:rPr>
          <w:rFonts w:ascii="Times New Roman" w:hAnsi="Times New Roman"/>
        </w:rPr>
      </w:pPr>
      <w:r>
        <w:rPr>
          <w:rFonts w:ascii="Times New Roman"/>
        </w:rPr>
        <w:t>第一章</w:t>
      </w:r>
      <w:r>
        <w:rPr>
          <w:rFonts w:ascii="Times New Roman" w:hAnsi="Times New Roman"/>
        </w:rPr>
        <w:t xml:space="preserve">  </w:t>
      </w:r>
      <w:r>
        <w:rPr>
          <w:rFonts w:ascii="Times New Roman"/>
        </w:rPr>
        <w:t>总则</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第一条</w:t>
      </w:r>
      <w:r>
        <w:rPr>
          <w:rFonts w:cs="Times New Roman" w:asciiTheme="minorEastAsia" w:hAnsiTheme="minorEastAsia" w:eastAsiaTheme="minorEastAsia"/>
        </w:rPr>
        <w:t xml:space="preserve">  为加强饲料、饲料添加剂生产许可管理，维护饲料、饲料添加剂生产秩序，保障饲料、饲料添加剂质量安全，根据《饲料和饲料添加剂管理条例》，制定本办法。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第二条</w:t>
      </w:r>
      <w:r>
        <w:rPr>
          <w:rFonts w:cs="Times New Roman" w:asciiTheme="minorEastAsia" w:hAnsiTheme="minorEastAsia" w:eastAsiaTheme="minorEastAsia"/>
        </w:rPr>
        <w:t xml:space="preserve">  在中华人民共和国境内生产饲料、饲料添加剂，应当遵守本办法。</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第三条</w:t>
      </w:r>
      <w:r>
        <w:rPr>
          <w:rFonts w:cs="Times New Roman" w:asciiTheme="minorEastAsia" w:hAnsiTheme="minorEastAsia" w:eastAsiaTheme="minorEastAsia"/>
        </w:rPr>
        <w:t xml:space="preserve">  饲料和饲料添加剂生产许可证由省级人民政府饲料管理部门（以下简称省级饲料管理部门）核发。</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省级饲料管理部门可以委托下级饲料管理部门承担单一饲料、浓缩饲料、配合饲料和精料补充料生产许可申请的受理工作。</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第四条</w:t>
      </w:r>
      <w:r>
        <w:rPr>
          <w:rFonts w:cs="Times New Roman" w:asciiTheme="minorEastAsia" w:hAnsiTheme="minorEastAsia" w:eastAsiaTheme="minorEastAsia"/>
        </w:rPr>
        <w:t xml:space="preserve">  农业部设立饲料和饲料添加剂生产许可专家委员会，负责饲料和饲料添加剂生产许可的技术支持工作。</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省级饲料管理部门设立饲料和饲料添加剂生产许可证专家审核委员会，负责本行政区域内饲料和饲料添加剂生产许可的技术评审工作。</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第五条</w:t>
      </w:r>
      <w:r>
        <w:rPr>
          <w:rFonts w:cs="Times New Roman" w:asciiTheme="minorEastAsia" w:hAnsiTheme="minorEastAsia" w:eastAsiaTheme="minorEastAsia"/>
        </w:rPr>
        <w:t xml:space="preserve">  任何单位和个人有权举报生产许可过程中的违法行为，农业部和省级饲料管理部门应当依照权限核实、处理。</w:t>
      </w:r>
    </w:p>
    <w:p>
      <w:pPr>
        <w:pStyle w:val="63"/>
        <w:spacing w:before="218" w:after="218" w:line="412" w:lineRule="exact"/>
        <w:rPr>
          <w:rFonts w:ascii="Times New Roman" w:hAnsi="Times New Roman"/>
        </w:rPr>
      </w:pPr>
      <w:r>
        <w:rPr>
          <w:rFonts w:ascii="Times New Roman"/>
        </w:rPr>
        <w:t>第二章</w:t>
      </w:r>
      <w:r>
        <w:rPr>
          <w:rFonts w:ascii="Times New Roman" w:hAnsi="Times New Roman"/>
        </w:rPr>
        <w:t xml:space="preserve">  </w:t>
      </w:r>
      <w:r>
        <w:rPr>
          <w:rFonts w:ascii="Times New Roman"/>
        </w:rPr>
        <w:t>生产许可证核发</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第六条</w:t>
      </w:r>
      <w:r>
        <w:rPr>
          <w:rFonts w:cs="Times New Roman" w:asciiTheme="minorEastAsia" w:hAnsiTheme="minorEastAsia" w:eastAsiaTheme="minorEastAsia"/>
        </w:rPr>
        <w:t xml:space="preserve">  设立饲料、饲料添加剂生产企业，应当符合饲料工业发展规划和产业政策，并具备下列条件：</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（一）有与生产饲料、饲料添加剂相适应的厂房、设备和仓储设施；</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（二）有与生产饲料、饲料添加剂相适应的专职技术人员；</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（三）有必要的产品质量检验机构、人员、设施和质量管理制度；</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（四）有符合国家规定的安全、卫生要求的生产环境；</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（五）有符合国家环境保护要求的污染防治措施；</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（六）农业部制定的饲料、饲料添加剂质量安全管理规范规定的其他条件。</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第七条</w:t>
      </w:r>
      <w:r>
        <w:rPr>
          <w:rFonts w:cs="Times New Roman" w:asciiTheme="minorEastAsia" w:hAnsiTheme="minorEastAsia" w:eastAsiaTheme="minorEastAsia"/>
        </w:rPr>
        <w:t xml:space="preserve">  申请从事饲料、饲料添加剂生产的企业，申请人应当向生产地省级饲料管理部门提出申请。省级饲料管理部门应当自受理申请之日起10个工作日内进行书面审查；审查合格的，组织进行现场审核，并根据审核结果在10个工作日内作出是否核发生产许可证的决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生产许可证式样由农业部统一规定。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第八条</w:t>
      </w:r>
      <w:r>
        <w:rPr>
          <w:rFonts w:cs="Times New Roman" w:asciiTheme="minorEastAsia" w:hAnsiTheme="minorEastAsia" w:eastAsiaTheme="minorEastAsia"/>
        </w:rPr>
        <w:t xml:space="preserve">  取得饲料添加剂、添加剂预混合饲料生产许可证的企业，应当向省级饲料管理部门申请核发产品批准文号。</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第九条</w:t>
      </w:r>
      <w:r>
        <w:rPr>
          <w:rFonts w:cs="Times New Roman" w:asciiTheme="minorEastAsia" w:hAnsiTheme="minorEastAsia" w:eastAsiaTheme="minorEastAsia"/>
        </w:rPr>
        <w:t xml:space="preserve">  饲料、饲料添加剂生产企业委托其他饲料、饲料添加剂企业生产的，应当具备下列条件，并向各自所在地省级饲料管理部门备案：</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（一）委托产品在双方生产许可范围内；委托生产饲料添加剂、添加剂预混合饲料的，双方还应当取得委托产品的产品批准文号；</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（二）签订委托合同，依法明确双方在委托产品生产技术、质量控制等方面的权利和义务。</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受托方应当按照饲料、饲料添加剂质量安全管理规范和饲料添加剂安全使用规范及产品标准组织生产，委托方应当对生产全过程进行指导和监督。委托方和受托方对委托生产的饲料、饲料添加剂质量安全承担连带责任。</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委托生产的产品标签应当同时标明委托企业和受托企业的名称、注册地址、许可证编号；委托生产饲料添加剂、添加剂预混合饲料的，还应当标明受托方取得的生产该产品的批准文号。</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第十条</w:t>
      </w:r>
      <w:r>
        <w:rPr>
          <w:rFonts w:cs="Times New Roman" w:asciiTheme="minorEastAsia" w:hAnsiTheme="minorEastAsia" w:eastAsiaTheme="minorEastAsia"/>
        </w:rPr>
        <w:t xml:space="preserve">  生产许可证有效期为5年。</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生产许可证有效期满需继续生产的，应当在有效期届满6个月前向省级饲料管理部门提出续展申请，并提交相关材料。</w:t>
      </w:r>
    </w:p>
    <w:p>
      <w:pPr>
        <w:pStyle w:val="63"/>
        <w:spacing w:before="218" w:after="218" w:line="412" w:lineRule="exact"/>
        <w:rPr>
          <w:rFonts w:ascii="Times New Roman" w:hAnsi="Times New Roman"/>
        </w:rPr>
      </w:pPr>
      <w:r>
        <w:rPr>
          <w:rFonts w:ascii="Times New Roman"/>
        </w:rPr>
        <w:t>第三章</w:t>
      </w:r>
      <w:r>
        <w:rPr>
          <w:rFonts w:ascii="Times New Roman" w:hAnsi="Times New Roman"/>
        </w:rPr>
        <w:t xml:space="preserve">  </w:t>
      </w:r>
      <w:r>
        <w:rPr>
          <w:rFonts w:ascii="Times New Roman"/>
        </w:rPr>
        <w:t>生产许可证变更和补发</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第十一条</w:t>
      </w:r>
      <w:r>
        <w:rPr>
          <w:rFonts w:cs="Times New Roman" w:asciiTheme="minorEastAsia" w:hAnsiTheme="minorEastAsia" w:eastAsiaTheme="minorEastAsia"/>
        </w:rPr>
        <w:t xml:space="preserve">  饲料、饲料添加剂生产企业有下列情形之一的，应当按照企业设立程序重新办理生产许可证：</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（一）增加、更换生产线的；</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（二）增加单一饲料、饲料添加剂产品品种的；</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（三）生产场所迁址的；</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（四）农业部规定的其他情形。</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 xml:space="preserve">第十二条  </w:t>
      </w:r>
      <w:r>
        <w:rPr>
          <w:rFonts w:cs="Times New Roman" w:asciiTheme="minorEastAsia" w:hAnsiTheme="minorEastAsia" w:eastAsiaTheme="minorEastAsia"/>
        </w:rPr>
        <w:t>饲料、饲料添加剂生产企业有下列情形之一的，应当在15日内向企业所在地省级饲料管理部门提出变更申请并提交相关证明，由发证机关依法办理变更手续，变更后的生产许可证证号、有效期不变：</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（一）企业名称变更；</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（二）企业法定代表人变更；</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（三）企业注册地址或注册地址名称变更；</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（四）生产地址名称变更。</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 xml:space="preserve">第十三条 </w:t>
      </w:r>
      <w:r>
        <w:rPr>
          <w:rFonts w:cs="Times New Roman" w:asciiTheme="minorEastAsia" w:hAnsiTheme="minorEastAsia" w:eastAsiaTheme="minorEastAsia"/>
        </w:rPr>
        <w:t xml:space="preserve"> 生产许可证遗失或损毁的，应当在15日内向发证机关申请补发，由发证机关补发生产许可证。</w:t>
      </w:r>
    </w:p>
    <w:p>
      <w:pPr>
        <w:pStyle w:val="63"/>
        <w:spacing w:before="218" w:after="218" w:line="412" w:lineRule="exact"/>
        <w:rPr>
          <w:rFonts w:ascii="Times New Roman" w:hAnsi="Times New Roman"/>
        </w:rPr>
      </w:pPr>
      <w:r>
        <w:rPr>
          <w:rFonts w:ascii="Times New Roman"/>
        </w:rPr>
        <w:t>第四章</w:t>
      </w:r>
      <w:r>
        <w:rPr>
          <w:rFonts w:ascii="Times New Roman" w:hAnsi="Times New Roman"/>
        </w:rPr>
        <w:t xml:space="preserve">  </w:t>
      </w:r>
      <w:r>
        <w:rPr>
          <w:rFonts w:ascii="Times New Roman"/>
        </w:rPr>
        <w:t>监督管理</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第十四条</w:t>
      </w:r>
      <w:r>
        <w:rPr>
          <w:rFonts w:cs="Times New Roman" w:asciiTheme="minorEastAsia" w:hAnsiTheme="minorEastAsia" w:eastAsiaTheme="minorEastAsia"/>
        </w:rPr>
        <w:t xml:space="preserve">  饲料、饲料添加剂生产企业应当按照许可条件组织生产。生产条件发生变化，可能影响产品质量安全的，企业应当经所在地县级人民政府饲料管理部门报告发证机关。</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第十五条</w:t>
      </w:r>
      <w:r>
        <w:rPr>
          <w:rFonts w:cs="Times New Roman" w:asciiTheme="minorEastAsia" w:hAnsiTheme="minorEastAsia" w:eastAsiaTheme="minorEastAsia"/>
        </w:rPr>
        <w:t xml:space="preserve">  县级以上人民政府饲料管理部门应当加强对饲料、饲料添加剂生产企业的监督检查，依法查处违法行为，并建立饲料、饲料添加剂监督管理档案，记录日常监督检查、违法行为查处等情况。</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第十六条</w:t>
      </w:r>
      <w:r>
        <w:rPr>
          <w:rFonts w:cs="Times New Roman" w:asciiTheme="minorEastAsia" w:hAnsiTheme="minorEastAsia" w:eastAsiaTheme="minorEastAsia"/>
        </w:rPr>
        <w:t xml:space="preserve">  饲料、饲料添加剂生产企业应当在每年2月底前填写备案表，将上一年度的生产经营情况报企业所在地省级饲料管理部门备案。省级饲料管理部门应当在每年4月底前将企业备案情况汇总上报农业部。</w:t>
      </w:r>
    </w:p>
    <w:p>
      <w:pPr>
        <w:pStyle w:val="63"/>
        <w:spacing w:before="218" w:after="218" w:line="412" w:lineRule="exact"/>
        <w:rPr>
          <w:rFonts w:ascii="Times New Roman" w:hAnsi="Times New Roman"/>
        </w:rPr>
      </w:pPr>
      <w:r>
        <w:rPr>
          <w:rFonts w:ascii="Times New Roman"/>
        </w:rPr>
        <w:t>第五章</w:t>
      </w:r>
      <w:r>
        <w:rPr>
          <w:rFonts w:ascii="Times New Roman" w:hAnsi="Times New Roman"/>
        </w:rPr>
        <w:t xml:space="preserve">  </w:t>
      </w:r>
      <w:r>
        <w:rPr>
          <w:rFonts w:ascii="Times New Roman"/>
        </w:rPr>
        <w:t>罚则</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第十七条</w:t>
      </w:r>
      <w:r>
        <w:rPr>
          <w:rFonts w:cs="Times New Roman" w:asciiTheme="minorEastAsia" w:hAnsiTheme="minorEastAsia" w:eastAsiaTheme="minorEastAsia"/>
        </w:rPr>
        <w:t xml:space="preserve">  县级以上人民政府饲料管理部门工作人员，不履行本办法规定的职责或者滥用职权、玩忽职守、徇私舞弊的，依法给予处分；构成犯罪的，依法追究刑事责任。</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第十八条</w:t>
      </w:r>
      <w:r>
        <w:rPr>
          <w:rFonts w:cs="Times New Roman" w:asciiTheme="minorEastAsia" w:hAnsiTheme="minorEastAsia" w:eastAsiaTheme="minorEastAsia"/>
        </w:rPr>
        <w:t xml:space="preserve">  申请人隐瞒有关情况或者提供虚假材料申请生产许可的，饲料管理部门不予受理或者不予许可，并给予警告；申请人在1年内不得再次申请生产许可。</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第十九条</w:t>
      </w:r>
      <w:r>
        <w:rPr>
          <w:rFonts w:cs="Times New Roman" w:asciiTheme="minorEastAsia" w:hAnsiTheme="minorEastAsia" w:eastAsiaTheme="minorEastAsia"/>
        </w:rPr>
        <w:t xml:space="preserve">  以欺骗、贿赂等不正当手段取得生产许可证的，由发证机关撤销生产许可证，申请人在3年内不得再次申请生产许可；以欺骗方式取得生产许可证的，并处5万元以上10万元以下罚款；构成犯罪的，依法移送司法机关追究刑事责任。</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第二十条</w:t>
      </w:r>
      <w:r>
        <w:rPr>
          <w:rFonts w:cs="Times New Roman" w:asciiTheme="minorEastAsia" w:hAnsiTheme="minorEastAsia" w:eastAsiaTheme="minorEastAsia"/>
        </w:rPr>
        <w:t xml:space="preserve">  饲料、饲料添加剂生产企业有下列情形之一的，依照《饲料和饲料添加剂管理条例》第三十八条处罚：</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（一）超出许可范围生产饲料、饲料添加剂的；</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（二）生产许可证有效期届满后，未依法续展继续生产饲料、饲料添加剂的。</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第二十一条</w:t>
      </w:r>
      <w:r>
        <w:rPr>
          <w:rFonts w:cs="Times New Roman" w:asciiTheme="minorEastAsia" w:hAnsiTheme="minorEastAsia" w:eastAsiaTheme="minorEastAsia"/>
        </w:rPr>
        <w:t xml:space="preserve">  饲料、饲料添加剂生产企业采购单一饲料、饲料添加剂、药物饲料添加剂、添加剂预混合饲料，未查验相关许可证明文件的，依照《饲料和饲料添加剂管理条例》第四十条处罚。</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第二十二条</w:t>
      </w:r>
      <w:r>
        <w:rPr>
          <w:rFonts w:cs="Times New Roman" w:asciiTheme="minorEastAsia" w:hAnsiTheme="minorEastAsia" w:eastAsiaTheme="minorEastAsia"/>
        </w:rPr>
        <w:t xml:space="preserve">  其他违反本办法的行为，依照《饲料和饲料添加剂管理条例》的有关规定处罚。</w:t>
      </w:r>
    </w:p>
    <w:p>
      <w:pPr>
        <w:pStyle w:val="63"/>
        <w:spacing w:before="218" w:after="218" w:line="412" w:lineRule="exact"/>
        <w:rPr>
          <w:rFonts w:ascii="Times New Roman" w:hAnsi="Times New Roman"/>
        </w:rPr>
      </w:pPr>
      <w:r>
        <w:rPr>
          <w:rFonts w:ascii="Times New Roman"/>
        </w:rPr>
        <w:t>第六章</w:t>
      </w:r>
      <w:r>
        <w:rPr>
          <w:rFonts w:ascii="Times New Roman" w:hAnsi="Times New Roman"/>
        </w:rPr>
        <w:t xml:space="preserve">  </w:t>
      </w:r>
      <w:r>
        <w:rPr>
          <w:rFonts w:ascii="Times New Roman"/>
        </w:rPr>
        <w:t>附则</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第二十三条</w:t>
      </w:r>
      <w:r>
        <w:rPr>
          <w:rFonts w:cs="Times New Roman" w:asciiTheme="minorEastAsia" w:hAnsiTheme="minorEastAsia" w:eastAsiaTheme="minorEastAsia"/>
        </w:rPr>
        <w:t xml:space="preserve">  本办法所称添加剂预混合饲料，包括复合预混合饲料、微量元素预混合饲料、维生素预混合饲料。</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复合预混合饲料，是指以矿物质微量元素、维生素、氨基酸中任何两类或两类以上的营养性饲料添加剂为主，与其他饲料添加剂、载体和（或）稀释剂按一定比例配制的均匀混合物，其中营养性饲料添加剂的含量能够满足其适用动物特定生理阶段的基本营养需求，在配合饲料、精料补充料或动物饮用水中的添加量不低于0.1%且不高于10%。</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微量元素预混合饲料，是指两种或两种以上矿物质微量元素与载体和（或）稀释剂按一定比例配制的均匀混合物，其中矿物质微量元素含量能够满足其适用动物特定生理阶段的微量元素需求，在配合饲料、精料补充料或动物饮用水中的添加量不低于0.1%且不高于10%。</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维生素预混合饲料，是指两种或两种以上维生素与载体和（或）稀释剂按一定比例配制的均匀混合物，其中维生素含量应当满足其适用动物特定生理阶段的维生素需求，在配合饲料、精料补充料或动物饮用水中的添加量不低于0.01%且不高于10%。</w:t>
      </w:r>
    </w:p>
    <w:p>
      <w:pPr>
        <w:pStyle w:val="25"/>
        <w:widowControl w:val="0"/>
        <w:shd w:val="clear" w:color="auto" w:fill="FFFFFF"/>
        <w:topLinePunct/>
        <w:spacing w:beforeAutospacing="0" w:afterAutospacing="0" w:line="412" w:lineRule="exact"/>
        <w:ind w:firstLine="482" w:firstLineChars="200"/>
        <w:jc w:val="both"/>
        <w:rPr>
          <w:rFonts w:cs="Times New Roman" w:asciiTheme="minorEastAsia" w:hAnsiTheme="minorEastAsia" w:eastAsiaTheme="minorEastAsia"/>
        </w:rPr>
      </w:pPr>
      <w:r>
        <w:rPr>
          <w:rFonts w:cs="Times New Roman" w:asciiTheme="minorEastAsia" w:hAnsiTheme="minorEastAsia" w:eastAsiaTheme="minorEastAsia"/>
          <w:b/>
        </w:rPr>
        <w:t>第二十四条</w:t>
      </w:r>
      <w:r>
        <w:rPr>
          <w:rFonts w:cs="Times New Roman" w:asciiTheme="minorEastAsia" w:hAnsiTheme="minorEastAsia" w:eastAsiaTheme="minorEastAsia"/>
        </w:rPr>
        <w:t xml:space="preserve">  本办法自2012年7月1日起施行。农业部1999年12月9日发布的《饲料添加剂和添加剂预混合饲料生产许可证管理办法》、2004年7月14日发布的《动物源性饲料产品安全卫生管理办法》、2006年11月24日发布的《饲料生产企业审查办法》同时废止。</w:t>
      </w:r>
    </w:p>
    <w:p>
      <w:pPr>
        <w:pStyle w:val="25"/>
        <w:widowControl w:val="0"/>
        <w:shd w:val="clear" w:color="auto" w:fill="FFFFFF"/>
        <w:topLinePunct/>
        <w:spacing w:beforeAutospacing="0" w:afterAutospacing="0" w:line="412" w:lineRule="exact"/>
        <w:ind w:firstLine="480" w:firstLineChars="200"/>
        <w:jc w:val="both"/>
        <w:rPr>
          <w:rFonts w:cs="Times New Roman" w:asciiTheme="minorEastAsia" w:hAnsiTheme="minorEastAsia" w:eastAsiaTheme="minorEastAsia"/>
        </w:rPr>
      </w:pPr>
      <w:r>
        <w:rPr>
          <w:rFonts w:cs="Times New Roman" w:asciiTheme="minorEastAsia" w:hAnsiTheme="minorEastAsia" w:eastAsiaTheme="minorEastAsia"/>
        </w:rPr>
        <w:t>本办法施行前已取得饲料生产企业审查合格证、动物源性饲料产品生产企业安全卫生合格证的饲料生产企业，应当在2014年7月1日前依照本办法规定取得生产许可证。</w:t>
      </w:r>
    </w:p>
    <w:p>
      <w:pPr>
        <w:topLinePunct/>
        <w:spacing w:beforeLines="0" w:afterLines="0" w:line="416" w:lineRule="exact"/>
        <w:ind w:firstLine="480" w:firstLineChars="200"/>
        <w:rPr>
          <w:rFonts w:ascii="Times New Roman" w:hAnsi="Times New Roman" w:cs="Times New Roman"/>
          <w:sz w:val="24"/>
          <w:szCs w:val="24"/>
        </w:rPr>
      </w:pPr>
    </w:p>
    <w:p>
      <w:pPr>
        <w:pStyle w:val="3"/>
        <w:topLinePunct/>
        <w:spacing w:line="416" w:lineRule="exact"/>
        <w:ind w:firstLine="480"/>
        <w:rPr>
          <w:rFonts w:asciiTheme="minorEastAsia" w:hAnsiTheme="minorEastAsia" w:eastAsiaTheme="minorEastAsia"/>
          <w:kern w:val="0"/>
          <w:sz w:val="24"/>
          <w:szCs w:val="24"/>
        </w:rPr>
      </w:pP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60" w:name="_Toc21450021"/>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61" w:name="_Toc28250948"/>
      <w:bookmarkStart w:id="862" w:name="_Toc26347998"/>
      <w:bookmarkStart w:id="863" w:name="_Toc28252223"/>
      <w:bookmarkStart w:id="864" w:name="_Toc25648242"/>
      <w:bookmarkStart w:id="865" w:name="_Toc28157020"/>
      <w:bookmarkStart w:id="866" w:name="_Toc25653737"/>
      <w:r>
        <w:t>饲料质量安全管理规范</w:t>
      </w:r>
      <w:bookmarkEnd w:id="846"/>
      <w:bookmarkEnd w:id="847"/>
      <w:bookmarkEnd w:id="860"/>
      <w:bookmarkEnd w:id="861"/>
      <w:bookmarkEnd w:id="862"/>
      <w:bookmarkEnd w:id="863"/>
      <w:bookmarkEnd w:id="864"/>
      <w:bookmarkEnd w:id="865"/>
      <w:bookmarkEnd w:id="866"/>
    </w:p>
    <w:p>
      <w:pPr>
        <w:pStyle w:val="62"/>
      </w:pPr>
      <w:r>
        <w:t>（2014年1月13日中华人民共和国农业部令第1号公布，2017年11月30日中华人民共和国农业部令第8号公布的、自公布之日起施行《农业部关于修改和废止部分规章、规范性文件的决定》修订）</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为规范饲料企业生产行为，保障饲料产品质量安全，根据《饲料和饲料添加剂管理条例》，制定本规范。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本规范适用于添加剂预混合饲料、浓缩饲料、配合饲料和精料补充料生产企业（以下简称企业）。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企业应当按照本规范的要求组织生产，实现从原料采购到产品销售的全程质量安全控制。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企业应当及时收集、整理、记录本规范执行情况和生产经营状况，认真履行饲料统计义务。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有委托生产行为的，托方和受托方应当分别向所在地省级人民政府饲料管理部门备案。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县级以上人民政府饲料管理部门应当制定年度监督检查计划，对企业实施本规范的情况进行监督检查。</w:t>
      </w:r>
    </w:p>
    <w:p>
      <w:pPr>
        <w:pStyle w:val="63"/>
        <w:spacing w:before="218" w:after="218" w:line="412" w:lineRule="exact"/>
        <w:rPr>
          <w:b/>
        </w:rPr>
      </w:pPr>
      <w:r>
        <w:t xml:space="preserve">第二章 </w:t>
      </w:r>
      <w:r>
        <w:rPr>
          <w:rFonts w:hint="eastAsia"/>
        </w:rPr>
        <w:t xml:space="preserve"> </w:t>
      </w:r>
      <w:r>
        <w:t>原料采购与管理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企业应当加强对饲料原料、单一饲料、饲料添加剂、药物饲料添加剂、添加剂预混合饲料和浓缩饲料（ 以下简称原料）的采购管理，全面评估原料生产企业和经销商（以下简称供应商）的资质和产品质量保障能力，建立供应商评价和再评价制度，编制合格供应商名录，填写并保存供应商评价记录：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（一）供应商评价和再评价制度应当 规定供应商评价及再评价流程、评价内容、评价标准、评价记录等内容；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从原料生产企业采购的，供应商评价记录应当包括生产企业名称及生产地址、联系方式、许可证明文件编号（评价单一饲料、饲料添加剂、药物饲料添加剂、添加剂预混合饲料、浓缩饲料生产企业时填写）、原料通用名称及商品名称、评价内容、评价结论、评价日期、评价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（三）从原料经销商采购的，供应商评价记录应当包括经销商名称及注册地址、联系方式、营业执照注册号、原料通用名称及商品名称、评价内容、评价结论、评价日期、评价人等信息；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合格供应商名录应当包括供应商的名称、原料通用名称及商品名称、许可证明文件编号（供应商为单一饲料、饲料添加剂、药物饲料添加剂、添加剂预混合饲料、浓缩饲料生产企业时填写）、评价日期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企业统一采购原料供分支机构使用的，分支机构应当复制、保存前款规定的合格供应商名录和供应商评价记录。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企业应当建立原料采购验收制度和原料验收标准，逐批对采购的原料进行查验或者检验：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（一）原料采购验收制度应当 规定采购验收流程、查验要求、检验要求、原料验收标准、不合格原料处置、查验记录等内容；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（二）原料验收标准应当规定原料的通用名称、主成分指标验收值、卫生指标验收值等内容，卫生指标验收值应当符合有关法律法规和国家、行业标准的规定；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（三）企业采购实施行政许可的国 产单一饲料、饲料添加剂、药物饲料添加剂、添加剂预混合饲料、浓缩饲料的，应当逐批查验许可证明文件编号和产品质量检验合格证，填写并保存查验记录；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查验记录应当包括原料通用名称、生产企业、生产日期、查验内容、查验结果、查验人等信息；无许可证明文件编号和产品质量检验合格证的，或者经查验许可证明文件编号不实的，不得接收、使用；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企业采购实施登记或者注册管理的进口单一饲料、饲料添加剂、药物饲料添加剂、添加剂预混合饲料、浓缩饲料的，应当逐批查验进口许可证明文件编号，填写并保存查验记录；查验记录应当包括原料通用名称、生产企业、生产日期、查验内容、查验结果、查验人等信息；无进口许可证明文件编号的，或者经查验进口许可证明文件编号不实的，不得接收、使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企业采购不需行政许可的原料的，应当依据原料验收标准逐批查验供应商提供的该批原料的质量检验报告；无质量检验报告的，企业应当逐批对原料的主成分指标进行自行检验或者委托检验；不符合原料验收标准的，不得接收、使用；原料质量检验报告、自行检验结果、委托检验报告应当归档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企业应当每3个月至少选择5种原料，自行或者委托有资质的机构对其主要卫生指标进行检测，根据检测结果进行原料安全性评价，保存检测结果和评价报告；委托检测的，应当索取并保存受委托检测机构的计量认证或者实验室认可证书及附表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企业应当填写并保存原料进货台账，进货台账应当包括原料通用名称及商品名称、生产企业或者供货者名 称、联系方式、产地、数量、生产日期、保质期、查验或者检验信息、进货日期、经办人等信息。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进货台账保存期限不得少于2年。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企业应当建立原料仓储管理制度，填写并保存出入库记录：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（一）原料仓储管理制度应当规定库位规划、堆放方式、垛位标识、库房盘点、环境要求、虫鼠防范、库房安全、出入库记录等内容；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（二）出入库记录应当包括原料名称、包装规格、生产日期、供应商简称或者代码、入库数量和日期、出库数量和日 期、库存数量、保管人等信息。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企业应当按照“ 一垛一卡”的原则对原料实施垛位标识卡管理，垛位标识卡应当标明原料名称、供应商简称或者代码、垛位总量、已用数量、检验状态等信息。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企业应当对维生素、微生物和酶制剂等热敏物质的贮存温度进行监控，填写并保存温度监控记录。监控记录应当包括设定温度、实际温度、监控时间、记录人等信息。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监控中发现实际温度超出 设定温度范围的，应当采取有效措施及时处置。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按危险化学品管理的亚硒酸钠等饲料添加剂的贮存间或者贮存柜应当设立清晰的警示标识，采用双人双锁管理。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企业应当根据原料种类、库存时间、保质期、气候变化等因素建立长期库存原料质量监控制度，填写并保存监控记录：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（一）质量监控制度应当规定监控方式、监控内容、监控频次、异常情况界定、处置方式、处置权限、监控记录等内容；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（二）监控记录应当包括原料名称、监控内容、异常情况描述、处置方式、处置结果、监控日 期、监控人等信息。</w:t>
      </w:r>
    </w:p>
    <w:p>
      <w:pPr>
        <w:pStyle w:val="63"/>
        <w:spacing w:before="218" w:after="218" w:line="412" w:lineRule="exact"/>
        <w:rPr>
          <w:b/>
        </w:rPr>
      </w:pPr>
      <w:r>
        <w:t xml:space="preserve">第三章 </w:t>
      </w:r>
      <w:r>
        <w:rPr>
          <w:rFonts w:hint="eastAsia"/>
        </w:rPr>
        <w:t xml:space="preserve"> </w:t>
      </w:r>
      <w:r>
        <w:t>生产过程控制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企业应当制定工艺设计文件，设定生产工艺参数。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工艺设计文件应当包括生产工艺流程图、工艺说明 和生产设备清单等内容。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生产工艺应当至少设定以下参数：粉碎工艺设定筛片孔径，混合工艺设定混合时间，制粒工艺设定调质温度、蒸汽压力、环模规格、环模长径比、分级筛筛网孔径，膨化工艺设定调质温度、模板孔径。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企业应当根据实际工艺流程，制定以下主要作业岗位操作规程：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小料（指生产过程中，将微量添加的原料预先进行配料或者配料混合后获得的中间产品）配料岗位操作规程，规定小料原料的领取与核实、小料原料的放置与标识、称重电子秤校准与核查、现场清洁卫生、小料原料领取记录、小料配料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（二）小料预混合岗位操作规程，规定载体或者稀释剂领取、投料顺序、预混合时间、预混合产品分装与标识、现场清洁卫生、小料预混合记录等内容；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（三）小料投料与复核岗位操作规程，规定小料投放指令、小料复核、现场清洁卫生、小料投料与复核记录等内容；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（四）大料投料岗 位操作规程，规定投料指令、垛位取料、感官检查、现场清洁卫生、大料投料记录等内容；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（五）粉碎岗位操作规程，规定筛片锤片检查与更换、粉碎粒度、粉碎料入仓检查、喂料器和磁选设备清理、粉碎作业记录等内容；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（六）中控岗位操作规程，规定设备开启与关闭原则、微机配料软件启动与配方核对、混合时间设置、配料误差核查、进仓原料核实、中控作业记录等内容；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制粒岗位操作规程，规定设备开启与关闭原则、环模与分级筛网更换、破碎机轧距调节、制粒机润滑、调质参数监视、设备（制粒室、调质器、冷却器）清理、感官检查、现场清洁卫生、制粒作业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（八）膨化岗位操作规程，规定设备开启与关闭 原则、调质参数监视、设备（膨化室、调质器、冷却器、干燥器）清理、感官检查、现场清洁卫生、膨化作业记录等内容；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（九）包装岗位操作规程，规定标签与包装袋领取、标签与包装袋核对、感官检查、包重校验、现场清洁卫生、包装作业记录等内容；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（十）生产线清洗操作规程，规定清洗原则、清洗实施与效果评价、清洗料的放置与标识、清洗料使用、生产线清洗记录等内容。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企业应当根据实际工艺流程， 制定生产记录表单，填写并保存相关记录：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（一）小料原料领取记录，包括小料原料名称、领用数量、领取时间、领取人等信息；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（二）小料配料记录，包括小料名称、理论值、实际称重值、配料数量、作业时间、配料人等信息；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（三）小料预混合记录，包括小料名称、重量、批次、混合时间、作业时间、操作人等信息；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（四）小料投料与复核记录，包括产品名称、接收批数、投料批数、重量复核、剩余批数、作业时间、投料人等信息；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（五）大料投料记录，包括大料名称、投料数量、感官检查、作业时间、投料人等信息；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（六）粉碎作业记录，包括物料名称、粉碎机号、筛片规格、作业时间、操作人等信息；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（七）大料配料记录，包括配方编号、大料名称、配料仓号、理论值、实际值、作业时间、配料人等信息；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（八）中控作业记录，包括产品名称、配方编号、清洗料、理论产量、成品仓号、洗仓情况、作业时间、操作人等信息；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（九）制粒作业记录，包括产品名称、制粒机号、制粒仓号、调质温度、蒸汽压力、环模孔径、环模长径比、分级筛筛网孔径、感官检查、作业时间、操作人等信息；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（十）膨化作业记录，包括产品名称、调质温度、模板孔径、膨化温度、感官检查、作业时间、操作人等信息；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（十一）包装作业记录，包括产品名称、实际产量、包装规格、包数、感官检查、头尾包数量、作业时间、操作人等信息；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（十二）标签领用记录，包括产品名称、领用数量、班次用量、损毁数量、剩余数量、领取时间、领用人等信息；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（十三）生产线清洗记录，包括班次、清洗料名称、清洗料重量、清洗过程描述、作业时间、清洗人等信息；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（十四）清洗料使用记录，包括清洗料名称、生产班次、清洗料使用情况描述、使用时间、操作人等信息。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企业应当 采取有效措施防止生产过程中的交叉污染：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（一）按照“无药物的在先、有药物的在后”原则制定生产计划；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（二）生产含有药物饲料添加剂的产品后，生产不含药物饲料添加剂或者改变所用药物饲料添加剂品种的产品的，应当对生产线进行清洗；清洗料回用的，应当明确标识并回置于同品种产品中；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（三）盛放饲料添加剂、药物饲料添加剂、添加剂预混合饲料、含有药物饲料添加剂的产品及其中间产品的器具或者包装物应当明确标识，不得交叉混用；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（四）设备应当定期清理，及时清除残存料、粉尘积垢等残留物。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企业应当采取有效措施防止外来污染：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（一）生产车间应当配备防鼠、防鸟等设施，地面平整，无污垢积存；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（二）生产现场的原料、中间产品、返工料、清洗料、不合格品等应当分类存放，清晰标识；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（三）保持生产现场清洁，及时清理杂物；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（四）按照产品说明书规范使用润滑油、清洗剂；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（五）不得使用易碎、易断裂、易生锈的器具作为 称量或者盛放用具；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（六）不得在饲料生产过程中进行维修、焊接、气割等作业。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企业应当建立配方管理制度，规定配方的设计、审核、批准、更改、传递、使用等内容。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企业应当建立产品标签管理制度，规定标签的设计、审核、保管、使用、销毁等内容。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产品标签应当专库（柜）存放，专人管理。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企业应当对生产配方中 添加比例小于0.2%的原料进行预混合。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企业应当根据产品 混合均匀度要求，确定产品的最佳混合时间，填写并保存最佳混合时间实验记录。实验记录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应当包括混合机编号、混合物料名称、混合次数、混合时间、检验结果、最佳混合时间、检验日 期、检验人等信息。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应当每6个月按照产品类别（添加剂预混合饲料、配合饲料、浓缩饲料、精料补充料）进行至少1次混合均匀度验证，填写并保存混合均匀度验证记录。验证记录应当包括产品名称、混合机编号、混合时间、检验方法、检验结果、验证结论、检验日期、检验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混合机发生故障经修复投入生产前，应当按照前款规定进行混合均匀度验证。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企业应当建立生产设备管理制度和档案，制定粉碎机、混合机、制粒机、膨化机、空气压缩机等关键设备操作规程，填写并保存维护保养记录和维修记录：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（一）生产设备管理制度应当规定采购与验收、档案管理、使用操作、维护保养、备品备件管理、维护保养记录、维修记录等内容；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（二）设备操作规程应当规定开机前准备、启动与关闭、操作步骤、关机后整理、日常维护保养等内容；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（三）维护保养记录应当包括设备名称、设备编号、保养项目、保养日期、保养人等信息；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（四）维修记录应当包括设备名称、设备编号、维修部位、故障描述、维修方式及效果、维修日期、维修人等信息；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（五）关键设备应当实行“ 一机一档”管理，档案包括基本信息表（名称、编号、规格型号、制造厂家、联系方式、安装日期、投入使用日期）、使用说明书、操作规程、维护保养记录、维修记录等内容。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企业应当严格执行国家安全生产相关法律法规。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生产设备、辅助系统应当处于正常工作状态；锅炉、压力容器等特种设备应当通过安全检查；计量秤、地磅、压力表等测量设备应当定期检定或者校验。</w:t>
      </w:r>
    </w:p>
    <w:p>
      <w:pPr>
        <w:pStyle w:val="63"/>
        <w:spacing w:before="218" w:after="218" w:line="412" w:lineRule="exact"/>
        <w:rPr>
          <w:b/>
        </w:rPr>
      </w:pPr>
      <w:r>
        <w:t xml:space="preserve">第四章 </w:t>
      </w:r>
      <w:r>
        <w:rPr>
          <w:rFonts w:hint="eastAsia"/>
        </w:rPr>
        <w:t xml:space="preserve"> </w:t>
      </w:r>
      <w:r>
        <w:t>产品质量控制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企业应当建立现场质量巡查制度，填写并保存现场质量巡查记录：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（一）现场质量巡查制度应当 规定巡查位点、巡查内容、巡查频次、异常情况界定、处置方式、处置权限、巡查记录等内容；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（二）现场质量巡查记录应当 包括巡查位点、巡查内容、异常情况描述、处置方式、处置结果、巡查时间、巡查人等信息。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企业应当建立检验管理制度，规定人员资质与职责、样品抽取与检验、检验结果判定、检验报告编制与审核、产品质量检验合格证签发等内容。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企业应当根据产品 质量标准实施出厂检验，填写并保存产品出厂检验记录；检验记录应当包括产品名称或者编号、检验项目、检验方法、计算公式中符号的含义和数值、检验结果、检验日期、检验人等信息。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产品出厂检验记录保存期限不得少于2年。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企业应当每周从其生产的产品中至少抽取5个批次的产品自行检验下列主成分指标：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（一）维生素预混合饲料：两种以上维生素；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（二）微量元素预混合饲料：两种以上微量元素；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（三）复合预混合饲料：两种以上维生素和两种以上微量元素；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（四）浓缩饲料、配合饲料、精料补充料：粗蛋白质、粗灰分、钙、总磷。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主成分指标检验记录保存期限不得少于2年。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企业应当根据仪器设备配置情况，建立分析天平、高温炉、干燥箱、酸度计、分光光度计、高效液相色谱仪、原子吸收分光光度计等主要仪器设备操作规程和档案，填写并保存仪器设备使用记录：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（一）仪器设备操作规程应当规定开机前准备、开机顺序、操作步骤、关机顺序、关机后整理、日常维护、使用记录等内容；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（二）仪器设备使用记录应当包括仪器设备名称、型号或者编号、使用日 期、样品名称或者编号、检验项目、开始时间、完毕时间、仪器设备运行前后状态、使用人等信息；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（三）仪器设备应当实行“一机一档”管理，档案包括仪器基本信息表（名称、编号、型号、制造厂家、联系方式、安装日期、投入使用日期）、使用说明书、购置合同、操作规程、使用记录等内容。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企业应当建立化学试剂和危险化学品管理制度，规定采购、贮存要求、出入库、使用、处理等内 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化学试剂、危险化学品以及试验溶液的使用，应当遵循GB/T601、GB/T602、GB/T603以及检验方法标准的要求。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企业应当填写并保存危险化学品出入库记录，记录应当包括危险化学品名称、入库数量和日期、出库数量和日期、保管人等信息。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企业应当每年选择5个检验项目，采取以下一项或者多项措施进行检验能力验证，对验证结果进行评价并编制评价报告：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（一）同具有法定资质的检验机构进行检验比对；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（二）利用购买的标准物质或者高纯度化学试剂进行检验验证；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（三）在实验室内部进行不同人员、不同仪器的检验比对；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（四）对曾经检验过的留存样品进行再检验；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（五）利用检验质量控制图等数理统计手段识别异常数据。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企业应当建立产品 留样观察制度，对每批次产品实施留样观察，填写并保存留样观察记录：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（一）留样观察制度应当规定留样数量、留样标识、贮存环境、观察内容、观察频次、异常情况界定、处置方式、处置权限、到期样品处理、留样观察记录等内容；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（二）留样观察记录应当包括产品名称或者编号、生产日期或者批号、保质截止日期、观察内容、异常情况描述、处置方式、处置结果、观察日期、观察人等信息。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留样保存时间应当超过产品保质期1个月。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企业应当建立不合格品 管理制度，填写并保存不合格品处置记录：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（一）不合格品 管理制度应当规定不合格品 的界定、标识、贮存、处置方式、处置权限、处置记录等内容；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（二）不合格品处置记录应当包括不合格品的名称、数量、不合格原因、处置方式、处置结果、处置日 期、处置人等信息。</w:t>
      </w:r>
    </w:p>
    <w:p>
      <w:pPr>
        <w:pStyle w:val="63"/>
        <w:spacing w:before="218" w:after="218" w:line="412" w:lineRule="exact"/>
        <w:rPr>
          <w:b/>
        </w:rPr>
      </w:pPr>
      <w:r>
        <w:t>第五章</w:t>
      </w:r>
      <w:r>
        <w:rPr>
          <w:rFonts w:hint="eastAsia"/>
        </w:rPr>
        <w:t xml:space="preserve"> </w:t>
      </w:r>
      <w:r>
        <w:t xml:space="preserve"> 产品贮存与运输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企业应当建立产品 仓储管理制度，填写并保存出入库记录：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（一）仓储管理制度应当规定库位规划、堆放方式、垛位标识、库房盘点、环境要求、虫鼠防范、库房安全、出入库记录等内容；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（二）出入库记录应当包括产品名称、规格或者等级、生产日期、入库数量和日期、出库数量和日期、库存数量、保管人等信息；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（三）不同产品的垛位之间应当保持适当距离；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（四）不合格产品和过期产品应当隔离存放并有清晰标识。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企业应当在产品 装车前对运输车辆的安全、卫生状况实施检查。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企业使用罐装车运输产品的，应当专车专用，并随车附具产品标签和产品质量检验合格证。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装运不同产品时，应当对罐体进行清理。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企业应当填写并保存产品销售台账。销售台账应当包括产品的名称、数量、生产日期、生产批次、质量检验信息、购货者名称及其联系方式、销售日期等信息。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销售台账保存期限不得少于2年。</w:t>
      </w:r>
    </w:p>
    <w:p>
      <w:pPr>
        <w:pStyle w:val="63"/>
        <w:spacing w:before="218" w:after="218" w:line="412" w:lineRule="exact"/>
        <w:rPr>
          <w:b/>
        </w:rPr>
      </w:pPr>
      <w:r>
        <w:t xml:space="preserve">第六章 </w:t>
      </w:r>
      <w:r>
        <w:rPr>
          <w:rFonts w:hint="eastAsia"/>
        </w:rPr>
        <w:t xml:space="preserve"> </w:t>
      </w:r>
      <w:r>
        <w:t>产品投诉与召回</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企业应当建立客户投诉处理制度，填写并保存客户投诉处理记录：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（一）投诉处理制度应当规定投诉受理、处理方法、处理权限、投诉处理记录等内容；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（二）投诉处理记录应当包括投诉日期、投诉人姓名和地址、产品名称、生产日期、投诉内容、处理结 果、处理日期、处理人等信息。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企业应当建立产品召回制度，填写并保存召回记录：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（一）召回制度应当规定召回流程、召回产品 的标识和贮存、召回记录等内容；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（二）召回记录应当包括产品名称、召回产品使用者、召回数量、召回日期等信息。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企业应当每年至少进行1次产品召回模拟演练，综合评估演练结果并编制模拟演练总结报告。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企业应当在饲料管理部门的监督下对召回产品进行无害化处理或者销毁，填写并保存召回产品处置记录。处置记录应当包括处置产品名称、数量、处置方式、处置日期、处置人、监督人等信息。</w:t>
      </w:r>
    </w:p>
    <w:p>
      <w:pPr>
        <w:pStyle w:val="63"/>
        <w:spacing w:before="218" w:after="218" w:line="412" w:lineRule="exact"/>
        <w:rPr>
          <w:b/>
        </w:rPr>
      </w:pPr>
      <w:r>
        <w:t xml:space="preserve">第七章 </w:t>
      </w:r>
      <w:r>
        <w:rPr>
          <w:rFonts w:hint="eastAsia"/>
        </w:rPr>
        <w:t xml:space="preserve"> </w:t>
      </w:r>
      <w:r>
        <w:t>培训、卫生和记录管理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企业应当建立人员培训制度，制定年度培训计划，每年对员 工进行至少2次饲料质量安全知识培训，填写并保存培训记录：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（一）人员培训制度应当规定培训 范围、培训内容、培训方式、考核方式、效果评价、培训记录等内容；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（二）培训记录应当包括培训对象、内容、师资、日期、地点、考核方式、考核结果等信息。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厂区环境卫生应当符合国家有关规定。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企业应当建立记录管理制度，规定记录表单的编制、格式、编号、审批、印发、修订、填写、存档、保存期限等内容。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除本规范中明确规定保存期限的记录外，其他记录保存期限不得少于1年。</w:t>
      </w:r>
    </w:p>
    <w:p>
      <w:pPr>
        <w:pStyle w:val="63"/>
        <w:spacing w:before="218" w:after="218" w:line="412" w:lineRule="exact"/>
        <w:rPr>
          <w:b/>
        </w:rPr>
      </w:pPr>
      <w:r>
        <w:t xml:space="preserve">第八章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本规范自2015年7月1日起施行。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67" w:name="_Toc466579867"/>
      <w:bookmarkStart w:id="868" w:name="_Toc21450022"/>
      <w:bookmarkStart w:id="869" w:name="_Toc16138"/>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70" w:name="_Toc25653738"/>
      <w:bookmarkStart w:id="871" w:name="_Toc25648243"/>
      <w:bookmarkStart w:id="872" w:name="_Toc28252224"/>
      <w:bookmarkStart w:id="873" w:name="_Toc28250949"/>
      <w:bookmarkStart w:id="874" w:name="_Toc28157021"/>
      <w:bookmarkStart w:id="875" w:name="_Toc26347999"/>
      <w:r>
        <w:t>进口饲料和饲料添加剂登记管理办法</w:t>
      </w:r>
      <w:bookmarkEnd w:id="867"/>
      <w:bookmarkEnd w:id="868"/>
      <w:bookmarkEnd w:id="869"/>
      <w:bookmarkEnd w:id="870"/>
      <w:bookmarkEnd w:id="871"/>
      <w:bookmarkEnd w:id="872"/>
      <w:bookmarkEnd w:id="873"/>
      <w:bookmarkEnd w:id="874"/>
      <w:bookmarkEnd w:id="875"/>
    </w:p>
    <w:p>
      <w:pPr>
        <w:pStyle w:val="62"/>
        <w:rPr>
          <w:b/>
        </w:rPr>
      </w:pPr>
      <w:r>
        <w:t>（2014年1月13日中华人民共和国农业部令第2号公布，根据2016年5月30日中华人民共和国农业部令第3号公布、自2016年6月1日起施行的《农业部关于废止和修改部分规章、规范性文件的决定》第一次修订，根据2017年11月30日中华人民共和国农业部令第8号公布的、自公布之日起施行《农业部关于修改和废止部分规章、规范性文件的决定》第二次修订）</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为加强进口饲料、饲料添加剂监督管理，保障动物产品质量安全，根据《饲料和饲料添加剂管理条例》，制定本办法。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本办法所称饲料，是指经工业化加工、制作的供动物食用的产品，包括单一饲料、添加剂预混合饲料、浓缩饲料、配合饲料和精料补充料。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本办法所称饲料添加剂，是指在饲料加工、制作、使用过程中添加的少量或者微量物质，包括营养性饲料添加剂和一般饲料添加剂。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境外企业首次向中国出口饲料、饲料添加剂，应当向农业部申请进口登记，取得饲料、饲料添加剂进口登记证；未取得进口登记证的，不得在中国境内销售、使用。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境外企业申请进口登记，由</w:t>
      </w:r>
      <w:r>
        <w:rPr>
          <w:rFonts w:asciiTheme="minorEastAsia" w:hAnsiTheme="minorEastAsia" w:eastAsiaTheme="minorEastAsia"/>
          <w:bCs/>
          <w:sz w:val="24"/>
          <w:szCs w:val="24"/>
        </w:rPr>
        <w:t>境外企业驻中国境内的办事机构</w:t>
      </w:r>
      <w:r>
        <w:rPr>
          <w:rFonts w:asciiTheme="minorEastAsia" w:hAnsiTheme="minorEastAsia" w:eastAsiaTheme="minorEastAsia"/>
          <w:sz w:val="24"/>
          <w:szCs w:val="24"/>
        </w:rPr>
        <w:t>或者委托的中国境内代理机构办理。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申请进口登记的饲料、饲料添加剂，应当符合生产地和中国的相关法律法规、技术规范的要求。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生产地未批准生产、使用或者禁止生产、使用的饲料、饲料添加剂，不予登记。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申请饲料、饲料添加剂进口登记，应当向农业部提交真实、完整、规范的申请资料（中英文对照，一式两份）和样品。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申请资料包括：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（一）饲料、饲料添加剂进口登记申请表；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委托书和境内代理机构资质证明：境外企业委托其常驻中国代表机构代理登记的，应当提供委托书原件和《外国企业常驻中国代表机构登记证》复印件；委托境内其他机构代理登记的，应当提供委托书原件和代理机构法人营业执照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（三）生产地批准生产、使用的证明，生产地以外其他国家、地区的登记资料，产品推广应用情况；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（四）进口饲料的产品名称、组成成分、理化性质、适用范围、使用方法；进口饲料添加剂的产品名称、主要成分、理化性质、产品来源、使用目的、适用范围、使用方法；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（五）生产工艺、质量标准、检测方法和检验报告；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（六）生产地使用的标签、商标和中文标签式样；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（七）微生物产品或者发酵制品，还应当提供生产所用菌株的保藏情况说明。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向中国出口本办法第十三条规定的饲料、饲料添加剂的，还应当提交以下申请资料：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（一）有效组分的化学结构鉴定报告或动物、植物、微生物的分类鉴定报告；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部指定的试验机构出具的产品有效性评价试验报告、安全性评价试验报告（包括靶动物耐受性评价报告、毒理学安全评价报告、代谢和残留评价报告等）；申请饲料添加剂进口登记的，还应当提供该饲料添加剂在养殖产品中的残留可能对人体健康造成影响的分析评价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（三）稳定性试验报告、环境影响报告；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（四）在饲料产品中有最高限量要求的，还应当提供最高限量值和有效组分在饲料产品中的检测方法。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产品样品应当符合以下要求：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（一）每个产品提供3个批次、每个批次2份的样品，每份样品不少于检测需要量的5倍；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（二）必要时提供相关的标准品或者化学对照品。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农业部自受理申请之日起 10个工作日内对申请资料进行审查；审查合格的，通知申请人将样品交由农业部指定的检验机构进行复核检测。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复核检测包括质量标准复核和样品检测。检测方法有国家标准和行业标准的，优先采用国家标准或者行业标准；没有国家标准和行业标准的，采用申请人提供的检测方法；必要时，检验机构可以根据实际情况对检测方法进行调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检验机构应当在 3个月内完成复核检测工作，并将复核检测报告报送农业部，同时抄送申请人。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境外企业对复核检测结果有异议的，应当自收到复核检测报告之日起15个工作日内申请复检。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复核检测合格的，农业部在10个工作日内核发饲料、饲料添加剂进口登记证，并予以公告。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申请进口登记的饲料、饲料添加剂有下列情形之一的，由农业部依照新饲料、新饲料添加剂的评审程序组织评审：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（一）向中国出口中国境内尚未使用但生产地已经批准生产和使用的饲料、饲料添加剂的；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（二）饲料添加剂扩大适用范围的；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（三）饲料添加剂含量规格低于饲料添加剂安全使用规范要求的，但由饲料添加剂与载体或者稀释剂按照一定比例配制的除外；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（四）饲料添加剂生产工艺发生重大变化的；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（五）农业部已核发新饲料、新饲料添加剂证书的产品，自获证之日起超过3年未投入生产的；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（六）存在质量安全风险的其他情形。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饲料、饲料添加剂进口登记证有效期为5年。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饲料、饲料添加剂进口登记证有效期满需要继续向中国出口饲料、饲料添加剂的，应当在有效期届满6个月前申请续展。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申请续展应当提供以下资料：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（一）进口饲料、饲料添加剂续展登记申请表；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（二）进口登记证复印件；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（三）委托书和境内代理机构资质证明；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（四）生产地批准生产、使用的证明；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（五）质量标准、检测方法和检验报告；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（六）生产地使用的标签、商标和中文标签式样。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有下列情形之一的，申请续展时还应当提交样品进行复核检测：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（一）根据相关法律法规、技术规范，需要对产品质量安全检测项目进行调整的；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（二）产品检测方法发生改变的；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（三）监督抽查中有不合格记录的。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进口登记证有效期内，进口饲料、饲料添加剂的生产场所迁址，或者产品质量标准、生产工艺、适用范围等发生变化的，应当重新申请登记。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进口饲料、饲料添加剂在进口登记证有效期内有下列情形之一的，应当申请变更登记：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（一）产品的中文或外文商品名称改变的；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（二）申请企业名称改变的；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（三）生产厂家名称改变的；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（四）生产地址名称改变的。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申请变更登记应当提供以下资料：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（一）进口饲料、饲料添加剂变更登记申请表；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（二）委托书和境内代理机构资质证明；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（三）进口登记证原件；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（四）变更说明及相关证明文件。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农业部在受理变更登记申请后 10个工作日内作出是否准予变更的决定。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从事进口饲料、饲料添加剂登记工作的相关单位和人员，应当对申请人提交的需要保密的技术资料保密。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境外企业应当依法在中国境内设立销售机构或者委托符合条件的中国境内代理机构销售进口饲料、饲料添加剂。境外企业不得直接在中国境内销售进口饲料、饲料添加剂。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境外企业应当在取得饲料、饲料添加剂进口登记证之日起6个月内，在中国境内设立销售机构或者委托销售代理机构并报农业部备案。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前款规定的销售机构或者销售代理机构发生变更的，应当在1个月内报农业部重新备案。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进口饲料、饲料添加剂应当包装，包装应当符合中国有关安全、卫生的规定，并附具符合规定的中文标签。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进口饲料、饲料添加剂在使用过程中被证实对养殖动物、人体健康或环境有害的，由农业部公告禁用并撤销进口登记证。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饲料、饲料添加剂进口登记证有效期内，生产地禁止使用该饲料、饲料添加剂产品或者撤销其生产、使用许可的，境外企业应当立即向农业部报告，由农业部撤销进口登记证并公告。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境外企业发现其向中国出口的饲料、饲料添加剂对养殖动物、人体健康有害或者存在其他安全隐患的，应当立即通知其在中国境内的销售机构或者销售代理机构，并向农业部报告。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境外企业在中国境内的销售机构或者销售代理机构应当主动召回前款规定的产品，记录召回情况，并向销售地饲料管理部门报告。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召回的产品应当在县级以上地方人民政府饲料管理部门监督下予以无害化处理或者销毁。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业部和县级以上地方人民政府饲料管理部门，应当根据需要定期或者不定期组织实施进口饲料、饲料添加剂监督抽查；进口饲料、饲料添加剂监督抽查检测工作由农业部或者省、自治区、直辖市人民政府饲料管理部门指定的具有相应技术条件的机构承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进口饲料、饲料添加剂监督抽查检测，依据进口登记过程中复核检测确定的质量标准进行。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农业部和省级人民政府饲料管理部门应当及时公布监督抽查结果，并可以公布具有不良记录的境外企业及其销售机构、销售代理机构名单。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从事进口饲料、饲料添加剂登记工作的相关人员，不履行本办法规定的职责或者滥用职权、玩忽职守、徇私舞弊的，依法给予处分；构成犯罪的，依法追究刑事责任。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提供虚假资料、样品或者采取其他欺骗手段申请进口登记的，农业部对该申请不予受理或者不予批准，1年内不再受理该境外企业和登记代理机构的进口登记申请。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提供虚假资料、样品或者采取其他欺骗方式取得饲料、饲料添加剂进口登记证的，由农业部撤销进口登记证，对登记代理机构处5万元以上10万元以下罚款，3年内不再受理该境外企业和登记代理机构的进口登记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其他违反本办法的行为，依照《饲料和饲料添加剂管理条例》的有关规定处罚。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本办法自 2014年7月1日起施行。农业部2000年8月17日公布、2004年7月1日修订的《进口饲料和饲料添加剂登记管理办法》同时废止。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76" w:name="_Toc21450023"/>
      <w:bookmarkStart w:id="877" w:name="_Toc17017"/>
      <w:bookmarkStart w:id="878" w:name="_Toc46657986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79" w:name="_Toc28157022"/>
      <w:bookmarkStart w:id="880" w:name="_Toc25648244"/>
      <w:bookmarkStart w:id="881" w:name="_Toc25653739"/>
      <w:bookmarkStart w:id="882" w:name="_Toc26348000"/>
      <w:bookmarkStart w:id="883" w:name="_Toc28252225"/>
      <w:bookmarkStart w:id="884" w:name="_Toc28250950"/>
      <w:r>
        <w:t>新饲料和新饲料添加剂管理办法</w:t>
      </w:r>
      <w:bookmarkEnd w:id="876"/>
      <w:bookmarkEnd w:id="877"/>
      <w:bookmarkEnd w:id="878"/>
      <w:bookmarkEnd w:id="879"/>
      <w:bookmarkEnd w:id="880"/>
      <w:bookmarkEnd w:id="881"/>
      <w:bookmarkEnd w:id="882"/>
      <w:bookmarkEnd w:id="883"/>
      <w:bookmarkEnd w:id="884"/>
    </w:p>
    <w:p>
      <w:pPr>
        <w:pStyle w:val="62"/>
        <w:rPr>
          <w:b/>
        </w:rPr>
      </w:pPr>
      <w:r>
        <w:t>（2012年5月2日中华人民共和国</w:t>
      </w:r>
      <w:bookmarkStart w:id="885" w:name="OLE_LINK60"/>
      <w:r>
        <w:t>农业部令第4号</w:t>
      </w:r>
      <w:bookmarkEnd w:id="885"/>
      <w:r>
        <w:t>公布，根据2016年5月30日中华人民共和国农业部令第3号公布、自</w:t>
      </w:r>
      <w:bookmarkStart w:id="886" w:name="OLE_LINK61"/>
      <w:r>
        <w:t>2016年6月1日</w:t>
      </w:r>
      <w:bookmarkEnd w:id="886"/>
      <w:r>
        <w:t>起施行的《农业部关于废止和修改部分规章、规范性文件的决定》修订）</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为加强新饲料、新饲料添加剂管理，保障养殖动物产品质量安全，根据《饲料和饲料添加剂管理条例》，制定本办法。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本办法所称新饲料，是指我国境内新研制开发的尚未批准使用的单一饲料。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本办法所称新饲料添加剂，是指我国境内新研制开发的尚未批准使用的饲料添加剂。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有下列情形之一的，应当向农业部提出申请，参照本办法规定的新饲料、新饲料添加剂审定程序进行评审，评审通过的，由农业部公告作为饲料、饲料添加剂生产和使用，但不发给新饲料、新饲料添加剂证书：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（一）饲料添加剂扩大适用范围的；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（二）饲料添加剂含量规格低于饲料添加剂安全使用规范要求的，但由饲料添加剂与载体或者稀释剂按照一定比例配制的除外；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（三）饲料添加剂生产工艺发生重大变化的；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（四）新饲料、新饲料添加剂自获证之日起超过3年未投入生产，其他企业申请生产的；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（五）农业部规定的其他情形。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研制新饲料、新饲料添加剂，应当遵循科学、安全、有效、环保的原则，保证新饲料、新饲料添加剂的质量安全。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农业部负责新饲料、新饲料添加剂审定。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全国饲料评审委员会（以下简称评审委）组织对新饲料、新饲料添加剂的安全性、有效性及其对环境的影响进行评审。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新饲料、新饲料添加剂投入生产前，研制者或者生产企业（以下简称申请人）应当向农业部提出审定申请，并提交新饲料、新饲料添加剂的申请资料和样品。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申请资料包括：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（一）新饲料、新饲料添加剂审定申请表；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（二）产品名称及命名依据、产品研制目的；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（三）有效组分、理化性质及有效组分化学结构的鉴定报告，或者动物、植物、微生物的分类（菌种）鉴定报告，微生物发酵制品还应当提供生产所用菌株的菌种鉴定报告；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（四）适用范围、使用方法、在配合饲料或全混合日粮中的推荐用量，必要时提供最高限量值；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（五）生产工艺、制造方法及产品稳定性试验报告；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（六）质量标准草案及其编制说明和产品检测报告；有最高限量要求的，还应提供有效组分在配合饲料、浓缩饲料、精料补充料、添加剂预混合饲料中的检测方法；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农业部指定的试验机构出具的产品有效性评价试验报告、安全性评价试验报告（包括靶动物耐受性评价报告、毒理学安全评价报告、代谢和残留评价报告等）；申请新饲料添加剂审定的，还应当提供该新饲料添加剂在养殖产品中的残留可能对人体健康造成影响的分析评价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（八）标签式样、包装要求、贮存条件、保质期和注意事项；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（九）中试生产总结和“三废”处理报告；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（十）对他人的专利不构成侵权的声明。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产品样品应当符合以下要求：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（一）来自中试或工业化生产线；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（二）每个产品提供连续3个批次的样品，每个批次4份样品，每份样品不少于检测需要量的5倍；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（三）必要时提供相关的标准品或化学对照品。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有效性评价试验机构和安全性评价试验机构应当按照农业部制定的技术指导文件或行业公认的技术标准，科学、客观、公正开展试验，不得与研制者、生产企业存在利害关系。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承担试验的专家不得参与该新饲料、新饲料添加剂的评审工作。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农业部自受理申请之日起5个工作日内，将申请资料和样品交评审委进行评审。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新饲料、新饲料添加剂的评审采取评审会议的形式。评审会议应当有9名以上评审委专家参加，根据需要也可以邀请1至2名评审委专家以外的专家参加。参加评审的专家对评审事项具有表决权。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评审会议应当形成评审意见和会议纪要，并由参加评审的专家审核签字；有不同意见的，应当注明。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参加评审的专家应当依法履行职责，科学、客观、公正提出评审意见。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评审专家与研制者、生产企业有利害关系的，应当回避。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评审会议原则通过的，由评审委将样品交农业部指定的饲料质量检验机构进行质量复核。质量复核机构应当自收到样品之日起3个月内完成质量复核，并将质量复核报告和复核意见报评审委，同时送达申请人。需用特殊方法检测的，质量复核时间可以延长1个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质量复核包括标准复核和样品检测，有最高限量要求的，还应当对申报产品有效组分在饲料产品中的检测方法进行验证。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申请人对质量复核结果有异议的，可以在收到质量复核报告后15个工作日内申请复检。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评审过程中，农业部可以组织对申请人的试验或生产条件进行现场核查，或者对试验数据进行核查或验证。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评审委应当自收到新饲料、新饲料添加剂申请资料和样品之日起9个月内向农业部提交评审结果；但是，评审委决定由申请人进行相关试验的，经农业部同意，评审时间可以延长3个月。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农业部自收到评审结果之日起10个工作日内作出是否核发新饲料、新饲料添加剂证书的决定。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决定核发新饲料、新饲料添加剂证书的，由农业部予以公告，同时发布该产品的质量标准。新饲料、新饲料添加剂投入生产后，按照公告中的质量标准进行监测和监督抽查。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决定不予核发的，书面通知申请人并说明理由。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新饲料、新饲料添加剂在生产前，生产者应当按照农业部有关规定取得生产许可证。生产新饲料添加剂的，还应当取得相应的产品批准文号。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新饲料、新饲料添加剂的监测期为5年，自新饲料、新饲料添加剂证书核发之日起计算。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监测期内不受理其他就该新饲料、新饲料添加剂提出的生产申请和进口登记申请，但该新饲料、新饲料添加剂超过3年未投入生产的除外。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新饲料、新饲料添加剂生产企业应当收集处于监测期内的产品质量、靶动物安全和养殖动物产品质量安全等相关信息，并向农业部报告。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农业部对新饲料、新饲料添加剂的质量安全状况组织跟踪监测，必要时进行再评价，证实其存在安全问题的，撤销新饲料、新饲料添加剂证书并予以公告。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从事新饲料、新饲料添加剂审定工作的相关单位和人员，应当对申请人提交的需要保密的技术资料保密。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从事新饲料、新饲料添加剂审定工作的相关人员，不履行本办法规定的职责或者滥用职权、玩忽职守、徇私舞弊的，依法给予处分；构成犯罪的，依法追究刑事责任。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申请人隐瞒有关情况或者提供虚假材料申请新饲料、新饲料添加剂审定的，农业部不予受理或者不予许可，并给予警告；申请人在1年内不得再次申请新饲料、新饲料添加剂审定。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以欺骗、贿赂等不正当手段取得新饲料、新饲料添加剂证书的，由农业部撤销新饲料、新饲料添加剂证书，申请人在3年内不得再次申请新饲料、新饲料添加剂审定；以欺骗方式取得新饲料、新饲料添加剂证书的，并处5万元以上10万元以下罚款；构成犯罪的，依法移送司法机关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其他违反本办法规定的，依照《饲料和饲料添加剂管理条例》的有关规定进行处罚。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本办法自2012年7月1日起施行。农业部2000年8月17日发布的《新饲料和新饲料添加剂管理办法》同时废止。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887" w:name="_Toc466579870"/>
      <w:bookmarkStart w:id="888" w:name="_Toc21450024"/>
      <w:bookmarkStart w:id="889" w:name="_Toc3357"/>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890" w:name="_Toc28250951"/>
      <w:bookmarkStart w:id="891" w:name="_Toc26348001"/>
      <w:bookmarkStart w:id="892" w:name="_Toc25648245"/>
      <w:bookmarkStart w:id="893" w:name="_Toc25653740"/>
      <w:bookmarkStart w:id="894" w:name="_Toc28157023"/>
      <w:bookmarkStart w:id="895" w:name="_Toc28252226"/>
      <w:r>
        <w:t>饲料添加剂和添加剂预混合饲料</w:t>
      </w:r>
      <w:r>
        <w:rPr>
          <w:rFonts w:hint="eastAsia"/>
        </w:rPr>
        <w:br w:type="textWrapping"/>
      </w:r>
      <w:r>
        <w:t>产品批准文号管理办法</w:t>
      </w:r>
      <w:bookmarkEnd w:id="887"/>
      <w:bookmarkEnd w:id="888"/>
      <w:bookmarkEnd w:id="889"/>
      <w:bookmarkEnd w:id="890"/>
      <w:bookmarkEnd w:id="891"/>
      <w:bookmarkEnd w:id="892"/>
      <w:bookmarkEnd w:id="893"/>
      <w:bookmarkEnd w:id="894"/>
      <w:bookmarkEnd w:id="895"/>
    </w:p>
    <w:p>
      <w:pPr>
        <w:pStyle w:val="62"/>
        <w:topLinePunct w:val="0"/>
        <w:ind w:firstLine="0" w:firstLineChars="0"/>
        <w:jc w:val="center"/>
        <w:rPr>
          <w:b/>
        </w:rPr>
      </w:pPr>
      <w:r>
        <w:t>（</w:t>
      </w:r>
      <w:bookmarkStart w:id="896" w:name="OLE_LINK94"/>
      <w:r>
        <w:t>2012年5月2日中华人民共和国农业部令第5号公布</w:t>
      </w:r>
      <w:bookmarkEnd w:id="896"/>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为加强饲料添加剂和添加剂预混合饲料产品批准文号管理，根据《饲料和饲料添加剂管理条例》，制定本办法。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本办法所称饲料添加剂，是指在饲料加工、制作、使用过程中添加的少量或者微量物质，包括营养性饲料添加剂和一般饲料添加剂。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本办法所称添加剂预混合饲料，是指由两种（类）或者两种（类）以上营养性饲料添加剂为主，与载体或者稀释剂按照一定比例配制的饲料，包括复合预混合饲料、微量元素预混合饲料、维生素预混合饲料。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在中华人民共和国境内生产的饲料添加剂、添加剂预混合饲料产品，在生产前应当取得相应的产品批准文号。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饲料添加剂、添加剂预混合饲料生产企业为其他饲料、饲料添加剂生产企业生产定制产品的，定制产品可以不办理产品批准文号。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定制产品应当附具符合《饲料和饲料添加剂管理条例》第二十一条规定的标签，并标明“定制产品”字样和定制企业的名称、地址及其生产许可证编号。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定制产品仅限于定制企业自用，生产企业和定制企业不得将定制产品提供给其他饲料、饲料添加剂生产企业、经营者和养殖者。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饲</w:t>
      </w:r>
      <w:r>
        <w:rPr>
          <w:rFonts w:asciiTheme="minorEastAsia" w:hAnsiTheme="minorEastAsia" w:eastAsiaTheme="minorEastAsia"/>
          <w:spacing w:val="-4"/>
          <w:sz w:val="24"/>
          <w:szCs w:val="24"/>
        </w:rPr>
        <w:t>料添加剂、添加剂预混合饲料生产企业应当向省级人民政府饲料管理部门（以下简称省级饲料管理部门）提出产品批准文号申请，并提交以下资料：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（一）产品批准文号申请表；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（二）生产许可证复印件；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（三）产品配方、产品质量标准和检测方法；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（四）产品标签样式和使用说明；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（五）涵盖产品主成分指标的产品自检报告；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（六）申请饲料添加剂产品批准文号的，还应当提供省级饲料管理部门指定的饲料检验机构出具的产品主成分指标检测方法验证结论，但产品有国家或行业标准的除外；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（七）申请新饲料添加剂产品批准文号的，还应当提供农业部核发的新饲料添加剂证书复印件。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省级饲料管理部门应当自受理申请之日起10个工作日内对申请资料进行审查，必要时可以进行现场核查。审查合格的，通知企业将产品样品送交指定的饲料质量检验机构进行复核检测，并根据复核检测结果在10个工作日内决定是否核发产品批准文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产品复核检测应当涵盖产品质量标准规定的产品主成分指标和卫生指标。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企业同时申请多个产品批准文号的，提交复核检测的样品应当符合下列要求：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（一）申请饲料添加剂产品批准文号的，每个产品均应当提交样品；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（二）申请添加剂预混合饲料产品批准文号的，同一产品类别中，相同适用动物品种和添加比例的不同产品，只需提交一个产品的样品。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省级饲料管理部门和饲料质量检验机构的工作人员应当对申请者提供的需要保密的技术资料保密。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饲料添加剂产品批准文号格式为：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×饲添字（××××）××××××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添加剂预混合饲料产品批准文号格式为：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×饲预字（××××）××××××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×：核发产品批准文号省、自治区、直辖市的简称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（××××）：年份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××××××：前三位表示本辖区企业的固定编号，后三位表示该产品获得的产品批准文号序号。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饲料添加剂、添加剂预混合饲料产品质量复核检测收费，按照国家有关规定执行。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有下列情形之一的，应当重新办理产品批准文号：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（一）产品主成分指标改变的；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（二）产品名称改变的。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禁止假冒、伪造、买卖产品批准文号。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饲料管理部门工作人员不履行本办法规定的职责或者滥用职权、玩忽职守、徇私舞弊的，依法给予处分；构成犯罪的，依法追究刑事责任。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申请人隐瞒有关情况或者提供虚假材料申请产品批准文号的，省级饲料管理部门不予受理或者不予许可，并给予警告；申请人在1年内不得再次申请产品批准文号。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以欺骗、贿</w:t>
      </w:r>
      <w:r>
        <w:rPr>
          <w:rFonts w:asciiTheme="minorEastAsia" w:hAnsiTheme="minorEastAsia" w:eastAsiaTheme="minorEastAsia"/>
          <w:spacing w:val="-4"/>
          <w:sz w:val="24"/>
          <w:szCs w:val="24"/>
        </w:rPr>
        <w:t>赂等不正当手段取得产品批准文号的，由发证机关撤销产品批准文号，申请人在3年内不得再次申请产品批准文号；以欺骗方式取得产品批准文号的，并处5万元以上10万元以下罚款；构成犯罪的，依法移送司法机关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假冒、伪造、买卖产品批准文号的，依照《饲料和饲料添加剂管理条例》第三十七条、第三十八条处罚。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有下列情形之一的，由省级饲料管理部门注销其产品批准文号并予以公告：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（一）企业的生产许可证被吊销、撤销、撤回、注销的；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（二）新饲料添加剂产品证书被撤销的。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饲料添加剂、添加剂预混合饲料生产企业违反本办法规定，向定制企业以外的其他饲料、饲料添加剂生产企业、经营者或养殖者销售定制产品的，依照《饲料和饲料添加剂管理条例》第三十八条处罚。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定制企业违反本办法规定，向其他饲料、饲料添加剂生产企业、经营者和养殖者销售定制产品的，依照《饲料和饲料添加剂管理条例》第四十三条处罚。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其他违反本办法的行为，依照《饲料和饲料添加剂管理条例》的有关规定处罚。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本办法所称添加剂预混合饲料，包括复合预混合饲料、微量元素预混合饲料、维生素预混合饲料。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复合预混合饲料，是指以矿物质微量元素、维生素、氨基酸中任何两类或两类以上的营养性饲料添加剂为主，与其他饲料添加剂、载体和（或）稀释剂按一定比例配制的均匀混合物，其中营养性饲料添加剂的含量能够满足其适用动物特定生理阶段的基本营养需求，在配合饲料、精料补充料或动物饮用水中的添加量不低于0.1%且不高于10%。</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微量元素预混合饲料，是指两种或两种以上矿物质微量元素与载体和（或）稀释剂按一定比例配制的均匀混合物，其中矿物质微量元素含量能够满足其适用动物特定生理阶段的微量元素需求，在配合饲料、精料补充料或动物饮用水中的添加量不低于0.1%且不高于10%。</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维生素预混合饲料，是指两种或两种以上维生素与载体和（或）稀释剂按一定比例配制的均匀混合物，其中维生素含量应当满足其适用动物特定生理阶段的维生素需求，在配合饲料、精料补充料或动物饮用水中的添加量不低于0.01%且不高于10%。</w:t>
      </w:r>
    </w:p>
    <w:p>
      <w:pPr>
        <w:pStyle w:val="3"/>
        <w:topLinePunct/>
        <w:spacing w:line="412" w:lineRule="exact"/>
        <w:ind w:firstLine="482"/>
        <w:rPr>
          <w:rFonts w:asciiTheme="minorEastAsia" w:hAnsiTheme="minorEastAsia" w:eastAsiaTheme="minorEastAsia"/>
          <w:sz w:val="24"/>
          <w:szCs w:val="24"/>
        </w:rPr>
        <w:sectPr>
          <w:headerReference r:id="rId27" w:type="default"/>
          <w:footerReference r:id="rId29" w:type="default"/>
          <w:headerReference r:id="rId28" w:type="even"/>
          <w:footerReference r:id="rId30" w:type="even"/>
          <w:pgSz w:w="12247" w:h="17180"/>
          <w:pgMar w:top="1814" w:right="1701" w:bottom="1701" w:left="1701" w:header="851" w:footer="1134" w:gutter="0"/>
          <w:cols w:space="425" w:num="1"/>
          <w:docGrid w:type="lines" w:linePitch="312" w:charSpace="0"/>
        </w:sect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本办法自2012年7月1日起施行。农业部1999年12月14日发布的《饲料添加剂和添加剂预混合饲料产品批准文号管理办法》同时废止。</w:t>
      </w:r>
    </w:p>
    <w:p>
      <w:pPr>
        <w:pStyle w:val="3"/>
        <w:topLinePunct/>
        <w:spacing w:line="416" w:lineRule="exact"/>
        <w:ind w:firstLine="480"/>
        <w:rPr>
          <w:rFonts w:asciiTheme="minorEastAsia" w:hAnsi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abs>
          <w:tab w:val="left" w:pos="2337"/>
        </w:tabs>
        <w:topLinePunct/>
        <w:spacing w:line="416" w:lineRule="exact"/>
        <w:ind w:firstLine="480"/>
        <w:rPr>
          <w:rFonts w:asciiTheme="minorEastAsia" w:hAnsiTheme="minorEastAsia" w:eastAsiaTheme="minorEastAsia"/>
          <w:sz w:val="24"/>
          <w:szCs w:val="24"/>
        </w:rPr>
      </w:pPr>
    </w:p>
    <w:p>
      <w:pPr>
        <w:pStyle w:val="3"/>
        <w:tabs>
          <w:tab w:val="left" w:pos="2337"/>
        </w:tabs>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abs>
          <w:tab w:val="left" w:pos="1385"/>
        </w:tabs>
        <w:topLinePunct/>
        <w:spacing w:line="416" w:lineRule="exact"/>
        <w:ind w:firstLine="480"/>
        <w:rPr>
          <w:rFonts w:asciiTheme="minorEastAsia" w:hAnsiTheme="minorEastAsia" w:eastAsiaTheme="minorEastAsia"/>
          <w:sz w:val="24"/>
          <w:szCs w:val="24"/>
        </w:rPr>
      </w:pPr>
    </w:p>
    <w:p>
      <w:pPr>
        <w:pStyle w:val="3"/>
        <w:tabs>
          <w:tab w:val="left" w:pos="1385"/>
        </w:tabs>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60"/>
      </w:pPr>
      <w:bookmarkStart w:id="897" w:name="_Toc25653741"/>
      <w:bookmarkStart w:id="898" w:name="_Toc25648246"/>
      <w:bookmarkStart w:id="899" w:name="_Toc28252227"/>
      <w:r>
        <w:t>七、兽医兽药</w:t>
      </w:r>
      <w:bookmarkEnd w:id="897"/>
      <w:bookmarkEnd w:id="898"/>
      <w:bookmarkEnd w:id="899"/>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900" w:name="_Toc25648247"/>
      <w:bookmarkStart w:id="901" w:name="_Toc25653742"/>
      <w:bookmarkStart w:id="902" w:name="_Toc466579871"/>
      <w:bookmarkStart w:id="903" w:name="_Toc28157024"/>
      <w:bookmarkStart w:id="904" w:name="_Toc28250952"/>
      <w:bookmarkStart w:id="905" w:name="_Toc20631"/>
      <w:bookmarkStart w:id="906" w:name="_Toc28252228"/>
      <w:bookmarkStart w:id="907" w:name="_Toc21450027"/>
      <w:bookmarkStart w:id="908" w:name="_Toc26348002"/>
      <w:r>
        <w:t>兽药管理条例</w:t>
      </w:r>
      <w:bookmarkEnd w:id="900"/>
      <w:bookmarkEnd w:id="901"/>
      <w:bookmarkEnd w:id="902"/>
      <w:bookmarkEnd w:id="903"/>
      <w:bookmarkEnd w:id="904"/>
      <w:bookmarkEnd w:id="905"/>
      <w:bookmarkEnd w:id="906"/>
      <w:bookmarkEnd w:id="907"/>
      <w:bookmarkEnd w:id="908"/>
    </w:p>
    <w:p>
      <w:pPr>
        <w:pStyle w:val="62"/>
      </w:pPr>
      <w:r>
        <w:t>（2004年4月9日中华人民共和国国务院令第404号公布，根据2014年7月29日中华人民共和国国务院令第653号公布、自公布之日起施行《国务院关于修改部分行政法规的决定》第一次修订，根据2016年2月6日中华人民共和国国务院令第666号公布、自公布之日起施行的《国务院关于修改部分行政法规的决定》第二次修订）</w:t>
      </w:r>
    </w:p>
    <w:p>
      <w:pPr>
        <w:pStyle w:val="63"/>
        <w:spacing w:before="218" w:after="218" w:line="412" w:lineRule="exact"/>
        <w:rPr>
          <w:szCs w:val="26"/>
        </w:rPr>
      </w:pPr>
      <w:r>
        <w:rPr>
          <w:rStyle w:val="30"/>
          <w:rFonts w:hint="eastAsia"/>
          <w:b w:val="0"/>
          <w:bCs/>
          <w:szCs w:val="23"/>
        </w:rPr>
        <w:t>第一章</w:t>
      </w:r>
      <w:r>
        <w:rPr>
          <w:rStyle w:val="59"/>
          <w:rFonts w:hint="eastAsia"/>
          <w:szCs w:val="23"/>
        </w:rPr>
        <w:t xml:space="preserve">  </w:t>
      </w:r>
      <w:r>
        <w:rPr>
          <w:rStyle w:val="30"/>
          <w:rFonts w:hint="eastAsia"/>
          <w:b w:val="0"/>
          <w:bCs/>
          <w:szCs w:val="23"/>
        </w:rPr>
        <w:t>总  则</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第一条  </w:t>
      </w:r>
      <w:r>
        <w:rPr>
          <w:rFonts w:hint="eastAsia" w:cs="Arial" w:asciiTheme="minorEastAsia" w:hAnsiTheme="minorEastAsia" w:eastAsiaTheme="minorEastAsia"/>
        </w:rPr>
        <w:t>为了加强兽药管理，保证兽药质量，防治动物疾病，促进养殖业的发展，维护人体健康，制定本条例。</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第二条</w:t>
      </w:r>
      <w:r>
        <w:rPr>
          <w:rFonts w:hint="eastAsia" w:cs="Arial" w:asciiTheme="minorEastAsia" w:hAnsiTheme="minorEastAsia" w:eastAsiaTheme="minorEastAsia"/>
        </w:rPr>
        <w:t xml:space="preserve">  在中华人民共和国境内从事兽药的研制、生产、经营、进出口、使用和监督管理，应当遵守本条例。</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第三条  </w:t>
      </w:r>
      <w:r>
        <w:rPr>
          <w:rFonts w:hint="eastAsia" w:cs="Arial" w:asciiTheme="minorEastAsia" w:hAnsiTheme="minorEastAsia" w:eastAsiaTheme="minorEastAsia"/>
        </w:rPr>
        <w:t>国务院兽医行政管理部门负责全国的兽药监督管理工作。</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县级以上地方人民政府兽医行政管理部门负责本行政区域内的兽药监督管理工作。</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第四条</w:t>
      </w:r>
      <w:r>
        <w:rPr>
          <w:rFonts w:hint="eastAsia" w:cs="Arial" w:asciiTheme="minorEastAsia" w:hAnsiTheme="minorEastAsia" w:eastAsiaTheme="minorEastAsia"/>
        </w:rPr>
        <w:t xml:space="preserve">  国家实行兽用处方药和非处方药分类管理制度。兽用处方药和非处方药分类管理的办法和具体实施步骤，由国务院兽医行政管理部门规定。</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第五条</w:t>
      </w:r>
      <w:r>
        <w:rPr>
          <w:rFonts w:hint="eastAsia" w:cs="Arial" w:asciiTheme="minorEastAsia" w:hAnsiTheme="minorEastAsia" w:eastAsiaTheme="minorEastAsia"/>
        </w:rPr>
        <w:t xml:space="preserve">  国家实行兽药储备制度。</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发生重大动物疫情、灾情或者其他突发事件时，国务院兽医行政管理部门可以紧急调用国家储备的兽药;必要时，也可以调用国家储备以外的兽药。</w:t>
      </w:r>
    </w:p>
    <w:p>
      <w:pPr>
        <w:pStyle w:val="63"/>
        <w:spacing w:before="218" w:after="218" w:line="412" w:lineRule="exact"/>
        <w:rPr>
          <w:rStyle w:val="30"/>
          <w:bCs w:val="0"/>
          <w:szCs w:val="23"/>
        </w:rPr>
      </w:pPr>
      <w:r>
        <w:rPr>
          <w:rStyle w:val="30"/>
          <w:rFonts w:hint="eastAsia"/>
          <w:b w:val="0"/>
          <w:bCs/>
          <w:szCs w:val="23"/>
        </w:rPr>
        <w:t>第二章</w:t>
      </w:r>
      <w:r>
        <w:rPr>
          <w:rStyle w:val="30"/>
          <w:rFonts w:hint="eastAsia"/>
          <w:bCs w:val="0"/>
          <w:szCs w:val="23"/>
        </w:rPr>
        <w:t xml:space="preserve">  </w:t>
      </w:r>
      <w:r>
        <w:rPr>
          <w:rStyle w:val="30"/>
          <w:rFonts w:hint="eastAsia"/>
          <w:b w:val="0"/>
          <w:bCs/>
          <w:szCs w:val="23"/>
        </w:rPr>
        <w:t>新兽药研制</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第六条</w:t>
      </w:r>
      <w:r>
        <w:rPr>
          <w:rFonts w:hint="eastAsia" w:cs="Arial" w:asciiTheme="minorEastAsia" w:hAnsiTheme="minorEastAsia" w:eastAsiaTheme="minorEastAsia"/>
        </w:rPr>
        <w:t xml:space="preserve">  国家鼓励研制新兽药，依法保护研制者的合法权益。</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第七条</w:t>
      </w:r>
      <w:r>
        <w:rPr>
          <w:rFonts w:hint="eastAsia" w:cs="Arial" w:asciiTheme="minorEastAsia" w:hAnsiTheme="minorEastAsia" w:eastAsiaTheme="minorEastAsia"/>
        </w:rPr>
        <w:t xml:space="preserve">  研制新兽药，应当具有与研制相适应的场所、仪器设备、专业技术人员、安全管理规范和措施。</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研制新兽药，应</w:t>
      </w:r>
      <w:r>
        <w:rPr>
          <w:rFonts w:hint="eastAsia" w:cs="Arial" w:asciiTheme="minorEastAsia" w:hAnsiTheme="minorEastAsia" w:eastAsiaTheme="minorEastAsia"/>
          <w:spacing w:val="-4"/>
        </w:rPr>
        <w:t>当进行安全性评价。从事兽药安全性评价的单位应当遵守国务院兽医行政管理部门制定的兽药非临床研究质量管理规范和兽药临床试验质量管理规范。</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省级以上人民政府兽医行政管理部门应当对兽药安全性评价单位是否符合兽药非临床研究质量管理规范和兽药临床试验质量管理规范的要求进行监督检查，并公布监督检查结果。</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第八条</w:t>
      </w:r>
      <w:r>
        <w:rPr>
          <w:rFonts w:hint="eastAsia" w:cs="Arial" w:asciiTheme="minorEastAsia" w:hAnsiTheme="minorEastAsia" w:eastAsiaTheme="minorEastAsia"/>
        </w:rPr>
        <w:t xml:space="preserve">  研制新兽药，应当在临床试验前向省、自治区、直辖市人民政府兽医行政管理部门提出申请，并附具该新兽药实验室阶段安全性评价报告及其他临床前研究资料;省、自治区、直辖市人民政府兽医行政管理部门应当自收到申请之日起60个工作日内将审查结果书面通知申请人。</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研制的新兽药属于生物制品的，应当在临床试验前向国务院兽医行政管理部门提出申请，国务院兽医行政管理部门应当自收到申请之日起60个工作日内将审查结果书面通知申请人。</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研制新兽药需要使用一类病原微生物的，还应当具备国务院兽医行政管理部门规定的条件，并在实验室阶段前报国务院兽医行政管理部门批准。</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第九条</w:t>
      </w:r>
      <w:r>
        <w:rPr>
          <w:rFonts w:hint="eastAsia" w:cs="Arial" w:asciiTheme="minorEastAsia" w:hAnsiTheme="minorEastAsia" w:eastAsiaTheme="minorEastAsia"/>
        </w:rPr>
        <w:t xml:space="preserve">  临床试验完成后，新兽药研制者向国务院兽医行政管理部门提出新兽药注册申请时，应当提交该新兽药的样品和下列资料：</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(一)名称、主要成分、理化性质;</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(二)研制方法、生产工艺、质量标准和检测方法;</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(三)药理和毒理试验结果、临床试验报告和稳定性试验报告;</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(四)环境影响报告和污染防治措施。</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研制的新兽药属于生物制品的，还应当提供菌(毒、虫)种、细胞等有关材料和资料。菌(毒、虫)种、细胞由国务院兽医行政管理部门指定的机构保藏。</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研制用于食用动物的新兽药，还应当按照国务院兽医行政管理部门的规定进行兽药残留试验并提供休药期、最高残留限量标准、残留检测方法及其制定依据等资料。</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国务院兽医行政管理部门应当自收到申请之日起10个工作日内，将决定受理的新兽药资料送其设立的兽药评审机构进行评审，将新兽药样品送其指定的检验机构复核检验，并自收到评审和复核检验结论之日起60个工作日内完成审查。审查合格的，发给新兽药注册证书，并发布该兽药的质量标准;不合格的，应当书面通知申请人。</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第十条  </w:t>
      </w:r>
      <w:r>
        <w:rPr>
          <w:rFonts w:hint="eastAsia" w:cs="Arial" w:asciiTheme="minorEastAsia" w:hAnsiTheme="minorEastAsia" w:eastAsiaTheme="minorEastAsia"/>
        </w:rPr>
        <w:t>国家对依法获得注册的、含有新化合物的兽药的申请人提交的其自己所取得且未披露的试验数据和其他数据实施保护。</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自注册之日起6年内，对其他申请人未经已获得注册兽药的申请人同意，使用前款规定的数据申请兽药注册的，兽药注册机关不予注册;但是，其他申请人提交其自己所取得的数据的除外。</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除下列情况外，兽药注册机关不得披露本条第一款规定的数据：</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(一)公共利益需要;</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(二)已采取措施确保该类信息不会被不正当地进行商业使用。</w:t>
      </w:r>
    </w:p>
    <w:p>
      <w:pPr>
        <w:pStyle w:val="63"/>
        <w:spacing w:before="218" w:after="218" w:line="412" w:lineRule="exact"/>
        <w:rPr>
          <w:rStyle w:val="30"/>
          <w:bCs w:val="0"/>
          <w:szCs w:val="23"/>
        </w:rPr>
      </w:pPr>
      <w:r>
        <w:rPr>
          <w:rStyle w:val="30"/>
          <w:rFonts w:hint="eastAsia"/>
          <w:b w:val="0"/>
          <w:bCs/>
          <w:szCs w:val="23"/>
        </w:rPr>
        <w:t>第三章</w:t>
      </w:r>
      <w:r>
        <w:rPr>
          <w:rStyle w:val="30"/>
          <w:rFonts w:hint="eastAsia"/>
          <w:bCs w:val="0"/>
          <w:szCs w:val="23"/>
        </w:rPr>
        <w:t xml:space="preserve">  </w:t>
      </w:r>
      <w:r>
        <w:rPr>
          <w:rStyle w:val="30"/>
          <w:rFonts w:hint="eastAsia"/>
          <w:b w:val="0"/>
          <w:bCs/>
          <w:szCs w:val="23"/>
        </w:rPr>
        <w:t>兽药生产</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第十一条</w:t>
      </w:r>
      <w:r>
        <w:rPr>
          <w:rFonts w:hint="eastAsia" w:cs="Arial" w:asciiTheme="minorEastAsia" w:hAnsiTheme="minorEastAsia" w:eastAsiaTheme="minorEastAsia"/>
        </w:rPr>
        <w:t xml:space="preserve">  从事兽药生产的企业，应当符合国家兽药行业发展规划和产业政策，并具备下列条件：</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(一)与所生产的兽药相适应的兽医学、药学或者相关专业的技术人员;</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(二)与所生产的兽药相适应的厂房、设施;</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(三)与所生产的兽药相适应的兽药质量管理和质量检验的机构、人员、仪器设备;</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(四)符合安全、卫生要求的生产环境;</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(五)兽药生产质量管理规范规定的其他生产条件。</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符合前款规定条件的，申请人方可向省、自治区、直辖市人民政府兽医行政管理部门提出申请，并附具符合前款规定条件的证明材料;省、自治区、直辖市人民政府兽医行政管理部门应当自收到申请之日起40个工作日内完成审查。经审查合格的，发给兽药生产许可证;不合格的，应当书面通知申请人。</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第十二条  </w:t>
      </w:r>
      <w:r>
        <w:rPr>
          <w:rFonts w:hint="eastAsia" w:cs="Arial" w:asciiTheme="minorEastAsia" w:hAnsiTheme="minorEastAsia" w:eastAsiaTheme="minorEastAsia"/>
        </w:rPr>
        <w:t>兽药生产许可证应当载明生产范围、生产地点、有效期和法定代表人姓名、住址等事项。</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兽药生产许可证有效期为5年。有效期届满，需要继续生产兽药的，应当在许可证有效期届满前6个月到发证机关申请换发兽药生产许可证。</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第十三条  </w:t>
      </w:r>
      <w:r>
        <w:rPr>
          <w:rFonts w:hint="eastAsia" w:cs="Arial" w:asciiTheme="minorEastAsia" w:hAnsiTheme="minorEastAsia" w:eastAsiaTheme="minorEastAsia"/>
        </w:rPr>
        <w:t>兽药生产企业变更生产范围、生产地点的，应当依照本条例第十一条的规定申请换发兽药生产许可证;变更企业名称、法定代表人的，应当在办理工商变更登记手续后15个工作日内，到发证机关申请换发兽药生产许可证。</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第十四条</w:t>
      </w:r>
      <w:r>
        <w:rPr>
          <w:rFonts w:hint="eastAsia" w:cs="Arial" w:asciiTheme="minorEastAsia" w:hAnsiTheme="minorEastAsia" w:eastAsiaTheme="minorEastAsia"/>
        </w:rPr>
        <w:t xml:space="preserve">  兽药生产企业应当按照国务院兽医行政管理部门制定的兽药生产质量管理规范组织生产。</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省级以上人民政府兽医行政管理部门，应当对兽药生产企业是否符合兽药生产质量管理规范的要求进行监督检查，并公布检查结果。</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第十五条  </w:t>
      </w:r>
      <w:r>
        <w:rPr>
          <w:rFonts w:hint="eastAsia" w:cs="Arial" w:asciiTheme="minorEastAsia" w:hAnsiTheme="minorEastAsia" w:eastAsiaTheme="minorEastAsia"/>
        </w:rPr>
        <w:t>兽药生产企业生产兽药，应当取得国务院兽医行政管理部门核发的产品批准文号，产品批准文号的有效期为5年。兽药产品批准文号的核发办法由国务院兽医行政管理部门制定。</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第十六条</w:t>
      </w:r>
      <w:r>
        <w:rPr>
          <w:rFonts w:hint="eastAsia" w:cs="Arial" w:asciiTheme="minorEastAsia" w:hAnsiTheme="minorEastAsia" w:eastAsiaTheme="minorEastAsia"/>
        </w:rPr>
        <w:t xml:space="preserve">  兽药生产企业应当按照兽药国家标准和国务院兽医行政管理部门批准的生产工艺进行生产。兽药生产企业改变影响兽药质量的生产工艺的，应当报原批准部门审核批准。</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兽药生产企业应当建立生产记录，生产记录应当完整、准确。</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第十七条</w:t>
      </w:r>
      <w:r>
        <w:rPr>
          <w:rFonts w:hint="eastAsia" w:cs="Arial" w:asciiTheme="minorEastAsia" w:hAnsiTheme="minorEastAsia" w:eastAsiaTheme="minorEastAsia"/>
        </w:rPr>
        <w:t xml:space="preserve">  生产兽药所需的原料、辅料，应当符合国家标准或者所生产兽药的质量要求。</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直接接触兽药的包装材料和容器应当符合药用要求。</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第十八条</w:t>
      </w:r>
      <w:r>
        <w:rPr>
          <w:rFonts w:hint="eastAsia" w:cs="Arial" w:asciiTheme="minorEastAsia" w:hAnsiTheme="minorEastAsia" w:eastAsiaTheme="minorEastAsia"/>
        </w:rPr>
        <w:t xml:space="preserve">  兽药出厂前应当经过质量检验，不符合质量标准的不得出厂。</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兽药出厂应当附有产品质量合格证。</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禁止生产假、劣兽药。</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第十九条</w:t>
      </w:r>
      <w:r>
        <w:rPr>
          <w:rFonts w:hint="eastAsia" w:cs="Arial" w:asciiTheme="minorEastAsia" w:hAnsiTheme="minorEastAsia" w:eastAsiaTheme="minorEastAsia"/>
        </w:rPr>
        <w:t xml:space="preserve">  兽药生产企业生产的每批兽用生物制品，在出厂前应当由国务院兽医行政管理部门指定的检验机构审查核对，并在必要时进行抽查检验;未经审查核对或者抽查检验不合格的，不得销售。</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强制免疫所需兽用生物制品，由国务院兽医行政管理部门指定的企业生产。</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第二十条</w:t>
      </w:r>
      <w:r>
        <w:rPr>
          <w:rFonts w:hint="eastAsia" w:cs="Arial" w:asciiTheme="minorEastAsia" w:hAnsiTheme="minorEastAsia" w:eastAsiaTheme="minorEastAsia"/>
        </w:rPr>
        <w:t xml:space="preserve">  兽药包装应当按照规定印有或者贴有标签，附具说明书，并在显著位置注明“兽用”字样。</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兽药的标签和说明书经国务院兽医行政管理部门批准并公布后，方可使用。</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的标签或者说明书，应当以中文注明兽药的通用名称、成分及其含量、规格、生产企业、产品批准文号(进口兽药注册证号)、产品批号、生产日期、有效期、适应症或者功能主治、用法、用量、休药期、禁忌、不良反应、注意事项、运输贮存保管条件及其他应当说明的内容。有商品名称的，还应当注明商品名称。</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除前款规定的内容外，兽用处方药的标签或者说明书还应当印有国务院兽医行政管理部门规定的警示内容，其中兽用麻醉药品、精神药品、毒性药品和放射性药品还应当印有国务院兽医行政管理部门规定的特殊标志;兽用非处方药的标签或者说明书还应当印有国务院兽医行政管理部门规定的非处方药标志。</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第二十一条</w:t>
      </w:r>
      <w:r>
        <w:rPr>
          <w:rFonts w:hint="eastAsia" w:cs="Arial" w:asciiTheme="minorEastAsia" w:hAnsiTheme="minorEastAsia" w:eastAsiaTheme="minorEastAsia"/>
        </w:rPr>
        <w:t xml:space="preserve">  国务院兽医行政管理部门，根据保证动物产品质量安全和人体健康的需要，可以对新兽药设立不超过5年的监测期;在监测期内，不得批准其他企业生产或者进口该新兽药。生产企业应当在监测期内收集该新兽药的疗效、不良反应等资料，并及时报送国务院兽医行政管理部门。</w:t>
      </w:r>
    </w:p>
    <w:p>
      <w:pPr>
        <w:pStyle w:val="63"/>
        <w:spacing w:before="218" w:after="218" w:line="412" w:lineRule="exact"/>
        <w:rPr>
          <w:rStyle w:val="30"/>
          <w:bCs w:val="0"/>
          <w:szCs w:val="23"/>
        </w:rPr>
      </w:pPr>
      <w:r>
        <w:rPr>
          <w:rStyle w:val="30"/>
          <w:rFonts w:hint="eastAsia"/>
          <w:b w:val="0"/>
          <w:bCs/>
          <w:szCs w:val="23"/>
        </w:rPr>
        <w:t>第四章</w:t>
      </w:r>
      <w:r>
        <w:rPr>
          <w:rStyle w:val="30"/>
          <w:rFonts w:hint="eastAsia"/>
          <w:bCs w:val="0"/>
          <w:szCs w:val="23"/>
        </w:rPr>
        <w:t xml:space="preserve">  </w:t>
      </w:r>
      <w:r>
        <w:rPr>
          <w:rStyle w:val="30"/>
          <w:rFonts w:hint="eastAsia"/>
          <w:b w:val="0"/>
          <w:bCs/>
          <w:szCs w:val="23"/>
        </w:rPr>
        <w:t>兽药经营</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第二十二条  </w:t>
      </w:r>
      <w:r>
        <w:rPr>
          <w:rFonts w:hint="eastAsia" w:cs="Arial" w:asciiTheme="minorEastAsia" w:hAnsiTheme="minorEastAsia" w:eastAsiaTheme="minorEastAsia"/>
        </w:rPr>
        <w:t>经营兽药的企业，应当具备下列条件：</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(一)与所经营的兽药相适应的兽药技术人员;</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(二)与所经营的兽药相适应的营业场所、设备、仓库设施;</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(三)与所经营的兽药相适应的质量管理机构或者人员;</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(四)兽药经营质量管理规范规定的其他经营条件。</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县级以上地方人民政府兽医行政管理部门，应当自收到申请之日起30个工作日内完成审查。审查合格的，发给兽药经营许可证;不合格的，应当书面通知申请人。</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第二十三条</w:t>
      </w:r>
      <w:r>
        <w:rPr>
          <w:rFonts w:hint="eastAsia" w:cs="Arial" w:asciiTheme="minorEastAsia" w:hAnsiTheme="minorEastAsia" w:eastAsiaTheme="minorEastAsia"/>
        </w:rPr>
        <w:t xml:space="preserve">  兽药经营许可证应当载明经营范围、经营地点、有效期和法定代表人姓名、住址等事项。</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兽药经营许可证有效期为5年。有效期届满，需要继续经营兽药的，应当在许可证有效期届满前6个月到发证机关申请换发兽药经营许可证。</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第二十四条</w:t>
      </w:r>
      <w:r>
        <w:rPr>
          <w:rFonts w:hint="eastAsia" w:cs="Arial" w:asciiTheme="minorEastAsia" w:hAnsiTheme="minorEastAsia" w:eastAsiaTheme="minorEastAsia"/>
        </w:rPr>
        <w:t xml:space="preserve">  兽药经营企业变更经营范围、经营地点的，应当依照本条例第二十二条的规定申请换发兽药经营许可证;变更企业名称、法定代表人的，应当在办理工商变更登记手续后15个工作日内，到发证机关申请换发兽药经营许可证。</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第二十五条  </w:t>
      </w:r>
      <w:r>
        <w:rPr>
          <w:rFonts w:hint="eastAsia" w:cs="Arial" w:asciiTheme="minorEastAsia" w:hAnsiTheme="minorEastAsia" w:eastAsiaTheme="minorEastAsia"/>
        </w:rPr>
        <w:t>兽药经营企业，应当遵守国务院兽医行政管理部门制定的兽药经营质量管理规范。</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县级以上地方人民政府兽医行政管理部门，应当对兽药经营企业是否符合兽药经营质量管理规范的要求进行监督检查，并公布检查结果。</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第二十六条</w:t>
      </w:r>
      <w:r>
        <w:rPr>
          <w:rFonts w:hint="eastAsia" w:cs="Arial" w:asciiTheme="minorEastAsia" w:hAnsiTheme="minorEastAsia" w:eastAsiaTheme="minorEastAsia"/>
        </w:rPr>
        <w:t xml:space="preserve">  兽药经营企业购进兽药，应当将兽药产品与产品标签或者说明书、产品质量合格证核对无误。</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第二十七条</w:t>
      </w:r>
      <w:r>
        <w:rPr>
          <w:rFonts w:hint="eastAsia" w:cs="Arial" w:asciiTheme="minorEastAsia" w:hAnsiTheme="minorEastAsia" w:eastAsiaTheme="minorEastAsia"/>
        </w:rPr>
        <w:t xml:space="preserve">  兽药经营企业，应当向购买者说明兽药的功能主治、用法、用量和注意事项。销售兽用处方药的，应当遵守兽用处方药管理办法。</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兽药经营企业销售兽用中药材的，应当注明产地。</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禁止兽药经营企业经营人用药品和假、劣兽药。</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第二十八条</w:t>
      </w:r>
      <w:r>
        <w:rPr>
          <w:rFonts w:hint="eastAsia" w:cs="Arial" w:asciiTheme="minorEastAsia" w:hAnsiTheme="minorEastAsia" w:eastAsiaTheme="minorEastAsia"/>
        </w:rPr>
        <w:t xml:space="preserve">  兽药经营企业购销兽药，应当建立购销记录。购销记录应当载明兽药的商品名称、通用名称、剂型、规格、批号、有效期、生产厂商、购销单位、购销数量、购销日期和国务院兽医行政管理部门规定的其他事项。</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第二十九条</w:t>
      </w:r>
      <w:r>
        <w:rPr>
          <w:rFonts w:hint="eastAsia" w:cs="Arial" w:asciiTheme="minorEastAsia" w:hAnsiTheme="minorEastAsia" w:eastAsiaTheme="minorEastAsia"/>
        </w:rPr>
        <w:t xml:space="preserve">  兽药经营企业，应当建立兽药保管制度，采取必要的冷藏、防冻、防潮、防虫、防鼠等措施，保持所经营兽药的质量。</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兽药入库、出库，应当执行检查验收制度，并有准确记录。</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第三十条  </w:t>
      </w:r>
      <w:r>
        <w:rPr>
          <w:rFonts w:hint="eastAsia" w:cs="Arial" w:asciiTheme="minorEastAsia" w:hAnsiTheme="minorEastAsia" w:eastAsiaTheme="minorEastAsia"/>
        </w:rPr>
        <w:t>强制免疫所需兽用生物制品的经营，应当符合国务院兽医行政管理部门的规定。</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第三十一条</w:t>
      </w:r>
      <w:r>
        <w:rPr>
          <w:rFonts w:hint="eastAsia" w:cs="Arial" w:asciiTheme="minorEastAsia" w:hAnsiTheme="minorEastAsia" w:eastAsiaTheme="minorEastAsia"/>
        </w:rPr>
        <w:t xml:space="preserve">  兽药广告的内容应当与兽药说明书内容相一致，在全国重点媒体发布兽药广告的，应当经国务院兽医行政管理部门审查批准，取得兽药广告审查批准文号。在地方媒体发布兽药广告的，应当经省、自治区、直辖市人民政府兽医行政管理部门审查批准，取得兽药广告审查批准文号;未经批准的，不得发布。</w:t>
      </w:r>
    </w:p>
    <w:p>
      <w:pPr>
        <w:pStyle w:val="63"/>
        <w:spacing w:before="218" w:after="218" w:line="412" w:lineRule="exact"/>
        <w:rPr>
          <w:rStyle w:val="30"/>
          <w:bCs w:val="0"/>
          <w:szCs w:val="23"/>
        </w:rPr>
      </w:pPr>
      <w:r>
        <w:rPr>
          <w:rStyle w:val="30"/>
          <w:rFonts w:hint="eastAsia"/>
          <w:b w:val="0"/>
          <w:bCs/>
          <w:szCs w:val="23"/>
        </w:rPr>
        <w:t>第五章</w:t>
      </w:r>
      <w:r>
        <w:rPr>
          <w:rStyle w:val="30"/>
          <w:rFonts w:hint="eastAsia"/>
          <w:bCs w:val="0"/>
          <w:szCs w:val="23"/>
        </w:rPr>
        <w:t xml:space="preserve">  </w:t>
      </w:r>
      <w:r>
        <w:rPr>
          <w:rStyle w:val="30"/>
          <w:rFonts w:hint="eastAsia"/>
          <w:b w:val="0"/>
          <w:bCs/>
          <w:szCs w:val="23"/>
        </w:rPr>
        <w:t>兽药进出口</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第三十二条</w:t>
      </w:r>
      <w:r>
        <w:rPr>
          <w:rFonts w:hint="eastAsia" w:cs="Arial" w:asciiTheme="minorEastAsia" w:hAnsiTheme="minorEastAsia" w:eastAsiaTheme="minorEastAsia"/>
        </w:rPr>
        <w:t xml:space="preserve">  首次向中国出口的兽药，由出口方驻中国境内的办事机构或者其委托的中国境内代理机构向国务院兽医行政管理部门申请注册，并提交下列资料和物品：</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(一)生产企业所在国家(地区)兽药管理部门批准生产、销售的证明文件;</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(二)生产企业所在国家(地区)兽药管理部门颁发的符合兽药生产质量管理规范的证明文件;</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兽药的制造方法、生产工艺、质量标准、检测方法、药理和毒理试验结果、临床试验报告、稳定性试验报告及其他相关资料;用于食用动物的兽药的休药期、最高残留限量标准、残留检测方法及其制定依据等资料;</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(四)兽药的标签和说明书样本;</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(五)兽药的样品、对照品、标准品;</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(六)环境影响报告和污染防治措施;</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(七)涉及兽药安全性的其他资料。</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申请向中国出口兽用生物制品的，还应当提供菌(毒、虫)种、细胞等有关材料和资料。</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第三十三条</w:t>
      </w:r>
      <w:r>
        <w:rPr>
          <w:rFonts w:hint="eastAsia" w:cs="Arial" w:asciiTheme="minorEastAsia" w:hAnsiTheme="minorEastAsia" w:eastAsiaTheme="minorEastAsia"/>
        </w:rPr>
        <w:t xml:space="preserve">  国务院兽医行政管理部门，应当自收到申请之日起10个工作日内组织初步审查。经初步审查合格的，应当将决定受理的兽药资料送其设立的兽药评审机构进行评审，将该兽药样品送其指定的检验机构复核检验，并自收到评审和复核检验结论之日起60个工作日内完成审查。经审查合格的，发给进口兽药注册证书，并发布该兽药的质量标准;不合格的，应当书面通知申请人。</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在审查过程中，国务院兽医行政管理部门可以对向中国出口兽药的企业是否符合兽药生产质量管理规范的要求进行考查，并有权要求该企业在国务院兽医行政管理部门指定的机构进行该兽药的安全性和有效性试验。</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国内急需兽药、少量科研用兽药或者注册兽药的样品、对照品、标准品的进口，按照国务院兽医行政管理部门的规定办理。</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第三十四条  </w:t>
      </w:r>
      <w:r>
        <w:rPr>
          <w:rFonts w:hint="eastAsia" w:cs="Arial" w:asciiTheme="minorEastAsia" w:hAnsiTheme="minorEastAsia" w:eastAsiaTheme="minorEastAsia"/>
        </w:rPr>
        <w:t>进口兽药注册证书的有效期为5年。有效期届满，需要继续向中国出口兽药的，应当在有效期届满前6个月到发证机关申请再注册。</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第三十五条</w:t>
      </w:r>
      <w:r>
        <w:rPr>
          <w:rFonts w:hint="eastAsia" w:cs="Arial" w:asciiTheme="minorEastAsia" w:hAnsiTheme="minorEastAsia" w:eastAsiaTheme="minorEastAsia"/>
        </w:rPr>
        <w:t xml:space="preserve">  境外企业不得在中国直接销售兽药。境外企业在中国销售兽药，应当依法在中国境内设立销售机构或者委托符合条件的中国境内代理机构。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进口在中国已取得进口兽药注册证书的兽用生物制品的，中国境内代理机构应当向国务院兽医行政管理部门申请允许进口兽用生物制品证明文件，凭允许进口兽用生物制品证明文件到口岸所在地人民政府兽医行政管理部门办理进口兽药通关单;进口在中国已取得进口兽药注册证书的其他兽药的，凭进口兽药注册证书到口岸所在地人民政府兽医行政管理部门办理进口兽药通关单。海关凭进口兽药通关单放行。兽药进口管理办法由国务院兽医行政管理部门会同海关总署制定。</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兽用生物制品进口后，应当依照本条例第十九条的规定进行审查核对和抽查检验。其他兽药进口后，由当地兽医行政管理部门通知兽药检验机构进行抽查检验。</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第三十六条</w:t>
      </w:r>
      <w:r>
        <w:rPr>
          <w:rFonts w:hint="eastAsia" w:cs="Arial" w:asciiTheme="minorEastAsia" w:hAnsiTheme="minorEastAsia" w:eastAsiaTheme="minorEastAsia"/>
        </w:rPr>
        <w:t xml:space="preserve">  禁止进口下列兽药：</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(一)药效不确定、不良反应大以及可能对养殖业、人体健康造成危害或者存在潜在风险的;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(二)来自疫区可能造成疫病在中国境内传播的兽用生物制品;</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(三)经考查生产条件不符合规定的;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(四)国务院兽医行政管理部门禁止生产、经营和使用的。</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第三十七条</w:t>
      </w:r>
      <w:r>
        <w:rPr>
          <w:rFonts w:hint="eastAsia" w:cs="Arial" w:asciiTheme="minorEastAsia" w:hAnsiTheme="minorEastAsia" w:eastAsiaTheme="minorEastAsia"/>
        </w:rPr>
        <w:t xml:space="preserve">  向中国境外出口兽药，进口方要求提供兽药出口证明文件的，国务院兽医行政管理部门或者企业所在地的省、自治区、直辖市人民政府兽医行政管理部门可以出具出口兽药证明文件。</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国内防疫急需的疫苗，国务院兽医行政管理部门可以限制或者禁止出口。</w:t>
      </w:r>
    </w:p>
    <w:p>
      <w:pPr>
        <w:pStyle w:val="63"/>
        <w:spacing w:before="218" w:after="218" w:line="412" w:lineRule="exact"/>
        <w:rPr>
          <w:rStyle w:val="30"/>
          <w:bCs w:val="0"/>
          <w:szCs w:val="23"/>
        </w:rPr>
      </w:pPr>
      <w:r>
        <w:rPr>
          <w:rStyle w:val="30"/>
          <w:rFonts w:hint="eastAsia"/>
          <w:b w:val="0"/>
          <w:bCs/>
          <w:szCs w:val="23"/>
        </w:rPr>
        <w:t>第六章</w:t>
      </w:r>
      <w:r>
        <w:rPr>
          <w:rStyle w:val="30"/>
          <w:rFonts w:hint="eastAsia"/>
          <w:bCs w:val="0"/>
          <w:szCs w:val="23"/>
        </w:rPr>
        <w:t xml:space="preserve">  </w:t>
      </w:r>
      <w:r>
        <w:rPr>
          <w:rStyle w:val="30"/>
          <w:rFonts w:hint="eastAsia"/>
          <w:b w:val="0"/>
          <w:bCs/>
          <w:szCs w:val="23"/>
        </w:rPr>
        <w:t>兽药使用</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第三十八条</w:t>
      </w:r>
      <w:r>
        <w:rPr>
          <w:rFonts w:hint="eastAsia" w:cs="Arial" w:asciiTheme="minorEastAsia" w:hAnsiTheme="minorEastAsia" w:eastAsiaTheme="minorEastAsia"/>
        </w:rPr>
        <w:t xml:space="preserve">  兽药使用单位，应当遵守国务院兽医行政管理部门制定的兽药安全使用规定，并建立用药记录。</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第三十九条</w:t>
      </w:r>
      <w:r>
        <w:rPr>
          <w:rFonts w:hint="eastAsia" w:cs="Arial" w:asciiTheme="minorEastAsia" w:hAnsiTheme="minorEastAsia" w:eastAsiaTheme="minorEastAsia"/>
        </w:rPr>
        <w:t xml:space="preserve">  禁止使用假、劣兽药以及国务院兽医行政管理部门规定禁止使用的药品和其他化合物。禁止使用的药品和其他化合物目录由国务院兽医行政管理部门制定公布。</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第四十条</w:t>
      </w:r>
      <w:r>
        <w:rPr>
          <w:rFonts w:hint="eastAsia" w:cs="Arial" w:asciiTheme="minorEastAsia" w:hAnsiTheme="minorEastAsia" w:eastAsiaTheme="minorEastAsia"/>
        </w:rPr>
        <w:t xml:space="preserve">  有休药期规定的兽药用于食用动物时，饲养者应当向购买者或者屠宰者提供准确、真实的用药记录;购买者或者屠宰者应当确保动物及其产品在用药期、休药期内不被用于食品消费。</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第四十一条</w:t>
      </w:r>
      <w:r>
        <w:rPr>
          <w:rFonts w:hint="eastAsia" w:cs="Arial" w:asciiTheme="minorEastAsia" w:hAnsiTheme="minorEastAsia" w:eastAsiaTheme="minorEastAsia"/>
        </w:rPr>
        <w:t xml:space="preserve">  国务院兽医行政管理部门，负责制定公布在饲料中允许添加的药物饲料添加剂品种目录。</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禁止在饲料和动物饮用水中添加激素类药品和国务院兽医行政管理部门规定的其他禁用药品。</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经批准可以在饲料中添加的兽药，应当由兽药生产企业制成药物饲料添加剂后方可添加。禁止将原料药直接添加到饲料及动物饮用水中或者直接饲喂动物。</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禁止将人用药品用于动物。</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第四十二条</w:t>
      </w:r>
      <w:r>
        <w:rPr>
          <w:rFonts w:hint="eastAsia" w:cs="Arial" w:asciiTheme="minorEastAsia" w:hAnsiTheme="minorEastAsia" w:eastAsiaTheme="minorEastAsia"/>
        </w:rPr>
        <w:t xml:space="preserve">  国务院兽医行政管理部门，应当制定并组织实施国家动物及动物产品兽药残留监控计划。</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县级以上人民政府兽医行政管理部门，负责组织对动物产品中兽药残留量的检测。兽药残留检测结果，由国务院兽医行政管理部门或者省、自治区、直辖市人民政府兽医行政管理部门按照权限予以公布。</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动物产品的生产者、销售者对检测结果有异议的，可以自收到检测结果之日起7个工作日内向组织实施兽药残留检测的兽医行政管理部门或者其上级兽医行政管理部门提出申请，由受理申请的兽医行政管理部门指定检验机构进行复检。兽药残留限量标准和残留检测方法，由国务院兽医行政管理部门制定发布。</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第四十三条  </w:t>
      </w:r>
      <w:r>
        <w:rPr>
          <w:rFonts w:hint="eastAsia" w:cs="Arial" w:asciiTheme="minorEastAsia" w:hAnsiTheme="minorEastAsia" w:eastAsiaTheme="minorEastAsia"/>
        </w:rPr>
        <w:t>禁止销售含有违禁药物或者兽药残留量超过标准的食用动物产品。</w:t>
      </w:r>
    </w:p>
    <w:p>
      <w:pPr>
        <w:pStyle w:val="63"/>
        <w:spacing w:before="218" w:after="218" w:line="412" w:lineRule="exact"/>
        <w:rPr>
          <w:rStyle w:val="30"/>
          <w:bCs w:val="0"/>
          <w:szCs w:val="23"/>
        </w:rPr>
      </w:pPr>
      <w:r>
        <w:rPr>
          <w:rStyle w:val="30"/>
          <w:rFonts w:hint="eastAsia"/>
          <w:b w:val="0"/>
          <w:bCs/>
          <w:szCs w:val="23"/>
        </w:rPr>
        <w:t>第七章</w:t>
      </w:r>
      <w:r>
        <w:rPr>
          <w:rStyle w:val="30"/>
          <w:rFonts w:hint="eastAsia"/>
          <w:bCs w:val="0"/>
          <w:szCs w:val="23"/>
        </w:rPr>
        <w:t xml:space="preserve">  </w:t>
      </w:r>
      <w:r>
        <w:rPr>
          <w:rStyle w:val="30"/>
          <w:rFonts w:hint="eastAsia"/>
          <w:b w:val="0"/>
          <w:bCs/>
          <w:szCs w:val="23"/>
        </w:rPr>
        <w:t>兽药监督管理</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第四十四条  县</w:t>
      </w:r>
      <w:r>
        <w:rPr>
          <w:rFonts w:hint="eastAsia" w:cs="Arial" w:asciiTheme="minorEastAsia" w:hAnsiTheme="minorEastAsia" w:eastAsiaTheme="minorEastAsia"/>
        </w:rPr>
        <w:t>级以上人民政府兽医行政管理部门行使兽药监督管理权。</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兽药检验工作由国务院兽医行政管理部门和省、自治区、直辖市人民政府兽医行政管理部门设立的兽药检验机构承担。国务院兽医行政管理部门，可以根据需要认定其他检验机构承担兽药检验工作。</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当事人对兽药检验结果有异议的，可以自收到检验结果之日起7个工作日内向实施检验的机构或者上级兽医行政管理部门设立的检验机构申请复检。</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第四十五条</w:t>
      </w:r>
      <w:r>
        <w:rPr>
          <w:rFonts w:hint="eastAsia" w:cs="Arial" w:asciiTheme="minorEastAsia" w:hAnsiTheme="minorEastAsia" w:eastAsiaTheme="minorEastAsia"/>
        </w:rPr>
        <w:t xml:space="preserve">  兽药应当符合兽药国家标准。</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国家兽药典委员会拟定的、国务院兽医行政管理部门发布的《中华人民共和国兽药典》和国务院兽医行政管理部门发布的其他兽药质量标准为兽药国家标准。</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兽药国家标准的标准品和对照品的标定工作由国务院兽医行政管理部门设立的兽药检验机构负责。</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第四十六条</w:t>
      </w:r>
      <w:r>
        <w:rPr>
          <w:rFonts w:hint="eastAsia" w:cs="Arial" w:asciiTheme="minorEastAsia" w:hAnsiTheme="minorEastAsia" w:eastAsiaTheme="minorEastAsia"/>
        </w:rPr>
        <w:t xml:space="preserve">  兽医行政管理部门依法进行监督检查时，对有证据证明可能是假、劣兽药的，应当采取查封、扣押的行政强制措施，并自采取行政强制措施之日起7个工作日内作出是否立案的决定;需要检验的，应当自检验报告书发出之日起15个工作日内作出是否立案的决定;不符合立案条件的，应当解除行政强制措施;需要暂停生产的，由国务院兽医行政管理部门或者省、自治区、直辖市人民政府兽医行政管理部门按照权限作出决定;需要暂停经营、使用的，由县级以上人民政府兽医行政管理部门按照权限作出决定。</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未经行政强制措施决定机关或者其上级机关批准，不得擅自转移、使用、销毁、销售被查封或者扣押的兽药及有关材料。</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第四十七条  </w:t>
      </w:r>
      <w:r>
        <w:rPr>
          <w:rFonts w:hint="eastAsia" w:cs="Arial" w:asciiTheme="minorEastAsia" w:hAnsiTheme="minorEastAsia" w:eastAsiaTheme="minorEastAsia"/>
        </w:rPr>
        <w:t>有下列情形之一的，为假兽药：</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(一)以非兽药冒充兽药或者以他种兽药冒充此种兽药的;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(二)兽药所含成分的种类、名称与兽药国家标准不符合的。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有下列情形之一的，按照假兽药处理：</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(一)国务院兽医行政管理部门规定禁止使用的;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(二)依照本条例规定应当经审查批准而未经审查批准即生产、进口的，或者依照本条例规定应当经抽查检验、审查核对而未经抽查检验、审查核对即销售、进口的;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(三)变质的;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(四)被污染的;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(五)所标明的适应症或者功能主治超出规定范围的。</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第四十八条</w:t>
      </w:r>
      <w:r>
        <w:rPr>
          <w:rFonts w:hint="eastAsia" w:cs="Arial" w:asciiTheme="minorEastAsia" w:hAnsiTheme="minorEastAsia" w:eastAsiaTheme="minorEastAsia"/>
        </w:rPr>
        <w:t xml:space="preserve">  有下列情形之一的，为劣兽药：</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(一)成分含量不符合兽药国家标准或者不标明有效成分的;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(二)不标明或者更改有效期或者超过有效期的;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(三)不标明或者更改产品批号的;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(四)其他不符合兽药国家标准，但不属于假兽药的。</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第四十九条</w:t>
      </w:r>
      <w:r>
        <w:rPr>
          <w:rFonts w:hint="eastAsia" w:cs="Arial" w:asciiTheme="minorEastAsia" w:hAnsiTheme="minorEastAsia" w:eastAsiaTheme="minorEastAsia"/>
        </w:rPr>
        <w:t xml:space="preserve">  禁止将兽用原料药拆零销售或者销售给兽药生产企业以外的单位和个人。</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禁止未经兽医开具处方销售、购买、使用国务院兽医行政管理部门规定实行处方药管理的兽药。</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第五十条  </w:t>
      </w:r>
      <w:r>
        <w:rPr>
          <w:rFonts w:hint="eastAsia" w:cs="Arial" w:asciiTheme="minorEastAsia" w:hAnsiTheme="minorEastAsia" w:eastAsiaTheme="minorEastAsia"/>
        </w:rPr>
        <w:t>国家实行兽药不良反应报告制度。</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兽药生产企业、经营企业、兽药使用单位和开具处方的兽医人员发现可能与兽药使用有关的严重不良反应，应当立即向所在地人民政府兽医行政管理部门报告。</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第五十一条</w:t>
      </w:r>
      <w:r>
        <w:rPr>
          <w:rFonts w:hint="eastAsia" w:cs="Arial" w:asciiTheme="minorEastAsia" w:hAnsiTheme="minorEastAsia" w:eastAsiaTheme="minorEastAsia"/>
        </w:rPr>
        <w:t xml:space="preserve">  兽药生产企业、经营企业停止生产、经营超过6个月或者关闭的，由发证机关责令其交回兽药生产许可证、兽药经营许可证。</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第五十二条</w:t>
      </w:r>
      <w:r>
        <w:rPr>
          <w:rFonts w:hint="eastAsia" w:cs="Arial" w:asciiTheme="minorEastAsia" w:hAnsiTheme="minorEastAsia" w:eastAsiaTheme="minorEastAsia"/>
        </w:rPr>
        <w:t xml:space="preserve">  禁止买卖、出租、出借兽药生产许可证、兽药经营许可证和兽药批准证明文件。</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第五十三条</w:t>
      </w:r>
      <w:r>
        <w:rPr>
          <w:rFonts w:hint="eastAsia" w:cs="Arial" w:asciiTheme="minorEastAsia" w:hAnsiTheme="minorEastAsia" w:eastAsiaTheme="minorEastAsia"/>
        </w:rPr>
        <w:t xml:space="preserve">  兽药评审检验的收费项目和标准，由国务院财政部门会同国务院价格主管部门制定，并予以公告。</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第五十四条</w:t>
      </w:r>
      <w:r>
        <w:rPr>
          <w:rFonts w:hint="eastAsia" w:cs="Arial" w:asciiTheme="minorEastAsia" w:hAnsiTheme="minorEastAsia" w:eastAsiaTheme="minorEastAsia"/>
        </w:rPr>
        <w:t xml:space="preserve">  各级兽医行政管理部门、兽药检验机构及其工作人员，不得参与兽药生产、经营活动，不得以其名义推荐或者监制、监销兽药。</w:t>
      </w:r>
    </w:p>
    <w:p>
      <w:pPr>
        <w:pStyle w:val="63"/>
        <w:spacing w:before="218" w:after="218" w:line="412" w:lineRule="exact"/>
        <w:rPr>
          <w:rStyle w:val="30"/>
          <w:bCs w:val="0"/>
          <w:szCs w:val="23"/>
        </w:rPr>
      </w:pPr>
      <w:r>
        <w:rPr>
          <w:rStyle w:val="30"/>
          <w:rFonts w:hint="eastAsia"/>
          <w:b w:val="0"/>
          <w:bCs/>
          <w:szCs w:val="23"/>
        </w:rPr>
        <w:t>第八章</w:t>
      </w:r>
      <w:r>
        <w:rPr>
          <w:rStyle w:val="30"/>
          <w:rFonts w:hint="eastAsia"/>
          <w:bCs w:val="0"/>
          <w:szCs w:val="23"/>
        </w:rPr>
        <w:t xml:space="preserve">  </w:t>
      </w:r>
      <w:r>
        <w:rPr>
          <w:rStyle w:val="30"/>
          <w:rFonts w:hint="eastAsia"/>
          <w:b w:val="0"/>
          <w:bCs/>
          <w:szCs w:val="23"/>
        </w:rPr>
        <w:t>法律责任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第五十五条</w:t>
      </w:r>
      <w:r>
        <w:rPr>
          <w:rFonts w:hint="eastAsia" w:cs="Arial" w:asciiTheme="minorEastAsia" w:hAnsiTheme="minorEastAsia" w:eastAsiaTheme="minorEastAsia"/>
        </w:rPr>
        <w:t xml:space="preserve">  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第五十六条</w:t>
      </w:r>
      <w:r>
        <w:rPr>
          <w:rFonts w:hint="eastAsia" w:cs="Arial" w:asciiTheme="minorEastAsia" w:hAnsiTheme="minorEastAsia" w:eastAsiaTheme="minorEastAsia"/>
        </w:rPr>
        <w:t xml:space="preserve">  违反本条例规定，无兽药生产许可证、兽药经营许可证生产、经营兽药的，或者虽有兽药生产许可证、兽药经营许可证，生产、经营假、劣兽药的，或者兽药经营企业经营人用药品的，责令其停止生产、经营，没收用于违法生产的原料、辅料、包装材料及生产、经营的兽药和违法所得，并处违法生产、经营的兽药(包括已出售的和</w:t>
      </w:r>
      <w:r>
        <w:rPr>
          <w:rFonts w:hint="eastAsia" w:cs="Arial" w:asciiTheme="minorEastAsia" w:hAnsiTheme="minorEastAsia" w:eastAsiaTheme="minorEastAsia"/>
          <w:spacing w:val="-4"/>
        </w:rPr>
        <w:t>未出售的兽药，下同)货值金额2倍以上5倍以下罚款，货值金额无法查证核实的，处10万元以上20万元以下罚款;无兽药生产许可证生产兽药，情节严重的，没收其生产设备;生产、经营假、劣兽药，情节严重的，吊销兽药生产许可证、兽药经营许可证;构成犯罪的，依法追究刑事责任;给他人造成损失的，依法承担赔偿责任。生产、经营企业的主要负责人和直接负责的主管人员终身不得从事兽药的生产、经营活动。</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擅自生产强制免疫所需兽用生物制品的，按照无兽药生产许可证生产兽药处罚。</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第五十七条</w:t>
      </w:r>
      <w:r>
        <w:rPr>
          <w:rFonts w:hint="eastAsia" w:cs="Arial" w:asciiTheme="minorEastAsia" w:hAnsiTheme="minorEastAsia" w:eastAsiaTheme="minorEastAsia"/>
        </w:rPr>
        <w:t xml:space="preserve">  违反本条例规定，提供虚假的资料、样品或者采取其他欺骗手段取得兽药生产许可证、兽药经营许可证或者兽药批准证明文件的，吊销兽药生产许可证、兽药经营许可证或者撤销兽药批准证明文件，并处5万元以上10万元以下罚款;给他人造成损失的，依法承担赔偿责任。其主要负责人和直接负责的主管人员终身不得从事兽药的生产、经营和进出口活动。</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第五十八条</w:t>
      </w:r>
      <w:r>
        <w:rPr>
          <w:rFonts w:hint="eastAsia" w:cs="Arial" w:asciiTheme="minorEastAsia" w:hAnsiTheme="minorEastAsia" w:eastAsiaTheme="minorEastAsia"/>
        </w:rPr>
        <w:t xml:space="preserve">  买卖、出租、出借兽药生产许可证、兽药经营许可证和兽药批准证明文件的，没收违法所得，并处1万元以上10万元以下罚款;情节严重的，吊销兽药生产许可证、兽药经营许可证或者撤销兽药批准证明文件;构成犯罪的，依法追究刑事责任;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第五十九条</w:t>
      </w:r>
      <w:r>
        <w:rPr>
          <w:rFonts w:hint="eastAsia" w:cs="Arial" w:asciiTheme="minorEastAsia" w:hAnsiTheme="minorEastAsia" w:eastAsiaTheme="minorEastAsia"/>
        </w:rPr>
        <w:t xml:space="preserve">  违反本条例规定，兽药安全性评价单位、临床试验单位、生产和经营企业未按照规定实施兽药研究试验、生产、经营质量管理规范的，给予警告，责令其限期改正;逾期不改正的，责令停止兽药研究试验、生产、经营活动，并处5万元以下罚款;情节严重的，吊销兽药生产许可证、兽药经营许可证;给他人造成损失的，依法承担赔偿责任。</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违反本条例规定，研制新兽药不具备规定的条件擅自使用一类病原微生物或者在实验室阶段前未经批准的，责令其停止实验，并处5万元以上10万元以下罚款;构成犯罪的，依法追究刑事责任;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第六十条</w:t>
      </w:r>
      <w:r>
        <w:rPr>
          <w:rFonts w:hint="eastAsia" w:cs="Arial" w:asciiTheme="minorEastAsia" w:hAnsiTheme="minorEastAsia" w:eastAsiaTheme="minorEastAsia"/>
        </w:rPr>
        <w:t xml:space="preserve">  违反本条例规定，兽药的标签和说明书未经批准的，责令其限期改正;逾期不改正的，按照生产、经营假兽药处罚;有兽药产品批准文号的，撤销兽药产品批准文号;给他人造成损失的，依法承担赔偿责任。</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兽药包装上未附有标签和说明书，或者标签和说明书与批准的内容不一致的，责令其限期改正;情节严重的，依照前款规定处罚。</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第六十一条</w:t>
      </w:r>
      <w:r>
        <w:rPr>
          <w:rFonts w:hint="eastAsia" w:cs="Arial" w:asciiTheme="minorEastAsia" w:hAnsiTheme="minorEastAsia" w:eastAsiaTheme="minorEastAsia"/>
        </w:rPr>
        <w:t xml:space="preserve">  违反本条例规定，境外企业在中国直接销售兽药的，责令其限期改正，没收直接销售的兽药和违法所得，并处5万元以上10万元以下罚款;情节严重的，吊销进口兽药注册证书;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第六十二条</w:t>
      </w:r>
      <w:r>
        <w:rPr>
          <w:rFonts w:hint="eastAsia" w:cs="Arial" w:asciiTheme="minorEastAsia" w:hAnsiTheme="minorEastAsia" w:eastAsiaTheme="minorEastAsia"/>
        </w:rPr>
        <w:t xml:space="preserve">  违反本条例规定，未按照国家有关兽药安全使用规定使用兽药的、未建立用药记录或者记录不完整真实的，或者使用禁止使用的药品和其他化合物的，或者将人用药品用于动物的，责令其立即改正，并对饲喂了违禁药物及其他化合物的动物及其产品进行无害化处理;对违法单位处1万元以上5万元以下罚款;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第六十三条  </w:t>
      </w:r>
      <w:r>
        <w:rPr>
          <w:rFonts w:hint="eastAsia" w:cs="Arial" w:asciiTheme="minorEastAsia" w:hAnsiTheme="minorEastAsia" w:eastAsiaTheme="minorEastAsia"/>
        </w:rPr>
        <w:t>违反本条例规定，销售尚在用药期、休药期内的动物及其产品用于食品消费的，或者销售含有违禁药物和兽药残留超标的动物产品用于食品消费的，责令其对含有违禁药物和兽药残留超标的动物产品进行无害化处理，没收违法所得，并处3万元以上10万元以下罚款;构成犯罪的，依法追究刑事责任;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第六十四条</w:t>
      </w:r>
      <w:r>
        <w:rPr>
          <w:rFonts w:hint="eastAsia" w:cs="Arial" w:asciiTheme="minorEastAsia" w:hAnsiTheme="minorEastAsia" w:eastAsiaTheme="minorEastAsia"/>
        </w:rPr>
        <w:t xml:space="preserve">  违反本条例规定，擅自转移、使用、销毁、销售被查封或者扣押的兽药及有关材料的，责令其停止违法行为，给予警告，并处5万元以上10万元以下罚款。</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第六十五条</w:t>
      </w:r>
      <w:r>
        <w:rPr>
          <w:rFonts w:hint="eastAsia" w:cs="Arial" w:asciiTheme="minorEastAsia" w:hAnsiTheme="minorEastAsia" w:eastAsiaTheme="minorEastAsia"/>
        </w:rPr>
        <w:t xml:space="preserve">  违反本条例规定，兽药生产企业、经营企业、兽药使用单位和开具处方的兽医人员发现可能与兽药使用有关的严重不良反应，不向所在地人民政府兽医行政管理部门报告的，给予警告，并处5000元以上1万元以下罚款。</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生产企业在新兽药监测期内不收集或者不及时报送该新兽药的疗效、不良反应等资料的，责令其限期改正，并处1万元以上5万元以下罚款;情节严重的，撤销该新兽药的产品批准文号。</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第六十六条</w:t>
      </w:r>
      <w:r>
        <w:rPr>
          <w:rFonts w:hint="eastAsia" w:cs="Arial" w:asciiTheme="minorEastAsia" w:hAnsiTheme="minorEastAsia" w:eastAsiaTheme="minorEastAsia"/>
        </w:rPr>
        <w:t xml:space="preserve">  违反本条例规定，未经兽医开具处方销售、购买、使用兽用处方药的，责令其限期改正，没收违法所得，并处5万元以下罚款;给他人造成损失的，依法承担赔偿责任。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第六十七条</w:t>
      </w:r>
      <w:r>
        <w:rPr>
          <w:rFonts w:hint="eastAsia" w:cs="Arial" w:asciiTheme="minorEastAsia" w:hAnsiTheme="minorEastAsia" w:eastAsiaTheme="minorEastAsia"/>
        </w:rPr>
        <w:t xml:space="preserve">  违反本条例规定，兽药生产、经营企业把原料药销售给兽药生产企业以外的单位和个人的，或者兽药经营企业拆零销售原料药的，责令其立即改正，给予警告，没收违法所得，并处2万元以上5万元以下罚款;情节严重的，吊销兽药生产许可证、兽药经营许可证;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第六十八条  </w:t>
      </w:r>
      <w:r>
        <w:rPr>
          <w:rFonts w:hint="eastAsia" w:cs="Arial" w:asciiTheme="minorEastAsia" w:hAnsiTheme="minorEastAsia" w:eastAsiaTheme="minorEastAsia"/>
        </w:rPr>
        <w:t>违反本条例规定，在饲料和动物饮用水中添加激素类药品和国务院兽医行政管理部门规定的其他禁用药品，依照《饲料和饲料添加剂管理条例》的有关规定处罚;直接将原料药添加到饲料及动物饮用水中，或者饲喂动物的，责令其立即改正，并处1万元以上3万元以下罚款;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第六十九条  </w:t>
      </w:r>
      <w:r>
        <w:rPr>
          <w:rFonts w:hint="eastAsia" w:cs="Arial" w:asciiTheme="minorEastAsia" w:hAnsiTheme="minorEastAsia" w:eastAsiaTheme="minorEastAsia"/>
        </w:rPr>
        <w:t>有下列情形之一的，撤销兽药的产品批准文号或者吊销进口兽药注册证书：</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(一)抽查检验连续2次不合格的;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(二)药效不确定、不良反应大以及可能对养殖业、人体健康造成危害或者存在潜在风险的;</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(三)国务院兽医行政管理部门禁止生产、经营和使用的兽药。</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被撤销产品批准文号或者被吊销进口兽药注册证书的兽药，不得继续生产、进口、经营和使用。已经生产、进口的，由所在地兽医行政管理部门监督销毁，所需费用由违法行为人承担;给他人造成损失的，依法承担赔偿责任。</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第七十条</w:t>
      </w:r>
      <w:r>
        <w:rPr>
          <w:rFonts w:hint="eastAsia" w:cs="Arial" w:asciiTheme="minorEastAsia" w:hAnsiTheme="minorEastAsia" w:eastAsiaTheme="minorEastAsia"/>
        </w:rPr>
        <w:t xml:space="preserve">  本条例规定的行政处罚由县级以上人民政府兽医行政管理部门决定;其中吊销兽药生产许可证、兽药经营许可证、撤销兽药批准证明文件或者责令停止兽药研究试验的，由发证、批准部门决定。</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上级兽医行政管理部门对下级兽医行政管理部门违反本条例的行政行为，应当责令限期改正;逾期不改正的，有权予以改变或者撤销。</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第七十一条</w:t>
      </w:r>
      <w:r>
        <w:rPr>
          <w:rFonts w:hint="eastAsia" w:cs="Arial" w:asciiTheme="minorEastAsia" w:hAnsiTheme="minorEastAsia" w:eastAsiaTheme="minorEastAsia"/>
        </w:rPr>
        <w:t xml:space="preserve">  本条例规定的货值金额以违法生产、经营兽药的标价计算;没有标价的，按照同类兽药的市场价格计算。</w:t>
      </w:r>
    </w:p>
    <w:p>
      <w:pPr>
        <w:pStyle w:val="63"/>
        <w:spacing w:before="218" w:after="218" w:line="412" w:lineRule="exact"/>
        <w:rPr>
          <w:rStyle w:val="30"/>
          <w:bCs w:val="0"/>
          <w:szCs w:val="23"/>
        </w:rPr>
      </w:pPr>
      <w:r>
        <w:rPr>
          <w:rStyle w:val="30"/>
          <w:rFonts w:hint="eastAsia"/>
          <w:b w:val="0"/>
          <w:bCs/>
          <w:szCs w:val="23"/>
        </w:rPr>
        <w:t>第九章</w:t>
      </w:r>
      <w:r>
        <w:rPr>
          <w:rStyle w:val="30"/>
          <w:rFonts w:hint="eastAsia"/>
          <w:bCs w:val="0"/>
          <w:szCs w:val="23"/>
        </w:rPr>
        <w:t xml:space="preserve">  </w:t>
      </w:r>
      <w:r>
        <w:rPr>
          <w:rStyle w:val="30"/>
          <w:rFonts w:hint="eastAsia"/>
          <w:b w:val="0"/>
          <w:bCs/>
          <w:szCs w:val="23"/>
        </w:rPr>
        <w:t>附  则</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 xml:space="preserve">第七十二条  </w:t>
      </w:r>
      <w:r>
        <w:rPr>
          <w:rFonts w:hint="eastAsia" w:cs="Arial" w:asciiTheme="minorEastAsia" w:hAnsiTheme="minorEastAsia" w:eastAsiaTheme="minorEastAsia"/>
        </w:rPr>
        <w:t>本条例下列用语的含义是：</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一)兽药，是指用于预防、治疗、诊断动物疾病或者有目的地调节动物生理机能的物质(含药物饲料添加剂)，主要包括：血清制品、疫苗、诊断制品、微生态制品、中药材、中成药、化学药品、抗生素、生化药品、放射性药品及外用杀虫剂、消毒剂等。</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(二)兽用处方药，是指凭兽医处方方可购买和使用的兽药。</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(三)兽用非处方药，是指由国务院兽医行政管理部门公布的、不需要凭兽医处方就可以自行购买并按照说明书使用的兽药。</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(四)兽药生产企业，是指专门生产兽药的企业和兼产兽药的企业，包括从事兽药分装的企业。</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(五)兽药经营企业，是指经营兽药的专营企业或者兼营企业。</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(六)新兽药，是指未曾在中国境内上市销售的兽用药品。</w:t>
      </w:r>
    </w:p>
    <w:p>
      <w:pPr>
        <w:pStyle w:val="25"/>
        <w:widowControl w:val="0"/>
        <w:shd w:val="clear" w:color="auto" w:fill="FFFFFF"/>
        <w:topLinePunct/>
        <w:spacing w:beforeAutospacing="0" w:afterAutospacing="0" w:line="412" w:lineRule="exact"/>
        <w:ind w:firstLine="480" w:firstLineChars="200"/>
        <w:jc w:val="both"/>
        <w:rPr>
          <w:rFonts w:cs="Arial" w:asciiTheme="minorEastAsia" w:hAnsiTheme="minorEastAsia" w:eastAsiaTheme="minorEastAsia"/>
        </w:rPr>
      </w:pPr>
      <w:r>
        <w:rPr>
          <w:rFonts w:hint="eastAsia" w:cs="Arial" w:asciiTheme="minorEastAsia" w:hAnsiTheme="minorEastAsia" w:eastAsiaTheme="minorEastAsia"/>
        </w:rPr>
        <w:t>(七)兽药批准证明文件，是指兽药产品批准文号、进口兽药注册证书、允许进口兽用生物制品证明文件、出口兽药证明文件、新兽药注册证书等文件。</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第七十三条</w:t>
      </w:r>
      <w:r>
        <w:rPr>
          <w:rFonts w:hint="eastAsia" w:cs="Arial" w:asciiTheme="minorEastAsia" w:hAnsiTheme="minorEastAsia" w:eastAsiaTheme="minorEastAsia"/>
        </w:rPr>
        <w:t xml:space="preserve">  兽用麻醉药品、精神药品、毒性药品和放射性药品等特殊药品，依照国家有关规定管理。</w:t>
      </w:r>
    </w:p>
    <w:p>
      <w:pPr>
        <w:pStyle w:val="25"/>
        <w:widowControl w:val="0"/>
        <w:shd w:val="clear" w:color="auto" w:fill="FFFFFF"/>
        <w:topLinePunct/>
        <w:spacing w:beforeAutospacing="0" w:afterAutospacing="0" w:line="412" w:lineRule="exact"/>
        <w:ind w:firstLine="482" w:firstLineChars="200"/>
        <w:jc w:val="both"/>
        <w:rPr>
          <w:rFonts w:cs="Arial" w:asciiTheme="minorEastAsia" w:hAnsiTheme="minorEastAsia" w:eastAsiaTheme="minorEastAsia"/>
        </w:rPr>
      </w:pPr>
      <w:r>
        <w:rPr>
          <w:rStyle w:val="30"/>
          <w:rFonts w:hint="eastAsia" w:cs="Arial" w:asciiTheme="minorEastAsia" w:hAnsiTheme="minorEastAsia" w:eastAsiaTheme="minorEastAsia"/>
        </w:rPr>
        <w:t>第七十四条</w:t>
      </w:r>
      <w:r>
        <w:rPr>
          <w:rFonts w:hint="eastAsia" w:cs="Arial" w:asciiTheme="minorEastAsia" w:hAnsiTheme="minorEastAsia" w:eastAsiaTheme="minorEastAsia"/>
        </w:rPr>
        <w:t xml:space="preserve">  水产养殖中的兽药使用、兽药残留检测和监督管理以及水产养殖过程中违法用药的行政处罚，由县级以上人民政府渔业主管部门及其所属的渔政监督管理机构负责。</w:t>
      </w:r>
    </w:p>
    <w:p>
      <w:pPr>
        <w:pStyle w:val="25"/>
        <w:widowControl w:val="0"/>
        <w:shd w:val="clear" w:color="auto" w:fill="FFFFFF"/>
        <w:topLinePunct/>
        <w:spacing w:beforeAutospacing="0" w:afterAutospacing="0" w:line="412" w:lineRule="exact"/>
        <w:ind w:firstLine="482" w:firstLineChars="200"/>
        <w:jc w:val="both"/>
        <w:rPr>
          <w:rFonts w:asciiTheme="minorEastAsia" w:hAnsiTheme="minorEastAsia" w:eastAsiaTheme="minorEastAsia"/>
        </w:rPr>
      </w:pPr>
      <w:r>
        <w:rPr>
          <w:rStyle w:val="30"/>
          <w:rFonts w:hint="eastAsia" w:cs="Arial" w:asciiTheme="minorEastAsia" w:hAnsiTheme="minorEastAsia" w:eastAsiaTheme="minorEastAsia"/>
        </w:rPr>
        <w:t>第七十五条</w:t>
      </w:r>
      <w:r>
        <w:rPr>
          <w:rFonts w:hint="eastAsia" w:cs="Arial" w:asciiTheme="minorEastAsia" w:hAnsiTheme="minorEastAsia" w:eastAsiaTheme="minorEastAsia"/>
        </w:rPr>
        <w:t xml:space="preserve">  本条例自2004年11月1日起施行。</w:t>
      </w:r>
      <w:r>
        <w:rPr>
          <w:rFonts w:asciiTheme="minorEastAsia" w:hAnsiTheme="minorEastAsia" w:eastAsiaTheme="minorEastAsia"/>
        </w:rPr>
        <w:br w:type="page"/>
      </w:r>
      <w:bookmarkStart w:id="909" w:name="_Toc466579872"/>
      <w:bookmarkStart w:id="910" w:name="_Toc11303"/>
      <w:bookmarkStart w:id="911" w:name="_Toc21450028"/>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912" w:name="_Toc26348003"/>
      <w:bookmarkStart w:id="913" w:name="_Toc25648248"/>
      <w:bookmarkStart w:id="914" w:name="_Toc28250953"/>
      <w:bookmarkStart w:id="915" w:name="_Toc25653743"/>
      <w:bookmarkStart w:id="916" w:name="_Toc28252229"/>
      <w:bookmarkStart w:id="917" w:name="_Toc28157025"/>
      <w:r>
        <w:t>兽用处方药和非处方药管理办法</w:t>
      </w:r>
      <w:bookmarkEnd w:id="909"/>
      <w:bookmarkEnd w:id="910"/>
      <w:bookmarkEnd w:id="911"/>
      <w:bookmarkEnd w:id="912"/>
      <w:bookmarkEnd w:id="913"/>
      <w:bookmarkEnd w:id="914"/>
      <w:bookmarkEnd w:id="915"/>
      <w:bookmarkEnd w:id="916"/>
      <w:bookmarkEnd w:id="917"/>
    </w:p>
    <w:p>
      <w:pPr>
        <w:pStyle w:val="62"/>
        <w:topLinePunct w:val="0"/>
        <w:ind w:firstLine="0" w:firstLineChars="0"/>
        <w:jc w:val="center"/>
        <w:rPr>
          <w:b/>
        </w:rPr>
      </w:pPr>
      <w:r>
        <w:t>（2013年9月11日</w:t>
      </w:r>
      <w:r>
        <w:rPr>
          <w:shd w:val="clear" w:color="auto" w:fill="FFFFFF"/>
        </w:rPr>
        <w:t>中华人民共和国</w:t>
      </w:r>
      <w:r>
        <w:t>农业部令第2号公布）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为加强兽药监督管理，促进兽医临床合理用药，保障动物产品安全，根据《兽药管理条例》，制定本办法。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国家对兽药实行分类管理，根据兽药的安全性和使用风险程度，将兽药分为兽用处方药和非处方药。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兽用处方药是指凭兽医处方笺方可购买和使用的兽药。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兽用非处方药是指不需要兽医处方笺即可自行购买并按照说明书使用的兽药。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兽用处方药目录由农业部制定并公布。兽用处方药目录以外的兽药为兽用非处方药。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农业部主管全国兽用处方药和非处方药管理工作。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县级以上地方人民政府兽医行政管理部门负责本行政区域内兽用处方药和非处方药的监督管理，具体工作可以委托所属执法机构承担。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兽用处方药的标签和说明书应当标注“兽用处方药”字样，兽用非处方药的标签和说明书应当标注“兽用非处方药”字样。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前款字样应当在标签和说明书的右上角以宋体红色标注，背景应当为白色，字体大小根据实际需要设定，但必须醒目、清晰。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兽药生产企业应当跟踪本企业所生产兽药的安全性和有效性，发现不适合按兽用非处方药管理的，应当及时向农业部报告。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兽药经营者、动物诊疗机构、行业协会或者其他组织和个人发现兽用非处方药有前款规定情形的，应当向当地兽医行政管理部门报告。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兽药经营者应当在经营场所显著位置悬挂或者张贴“兽用处方药必须凭兽医处方购买”的提示语。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兽药经营者对兽用处方药、兽用非处方药应当分区或分柜摆放。兽用处方药不得采用开架自选方式销售。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兽用处方药凭兽医处方笺方可买卖，但下列情形除外：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（一）进出口兽用处方药的；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（二）向动物诊疗机构、科研单位、动物疫病预防控制机构和其他兽药生产企业、经营者销售兽用处方药的；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（三）向聘有依照《执业兽医管理办法》规定注册的专职执业兽医的动物饲养场（养殖小区）、动物园、实验动物饲育场等销售兽用处方药的。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兽医处方笺由依法注册的执业兽医按照其注册的执业范围开具。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兽医处方笺应当记载下列事项：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（一）畜主姓名或动物饲养场名称；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（二）动物种类、年（日）龄、体重及数量；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（三）诊断结果；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（四）兽药通用名称、规格、数量、用法、用量及休药期；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（五）开具处方日期及开具处方执业兽医注册号和签章。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处方笺一式三联，第一联由开具处方药的动物诊疗机构或执业兽医保存，第二联由兽药经营者保存，第三联由畜主或动物饲养场保存。动物饲养场（养殖小区）、动物园、实验动物饲育场等单位专职执业兽医开具的处方签由专职执业兽医所在单位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处方笺应当保存二年以上。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兽药经营者应当对兽医处方笺进行查验，单独建立兽用处方药的购销记录，并保存二年以上。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兽用处方药应当依照处方笺所载事项使用。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乡村兽医应当按照农业部制定、公布的《乡村兽医基本用药目录》使用兽药。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兽用麻醉药品、精神药品、毒性药品等特殊药品的生产、销售和使用，还应当遵守国家有关规定。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违反本办法第四条规定的，依照《兽药管理条例》第六十条第二款的规定进行处罚。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违反本办法规定，未经注册执业兽医开具处方销售、购买、使用兽用处方药的，依照《兽药管理条例》第六十六条的规定进行处罚。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违反本办法规定，有下列情形之一的，依照《兽药管理条例》第五十九条第一款的规定进行处罚：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（一）兽药经营者未在经营场所明显位置悬挂或者张贴提示语的；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（二）兽用处方药与兽用非处方药未分区或分柜摆放的；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（三）兽用处方药采用开架自选方式销售的；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（四）兽医处方笺和兽用处方药购销记录未按规定保存的。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违反本办法其他规定的，依照《中华人民共和国动物防疫法》、《兽药管理条例》有关规定进行处罚。</w:t>
      </w:r>
    </w:p>
    <w:p>
      <w:pPr>
        <w:pStyle w:val="3"/>
        <w:topLinePunct/>
        <w:spacing w:line="412" w:lineRule="exact"/>
        <w:ind w:firstLine="482"/>
        <w:rPr>
          <w:rFonts w:asciiTheme="minorEastAsia" w:hAnsiTheme="minorEastAsia"/>
          <w:b/>
          <w:bCs/>
          <w:kern w:val="0"/>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本办法自2014年3月1日起施行。</w:t>
      </w:r>
      <w:bookmarkStart w:id="918" w:name="_Toc351032460"/>
      <w:bookmarkStart w:id="919" w:name="_Toc466579873"/>
      <w:bookmarkStart w:id="920" w:name="_Toc21450029"/>
      <w:bookmarkStart w:id="921" w:name="_Toc14064"/>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922" w:name="_Toc28157026"/>
      <w:bookmarkStart w:id="923" w:name="_Toc25653744"/>
      <w:bookmarkStart w:id="924" w:name="_Toc28252230"/>
      <w:bookmarkStart w:id="925" w:name="_Toc25648249"/>
      <w:bookmarkStart w:id="926" w:name="_Toc26348004"/>
      <w:bookmarkStart w:id="927" w:name="_Toc28250954"/>
      <w:r>
        <w:t>新兽药研制管理办法</w:t>
      </w:r>
      <w:bookmarkEnd w:id="918"/>
      <w:bookmarkEnd w:id="919"/>
      <w:bookmarkEnd w:id="920"/>
      <w:bookmarkEnd w:id="921"/>
      <w:bookmarkEnd w:id="922"/>
      <w:bookmarkEnd w:id="923"/>
      <w:bookmarkEnd w:id="924"/>
      <w:bookmarkEnd w:id="925"/>
      <w:bookmarkEnd w:id="926"/>
      <w:bookmarkEnd w:id="927"/>
    </w:p>
    <w:p>
      <w:pPr>
        <w:pStyle w:val="62"/>
      </w:pPr>
      <w:r>
        <w:t>（</w:t>
      </w:r>
      <w:r>
        <w:rPr>
          <w:rFonts w:hint="eastAsia"/>
        </w:rPr>
        <w:t>2005年8月31日农业部令第55号公布，根据2016年5月30日农业部令第3号第一次修订，根据2019年4月25日农业农村部令第2号第二次修订</w:t>
      </w:r>
      <w:r>
        <w:t>）</w:t>
      </w:r>
    </w:p>
    <w:p>
      <w:pPr>
        <w:pStyle w:val="63"/>
        <w:spacing w:before="218" w:after="218" w:line="412" w:lineRule="exact"/>
        <w:rPr>
          <w:b/>
        </w:rPr>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为了保证兽药的安全、有效和质量，规范兽药研制活动，根据《兽药管理条例》和《病原微生物实验室生物安全管理条例》，制定本办法。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在中华人民共和国境内从事新兽药临床前研究、临床试验和监督管理，应当遵守本办法。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农业部负责全国新兽药研制管理工作，对研制新兽药使用一类病原微生物（含国内尚未发现的新病原微生物）、属于生物制品的新兽药临床试验进行审批。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省级人民政府兽医行政管理部门负责对其他新兽药临床试验审批。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县级以上地方人民政府兽医行政管理部门负责本辖区新兽药研制活动的监督管理工作。</w:t>
      </w:r>
    </w:p>
    <w:p>
      <w:pPr>
        <w:pStyle w:val="63"/>
        <w:spacing w:before="218" w:after="218" w:line="412" w:lineRule="exact"/>
        <w:rPr>
          <w:b/>
        </w:rPr>
      </w:pPr>
      <w:r>
        <w:t xml:space="preserve">第二章 </w:t>
      </w:r>
      <w:r>
        <w:rPr>
          <w:rFonts w:hint="eastAsia"/>
        </w:rPr>
        <w:t xml:space="preserve"> </w:t>
      </w:r>
      <w:r>
        <w:t>临床前研究管理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新兽药临床前研究包括药学、药理学和毒理学研究，具体研究项目如下：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生物制品（包括疫苗、血清制品、诊断制品、微生态制品等）：菌毒种、细胞株、生物组织等起始材料的系统鉴定、保存条件、遗传稳定性、实验室安全和效力试验及免疫学研究等；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其它兽药（化学药品、抗生素、消毒剂、生化药品、放射性药品、外用杀虫剂）：生产工艺、结构确证、理化性质及纯度，剂型选择、处方筛选，检验方法、质量指标，稳定性，药理学、毒理学等；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中药制剂（中药材、中成药）：除具备其它兽药的研究项目外，还应当包括原药材的来源、加工及炮制等。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研制新兽药，应当进行安全性评价。新兽药的安全性评价系指在临床前研究阶段，通过毒理学研究等对一类新化学药品和抗生素对靶动物和人的健康影响进行风险评估的过程，包括急性毒性、亚慢性毒性、致突变、生殖毒性（含致畸）、慢性毒性（含致癌）试验以及用于食用动物时日允许摄入量（ADI）和最高残留限量（MRL）的确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担新兽药安全性评价的单位应当符合《兽药非临床研究质量管理规范》的要求，执行《兽药非临床研究质量管理规范》，并参照农业部发布的有关技术指导原则进行试验。采用指导原则以外的其他方法和技术进行试验的，应当提交能证明其科学性的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研制新兽药需要使用一类病原微生物的，应当按照《病原微生物实验室生物安全管理条例》和《高致病性动物病原微生物实验室生物安全管理审批办法》等有关规定，在实验室阶段前取得实验活动批准文件，并在取得《高致病性动物病原微生物实验室资格证书》的实验室进行试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使用一类病原微生物时，除提交《高致病性动物病原微生物实验室生物安全管理审批办法》要求的申请资料外，还应当提交研制单位基本情况、研究目的和方案、生物安全防范措施等书面资料。必要时，农业部指定参考试验室对病原微生物菌（毒）种进行风险评估和适用性评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临床前药理学与毒理学研究所用化学药品、抗生素，应当经过结构确证确认为所需要的化合物，并经质量检验符合拟定质量标准。</w:t>
      </w:r>
    </w:p>
    <w:p>
      <w:pPr>
        <w:pStyle w:val="63"/>
        <w:spacing w:before="218" w:after="218" w:line="412" w:lineRule="exact"/>
        <w:rPr>
          <w:b/>
        </w:rPr>
      </w:pPr>
      <w:r>
        <w:t>第三章</w:t>
      </w:r>
      <w:r>
        <w:rPr>
          <w:rFonts w:hint="eastAsia"/>
        </w:rPr>
        <w:t xml:space="preserve"> </w:t>
      </w:r>
      <w:r>
        <w:t xml:space="preserve"> 临床试验审批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申请人进行临床试验，应当在试验前提出申请，并提交下列资料：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（一）《新兽药临床试验申请表》一份；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（二）申请报告一份，内容包括研制单位基本情况；新兽药名称、来源和特性；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（三）临床试验方案原件一份；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（四）委托试验合同书正本一份；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（五）本办法第四条规定的有关资料一份；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（六）试制产品生产工艺、质量标准（草案）、试制研究总结报告及检验报告；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属于生物制品的新兽药临床试验，还应当提供生物安全防范基本条件、菌（毒、虫）种名称、来源和特性方面的资料。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属于其他新兽药临床试验，还应当提供符合《兽药临床试验质量管理规范》要求的兽药安全评价实验室出具的安全性评价试验报告原件一份，或者提供国内外相关药理学和毒理学文献资料。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属于生物制品的新兽药临床试验，应当向农业部提出申请；其他新兽药临床试验，应当向所在地省级人民政府兽医行政管理部门提出申请。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或者省级人民政府兽医行政管理部门收到新兽药临床试验申请后，应当对临床前研究结果的真实性和完整性，以及临床试验方案进行审查。必要时，可以派至少2人对申请人临床前研究阶段的原始记录、试验条件、生产工艺以及试制情况进行现场核查，并形成书面核查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部或者省级人民政府兽医行政管理部门应当自受理申请之日起60个工作日内做出是否批准的决定，确定试验区域和试验期限，并书面通知申请人。省级人民政府兽医行政管理部门做出批准决定后，应当及时报农业部备案。</w:t>
      </w:r>
    </w:p>
    <w:p>
      <w:pPr>
        <w:pStyle w:val="63"/>
        <w:spacing w:before="218" w:after="218" w:line="412" w:lineRule="exact"/>
        <w:rPr>
          <w:b/>
        </w:rPr>
      </w:pPr>
      <w:r>
        <w:t xml:space="preserve">第四章 </w:t>
      </w:r>
      <w:r>
        <w:rPr>
          <w:rFonts w:hint="eastAsia"/>
        </w:rPr>
        <w:t xml:space="preserve"> </w:t>
      </w:r>
      <w:r>
        <w:t>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临床试验批准后应当在2年内实施完毕。逾期未完成的，可以延期一年，但应当经原批准机关批准。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临床试验批准后变更申请人的，应当重新申请。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承担兽药临床试验的单位应当具有农业部认定的相应试验资格。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兽药临床试验应当执行《兽药临床试验质量管理规范》。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兽药临床试验应当参照农业部发布的兽药临床试验技术指导原则进行。采用指导原则以外的其他方法和技术进行试验的，应当提交能证明其科学性的资料。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临床试验用兽药应当在取得《兽药GMP证书》的企业制备，制备过程应当执行《兽药生产质量管理规范》。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根据需要，农业部或者省级人民政府兽医行政管理部门可以对制备现场进行考察。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申请人对临床试验用兽药和对照用兽药的质量负责。临床试验用兽药和对照用兽药应当经中国兽医药品监察所或者农业部认定的其他兽药检验机构进行检验，检验合格的方可用于试验。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临床试验用兽药标签应当注明批准机关的批准文件号，兽药名称、含量、规格、试制日期、有效期、试制批号、试制企业名称等，并注明“供临床试验用”字样。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临床试验用兽药仅供临床试验使用，不得销售，不得在未批准区域使用，不得超过批准期限使用。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临床试验需要使用放射元素标记药物的，试验单位应当有严密的防辐射措施，使用放射元素标记药物的动物处理应当符合环保要求。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试验死亡的临床试验用食用动物及其产品不得作为动物性食品供人消费，应当作无害化处理；临床试验用食用动物及其产品供人消费的，应当提供符合《兽药非临床研究质量管理规范》和《兽药临床试验质量管理规范》要求的兽药安全性评价实验室出具的对人安全并超过休药期的证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临床试验应当根据批准的临床试验方案进行。如需变更批准内容的，申请人应向原批准机关报告变更后的试验方案，并说明依据和理由。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临床试验的受试动物数量应当根据临床试验的目的，符合农业部规定的最低临床试验病例数要求或相关统计学的要求。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因新兽药质量或其它原因导致临床试验过程中试验动物发生重大动物疫病的，试验单位和申请人应当立即停止试验，并按照国家有关动物疫情处理规定处理。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承担临床试验的单位和试验者应当密切注意临床试验用兽药不良反应事件的发生，并及时记录在案。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临床试验过程中发生严重不良反应事件的，试验者应当在24小时内报告所在地省级人民政府兽医行政管理部门和申请人，并报农业部。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临床试验期间发生下列情形之一的，原批准机关可以责令申请人修改试验方案、暂停或终止试验：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（一）未按照规定时限报告严重不良反应事件的；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（二）已有证据证明试验用兽药无效的；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（三）试验用兽药出现质量问题的；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（四）试验中出现大范围、非预期的不良反应或严重不良反应事件的；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（五）试验中弄虚作假的；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（六）违反《兽药临床试验质量管理规范》其他情形的。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对批准机关做出责令修改试验方案、暂停或终止试验的决定有异议的，申请人可以在5个工作日内向原批准机关提出书面意见并说明理由。原批准机关应当在10个工作日内做出最后决定，并书面通知申请人。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临床试验完成后，申请人应当向原批准机关提交批准的临床试验方案、试验结果及统计分析报告，并附原始记录复印件。</w:t>
      </w:r>
    </w:p>
    <w:p>
      <w:pPr>
        <w:pStyle w:val="63"/>
        <w:spacing w:before="218" w:after="218" w:line="412" w:lineRule="exact"/>
        <w:rPr>
          <w:b/>
        </w:rPr>
      </w:pPr>
      <w:r>
        <w:t xml:space="preserve">第五章 </w:t>
      </w:r>
      <w:r>
        <w:rPr>
          <w:rFonts w:hint="eastAsia"/>
        </w:rPr>
        <w:t xml:space="preserve"> </w:t>
      </w:r>
      <w:r>
        <w:t xml:space="preserve">罚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违反本办法第十五条第一款规定，临床试验用兽药和对照用兽药未经检验，或者检验不合格用于试验的，试验结果不予认可。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违反本办法第十七条第二款规定，依照《兽药管理条例》第六十三条的规定予以处罚。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申请人申请新兽药临床试验时，提供虚假资料和样品的，批准机关不予受理或者对申报的新兽药临床试验不予批准，并对申请人给予警告，一年内不受理该申请人提出的该新兽药临床试验申请；已批准进行临床试验的，撤销该新兽药临床试验批准文件，终止试验，并处5万元以上10万元以下罚款，三年内不受理该申请人提出的该新兽药临床试验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农业部对提供虚假资料和样品的申请人建立不良行为记录，并予以公布。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兽药安全性评价单位、临床试验单位未按照《兽药非临床研究质量管理规范》或《兽药临床试验质量管理规范》规定实施兽药研究试验的，依照《兽药管理条例》第五十九条的规定予以处罚。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农业部对提供虚假试验结果和对试验结果弄虚作假的试验单位和责任人，建立不良行为记录，予以公布，并撤销相应试验的资格。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违反本办法的其他行为，依照《兽药管理条例》和其他行政法规予以处罚。</w:t>
      </w:r>
    </w:p>
    <w:p>
      <w:pPr>
        <w:pStyle w:val="63"/>
        <w:spacing w:before="218" w:after="218" w:line="412" w:lineRule="exact"/>
        <w:rPr>
          <w:b/>
        </w:rPr>
      </w:pPr>
      <w:r>
        <w:t xml:space="preserve">第六章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境外企业不得在中国境内进行新兽药研制所需的临床试验和其他动物试验。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根据进口兽药注册审评的要求，需要进行临床试验的，由农业部指定的单位承担，并将临床试验方案和与受委托单位签订的试验合同报农业部备案。</w:t>
      </w:r>
    </w:p>
    <w:p>
      <w:pPr>
        <w:topLinePunct/>
        <w:spacing w:beforeLines="0" w:afterLines="0" w:line="412" w:lineRule="exact"/>
        <w:ind w:firstLine="482" w:firstLineChars="200"/>
        <w:rPr>
          <w:rFonts w:cs="Times New Roman" w:asciiTheme="minorEastAsia" w:hAnsiTheme="minorEastAsia"/>
          <w:sz w:val="24"/>
          <w:szCs w:val="24"/>
        </w:rPr>
      </w:pPr>
      <w:r>
        <w:rPr>
          <w:rFonts w:cs="Times New Roman" w:asciiTheme="minorEastAsia" w:hAnsiTheme="minorEastAsia"/>
          <w:b/>
          <w:sz w:val="24"/>
          <w:szCs w:val="24"/>
        </w:rPr>
        <w:t xml:space="preserve">第三十条  </w:t>
      </w:r>
      <w:r>
        <w:rPr>
          <w:rFonts w:cs="Times New Roman" w:asciiTheme="minorEastAsia" w:hAnsiTheme="minorEastAsia"/>
          <w:sz w:val="24"/>
          <w:szCs w:val="24"/>
        </w:rPr>
        <w:t>本办法自2005年11月1日起施行。</w:t>
      </w:r>
    </w:p>
    <w:p>
      <w:pPr>
        <w:topLinePunct/>
        <w:spacing w:beforeLines="0" w:afterLines="0" w:line="416"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br w:type="page"/>
      </w:r>
    </w:p>
    <w:p>
      <w:pPr>
        <w:widowControl/>
        <w:spacing w:before="156" w:after="156"/>
        <w:ind w:firstLine="240"/>
        <w:rPr>
          <w:rFonts w:asciiTheme="minorEastAsia" w:hAnsiTheme="minorEastAsia"/>
          <w:sz w:val="24"/>
          <w:szCs w:val="24"/>
        </w:rPr>
      </w:pPr>
      <w:bookmarkStart w:id="928" w:name="_Toc466579879"/>
      <w:bookmarkStart w:id="929" w:name="_Toc21450032"/>
      <w:bookmarkStart w:id="930" w:name="_Toc10481"/>
    </w:p>
    <w:p>
      <w:pPr>
        <w:pStyle w:val="61"/>
      </w:pPr>
      <w:bookmarkStart w:id="931" w:name="_Toc466579874"/>
      <w:bookmarkStart w:id="932" w:name="_Toc25653745"/>
      <w:bookmarkStart w:id="933" w:name="_Toc28250955"/>
      <w:bookmarkStart w:id="934" w:name="_Toc21450030"/>
      <w:bookmarkStart w:id="935" w:name="_Toc28157027"/>
      <w:bookmarkStart w:id="936" w:name="_Toc28252231"/>
      <w:bookmarkStart w:id="937" w:name="_Toc25651570"/>
      <w:bookmarkStart w:id="938" w:name="_Toc26348005"/>
      <w:bookmarkStart w:id="939" w:name="_Toc20442"/>
      <w:r>
        <w:t>兽药注册办法</w:t>
      </w:r>
      <w:bookmarkEnd w:id="931"/>
      <w:bookmarkEnd w:id="932"/>
      <w:bookmarkEnd w:id="933"/>
      <w:bookmarkEnd w:id="934"/>
      <w:bookmarkEnd w:id="935"/>
      <w:bookmarkEnd w:id="936"/>
      <w:bookmarkEnd w:id="937"/>
      <w:bookmarkEnd w:id="938"/>
      <w:bookmarkEnd w:id="939"/>
    </w:p>
    <w:p>
      <w:pPr>
        <w:pStyle w:val="62"/>
        <w:topLinePunct w:val="0"/>
        <w:ind w:firstLine="0" w:firstLineChars="0"/>
        <w:jc w:val="center"/>
      </w:pPr>
      <w:r>
        <w:rPr>
          <w:rFonts w:hint="eastAsia"/>
        </w:rPr>
        <w:t>（</w:t>
      </w:r>
      <w:r>
        <w:t>2004年11月24日农业部令第44号公布</w:t>
      </w:r>
      <w:r>
        <w:rPr>
          <w:rFonts w:hint="eastAsia"/>
        </w:rPr>
        <w:t>）</w:t>
      </w:r>
    </w:p>
    <w:p>
      <w:pPr>
        <w:pStyle w:val="63"/>
        <w:spacing w:before="218" w:after="218" w:line="412" w:lineRule="exact"/>
        <w:rPr>
          <w:rFonts w:hAnsi="Times New Roman"/>
        </w:rPr>
      </w:pPr>
      <w:r>
        <w:t>第一章</w:t>
      </w:r>
      <w:r>
        <w:rPr>
          <w:rFonts w:hAnsi="Times New Roman"/>
        </w:rPr>
        <w:t xml:space="preserve"> </w:t>
      </w:r>
      <w:r>
        <w:rPr>
          <w:rFonts w:hint="eastAsia" w:hAnsi="Times New Roman"/>
        </w:rPr>
        <w:t xml:space="preserve"> </w:t>
      </w:r>
      <w:r>
        <w:t>总</w:t>
      </w:r>
      <w:r>
        <w:rPr>
          <w:rFonts w:hint="eastAsia"/>
        </w:rPr>
        <w:t xml:space="preserve">  </w:t>
      </w:r>
      <w:r>
        <w:t>则</w:t>
      </w:r>
    </w:p>
    <w:p>
      <w:pPr>
        <w:pStyle w:val="3"/>
        <w:topLinePunct/>
        <w:spacing w:line="412" w:lineRule="exact"/>
        <w:ind w:firstLine="482"/>
        <w:rPr>
          <w:sz w:val="24"/>
          <w:szCs w:val="24"/>
        </w:rPr>
      </w:pPr>
      <w:r>
        <w:rPr>
          <w:b/>
          <w:sz w:val="24"/>
          <w:szCs w:val="24"/>
        </w:rPr>
        <w:t xml:space="preserve">第一条 </w:t>
      </w:r>
      <w:r>
        <w:rPr>
          <w:rFonts w:hint="eastAsia" w:asciiTheme="minorEastAsia" w:hAnsiTheme="minorEastAsia" w:eastAsiaTheme="minorEastAsia"/>
          <w:b/>
          <w:sz w:val="24"/>
          <w:szCs w:val="24"/>
        </w:rPr>
        <w:t xml:space="preserve"> </w:t>
      </w:r>
      <w:r>
        <w:rPr>
          <w:sz w:val="24"/>
          <w:szCs w:val="24"/>
        </w:rPr>
        <w:t>为保证兽药安全、有效和质量可控，规范兽药注册行为，根据《兽药管理条例》，制定本办法。</w:t>
      </w:r>
    </w:p>
    <w:p>
      <w:pPr>
        <w:pStyle w:val="3"/>
        <w:topLinePunct/>
        <w:spacing w:line="412" w:lineRule="exact"/>
        <w:ind w:firstLine="482"/>
        <w:rPr>
          <w:sz w:val="24"/>
          <w:szCs w:val="24"/>
        </w:rPr>
      </w:pPr>
      <w:r>
        <w:rPr>
          <w:b/>
          <w:sz w:val="24"/>
          <w:szCs w:val="24"/>
        </w:rPr>
        <w:t xml:space="preserve">第二条 </w:t>
      </w:r>
      <w:r>
        <w:rPr>
          <w:rFonts w:hint="eastAsia" w:asciiTheme="minorEastAsia" w:hAnsiTheme="minorEastAsia" w:eastAsiaTheme="minorEastAsia"/>
          <w:b/>
          <w:sz w:val="24"/>
          <w:szCs w:val="24"/>
        </w:rPr>
        <w:t xml:space="preserve"> </w:t>
      </w:r>
      <w:r>
        <w:rPr>
          <w:sz w:val="24"/>
          <w:szCs w:val="24"/>
        </w:rPr>
        <w:t>在中华人民共和国境内从事新兽药注册和进口兽药注册，应当遵守本办法。</w:t>
      </w:r>
    </w:p>
    <w:p>
      <w:pPr>
        <w:pStyle w:val="3"/>
        <w:topLinePunct/>
        <w:spacing w:line="412" w:lineRule="exact"/>
        <w:ind w:firstLine="482"/>
        <w:rPr>
          <w:sz w:val="24"/>
          <w:szCs w:val="24"/>
        </w:rPr>
      </w:pPr>
      <w:r>
        <w:rPr>
          <w:b/>
          <w:sz w:val="24"/>
          <w:szCs w:val="24"/>
        </w:rPr>
        <w:t xml:space="preserve">第三条 </w:t>
      </w:r>
      <w:r>
        <w:rPr>
          <w:rFonts w:hint="eastAsia" w:asciiTheme="minorEastAsia" w:hAnsiTheme="minorEastAsia" w:eastAsiaTheme="minorEastAsia"/>
          <w:b/>
          <w:sz w:val="24"/>
          <w:szCs w:val="24"/>
        </w:rPr>
        <w:t xml:space="preserve"> </w:t>
      </w:r>
      <w:r>
        <w:rPr>
          <w:sz w:val="24"/>
          <w:szCs w:val="24"/>
        </w:rPr>
        <w:t>农业部负责全国兽药注册工作。</w:t>
      </w:r>
    </w:p>
    <w:p>
      <w:pPr>
        <w:pStyle w:val="3"/>
        <w:topLinePunct/>
        <w:spacing w:line="412" w:lineRule="exact"/>
        <w:ind w:firstLine="480"/>
        <w:rPr>
          <w:sz w:val="24"/>
          <w:szCs w:val="24"/>
        </w:rPr>
      </w:pPr>
      <w:r>
        <w:rPr>
          <w:sz w:val="24"/>
          <w:szCs w:val="24"/>
        </w:rPr>
        <w:t>农业部兽药审评委员会负责新兽药和进口兽药注册资料的评审工作。</w:t>
      </w:r>
    </w:p>
    <w:p>
      <w:pPr>
        <w:pStyle w:val="3"/>
        <w:topLinePunct/>
        <w:spacing w:line="412" w:lineRule="exact"/>
        <w:ind w:firstLine="480"/>
        <w:rPr>
          <w:sz w:val="24"/>
          <w:szCs w:val="24"/>
        </w:rPr>
      </w:pPr>
      <w:r>
        <w:rPr>
          <w:sz w:val="24"/>
          <w:szCs w:val="24"/>
        </w:rPr>
        <w:t>中国兽医药品监察所和农业部指定的其他兽药检验机构承担兽药注册的复核检验工作。</w:t>
      </w:r>
    </w:p>
    <w:p>
      <w:pPr>
        <w:pStyle w:val="63"/>
        <w:spacing w:before="218" w:after="218" w:line="412" w:lineRule="exact"/>
        <w:rPr>
          <w:rFonts w:hAnsi="Times New Roman"/>
        </w:rPr>
      </w:pPr>
      <w:r>
        <w:t>第二章</w:t>
      </w:r>
      <w:r>
        <w:rPr>
          <w:rFonts w:hAnsi="Times New Roman"/>
        </w:rPr>
        <w:t xml:space="preserve"> </w:t>
      </w:r>
      <w:r>
        <w:rPr>
          <w:rFonts w:hint="eastAsia" w:hAnsi="Times New Roman"/>
        </w:rPr>
        <w:t xml:space="preserve"> </w:t>
      </w:r>
      <w:r>
        <w:t>新兽药注册</w:t>
      </w:r>
    </w:p>
    <w:p>
      <w:pPr>
        <w:pStyle w:val="3"/>
        <w:topLinePunct/>
        <w:spacing w:line="412" w:lineRule="exact"/>
        <w:ind w:firstLine="482"/>
        <w:rPr>
          <w:sz w:val="24"/>
          <w:szCs w:val="24"/>
        </w:rPr>
      </w:pPr>
      <w:r>
        <w:rPr>
          <w:b/>
          <w:sz w:val="24"/>
          <w:szCs w:val="24"/>
        </w:rPr>
        <w:t xml:space="preserve">第四条 </w:t>
      </w:r>
      <w:r>
        <w:rPr>
          <w:rFonts w:hint="eastAsia" w:asciiTheme="minorEastAsia" w:hAnsiTheme="minorEastAsia" w:eastAsiaTheme="minorEastAsia"/>
          <w:b/>
          <w:sz w:val="24"/>
          <w:szCs w:val="24"/>
        </w:rPr>
        <w:t xml:space="preserve"> </w:t>
      </w:r>
      <w:r>
        <w:rPr>
          <w:sz w:val="24"/>
          <w:szCs w:val="24"/>
        </w:rPr>
        <w:t>新兽药注册申请人应当在完成临床试验后，向农业部提出申请，并按《兽药注册资料要求》提交相关资料。</w:t>
      </w:r>
    </w:p>
    <w:p>
      <w:pPr>
        <w:pStyle w:val="3"/>
        <w:topLinePunct/>
        <w:spacing w:line="412" w:lineRule="exact"/>
        <w:ind w:firstLine="482"/>
        <w:rPr>
          <w:sz w:val="24"/>
          <w:szCs w:val="24"/>
        </w:rPr>
      </w:pPr>
      <w:r>
        <w:rPr>
          <w:b/>
          <w:sz w:val="24"/>
          <w:szCs w:val="24"/>
        </w:rPr>
        <w:t xml:space="preserve">第五条 </w:t>
      </w:r>
      <w:r>
        <w:rPr>
          <w:rFonts w:hint="eastAsia" w:asciiTheme="minorEastAsia" w:hAnsiTheme="minorEastAsia" w:eastAsiaTheme="minorEastAsia"/>
          <w:b/>
          <w:sz w:val="24"/>
          <w:szCs w:val="24"/>
        </w:rPr>
        <w:t xml:space="preserve"> </w:t>
      </w:r>
      <w:r>
        <w:rPr>
          <w:sz w:val="24"/>
          <w:szCs w:val="24"/>
        </w:rPr>
        <w:t>联合研制的新兽药，可以由其中一个单位申请注册或联合申请注册，但不得重复申请注册；联合申请注册的，应当共同署名作为该新兽药的申请人。</w:t>
      </w:r>
    </w:p>
    <w:p>
      <w:pPr>
        <w:pStyle w:val="3"/>
        <w:topLinePunct/>
        <w:spacing w:line="412" w:lineRule="exact"/>
        <w:ind w:firstLine="482"/>
        <w:rPr>
          <w:sz w:val="24"/>
          <w:szCs w:val="24"/>
        </w:rPr>
      </w:pPr>
      <w:r>
        <w:rPr>
          <w:b/>
          <w:sz w:val="24"/>
          <w:szCs w:val="24"/>
        </w:rPr>
        <w:t xml:space="preserve">第六条 </w:t>
      </w:r>
      <w:r>
        <w:rPr>
          <w:rFonts w:hint="eastAsia" w:asciiTheme="minorEastAsia" w:hAnsiTheme="minorEastAsia" w:eastAsiaTheme="minorEastAsia"/>
          <w:b/>
          <w:sz w:val="24"/>
          <w:szCs w:val="24"/>
        </w:rPr>
        <w:t xml:space="preserve"> </w:t>
      </w:r>
      <w:r>
        <w:rPr>
          <w:sz w:val="24"/>
          <w:szCs w:val="24"/>
        </w:rPr>
        <w:t>申请新兽药注册所报送的资料应当完整、规范，数据必须真实、可靠。引用文献资料应当注明著作名称、刊物名称及卷、期、页等；未公开发表的文献资料应当提供资料所有者许可使用的证明文件；外文资料应当按照要求提供中文译本。</w:t>
      </w:r>
    </w:p>
    <w:p>
      <w:pPr>
        <w:pStyle w:val="3"/>
        <w:topLinePunct/>
        <w:spacing w:line="412" w:lineRule="exact"/>
        <w:ind w:firstLine="480"/>
        <w:rPr>
          <w:sz w:val="24"/>
          <w:szCs w:val="24"/>
        </w:rPr>
      </w:pPr>
      <w:r>
        <w:rPr>
          <w:sz w:val="24"/>
          <w:szCs w:val="24"/>
        </w:rPr>
        <w:t>申请新兽药注册时，申请人应当提交保证书，承诺对他人的知识产权不构成侵权并对可能的侵权后果负责，保证自行取得的试验数据的真实性。</w:t>
      </w:r>
    </w:p>
    <w:p>
      <w:pPr>
        <w:pStyle w:val="3"/>
        <w:topLinePunct/>
        <w:spacing w:line="412" w:lineRule="exact"/>
        <w:ind w:firstLine="480"/>
        <w:rPr>
          <w:sz w:val="24"/>
          <w:szCs w:val="24"/>
        </w:rPr>
      </w:pPr>
      <w:r>
        <w:rPr>
          <w:sz w:val="24"/>
          <w:szCs w:val="24"/>
        </w:rPr>
        <w:t>申报资料含有境外兽药试验研究资料的，应当附具境外研究机构提供的资料项目、页码情况说明和该机构经公证的合法登记证明文件。</w:t>
      </w:r>
    </w:p>
    <w:p>
      <w:pPr>
        <w:pStyle w:val="3"/>
        <w:topLinePunct/>
        <w:spacing w:line="412" w:lineRule="exact"/>
        <w:ind w:firstLine="482"/>
        <w:rPr>
          <w:sz w:val="24"/>
          <w:szCs w:val="24"/>
        </w:rPr>
      </w:pPr>
      <w:r>
        <w:rPr>
          <w:b/>
          <w:sz w:val="24"/>
          <w:szCs w:val="24"/>
        </w:rPr>
        <w:t xml:space="preserve">第七条 </w:t>
      </w:r>
      <w:r>
        <w:rPr>
          <w:rFonts w:hint="eastAsia" w:asciiTheme="minorEastAsia" w:hAnsiTheme="minorEastAsia" w:eastAsiaTheme="minorEastAsia"/>
          <w:b/>
          <w:sz w:val="24"/>
          <w:szCs w:val="24"/>
        </w:rPr>
        <w:t xml:space="preserve"> </w:t>
      </w:r>
      <w:r>
        <w:rPr>
          <w:sz w:val="24"/>
          <w:szCs w:val="24"/>
        </w:rPr>
        <w:t>有下列情形之一的新兽药注册申请，不予受理：</w:t>
      </w:r>
    </w:p>
    <w:p>
      <w:pPr>
        <w:pStyle w:val="3"/>
        <w:topLinePunct/>
        <w:spacing w:line="412" w:lineRule="exact"/>
        <w:ind w:firstLine="480"/>
        <w:rPr>
          <w:sz w:val="24"/>
          <w:szCs w:val="24"/>
        </w:rPr>
      </w:pPr>
      <w:r>
        <w:rPr>
          <w:sz w:val="24"/>
          <w:szCs w:val="24"/>
        </w:rPr>
        <w:t>（一）农业部已公告在监测期，申请人不能证明数据为自己取得的兽药；</w:t>
      </w:r>
    </w:p>
    <w:p>
      <w:pPr>
        <w:pStyle w:val="3"/>
        <w:topLinePunct/>
        <w:spacing w:line="412" w:lineRule="exact"/>
        <w:ind w:firstLine="480"/>
        <w:rPr>
          <w:sz w:val="24"/>
          <w:szCs w:val="24"/>
        </w:rPr>
      </w:pPr>
      <w:r>
        <w:rPr>
          <w:sz w:val="24"/>
          <w:szCs w:val="24"/>
        </w:rPr>
        <w:t>（二）经基因工程技术获得，未通过生物安全评价的灭活疫苗、诊断制品之外的兽药；</w:t>
      </w:r>
    </w:p>
    <w:p>
      <w:pPr>
        <w:pStyle w:val="3"/>
        <w:topLinePunct/>
        <w:spacing w:line="412" w:lineRule="exact"/>
        <w:ind w:firstLine="480"/>
        <w:rPr>
          <w:sz w:val="24"/>
          <w:szCs w:val="24"/>
        </w:rPr>
      </w:pPr>
      <w:r>
        <w:rPr>
          <w:sz w:val="24"/>
          <w:szCs w:val="24"/>
        </w:rPr>
        <w:t>（三）申请材料不符合要求，在规定期间内未补正的；</w:t>
      </w:r>
    </w:p>
    <w:p>
      <w:pPr>
        <w:pStyle w:val="3"/>
        <w:topLinePunct/>
        <w:spacing w:line="412" w:lineRule="exact"/>
        <w:ind w:firstLine="480"/>
        <w:rPr>
          <w:sz w:val="24"/>
          <w:szCs w:val="24"/>
        </w:rPr>
      </w:pPr>
      <w:r>
        <w:rPr>
          <w:sz w:val="24"/>
          <w:szCs w:val="24"/>
        </w:rPr>
        <w:t>（四）不予受理的其他情形。</w:t>
      </w:r>
    </w:p>
    <w:p>
      <w:pPr>
        <w:pStyle w:val="3"/>
        <w:topLinePunct/>
        <w:spacing w:line="412" w:lineRule="exact"/>
        <w:ind w:firstLine="482"/>
        <w:rPr>
          <w:sz w:val="24"/>
          <w:szCs w:val="24"/>
        </w:rPr>
      </w:pPr>
      <w:r>
        <w:rPr>
          <w:b/>
          <w:sz w:val="24"/>
          <w:szCs w:val="24"/>
        </w:rPr>
        <w:t>第八条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农业部自收到申请之日起10个工作日内，将决定受理的新兽药注册申请资料送农业部兽药审评委员会进行技术评审，并通知申请人提交复核检验所需的连续3个生产批号的样品和有关资料，送指定的兽药检验机构进行复核检验。</w:t>
      </w:r>
    </w:p>
    <w:p>
      <w:pPr>
        <w:pStyle w:val="3"/>
        <w:topLinePunct/>
        <w:spacing w:line="412" w:lineRule="exact"/>
        <w:ind w:firstLine="480"/>
        <w:rPr>
          <w:sz w:val="24"/>
          <w:szCs w:val="24"/>
        </w:rPr>
      </w:pPr>
      <w:r>
        <w:rPr>
          <w:sz w:val="24"/>
          <w:szCs w:val="24"/>
        </w:rPr>
        <w:t>申请的新兽药属于生物制品的，必要时，应对有关种毒进行检验。</w:t>
      </w:r>
    </w:p>
    <w:p>
      <w:pPr>
        <w:pStyle w:val="3"/>
        <w:topLinePunct/>
        <w:spacing w:line="412" w:lineRule="exact"/>
        <w:ind w:firstLine="482"/>
        <w:rPr>
          <w:sz w:val="24"/>
          <w:szCs w:val="24"/>
        </w:rPr>
      </w:pPr>
      <w:r>
        <w:rPr>
          <w:b/>
          <w:sz w:val="24"/>
          <w:szCs w:val="24"/>
        </w:rPr>
        <w:t xml:space="preserve">第九条 </w:t>
      </w:r>
      <w:r>
        <w:rPr>
          <w:rFonts w:hint="eastAsia" w:asciiTheme="minorEastAsia" w:hAnsiTheme="minorEastAsia" w:eastAsiaTheme="minorEastAsia"/>
          <w:b/>
          <w:sz w:val="24"/>
          <w:szCs w:val="24"/>
        </w:rPr>
        <w:t xml:space="preserve"> </w:t>
      </w:r>
      <w:r>
        <w:rPr>
          <w:sz w:val="24"/>
          <w:szCs w:val="24"/>
        </w:rPr>
        <w:t>农业部兽药审评委员会应当自收到资料之日起120个工作日内提出评审意见，报送农业部。</w:t>
      </w:r>
    </w:p>
    <w:p>
      <w:pPr>
        <w:pStyle w:val="3"/>
        <w:topLinePunct/>
        <w:spacing w:line="412" w:lineRule="exact"/>
        <w:ind w:firstLine="480"/>
        <w:rPr>
          <w:sz w:val="24"/>
          <w:szCs w:val="24"/>
        </w:rPr>
      </w:pPr>
      <w:r>
        <w:rPr>
          <w:sz w:val="24"/>
          <w:szCs w:val="24"/>
        </w:rPr>
        <w:t>评审中需要补充资料的，申请人应当自收到通知之日起6个月内补齐有关数据；逾期未补正的，视为自动撤回注册申请。</w:t>
      </w:r>
    </w:p>
    <w:p>
      <w:pPr>
        <w:pStyle w:val="3"/>
        <w:topLinePunct/>
        <w:spacing w:line="412" w:lineRule="exact"/>
        <w:ind w:firstLine="482"/>
        <w:rPr>
          <w:sz w:val="24"/>
          <w:szCs w:val="24"/>
        </w:rPr>
      </w:pPr>
      <w:r>
        <w:rPr>
          <w:b/>
          <w:sz w:val="24"/>
          <w:szCs w:val="24"/>
        </w:rPr>
        <w:t>第十条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兽药检验机构应当在规定时间内完成复核检验，并将检验报告书和复核意见送达申请人，同时报农业部和农业部兽药审评委员会。</w:t>
      </w:r>
    </w:p>
    <w:p>
      <w:pPr>
        <w:pStyle w:val="3"/>
        <w:topLinePunct/>
        <w:spacing w:line="412" w:lineRule="exact"/>
        <w:ind w:firstLine="480"/>
        <w:rPr>
          <w:sz w:val="24"/>
          <w:szCs w:val="24"/>
        </w:rPr>
      </w:pPr>
      <w:r>
        <w:rPr>
          <w:sz w:val="24"/>
          <w:szCs w:val="24"/>
        </w:rPr>
        <w:t>初次样品检验不合格的，申请人可以再送样复核检验一次。</w:t>
      </w:r>
    </w:p>
    <w:p>
      <w:pPr>
        <w:pStyle w:val="3"/>
        <w:topLinePunct/>
        <w:spacing w:line="412" w:lineRule="exact"/>
        <w:ind w:firstLine="482"/>
        <w:rPr>
          <w:sz w:val="24"/>
          <w:szCs w:val="24"/>
        </w:rPr>
      </w:pPr>
      <w:r>
        <w:rPr>
          <w:b/>
          <w:sz w:val="24"/>
          <w:szCs w:val="24"/>
        </w:rPr>
        <w:t xml:space="preserve">第十一条 </w:t>
      </w:r>
      <w:r>
        <w:rPr>
          <w:rFonts w:hint="eastAsia" w:asciiTheme="minorEastAsia" w:hAnsiTheme="minorEastAsia" w:eastAsiaTheme="minorEastAsia"/>
          <w:b/>
          <w:sz w:val="24"/>
          <w:szCs w:val="24"/>
        </w:rPr>
        <w:t xml:space="preserve"> </w:t>
      </w:r>
      <w:r>
        <w:rPr>
          <w:sz w:val="24"/>
          <w:szCs w:val="24"/>
        </w:rPr>
        <w:t>农业部自收到技术评审和复核检验结论之日起60个工作日内完成审查；必要时，可派员进行现场核查。审查合格的，发给《新兽药注册证书》，并予以公告，同时发布该新兽药的标准、标签和说明书。不合格的，书面通知申请人。</w:t>
      </w:r>
    </w:p>
    <w:p>
      <w:pPr>
        <w:pStyle w:val="3"/>
        <w:topLinePunct/>
        <w:spacing w:line="412" w:lineRule="exact"/>
        <w:ind w:firstLine="482"/>
        <w:rPr>
          <w:sz w:val="24"/>
          <w:szCs w:val="24"/>
        </w:rPr>
      </w:pPr>
      <w:r>
        <w:rPr>
          <w:b/>
          <w:sz w:val="24"/>
          <w:szCs w:val="24"/>
        </w:rPr>
        <w:t>第十二条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新兽药注册审批期间，新兽药的技术要求由于相同品种在境外获准上市而发生变化的，按原技术要求审批。</w:t>
      </w:r>
    </w:p>
    <w:p>
      <w:pPr>
        <w:pStyle w:val="63"/>
        <w:spacing w:before="218" w:after="218" w:line="412" w:lineRule="exact"/>
        <w:rPr>
          <w:rFonts w:hAnsi="Times New Roman"/>
        </w:rPr>
      </w:pPr>
      <w:r>
        <w:t>第三章</w:t>
      </w:r>
      <w:r>
        <w:rPr>
          <w:rFonts w:hAnsi="Times New Roman"/>
        </w:rPr>
        <w:t xml:space="preserve"> </w:t>
      </w:r>
      <w:r>
        <w:rPr>
          <w:rFonts w:hint="eastAsia" w:hAnsi="Times New Roman"/>
        </w:rPr>
        <w:t xml:space="preserve"> </w:t>
      </w:r>
      <w:r>
        <w:t>进口兽药注册</w:t>
      </w:r>
    </w:p>
    <w:p>
      <w:pPr>
        <w:pStyle w:val="3"/>
        <w:topLinePunct/>
        <w:spacing w:line="412" w:lineRule="exact"/>
        <w:ind w:firstLine="482"/>
        <w:rPr>
          <w:sz w:val="24"/>
          <w:szCs w:val="24"/>
        </w:rPr>
      </w:pPr>
      <w:r>
        <w:rPr>
          <w:b/>
          <w:sz w:val="24"/>
          <w:szCs w:val="24"/>
        </w:rPr>
        <w:t xml:space="preserve">第十三条 </w:t>
      </w:r>
      <w:r>
        <w:rPr>
          <w:rFonts w:hint="eastAsia" w:asciiTheme="minorEastAsia" w:hAnsiTheme="minorEastAsia" w:eastAsiaTheme="minorEastAsia"/>
          <w:b/>
          <w:sz w:val="24"/>
          <w:szCs w:val="24"/>
        </w:rPr>
        <w:t xml:space="preserve"> </w:t>
      </w:r>
      <w:r>
        <w:rPr>
          <w:sz w:val="24"/>
          <w:szCs w:val="24"/>
        </w:rPr>
        <w:t>首次向中国出口兽药，应当由出口方驻中国境内的办事机构或由其委托的中国境内代理机构向农业部提出申请，填写《兽药注册申请表》，并按《兽药注册资料要求》提交相关资料。</w:t>
      </w:r>
    </w:p>
    <w:p>
      <w:pPr>
        <w:pStyle w:val="3"/>
        <w:topLinePunct/>
        <w:spacing w:line="412" w:lineRule="exact"/>
        <w:ind w:firstLine="480"/>
        <w:rPr>
          <w:sz w:val="24"/>
          <w:szCs w:val="24"/>
        </w:rPr>
      </w:pPr>
      <w:r>
        <w:rPr>
          <w:sz w:val="24"/>
          <w:szCs w:val="24"/>
        </w:rPr>
        <w:t>申请向中国出口兽用生物制品的，还应当提供菌(毒、虫)种、细胞等有关材料和资料。</w:t>
      </w:r>
    </w:p>
    <w:p>
      <w:pPr>
        <w:pStyle w:val="3"/>
        <w:topLinePunct/>
        <w:spacing w:line="412" w:lineRule="exact"/>
        <w:ind w:firstLine="482"/>
        <w:rPr>
          <w:sz w:val="24"/>
          <w:szCs w:val="24"/>
        </w:rPr>
      </w:pPr>
      <w:r>
        <w:rPr>
          <w:b/>
          <w:sz w:val="24"/>
          <w:szCs w:val="24"/>
        </w:rPr>
        <w:t>第十四条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申请兽药制剂进口注册，必须提供用于生产该制剂的原料药和辅料、直接接触兽药的包装材料和容器合法来源的证明文件。原料药尚未取得农业部批准的，须同时申请原料药注册，并应当报送有关的生产工艺、质量指标和检验方法等研究资料。</w:t>
      </w:r>
    </w:p>
    <w:p>
      <w:pPr>
        <w:pStyle w:val="3"/>
        <w:topLinePunct/>
        <w:spacing w:line="412" w:lineRule="exact"/>
        <w:ind w:firstLine="482"/>
        <w:rPr>
          <w:sz w:val="24"/>
          <w:szCs w:val="24"/>
        </w:rPr>
      </w:pPr>
      <w:r>
        <w:rPr>
          <w:b/>
          <w:sz w:val="24"/>
          <w:szCs w:val="24"/>
        </w:rPr>
        <w:t xml:space="preserve">第十五条 </w:t>
      </w:r>
      <w:r>
        <w:rPr>
          <w:rFonts w:hint="eastAsia" w:asciiTheme="minorEastAsia" w:hAnsiTheme="minorEastAsia" w:eastAsiaTheme="minorEastAsia"/>
          <w:b/>
          <w:sz w:val="24"/>
          <w:szCs w:val="24"/>
        </w:rPr>
        <w:t xml:space="preserve"> </w:t>
      </w:r>
      <w:r>
        <w:rPr>
          <w:sz w:val="24"/>
          <w:szCs w:val="24"/>
        </w:rPr>
        <w:t>申请进口兽药注册所报送的资料应当完整、规范，数据必须真实、可靠。引用文献资料应当注明著作名称、刊物名称及卷、期、页等；外文资料应当按照要求提供中文译本。</w:t>
      </w:r>
    </w:p>
    <w:p>
      <w:pPr>
        <w:pStyle w:val="3"/>
        <w:topLinePunct/>
        <w:spacing w:line="412" w:lineRule="exact"/>
        <w:ind w:firstLine="482"/>
        <w:rPr>
          <w:sz w:val="24"/>
          <w:szCs w:val="24"/>
        </w:rPr>
      </w:pPr>
      <w:r>
        <w:rPr>
          <w:b/>
          <w:sz w:val="24"/>
          <w:szCs w:val="24"/>
        </w:rPr>
        <w:t xml:space="preserve">第十六条 </w:t>
      </w:r>
      <w:r>
        <w:rPr>
          <w:rFonts w:hint="eastAsia" w:asciiTheme="minorEastAsia" w:hAnsiTheme="minorEastAsia" w:eastAsiaTheme="minorEastAsia"/>
          <w:b/>
          <w:sz w:val="24"/>
          <w:szCs w:val="24"/>
        </w:rPr>
        <w:t xml:space="preserve"> </w:t>
      </w:r>
      <w:r>
        <w:rPr>
          <w:sz w:val="24"/>
          <w:szCs w:val="24"/>
        </w:rPr>
        <w:t>农业部自收到申请之日起10个工作日内组织初步审查，经初步审查合格的，予以受理，书面通知申请人。</w:t>
      </w:r>
    </w:p>
    <w:p>
      <w:pPr>
        <w:pStyle w:val="3"/>
        <w:topLinePunct/>
        <w:spacing w:line="412" w:lineRule="exact"/>
        <w:ind w:firstLine="480"/>
        <w:rPr>
          <w:sz w:val="24"/>
          <w:szCs w:val="24"/>
        </w:rPr>
      </w:pPr>
      <w:r>
        <w:rPr>
          <w:sz w:val="24"/>
          <w:szCs w:val="24"/>
        </w:rPr>
        <w:t>予以受理的，农业部将进口兽药注册申请资料送农业部兽药审评委员会进行技术评审，并通知申请人提交复核检验所需的连续3个生产批号的样品和有关资料，送指定的兽药检验机构进行复核检验。</w:t>
      </w:r>
    </w:p>
    <w:p>
      <w:pPr>
        <w:pStyle w:val="3"/>
        <w:topLinePunct/>
        <w:spacing w:line="412" w:lineRule="exact"/>
        <w:ind w:firstLine="482"/>
        <w:rPr>
          <w:sz w:val="24"/>
          <w:szCs w:val="24"/>
        </w:rPr>
      </w:pPr>
      <w:r>
        <w:rPr>
          <w:b/>
          <w:sz w:val="24"/>
          <w:szCs w:val="24"/>
        </w:rPr>
        <w:t xml:space="preserve">第十七条 </w:t>
      </w:r>
      <w:r>
        <w:rPr>
          <w:rFonts w:hint="eastAsia" w:asciiTheme="minorEastAsia" w:hAnsiTheme="minorEastAsia" w:eastAsiaTheme="minorEastAsia"/>
          <w:b/>
          <w:sz w:val="24"/>
          <w:szCs w:val="24"/>
        </w:rPr>
        <w:t xml:space="preserve"> </w:t>
      </w:r>
      <w:r>
        <w:rPr>
          <w:sz w:val="24"/>
          <w:szCs w:val="24"/>
        </w:rPr>
        <w:t>有下列情形之一的进口兽药注册申请，不予受理：</w:t>
      </w:r>
    </w:p>
    <w:p>
      <w:pPr>
        <w:pStyle w:val="3"/>
        <w:topLinePunct/>
        <w:spacing w:line="412" w:lineRule="exact"/>
        <w:ind w:firstLine="480"/>
        <w:rPr>
          <w:sz w:val="24"/>
          <w:szCs w:val="24"/>
        </w:rPr>
      </w:pPr>
      <w:r>
        <w:rPr>
          <w:sz w:val="24"/>
          <w:szCs w:val="24"/>
        </w:rPr>
        <w:t>（一）农业部已公告在监测期，申请人不能证明数据为自己取得的兽药；</w:t>
      </w:r>
    </w:p>
    <w:p>
      <w:pPr>
        <w:pStyle w:val="3"/>
        <w:topLinePunct/>
        <w:spacing w:line="412" w:lineRule="exact"/>
        <w:ind w:firstLine="480"/>
        <w:rPr>
          <w:sz w:val="24"/>
          <w:szCs w:val="24"/>
        </w:rPr>
      </w:pPr>
      <w:r>
        <w:rPr>
          <w:sz w:val="24"/>
          <w:szCs w:val="24"/>
        </w:rPr>
        <w:t>（二）经基因工程技术获得，未通过生物安全评价的灭活疫苗、诊断制品之外的兽药；</w:t>
      </w:r>
    </w:p>
    <w:p>
      <w:pPr>
        <w:pStyle w:val="3"/>
        <w:topLinePunct/>
        <w:spacing w:line="412" w:lineRule="exact"/>
        <w:ind w:firstLine="480"/>
        <w:rPr>
          <w:sz w:val="24"/>
          <w:szCs w:val="24"/>
        </w:rPr>
      </w:pPr>
      <w:r>
        <w:rPr>
          <w:sz w:val="24"/>
          <w:szCs w:val="24"/>
        </w:rPr>
        <w:t>（三）我国规定的一类疫病以及国内未发生疫病的活疫苗；</w:t>
      </w:r>
    </w:p>
    <w:p>
      <w:pPr>
        <w:pStyle w:val="3"/>
        <w:topLinePunct/>
        <w:spacing w:line="412" w:lineRule="exact"/>
        <w:ind w:firstLine="480"/>
        <w:rPr>
          <w:sz w:val="24"/>
          <w:szCs w:val="24"/>
        </w:rPr>
      </w:pPr>
      <w:r>
        <w:rPr>
          <w:sz w:val="24"/>
          <w:szCs w:val="24"/>
        </w:rPr>
        <w:t>（四）来自疫区可能造成疫病在中国境内传播的兽用生物制品；</w:t>
      </w:r>
    </w:p>
    <w:p>
      <w:pPr>
        <w:pStyle w:val="3"/>
        <w:topLinePunct/>
        <w:spacing w:line="412" w:lineRule="exact"/>
        <w:ind w:firstLine="480"/>
        <w:rPr>
          <w:sz w:val="24"/>
          <w:szCs w:val="24"/>
        </w:rPr>
      </w:pPr>
      <w:r>
        <w:rPr>
          <w:sz w:val="24"/>
          <w:szCs w:val="24"/>
        </w:rPr>
        <w:t>（五）申请资料不符合要求，在规定期间内未补正的；</w:t>
      </w:r>
    </w:p>
    <w:p>
      <w:pPr>
        <w:pStyle w:val="3"/>
        <w:topLinePunct/>
        <w:spacing w:line="412" w:lineRule="exact"/>
        <w:ind w:firstLine="480"/>
        <w:rPr>
          <w:sz w:val="24"/>
          <w:szCs w:val="24"/>
        </w:rPr>
      </w:pPr>
      <w:r>
        <w:rPr>
          <w:sz w:val="24"/>
          <w:szCs w:val="24"/>
        </w:rPr>
        <w:t>（六）不予受理的其他情形。</w:t>
      </w:r>
    </w:p>
    <w:p>
      <w:pPr>
        <w:pStyle w:val="3"/>
        <w:topLinePunct/>
        <w:spacing w:line="412" w:lineRule="exact"/>
        <w:ind w:firstLine="482"/>
        <w:rPr>
          <w:sz w:val="24"/>
          <w:szCs w:val="24"/>
        </w:rPr>
      </w:pPr>
      <w:r>
        <w:rPr>
          <w:b/>
          <w:sz w:val="24"/>
          <w:szCs w:val="24"/>
        </w:rPr>
        <w:t>第十八条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进口兽药注册的评审和检验程序适用本办法第九条和第十条的规定。</w:t>
      </w:r>
    </w:p>
    <w:p>
      <w:pPr>
        <w:pStyle w:val="3"/>
        <w:topLinePunct/>
        <w:spacing w:line="412" w:lineRule="exact"/>
        <w:ind w:firstLine="482"/>
        <w:rPr>
          <w:sz w:val="24"/>
          <w:szCs w:val="24"/>
        </w:rPr>
      </w:pPr>
      <w:r>
        <w:rPr>
          <w:b/>
          <w:sz w:val="24"/>
          <w:szCs w:val="24"/>
        </w:rPr>
        <w:t xml:space="preserve">第十九条 </w:t>
      </w:r>
      <w:r>
        <w:rPr>
          <w:rFonts w:hint="eastAsia" w:asciiTheme="minorEastAsia" w:hAnsiTheme="minorEastAsia" w:eastAsiaTheme="minorEastAsia"/>
          <w:b/>
          <w:sz w:val="24"/>
          <w:szCs w:val="24"/>
        </w:rPr>
        <w:t xml:space="preserve"> </w:t>
      </w:r>
      <w:r>
        <w:rPr>
          <w:sz w:val="24"/>
          <w:szCs w:val="24"/>
        </w:rPr>
        <w:t>申请进口注册的兽用化学药品，应当在中华人民共和国境内指定的机构进行相关临床试验和残留检测方法验证；必要时，农业部可以要求进行残留消除试验，以确定休药期。</w:t>
      </w:r>
    </w:p>
    <w:p>
      <w:pPr>
        <w:pStyle w:val="3"/>
        <w:topLinePunct/>
        <w:spacing w:line="412" w:lineRule="exact"/>
        <w:ind w:firstLine="480"/>
        <w:rPr>
          <w:sz w:val="24"/>
          <w:szCs w:val="24"/>
        </w:rPr>
      </w:pPr>
      <w:r>
        <w:rPr>
          <w:sz w:val="24"/>
          <w:szCs w:val="24"/>
        </w:rPr>
        <w:t>申请进口注册的兽药属于生物制品的，农业部可以要求在中华人民共和国境内指定的机构进行安全性和有效性试验。</w:t>
      </w:r>
    </w:p>
    <w:p>
      <w:pPr>
        <w:pStyle w:val="3"/>
        <w:topLinePunct/>
        <w:spacing w:line="412" w:lineRule="exact"/>
        <w:ind w:firstLine="482"/>
        <w:rPr>
          <w:sz w:val="24"/>
          <w:szCs w:val="24"/>
        </w:rPr>
      </w:pPr>
      <w:r>
        <w:rPr>
          <w:b/>
          <w:sz w:val="24"/>
          <w:szCs w:val="24"/>
        </w:rPr>
        <w:t>第二十条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农业部自收到技术评审和复核检验结论之日起60个工作日内完成审查；必要时，可派员进行现场核查。审查合格的，发给《进口兽药注册证书》，并予以公告；中国香港、澳门和台湾地区的生产企业申请注册的兽药，发给《兽药注册证书》。审查不合格的，书面通知申请人。</w:t>
      </w:r>
    </w:p>
    <w:p>
      <w:pPr>
        <w:pStyle w:val="3"/>
        <w:topLinePunct/>
        <w:spacing w:line="412" w:lineRule="exact"/>
        <w:ind w:firstLine="480"/>
        <w:rPr>
          <w:sz w:val="24"/>
          <w:szCs w:val="24"/>
        </w:rPr>
      </w:pPr>
      <w:r>
        <w:rPr>
          <w:sz w:val="24"/>
          <w:szCs w:val="24"/>
        </w:rPr>
        <w:t>农业部在批准进口兽药注册的同时，发布经核准的进口兽药标准和产品标签、说明书。</w:t>
      </w:r>
    </w:p>
    <w:p>
      <w:pPr>
        <w:pStyle w:val="3"/>
        <w:topLinePunct/>
        <w:spacing w:line="412" w:lineRule="exact"/>
        <w:ind w:firstLine="482"/>
        <w:rPr>
          <w:sz w:val="24"/>
          <w:szCs w:val="24"/>
        </w:rPr>
      </w:pPr>
      <w:r>
        <w:rPr>
          <w:b/>
          <w:sz w:val="24"/>
          <w:szCs w:val="24"/>
        </w:rPr>
        <w:t xml:space="preserve">第二十一条 </w:t>
      </w:r>
      <w:r>
        <w:rPr>
          <w:rFonts w:hint="eastAsia" w:asciiTheme="minorEastAsia" w:hAnsiTheme="minorEastAsia" w:eastAsiaTheme="minorEastAsia"/>
          <w:b/>
          <w:sz w:val="24"/>
          <w:szCs w:val="24"/>
        </w:rPr>
        <w:t xml:space="preserve"> </w:t>
      </w:r>
      <w:r>
        <w:rPr>
          <w:sz w:val="24"/>
          <w:szCs w:val="24"/>
        </w:rPr>
        <w:t>农业部对申请进口注册的兽药进行风险分析，经风险分析存在安全风险的，不予注册。</w:t>
      </w:r>
    </w:p>
    <w:p>
      <w:pPr>
        <w:pStyle w:val="63"/>
        <w:spacing w:before="218" w:after="218" w:line="412" w:lineRule="exact"/>
        <w:rPr>
          <w:rFonts w:hAnsi="Times New Roman"/>
        </w:rPr>
      </w:pPr>
      <w:r>
        <w:t>第四章</w:t>
      </w:r>
      <w:r>
        <w:rPr>
          <w:rFonts w:hAnsi="Times New Roman"/>
        </w:rPr>
        <w:t xml:space="preserve"> </w:t>
      </w:r>
      <w:r>
        <w:rPr>
          <w:rFonts w:hint="eastAsia" w:hAnsi="Times New Roman"/>
        </w:rPr>
        <w:t xml:space="preserve"> </w:t>
      </w:r>
      <w:r>
        <w:t>兽药变更注册</w:t>
      </w:r>
    </w:p>
    <w:p>
      <w:pPr>
        <w:pStyle w:val="3"/>
        <w:topLinePunct/>
        <w:spacing w:line="412" w:lineRule="exact"/>
        <w:ind w:firstLine="482"/>
        <w:rPr>
          <w:sz w:val="24"/>
          <w:szCs w:val="24"/>
        </w:rPr>
      </w:pPr>
      <w:r>
        <w:rPr>
          <w:b/>
          <w:sz w:val="24"/>
          <w:szCs w:val="24"/>
        </w:rPr>
        <w:t>第二十二条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已经注册的兽药拟改变原批准事项的，应当向农业部申请兽药变更注册。</w:t>
      </w:r>
    </w:p>
    <w:p>
      <w:pPr>
        <w:pStyle w:val="3"/>
        <w:topLinePunct/>
        <w:spacing w:line="412" w:lineRule="exact"/>
        <w:ind w:firstLine="482"/>
        <w:rPr>
          <w:sz w:val="24"/>
          <w:szCs w:val="24"/>
        </w:rPr>
      </w:pPr>
      <w:r>
        <w:rPr>
          <w:b/>
          <w:sz w:val="24"/>
          <w:szCs w:val="24"/>
        </w:rPr>
        <w:t>第二十三条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申请人申请变更注册时，应当填写《兽药变更注册申请表》，报送有关资料和说明。涉及兽药产品权属变化的，应当提供有效证明文件。</w:t>
      </w:r>
    </w:p>
    <w:p>
      <w:pPr>
        <w:pStyle w:val="3"/>
        <w:topLinePunct/>
        <w:spacing w:line="412" w:lineRule="exact"/>
        <w:ind w:firstLine="480"/>
        <w:rPr>
          <w:sz w:val="24"/>
          <w:szCs w:val="24"/>
        </w:rPr>
      </w:pPr>
      <w:r>
        <w:rPr>
          <w:sz w:val="24"/>
          <w:szCs w:val="24"/>
        </w:rPr>
        <w:t>进口兽药的变更注册，申请人还应当提交生产企业所在国家（地区）兽药管理机构批准变更的文件。</w:t>
      </w:r>
    </w:p>
    <w:p>
      <w:pPr>
        <w:pStyle w:val="3"/>
        <w:topLinePunct/>
        <w:spacing w:line="412" w:lineRule="exact"/>
        <w:ind w:firstLine="482"/>
        <w:rPr>
          <w:sz w:val="24"/>
          <w:szCs w:val="24"/>
        </w:rPr>
      </w:pPr>
      <w:r>
        <w:rPr>
          <w:b/>
          <w:sz w:val="24"/>
          <w:szCs w:val="24"/>
        </w:rPr>
        <w:t>第二十四条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农业部对决定受理的不需进行技术审评的兽药变更注册申请，自收到申请之日起30个工作日内完成审查。审查合格的，批准变更注册。</w:t>
      </w:r>
    </w:p>
    <w:p>
      <w:pPr>
        <w:pStyle w:val="3"/>
        <w:topLinePunct/>
        <w:spacing w:line="412" w:lineRule="exact"/>
        <w:ind w:firstLine="480"/>
        <w:rPr>
          <w:sz w:val="24"/>
          <w:szCs w:val="24"/>
        </w:rPr>
      </w:pPr>
      <w:r>
        <w:rPr>
          <w:sz w:val="24"/>
          <w:szCs w:val="24"/>
        </w:rPr>
        <w:t>需要进行技术审评的兽药变更注册申请，农业部将受理的材料送农业部兽药审评委员会评审，并通知申请人提交复核检验所需的连续3个生产批号的样品和有关资料，送指定的兽药检验机构进行复核检验。</w:t>
      </w:r>
    </w:p>
    <w:p>
      <w:pPr>
        <w:pStyle w:val="3"/>
        <w:topLinePunct/>
        <w:spacing w:line="412" w:lineRule="exact"/>
        <w:ind w:firstLine="482"/>
        <w:rPr>
          <w:sz w:val="24"/>
          <w:szCs w:val="24"/>
        </w:rPr>
      </w:pPr>
      <w:r>
        <w:rPr>
          <w:b/>
          <w:sz w:val="24"/>
          <w:szCs w:val="24"/>
        </w:rPr>
        <w:t>第二十五条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兽药变更注册申请的评审、检验的程序、时限和要求适用本办法新兽药注册和进口兽药注册的规定。</w:t>
      </w:r>
    </w:p>
    <w:p>
      <w:pPr>
        <w:pStyle w:val="3"/>
        <w:topLinePunct/>
        <w:spacing w:line="412" w:lineRule="exact"/>
        <w:ind w:firstLine="480"/>
        <w:rPr>
          <w:sz w:val="24"/>
          <w:szCs w:val="24"/>
        </w:rPr>
      </w:pPr>
      <w:r>
        <w:rPr>
          <w:sz w:val="24"/>
          <w:szCs w:val="24"/>
        </w:rPr>
        <w:t>申请修改兽药标准变更注册的，兽药检验机构应当进行标准复核。</w:t>
      </w:r>
    </w:p>
    <w:p>
      <w:pPr>
        <w:pStyle w:val="3"/>
        <w:topLinePunct/>
        <w:spacing w:line="412" w:lineRule="exact"/>
        <w:ind w:firstLine="482"/>
        <w:rPr>
          <w:sz w:val="24"/>
          <w:szCs w:val="24"/>
        </w:rPr>
      </w:pPr>
      <w:r>
        <w:rPr>
          <w:b/>
          <w:sz w:val="24"/>
          <w:szCs w:val="24"/>
        </w:rPr>
        <w:t xml:space="preserve">第二十六条 </w:t>
      </w:r>
      <w:r>
        <w:rPr>
          <w:rFonts w:hint="eastAsia" w:asciiTheme="minorEastAsia" w:hAnsiTheme="minorEastAsia" w:eastAsiaTheme="minorEastAsia"/>
          <w:b/>
          <w:sz w:val="24"/>
          <w:szCs w:val="24"/>
        </w:rPr>
        <w:t xml:space="preserve"> </w:t>
      </w:r>
      <w:r>
        <w:rPr>
          <w:sz w:val="24"/>
          <w:szCs w:val="24"/>
        </w:rPr>
        <w:t>农业部自收到技术评审和复核检验结论之日起30个工作日内完成审查，审查合格的，批准变更注册。审查不合格的，书面告知申请人。</w:t>
      </w:r>
    </w:p>
    <w:p>
      <w:pPr>
        <w:pStyle w:val="63"/>
        <w:spacing w:before="218" w:after="218" w:line="412" w:lineRule="exact"/>
        <w:rPr>
          <w:rFonts w:hAnsi="Times New Roman"/>
        </w:rPr>
      </w:pPr>
      <w:r>
        <w:t>第五章</w:t>
      </w:r>
      <w:r>
        <w:rPr>
          <w:rFonts w:hint="eastAsia"/>
        </w:rPr>
        <w:t xml:space="preserve"> </w:t>
      </w:r>
      <w:r>
        <w:rPr>
          <w:rFonts w:hAnsi="Times New Roman"/>
        </w:rPr>
        <w:t xml:space="preserve"> </w:t>
      </w:r>
      <w:r>
        <w:t>进口兽药再注册</w:t>
      </w:r>
    </w:p>
    <w:p>
      <w:pPr>
        <w:pStyle w:val="3"/>
        <w:topLinePunct/>
        <w:spacing w:line="412" w:lineRule="exact"/>
        <w:ind w:firstLine="482"/>
        <w:rPr>
          <w:sz w:val="24"/>
          <w:szCs w:val="24"/>
        </w:rPr>
      </w:pPr>
      <w:r>
        <w:rPr>
          <w:b/>
          <w:sz w:val="24"/>
          <w:szCs w:val="24"/>
        </w:rPr>
        <w:t xml:space="preserve">第二十七条 </w:t>
      </w:r>
      <w:r>
        <w:rPr>
          <w:sz w:val="24"/>
          <w:szCs w:val="24"/>
        </w:rPr>
        <w:t>《进口兽药注册证书》和《兽药注册证书》的有效期为5年。有效期届满需要继续进口的，申请人应当在有效期届满6个月前向农业部提出再注册申请。</w:t>
      </w:r>
    </w:p>
    <w:p>
      <w:pPr>
        <w:pStyle w:val="3"/>
        <w:topLinePunct/>
        <w:spacing w:line="412" w:lineRule="exact"/>
        <w:ind w:firstLine="482"/>
        <w:rPr>
          <w:sz w:val="24"/>
          <w:szCs w:val="24"/>
        </w:rPr>
      </w:pPr>
      <w:r>
        <w:rPr>
          <w:b/>
          <w:sz w:val="24"/>
          <w:szCs w:val="24"/>
        </w:rPr>
        <w:t xml:space="preserve">第二十八条 </w:t>
      </w:r>
      <w:r>
        <w:rPr>
          <w:rFonts w:hint="eastAsia" w:asciiTheme="minorEastAsia" w:hAnsiTheme="minorEastAsia" w:eastAsiaTheme="minorEastAsia"/>
          <w:b/>
          <w:sz w:val="24"/>
          <w:szCs w:val="24"/>
        </w:rPr>
        <w:t xml:space="preserve"> </w:t>
      </w:r>
      <w:r>
        <w:rPr>
          <w:sz w:val="24"/>
          <w:szCs w:val="24"/>
        </w:rPr>
        <w:t>申请进口兽药再注册时，应当填写《兽药再注册申请表》，并按《兽药注册资料要求》提交相关资料。</w:t>
      </w:r>
    </w:p>
    <w:p>
      <w:pPr>
        <w:pStyle w:val="3"/>
        <w:topLinePunct/>
        <w:spacing w:line="412" w:lineRule="exact"/>
        <w:ind w:firstLine="482"/>
        <w:rPr>
          <w:sz w:val="24"/>
          <w:szCs w:val="24"/>
        </w:rPr>
      </w:pPr>
      <w:r>
        <w:rPr>
          <w:b/>
          <w:sz w:val="24"/>
          <w:szCs w:val="24"/>
        </w:rPr>
        <w:t>第二十九条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农业部在受理进口兽药再注册申请后，应当在20个工作日内完成审查。符合规定的，予以再注册。不符合规定的，书面通知申请人。</w:t>
      </w:r>
    </w:p>
    <w:p>
      <w:pPr>
        <w:pStyle w:val="3"/>
        <w:topLinePunct/>
        <w:spacing w:line="412" w:lineRule="exact"/>
        <w:ind w:firstLine="482"/>
        <w:rPr>
          <w:sz w:val="24"/>
          <w:szCs w:val="24"/>
        </w:rPr>
      </w:pPr>
      <w:r>
        <w:rPr>
          <w:b/>
          <w:sz w:val="24"/>
          <w:szCs w:val="24"/>
        </w:rPr>
        <w:t xml:space="preserve">第三十条 </w:t>
      </w:r>
      <w:r>
        <w:rPr>
          <w:rFonts w:hint="eastAsia" w:asciiTheme="minorEastAsia" w:hAnsiTheme="minorEastAsia" w:eastAsiaTheme="minorEastAsia"/>
          <w:b/>
          <w:sz w:val="24"/>
          <w:szCs w:val="24"/>
        </w:rPr>
        <w:t xml:space="preserve"> </w:t>
      </w:r>
      <w:r>
        <w:rPr>
          <w:sz w:val="24"/>
          <w:szCs w:val="24"/>
        </w:rPr>
        <w:t>有下列情形之一的，不予再注册：</w:t>
      </w:r>
    </w:p>
    <w:p>
      <w:pPr>
        <w:pStyle w:val="3"/>
        <w:topLinePunct/>
        <w:spacing w:line="412" w:lineRule="exact"/>
        <w:ind w:firstLine="480"/>
        <w:rPr>
          <w:sz w:val="24"/>
          <w:szCs w:val="24"/>
        </w:rPr>
      </w:pPr>
      <w:r>
        <w:rPr>
          <w:sz w:val="24"/>
          <w:szCs w:val="24"/>
        </w:rPr>
        <w:t>（一）未在有效期届满6个月前提出再注册申请的；</w:t>
      </w:r>
    </w:p>
    <w:p>
      <w:pPr>
        <w:pStyle w:val="3"/>
        <w:topLinePunct/>
        <w:spacing w:line="412" w:lineRule="exact"/>
        <w:ind w:firstLine="480"/>
        <w:rPr>
          <w:sz w:val="24"/>
          <w:szCs w:val="24"/>
        </w:rPr>
      </w:pPr>
      <w:r>
        <w:rPr>
          <w:sz w:val="24"/>
          <w:szCs w:val="24"/>
        </w:rPr>
        <w:t>（二）未按规定提交兽药不良反应监测报告的；</w:t>
      </w:r>
    </w:p>
    <w:p>
      <w:pPr>
        <w:pStyle w:val="3"/>
        <w:topLinePunct/>
        <w:spacing w:line="412" w:lineRule="exact"/>
        <w:ind w:firstLine="480"/>
        <w:rPr>
          <w:sz w:val="24"/>
          <w:szCs w:val="24"/>
        </w:rPr>
      </w:pPr>
      <w:r>
        <w:rPr>
          <w:sz w:val="24"/>
          <w:szCs w:val="24"/>
        </w:rPr>
        <w:t>（三）经农业部安全再评价被列为禁止使用品种的；</w:t>
      </w:r>
    </w:p>
    <w:p>
      <w:pPr>
        <w:pStyle w:val="3"/>
        <w:topLinePunct/>
        <w:spacing w:line="412" w:lineRule="exact"/>
        <w:ind w:firstLine="480"/>
        <w:rPr>
          <w:sz w:val="24"/>
          <w:szCs w:val="24"/>
        </w:rPr>
      </w:pPr>
      <w:r>
        <w:rPr>
          <w:sz w:val="24"/>
          <w:szCs w:val="24"/>
        </w:rPr>
        <w:t>（四）经考查生产条件不符合规定的；</w:t>
      </w:r>
    </w:p>
    <w:p>
      <w:pPr>
        <w:pStyle w:val="3"/>
        <w:topLinePunct/>
        <w:spacing w:line="412" w:lineRule="exact"/>
        <w:ind w:firstLine="480"/>
        <w:rPr>
          <w:sz w:val="24"/>
          <w:szCs w:val="24"/>
        </w:rPr>
      </w:pPr>
      <w:r>
        <w:rPr>
          <w:sz w:val="24"/>
          <w:szCs w:val="24"/>
        </w:rPr>
        <w:t>（五）经风险分析存在安全风险的；</w:t>
      </w:r>
    </w:p>
    <w:p>
      <w:pPr>
        <w:pStyle w:val="3"/>
        <w:topLinePunct/>
        <w:spacing w:line="412" w:lineRule="exact"/>
        <w:ind w:firstLine="480"/>
        <w:rPr>
          <w:sz w:val="24"/>
          <w:szCs w:val="24"/>
        </w:rPr>
      </w:pPr>
      <w:r>
        <w:rPr>
          <w:sz w:val="24"/>
          <w:szCs w:val="24"/>
        </w:rPr>
        <w:t>（六）我国规定的一类疫病以及国内未发生疫病的活疫苗；</w:t>
      </w:r>
    </w:p>
    <w:p>
      <w:pPr>
        <w:pStyle w:val="3"/>
        <w:topLinePunct/>
        <w:spacing w:line="412" w:lineRule="exact"/>
        <w:ind w:firstLine="480"/>
        <w:rPr>
          <w:sz w:val="24"/>
          <w:szCs w:val="24"/>
        </w:rPr>
      </w:pPr>
      <w:r>
        <w:rPr>
          <w:sz w:val="24"/>
          <w:szCs w:val="24"/>
        </w:rPr>
        <w:t>（七）来自疫区可能造成疫病在中国境内传播的兽用生物制品；</w:t>
      </w:r>
    </w:p>
    <w:p>
      <w:pPr>
        <w:pStyle w:val="3"/>
        <w:topLinePunct/>
        <w:spacing w:line="412" w:lineRule="exact"/>
        <w:ind w:firstLine="480"/>
        <w:rPr>
          <w:sz w:val="24"/>
          <w:szCs w:val="24"/>
        </w:rPr>
      </w:pPr>
      <w:r>
        <w:rPr>
          <w:sz w:val="24"/>
          <w:szCs w:val="24"/>
        </w:rPr>
        <w:t>（八）其他依法不予再注册的。</w:t>
      </w:r>
    </w:p>
    <w:p>
      <w:pPr>
        <w:pStyle w:val="3"/>
        <w:topLinePunct/>
        <w:spacing w:line="412" w:lineRule="exact"/>
        <w:ind w:firstLine="482"/>
        <w:rPr>
          <w:sz w:val="24"/>
          <w:szCs w:val="24"/>
        </w:rPr>
      </w:pPr>
      <w:r>
        <w:rPr>
          <w:b/>
          <w:sz w:val="24"/>
          <w:szCs w:val="24"/>
        </w:rPr>
        <w:t xml:space="preserve">第三十一条 </w:t>
      </w:r>
      <w:r>
        <w:rPr>
          <w:rFonts w:hint="eastAsia" w:asciiTheme="minorEastAsia" w:hAnsiTheme="minorEastAsia" w:eastAsiaTheme="minorEastAsia"/>
          <w:b/>
          <w:sz w:val="24"/>
          <w:szCs w:val="24"/>
        </w:rPr>
        <w:t xml:space="preserve"> </w:t>
      </w:r>
      <w:r>
        <w:rPr>
          <w:sz w:val="24"/>
          <w:szCs w:val="24"/>
        </w:rPr>
        <w:t>不予再注册的，由农业部注销其《进口兽药注册证书》或《兽药注册证书》，并予以公告。</w:t>
      </w:r>
    </w:p>
    <w:p>
      <w:pPr>
        <w:pStyle w:val="63"/>
        <w:spacing w:before="218" w:after="218" w:line="412" w:lineRule="exact"/>
        <w:rPr>
          <w:rFonts w:hAnsi="Times New Roman"/>
        </w:rPr>
      </w:pPr>
      <w:r>
        <w:t>第六章</w:t>
      </w:r>
      <w:r>
        <w:rPr>
          <w:rFonts w:hAnsi="Times New Roman"/>
        </w:rPr>
        <w:t xml:space="preserve"> </w:t>
      </w:r>
      <w:r>
        <w:rPr>
          <w:rFonts w:hint="eastAsia" w:hAnsi="Times New Roman"/>
        </w:rPr>
        <w:t xml:space="preserve"> </w:t>
      </w:r>
      <w:r>
        <w:t>兽药复核检验</w:t>
      </w:r>
    </w:p>
    <w:p>
      <w:pPr>
        <w:pStyle w:val="3"/>
        <w:topLinePunct/>
        <w:spacing w:line="412" w:lineRule="exact"/>
        <w:ind w:firstLine="482"/>
        <w:rPr>
          <w:sz w:val="24"/>
          <w:szCs w:val="24"/>
        </w:rPr>
      </w:pPr>
      <w:r>
        <w:rPr>
          <w:b/>
          <w:sz w:val="24"/>
          <w:szCs w:val="24"/>
        </w:rPr>
        <w:t xml:space="preserve">第三十二条 </w:t>
      </w:r>
      <w:r>
        <w:rPr>
          <w:rFonts w:hint="eastAsia" w:asciiTheme="minorEastAsia" w:hAnsiTheme="minorEastAsia" w:eastAsiaTheme="minorEastAsia"/>
          <w:b/>
          <w:sz w:val="24"/>
          <w:szCs w:val="24"/>
        </w:rPr>
        <w:t xml:space="preserve"> </w:t>
      </w:r>
      <w:r>
        <w:rPr>
          <w:sz w:val="24"/>
          <w:szCs w:val="24"/>
        </w:rPr>
        <w:t>申请兽药注册应当进行兽药复核检验，包括样品检验和兽药质量标准复核。</w:t>
      </w:r>
    </w:p>
    <w:p>
      <w:pPr>
        <w:pStyle w:val="3"/>
        <w:topLinePunct/>
        <w:spacing w:line="412" w:lineRule="exact"/>
        <w:ind w:firstLine="482"/>
        <w:rPr>
          <w:sz w:val="24"/>
          <w:szCs w:val="24"/>
        </w:rPr>
      </w:pPr>
      <w:r>
        <w:rPr>
          <w:b/>
          <w:sz w:val="24"/>
          <w:szCs w:val="24"/>
        </w:rPr>
        <w:t xml:space="preserve">第三十三条 </w:t>
      </w:r>
      <w:r>
        <w:rPr>
          <w:rFonts w:hint="eastAsia" w:asciiTheme="minorEastAsia" w:hAnsiTheme="minorEastAsia" w:eastAsiaTheme="minorEastAsia"/>
          <w:b/>
          <w:sz w:val="24"/>
          <w:szCs w:val="24"/>
        </w:rPr>
        <w:t xml:space="preserve"> </w:t>
      </w:r>
      <w:r>
        <w:rPr>
          <w:sz w:val="24"/>
          <w:szCs w:val="24"/>
        </w:rPr>
        <w:t>从事兽药复核检验的兽药检验机构，应当符合兽药检验质量管理规范。</w:t>
      </w:r>
    </w:p>
    <w:p>
      <w:pPr>
        <w:pStyle w:val="3"/>
        <w:topLinePunct/>
        <w:spacing w:line="412" w:lineRule="exact"/>
        <w:ind w:firstLine="482"/>
        <w:rPr>
          <w:sz w:val="24"/>
          <w:szCs w:val="24"/>
        </w:rPr>
      </w:pPr>
      <w:r>
        <w:rPr>
          <w:b/>
          <w:sz w:val="24"/>
          <w:szCs w:val="24"/>
        </w:rPr>
        <w:t>第三十四条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申请人应当向兽药检验机构提供兽药复核检验所需要的有关资料和样品，提供检验用标准物质和必需材料。</w:t>
      </w:r>
    </w:p>
    <w:p>
      <w:pPr>
        <w:pStyle w:val="3"/>
        <w:topLinePunct/>
        <w:spacing w:line="412" w:lineRule="exact"/>
        <w:ind w:firstLine="480"/>
        <w:rPr>
          <w:sz w:val="24"/>
          <w:szCs w:val="24"/>
        </w:rPr>
      </w:pPr>
      <w:r>
        <w:rPr>
          <w:sz w:val="24"/>
          <w:szCs w:val="24"/>
        </w:rPr>
        <w:t>申请兽药注册所需的3批样品，应当在取得《兽药GMP证书》的车间生产。每批的样品应为拟上市销售的3个最小包装，并为检验用量的3～5倍。</w:t>
      </w:r>
    </w:p>
    <w:p>
      <w:pPr>
        <w:pStyle w:val="3"/>
        <w:topLinePunct/>
        <w:spacing w:line="412" w:lineRule="exact"/>
        <w:ind w:firstLine="482"/>
        <w:rPr>
          <w:sz w:val="24"/>
          <w:szCs w:val="24"/>
        </w:rPr>
      </w:pPr>
      <w:r>
        <w:rPr>
          <w:b/>
          <w:sz w:val="24"/>
          <w:szCs w:val="24"/>
        </w:rPr>
        <w:t>第三十五条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兽药检验机构进行兽药质量标准复核时，除进行样品检验外，还应当根据该兽药的研究数据、国内外同类产品的兽药质量标准和国家有关要求，对该兽药的兽药质量标准、检验项目和方法等提出复核意见。</w:t>
      </w:r>
    </w:p>
    <w:p>
      <w:pPr>
        <w:pStyle w:val="3"/>
        <w:topLinePunct/>
        <w:spacing w:line="412" w:lineRule="exact"/>
        <w:ind w:firstLine="482"/>
        <w:rPr>
          <w:sz w:val="24"/>
          <w:szCs w:val="24"/>
        </w:rPr>
      </w:pPr>
      <w:r>
        <w:rPr>
          <w:b/>
          <w:sz w:val="24"/>
          <w:szCs w:val="24"/>
        </w:rPr>
        <w:t>第三十六条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兽药检验机构在接到检验通知和样品后，应当在90个工作日内完成样品检验，出具检验报告书；需用特殊方法检验的兽药应当在120个工作日内完成。</w:t>
      </w:r>
    </w:p>
    <w:p>
      <w:pPr>
        <w:pStyle w:val="3"/>
        <w:topLinePunct/>
        <w:spacing w:line="412" w:lineRule="exact"/>
        <w:ind w:firstLine="480"/>
        <w:rPr>
          <w:sz w:val="24"/>
          <w:szCs w:val="24"/>
        </w:rPr>
      </w:pPr>
      <w:r>
        <w:rPr>
          <w:sz w:val="24"/>
          <w:szCs w:val="24"/>
        </w:rPr>
        <w:t>需要进行样品检验和兽药质量标准复核的，兽药检验机构应当在120个工作日内完成；需用特殊方法检验的兽药应当在150个工作日内完成。</w:t>
      </w:r>
    </w:p>
    <w:p>
      <w:pPr>
        <w:pStyle w:val="63"/>
        <w:spacing w:before="218" w:after="218" w:line="412" w:lineRule="exact"/>
      </w:pPr>
      <w:r>
        <w:t xml:space="preserve">第七章 </w:t>
      </w:r>
      <w:r>
        <w:rPr>
          <w:rFonts w:hint="eastAsia"/>
        </w:rPr>
        <w:t xml:space="preserve"> </w:t>
      </w:r>
      <w:r>
        <w:t>兽药标准物质的管理</w:t>
      </w:r>
    </w:p>
    <w:p>
      <w:pPr>
        <w:pStyle w:val="3"/>
        <w:topLinePunct/>
        <w:spacing w:line="412" w:lineRule="exact"/>
        <w:ind w:firstLine="482"/>
        <w:rPr>
          <w:sz w:val="24"/>
          <w:szCs w:val="24"/>
        </w:rPr>
      </w:pPr>
      <w:r>
        <w:rPr>
          <w:b/>
          <w:sz w:val="24"/>
          <w:szCs w:val="24"/>
        </w:rPr>
        <w:t xml:space="preserve">第三十七条 </w:t>
      </w:r>
      <w:r>
        <w:rPr>
          <w:rFonts w:hint="eastAsia" w:asciiTheme="minorEastAsia" w:hAnsiTheme="minorEastAsia" w:eastAsiaTheme="minorEastAsia"/>
          <w:b/>
          <w:sz w:val="24"/>
          <w:szCs w:val="24"/>
        </w:rPr>
        <w:t xml:space="preserve"> </w:t>
      </w:r>
      <w:r>
        <w:rPr>
          <w:sz w:val="24"/>
          <w:szCs w:val="24"/>
        </w:rPr>
        <w:t>中国兽医药品监察所负责标定和供应国家兽药标准物质。</w:t>
      </w:r>
    </w:p>
    <w:p>
      <w:pPr>
        <w:pStyle w:val="3"/>
        <w:topLinePunct/>
        <w:spacing w:line="412" w:lineRule="exact"/>
        <w:ind w:firstLine="480"/>
        <w:rPr>
          <w:sz w:val="24"/>
          <w:szCs w:val="24"/>
        </w:rPr>
      </w:pPr>
      <w:r>
        <w:rPr>
          <w:sz w:val="24"/>
          <w:szCs w:val="24"/>
        </w:rPr>
        <w:t>中国兽医药品监察所可以组织相关的省、自治区、直辖市兽药监察所、兽药研究机构或兽药生产企业协作标定国家兽药标准物质。</w:t>
      </w:r>
    </w:p>
    <w:p>
      <w:pPr>
        <w:pStyle w:val="3"/>
        <w:topLinePunct/>
        <w:spacing w:line="412" w:lineRule="exact"/>
        <w:ind w:firstLine="482"/>
        <w:rPr>
          <w:sz w:val="24"/>
          <w:szCs w:val="24"/>
        </w:rPr>
      </w:pPr>
      <w:r>
        <w:rPr>
          <w:b/>
          <w:sz w:val="24"/>
          <w:szCs w:val="24"/>
        </w:rPr>
        <w:t xml:space="preserve">第三十八条 </w:t>
      </w:r>
      <w:r>
        <w:rPr>
          <w:rFonts w:hint="eastAsia" w:asciiTheme="minorEastAsia" w:hAnsiTheme="minorEastAsia" w:eastAsiaTheme="minorEastAsia"/>
          <w:b/>
          <w:sz w:val="24"/>
          <w:szCs w:val="24"/>
        </w:rPr>
        <w:t xml:space="preserve"> </w:t>
      </w:r>
      <w:r>
        <w:rPr>
          <w:sz w:val="24"/>
          <w:szCs w:val="24"/>
        </w:rPr>
        <w:t>申请人在申请新兽药注册和进口兽药注册时，应当向中国兽医药品监察所提供制备该兽药标准物质的原料，并报送有关标准物质的研究资料。</w:t>
      </w:r>
    </w:p>
    <w:p>
      <w:pPr>
        <w:pStyle w:val="3"/>
        <w:topLinePunct/>
        <w:spacing w:line="412" w:lineRule="exact"/>
        <w:ind w:firstLine="482"/>
        <w:rPr>
          <w:sz w:val="24"/>
          <w:szCs w:val="24"/>
        </w:rPr>
      </w:pPr>
      <w:r>
        <w:rPr>
          <w:b/>
          <w:sz w:val="24"/>
          <w:szCs w:val="24"/>
        </w:rPr>
        <w:t xml:space="preserve">第三十九条 </w:t>
      </w:r>
      <w:r>
        <w:rPr>
          <w:rFonts w:hint="eastAsia" w:asciiTheme="minorEastAsia" w:hAnsiTheme="minorEastAsia" w:eastAsiaTheme="minorEastAsia"/>
          <w:b/>
          <w:sz w:val="24"/>
          <w:szCs w:val="24"/>
        </w:rPr>
        <w:t xml:space="preserve"> </w:t>
      </w:r>
      <w:r>
        <w:rPr>
          <w:sz w:val="24"/>
          <w:szCs w:val="24"/>
        </w:rPr>
        <w:t>中国兽医药品监察所对兽药标准物质的原料选择、制备方法、标定方法、标定结果、定值准确性、量值溯源、稳定性及分装与包装条件等资料进行全面技术审核；必要时，进行标定或组织进行标定，并做出可否作为国家兽药质量标准物质的推荐结论，报国家兽药典委员会审查。</w:t>
      </w:r>
    </w:p>
    <w:p>
      <w:pPr>
        <w:pStyle w:val="3"/>
        <w:topLinePunct/>
        <w:spacing w:line="412" w:lineRule="exact"/>
        <w:ind w:firstLine="482"/>
        <w:rPr>
          <w:sz w:val="24"/>
          <w:szCs w:val="24"/>
        </w:rPr>
      </w:pPr>
      <w:r>
        <w:rPr>
          <w:b/>
          <w:sz w:val="24"/>
          <w:szCs w:val="24"/>
        </w:rPr>
        <w:t xml:space="preserve">第四十条 </w:t>
      </w:r>
      <w:r>
        <w:rPr>
          <w:rFonts w:hint="eastAsia" w:asciiTheme="minorEastAsia" w:hAnsiTheme="minorEastAsia" w:eastAsiaTheme="minorEastAsia"/>
          <w:b/>
          <w:sz w:val="24"/>
          <w:szCs w:val="24"/>
        </w:rPr>
        <w:t xml:space="preserve"> </w:t>
      </w:r>
      <w:r>
        <w:rPr>
          <w:sz w:val="24"/>
          <w:szCs w:val="24"/>
        </w:rPr>
        <w:t>农业部根据国家兽药典委员会的审查意见批准国家兽药质量标准物质，并发布兽药标准物质清单及质量标准。</w:t>
      </w:r>
    </w:p>
    <w:p>
      <w:pPr>
        <w:pStyle w:val="63"/>
        <w:spacing w:before="218" w:after="218" w:line="412" w:lineRule="exact"/>
        <w:rPr>
          <w:rFonts w:hAnsi="Times New Roman"/>
        </w:rPr>
      </w:pPr>
      <w:r>
        <w:t>第八章</w:t>
      </w:r>
      <w:r>
        <w:rPr>
          <w:rFonts w:hAnsi="Times New Roman"/>
        </w:rPr>
        <w:t xml:space="preserve"> </w:t>
      </w:r>
      <w:r>
        <w:rPr>
          <w:rFonts w:hint="eastAsia" w:hAnsi="Times New Roman"/>
        </w:rPr>
        <w:t xml:space="preserve"> </w:t>
      </w:r>
      <w:r>
        <w:t>罚</w:t>
      </w:r>
      <w:r>
        <w:rPr>
          <w:rFonts w:hint="eastAsia"/>
        </w:rPr>
        <w:t xml:space="preserve">  </w:t>
      </w:r>
      <w:r>
        <w:t>则</w:t>
      </w:r>
    </w:p>
    <w:p>
      <w:pPr>
        <w:pStyle w:val="3"/>
        <w:topLinePunct/>
        <w:spacing w:line="412" w:lineRule="exact"/>
        <w:ind w:firstLine="482"/>
        <w:rPr>
          <w:sz w:val="24"/>
          <w:szCs w:val="24"/>
        </w:rPr>
      </w:pPr>
      <w:r>
        <w:rPr>
          <w:b/>
          <w:sz w:val="24"/>
          <w:szCs w:val="24"/>
        </w:rPr>
        <w:t xml:space="preserve">第四十一条 </w:t>
      </w:r>
      <w:r>
        <w:rPr>
          <w:rFonts w:hint="eastAsia" w:asciiTheme="minorEastAsia" w:hAnsiTheme="minorEastAsia" w:eastAsiaTheme="minorEastAsia"/>
          <w:b/>
          <w:sz w:val="24"/>
          <w:szCs w:val="24"/>
        </w:rPr>
        <w:t xml:space="preserve"> </w:t>
      </w:r>
      <w:r>
        <w:rPr>
          <w:sz w:val="24"/>
          <w:szCs w:val="24"/>
        </w:rPr>
        <w:t>申请人提供虚假的资料、样品或者采取其他欺骗手段申请注册的，农业部对该申请不予批准，对申请人给予警告，申请人在一年内不得再次申请该兽药的注册。</w:t>
      </w:r>
    </w:p>
    <w:p>
      <w:pPr>
        <w:pStyle w:val="3"/>
        <w:topLinePunct/>
        <w:spacing w:line="412" w:lineRule="exact"/>
        <w:ind w:firstLine="480"/>
        <w:rPr>
          <w:sz w:val="24"/>
          <w:szCs w:val="24"/>
        </w:rPr>
      </w:pPr>
      <w:r>
        <w:rPr>
          <w:sz w:val="24"/>
          <w:szCs w:val="24"/>
        </w:rPr>
        <w:t>申请人提供虚假的资料、样品或者采取其他欺骗手段取得兽药注册证明文件的，按《兽药管理条例》第五十七条的规定给予处罚，申请人在三年内不得再次申请该兽药的注册。</w:t>
      </w:r>
    </w:p>
    <w:p>
      <w:pPr>
        <w:pStyle w:val="3"/>
        <w:topLinePunct/>
        <w:spacing w:line="412" w:lineRule="exact"/>
        <w:ind w:firstLine="482"/>
        <w:rPr>
          <w:sz w:val="24"/>
          <w:szCs w:val="24"/>
        </w:rPr>
      </w:pPr>
      <w:r>
        <w:rPr>
          <w:b/>
          <w:sz w:val="24"/>
          <w:szCs w:val="24"/>
        </w:rPr>
        <w:t xml:space="preserve">第四十二条 </w:t>
      </w:r>
      <w:r>
        <w:rPr>
          <w:rFonts w:hint="eastAsia" w:asciiTheme="minorEastAsia" w:hAnsiTheme="minorEastAsia" w:eastAsiaTheme="minorEastAsia"/>
          <w:b/>
          <w:sz w:val="24"/>
          <w:szCs w:val="24"/>
        </w:rPr>
        <w:t xml:space="preserve"> </w:t>
      </w:r>
      <w:r>
        <w:rPr>
          <w:sz w:val="24"/>
          <w:szCs w:val="24"/>
        </w:rPr>
        <w:t>其它违反本办法规定的行为，依照《兽药管理条例》的有关规定进行处罚。</w:t>
      </w:r>
    </w:p>
    <w:p>
      <w:pPr>
        <w:pStyle w:val="40"/>
        <w:topLinePunct/>
        <w:spacing w:line="412" w:lineRule="exact"/>
        <w:ind w:firstLine="480" w:firstLineChars="200"/>
        <w:jc w:val="both"/>
        <w:outlineLvl w:val="9"/>
        <w:rPr>
          <w:rFonts w:eastAsia="宋体" w:cs="Times New Roman"/>
          <w:sz w:val="24"/>
          <w:szCs w:val="24"/>
        </w:rPr>
      </w:pPr>
      <w:r>
        <w:rPr>
          <w:rFonts w:eastAsia="宋体" w:cs="Times New Roman"/>
          <w:sz w:val="24"/>
          <w:szCs w:val="24"/>
        </w:rPr>
        <w:t>第九章 附则</w:t>
      </w:r>
    </w:p>
    <w:p>
      <w:pPr>
        <w:pStyle w:val="3"/>
        <w:topLinePunct/>
        <w:spacing w:line="412" w:lineRule="exact"/>
        <w:ind w:firstLine="482"/>
        <w:rPr>
          <w:sz w:val="24"/>
          <w:szCs w:val="24"/>
        </w:rPr>
      </w:pPr>
      <w:r>
        <w:rPr>
          <w:b/>
          <w:sz w:val="24"/>
          <w:szCs w:val="24"/>
        </w:rPr>
        <w:t xml:space="preserve">第四十三条 </w:t>
      </w:r>
      <w:r>
        <w:rPr>
          <w:rFonts w:hint="eastAsia" w:asciiTheme="minorEastAsia" w:hAnsiTheme="minorEastAsia" w:eastAsiaTheme="minorEastAsia"/>
          <w:b/>
          <w:sz w:val="24"/>
          <w:szCs w:val="24"/>
        </w:rPr>
        <w:t xml:space="preserve"> </w:t>
      </w:r>
      <w:r>
        <w:rPr>
          <w:sz w:val="24"/>
          <w:szCs w:val="24"/>
        </w:rPr>
        <w:t>属于兽用麻醉药品、兽用精神药品、兽医医疗用毒性药品、放射性药品的新兽药和进口兽药注册申请，除按照本办法办理外，还应当符合国家其他有关规定。</w:t>
      </w:r>
    </w:p>
    <w:p>
      <w:pPr>
        <w:pStyle w:val="3"/>
        <w:topLinePunct/>
        <w:spacing w:line="412" w:lineRule="exact"/>
        <w:ind w:firstLine="482"/>
        <w:rPr>
          <w:sz w:val="24"/>
          <w:szCs w:val="24"/>
        </w:rPr>
      </w:pPr>
      <w:r>
        <w:rPr>
          <w:b/>
          <w:sz w:val="24"/>
          <w:szCs w:val="24"/>
        </w:rPr>
        <w:t xml:space="preserve">第四十四条 </w:t>
      </w:r>
      <w:r>
        <w:rPr>
          <w:rFonts w:hint="eastAsia" w:asciiTheme="minorEastAsia" w:hAnsiTheme="minorEastAsia" w:eastAsiaTheme="minorEastAsia"/>
          <w:b/>
          <w:sz w:val="24"/>
          <w:szCs w:val="24"/>
        </w:rPr>
        <w:t xml:space="preserve"> </w:t>
      </w:r>
      <w:r>
        <w:rPr>
          <w:sz w:val="24"/>
          <w:szCs w:val="24"/>
        </w:rPr>
        <w:t>根据动物防疫需要，农业部对国家兽医参考实验室推荐的强制免疫用疫苗生产所用菌（毒）种的变更实行备案制，不需进行变更注册。</w:t>
      </w:r>
    </w:p>
    <w:p>
      <w:pPr>
        <w:pStyle w:val="3"/>
        <w:topLinePunct/>
        <w:spacing w:line="412" w:lineRule="exact"/>
        <w:ind w:firstLine="482"/>
        <w:rPr>
          <w:sz w:val="24"/>
          <w:szCs w:val="24"/>
        </w:rPr>
      </w:pPr>
      <w:r>
        <w:rPr>
          <w:b/>
          <w:sz w:val="24"/>
          <w:szCs w:val="24"/>
        </w:rPr>
        <w:t xml:space="preserve">第四十五条 </w:t>
      </w:r>
      <w:r>
        <w:rPr>
          <w:rFonts w:hint="eastAsia" w:asciiTheme="minorEastAsia" w:hAnsiTheme="minorEastAsia" w:eastAsiaTheme="minorEastAsia"/>
          <w:b/>
          <w:sz w:val="24"/>
          <w:szCs w:val="24"/>
        </w:rPr>
        <w:t xml:space="preserve"> </w:t>
      </w:r>
      <w:r>
        <w:rPr>
          <w:sz w:val="24"/>
          <w:szCs w:val="24"/>
        </w:rPr>
        <w:t>本办法自2005年1月1日起施行。</w:t>
      </w:r>
    </w:p>
    <w:p>
      <w:pPr>
        <w:widowControl/>
        <w:spacing w:before="156" w:after="156"/>
        <w:ind w:firstLine="240"/>
        <w:rPr>
          <w:rFonts w:asciiTheme="minorEastAsia" w:hAnsiTheme="minorEastAsia"/>
          <w:sz w:val="24"/>
          <w:szCs w:val="24"/>
        </w:rPr>
      </w:pPr>
    </w:p>
    <w:p>
      <w:pPr>
        <w:widowControl/>
        <w:spacing w:before="156" w:after="156"/>
        <w:ind w:firstLine="240"/>
        <w:rPr>
          <w:rFonts w:asciiTheme="minorEastAsia" w:hAnsiTheme="minorEastAsia"/>
          <w:sz w:val="24"/>
          <w:szCs w:val="24"/>
        </w:rPr>
      </w:pPr>
    </w:p>
    <w:p>
      <w:pPr>
        <w:widowControl/>
        <w:spacing w:before="156" w:after="156"/>
        <w:ind w:firstLine="240"/>
        <w:rPr>
          <w:rFonts w:cs="Times New Roman" w:asciiTheme="minorEastAsia" w:hAnsiTheme="minorEastAsia"/>
          <w:b/>
          <w:bCs/>
          <w:kern w:val="0"/>
          <w:sz w:val="24"/>
          <w:szCs w:val="24"/>
        </w:rPr>
      </w:pPr>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940" w:name="_Toc28250956"/>
      <w:bookmarkStart w:id="941" w:name="_Toc26348006"/>
      <w:bookmarkStart w:id="942" w:name="_Toc25648250"/>
      <w:bookmarkStart w:id="943" w:name="_Toc25653746"/>
      <w:bookmarkStart w:id="944" w:name="_Toc28252232"/>
      <w:bookmarkStart w:id="945" w:name="_Toc28157028"/>
      <w:r>
        <w:t>兽药产品批准文号管理办法</w:t>
      </w:r>
      <w:bookmarkEnd w:id="928"/>
      <w:bookmarkEnd w:id="929"/>
      <w:bookmarkEnd w:id="930"/>
      <w:bookmarkEnd w:id="940"/>
      <w:bookmarkEnd w:id="941"/>
      <w:bookmarkEnd w:id="942"/>
      <w:bookmarkEnd w:id="943"/>
      <w:bookmarkEnd w:id="944"/>
      <w:bookmarkEnd w:id="945"/>
    </w:p>
    <w:p>
      <w:pPr>
        <w:pStyle w:val="62"/>
      </w:pPr>
      <w:r>
        <w:t>（2015年12月3日中华人民共和国农业部令第4号公布，根据2019年4月25日农业农村部令第2号修订）</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为加强兽药产品批准文号的管理，根据《兽药管理条例》，制定本办法。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兽药产品批准文号的申请、核发和监督管理适用本办法。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兽药生产企业生产兽药，应当取得农业部核发的兽药产品批准文号。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兽药产品批准文号是农业部根据兽药国家标准、生产工艺和生产条件批准特定兽药生产企业生产特定兽药产品时核发的兽药批准证明文件。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农业部负责全国兽药产品批准文号的核发和监督管理工作。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县级以上地方人民政府兽医行政管理部门负责本行政区域内的兽药产品批准文号的监督管理工作。</w:t>
      </w:r>
    </w:p>
    <w:p>
      <w:pPr>
        <w:pStyle w:val="63"/>
        <w:spacing w:before="218" w:after="218" w:line="412" w:lineRule="exact"/>
        <w:rPr>
          <w:b/>
        </w:rPr>
      </w:pPr>
      <w:r>
        <w:t xml:space="preserve">第二章 </w:t>
      </w:r>
      <w:r>
        <w:rPr>
          <w:rFonts w:hint="eastAsia"/>
        </w:rPr>
        <w:t xml:space="preserve"> </w:t>
      </w:r>
      <w:r>
        <w:t>兽药产品批准文号的申请和核发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申请兽药产品批准文号的兽药，应当符合以下条件：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（一）在《兽药生产许可证》载明的生产范围内；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（二）申请前三年内无被撤销该产品批准文号的记录。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申请兽药产品批准文号连续2次复核检验结果不符合规定的，1年内不再受理该兽药产品批准文号的申请。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申请本企业研制的已获得《新兽药注册证书》的兽药产品批准文号，且新兽药注册时的复核样品系申请人生产的，申请人应当向农业部提交下列资料：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（一）《兽药产品批准文号申请表》一式一份；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（二）《新兽药注册证书》复印件一式一份；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（三）复核检验报告复印件一式一份；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（四）标签和说明书样本一式二份；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（五）产品的生产工艺、配方等资料一式一份。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自受理之日起5个工作日内将申请资料送中国兽医药品监察所进行专家评审，并自收到评审意见之日起15个工作日内作出审批决定。符合规定的，核发兽药产品批准文号，批准标签和说明书；不符合规定的，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申请本企业研制的已获得《新兽药注册证书》的兽药产品批准文号，但新兽药注册时的复核样品非申请人生产的，分别按照本办法第七条、第九条规定办理，申请人无需提交知识产权转让合同或授权书复印件。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申请他人转让的已获得《新兽药注册证书》或《进口兽药注册证书》的生物制品类兽药产品批准文号的，申请人应当向农业部提交本企业生产的连续三个批次的样品和下列资料：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（一）《兽药产品批准文号申请表》一式一份；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（二）《新兽药注册证书》复印件一式一份；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（三）标签和说明书样本一式二份；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（四）所提交样品的自检报告一式一份；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（五）产品的生产工艺、配方等资料一式一份；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（六）知识产权转让合同或授权书一式一份（首次申请提供原件，换发申请提供复印件并加盖申请人公章）。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提交的样品应当由省级兽药检验机构现场抽取，并加贴封签。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自受理之日起5个工作日内将样品及申请资料送中国兽医药品监察所按规定进行复核检验和专家评审，并自收到检验结论和评审意见之日起15个工作日内作出审批决定。符合规定的，核发兽药产品批准文号，批准标签和说明书；不符合规定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申请第六条、第七条规定之外的生物制品类兽药产品批准文号的，申请人应当向农业部提交本企业生产的连续三个批次的样品和下列资料：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（一）《兽药产品批准文号申请表》一式一份；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（二）标签和说明书样本一式二份；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（三）所提交样品的自检报告一式一份；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（四）产品的生产工艺、配方等资料一式一份；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（五）菌（毒、虫）种合法来源证明复印件（加盖申请人公章）一式一份。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提交的样品应当由省级兽药检验机构现场抽取，并加贴封签。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自受理之日起5个工作日内将样品及申请资料送中国兽医药品监察所按规定进行复核检验和专家评审，并自收到检验结论和评审意见之日起15个工作日内作出审批决定。符合规定的，核发兽药产品批准文号，批准标签和说明书；不符合规定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他人转让的已获得《新兽药注册证书》或《进口兽药注册证书》的非生物制品类的兽药产品批准文号的，申请人应当向所在地省级人民政府兽医行政管理部门提交本企业生产的连续三个批次的样品和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（一）《兽药产品批准文号申请表》一式二份；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（二）《新兽药注册证书》复印件一式二份；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（三）标签和说明书样本一式二份；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（四）所提交样品的批生产、批检验原始记录复印件及自检报告一式二份；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（五）产品的生产工艺、配方等资料一式二份；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（六）知识产权转让合同或授权书一式二份（首次申请提供原件，换发申请提供复印件并加盖申请人公章）。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兽医行政管理部门自收到有关资料和样品之日起5个工作日内将样品送省级兽药检验机构进行复核检验，并自收到复核检验结论之日起10个工作日内完成初步审查，将审查意见和复核检验报告及全部申请材料一式一份报送农业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自收到省级人民政府兽医行政管理部门审查意见之日起5个工作日内送中国兽医药品监察所进行专家评审，并自收到评审意见之日起10个工作日内作出审批决定。符合规定的，核发兽药产品批准文号，批准标签和说明书；不符合规定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申请第六条、第九条规定之外的非生物制品类兽药产品批准文号的，农业部逐步实行比对试验管理。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实行比对试验管理的兽药品种目录及比对试验的要求由农业部制定。开展比对试验的检验机构应当遵守兽药非临床研究质量管理规范和兽药临床试验质量管理规范,其名单由农业部公布。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第十条规定的兽药尚未列入比对试验品种目录的，申请人应当向所在地省级人民政府兽医行政管理部门提交下列资料：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（一）《兽药产品批准文号申请表》一式二份；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（二）标签和说明书样本一式二份；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（三）产品的生产工艺、配方等资料一式二份；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（四）《现场核查申请单》一式二份。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兽医行政管理部门应当自收到有关资料之日起5个工作日内组织对申请资料进行审查。符合规定的，应当与申请人商定现场核查时间，组织现场核查；核查结果符合要求的，当场抽取三批样品，加贴封签后送省级兽药检验机构进行复核检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省级人民政府兽医行政管理部门自资料审查、现场核查或复核检验完成之日起10个工作日内将上述有关审查意见、复核检验报告及全部申请材料一式一份报送农业部。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自收到省级人民政府兽医行政管理部门审查意见之日起5个工作日内，将申请资料送中国兽医药品监察所进行专家评审，并自收到评审意见之日起10个工作日内作出审批决定。符合规定的，核发兽药产品批准文号，批准标签和说明书；不符合规定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第十条规定的兽药已列入比对试验品种目录的，按照第十一条规定提交申请资料、进行现场核查、抽样和复核检验，但抽取的三批样品中应当有一批在线抽样。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兽医行政管理部门自收到复核检验结论之日起10个工作日内完成初步审查。通过初步审查的，通知申请人将相关药学研究资料及加贴封签的在线抽样样品送至其自主选定的比对试验机构。比对试验机构应当严格按照药物比对试验指导原则开展比对试验，并将比对试验报告分送省级人民政府兽医行政管理部门和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省级人民政府兽医行政管理部门将现场核查报告、复核检验报告、比对试验方案、比对试验协议、比对试验报告、相关药学研究资料及全部申请资料一式一份报农业部。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自收到申请资料之日起5个工作日内送中国兽医药品监察所进行专家评审，并自收到评审意见之日起10个工作日内作出审批决定。符合规定的，核发兽药产品批准文号，批准标签和说明书；不符合规定的，书面通知申请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资料审查、现场核查、复核检验或比对试验不符合要求的，省级人民政府兽医行政管理部门可根据申请人意愿将申请资料退回申请人。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实行比对试验管理的兽药品种目录发布前已获得兽药产品批准文号的兽药，应当在规定期限内按照本办法第十二条规定补充比对试验并提供相关材料，未在规定期限内通过审查的，依照《兽药管理条例》第六十九条第一款第二项规定撤销该产品批准文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农业部在核发新兽药的兽药产品批准文号时，可以设立不超过5年的监测期。在监测期内，不批准其他企业生产或者进口该新兽药。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生产企业应当在监测期内收集该新兽药的疗效、不良反应等资料，并及时报送农业部。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兽药监测期届满后，其他兽药生产企业可根据本办法第七、九或十二条的规定申请兽药产品批准文号，但应当提交与知识产权人签订的转让合同或授权书，或者对他人专利权不构成侵权的声明。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有下列情形之一的，兽药生产企业应当按照本办法第八条或第十一条规定重新申请兽药产品批准文号,兽药产品已进行过比对试验且结果符合规定的，不再进行比对试验：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（一）迁址重建的；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（二）异地新建车间的；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（三）其他改变生产场地的情形。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兽药产品批准文号有效期届满需要继续生产的，兽药生产企业应当在有效期届满6个月前按原批准程序申请兽药产品批准文号的换发。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在兽药产品批准文号有效期内，生物制品类1批次以上或非生物制品类3批次以上经省级以上人民政府兽医行政管理部门监督抽检且全部合格的，兽药产品批准文号换发时不再做复核检验。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已进行过比对试验且结果符合规定的兽药产品，兽药产品批准文号换发时不再进行比对试验。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对有证据表明存在安全性隐患的兽药产品，农业部暂停受理该兽药产品批准文号的申请；已受理的，中止该兽药产品批准文号的核发。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对国内突发重大动物疫病防控急需的兽药产品，必要时农业部可以核发临时兽药产品批准文号。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临时兽药产品批准文号有效期不超过2年。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兽药检验机构应当自收到样品之日起90个工作日内完成检验，对样品应当根据规定留样观察。样品属于生物制品的，检验期限不得超过120个工作日。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中国兽医药品监察所专家评审时限不得超过30个工作日；实行比对试验的，专家评审时限不得超过90个工作日。</w:t>
      </w:r>
    </w:p>
    <w:p>
      <w:pPr>
        <w:pStyle w:val="63"/>
        <w:spacing w:before="218" w:after="218" w:line="412" w:lineRule="exact"/>
        <w:rPr>
          <w:b/>
        </w:rPr>
      </w:pPr>
      <w:r>
        <w:t xml:space="preserve">第三章 </w:t>
      </w:r>
      <w:r>
        <w:rPr>
          <w:rFonts w:hint="eastAsia"/>
        </w:rPr>
        <w:t xml:space="preserve"> </w:t>
      </w:r>
      <w:r>
        <w:t>兽药现场核查和抽样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省级人民政府兽医行政管理部门负责组织现场核查和抽样工作，应当根据工作需要成立2-4人组成的现场核查抽样组。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现场核查抽样人员进行现场抽样，应当按照兽药抽样相关规定进行，保证抽样的科学性和公正性。</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样品应当按检验用量和比对试验方案载明数量的3-5倍抽取，并单独封签。《兽药封签》由抽样人员和被抽样单位有关人员签名，并加盖抽样单位兽药检验抽样专用章和被抽样单位公章。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现场核查应当包括以下内容：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（一）管理制度制定与执行情况；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（二）研制、生产、检验人员相关情况；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（三）原料购进和使用情况；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（四）研制、生产、检验设备和仪器状况是否符合要求；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（五）研制、生产、检验条件是否符合有关要求；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（六）相关生产、检验记录；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（七）其他需要现场核查的内容。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现场核查人员可以对研制、生产、检验现场场地、设备、仪器情况和原料、中间体、成品、研制记录等照相或者复制，作为现场核查报告的附件。</w:t>
      </w:r>
    </w:p>
    <w:p>
      <w:pPr>
        <w:pStyle w:val="63"/>
        <w:spacing w:before="218" w:after="218" w:line="412" w:lineRule="exact"/>
        <w:rPr>
          <w:b/>
        </w:rPr>
      </w:pPr>
      <w:r>
        <w:t>第四章</w:t>
      </w:r>
      <w:r>
        <w:rPr>
          <w:rFonts w:hint="eastAsia"/>
        </w:rPr>
        <w:t xml:space="preserve"> </w:t>
      </w:r>
      <w:r>
        <w:t xml:space="preserve"> 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县级以上地方人民政府兽医行政管理部门应当对辖区内兽药生产企业进行现场检查。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现场检查中，发现兽药生产企业有下列情形之一的，由县级以上地方人民政府兽医行政管理部门依法作出处理决定，应当撤销、吊销、注销兽药产品批准文号或者兽药生产许可证的，及时报发证机关处理：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（一）生产条件发生重大变化的；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（二）没有按照《兽药生产质量管理规范》的要求组织生产的；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（三）产品质量存在隐患的；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（四）其他违反《兽药管理条例》及本办法规定情形的。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县级以上地方人民政府兽医行政管理部门应当对上市兽药产品进行监督检查，发现有违反本办法规定情形的，依法作出处理决定，应当撤销、吊销、注销兽药产品批准文号或者兽药生产许可证的，及时报发证机关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买卖、出租、出借兽药产品批准文号的，按照《兽药管理条例》第五十八条规定处罚。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有下列情形之一的，由农业部注销兽药产品批准文号，并予以公告：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（一）兽药生产许可证有效期届满未申请延续或者申请后未获得批准的；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（二）兽药生产企业停止生产超过6个月或者关闭的；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（三）核发兽药产品批准文号所依据的兽药国家质量标准被废止的；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（四）应当注销的其他情形。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生产的兽药有下列情形之一的，按照《兽药管理条例》第六十九条第一款第二项的规定撤销兽药产品批准文号：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（一）改变组方添加其他成分的；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（二）除生物制品以及未规定上限的中药类产品外，主要成分含量在兽药国家标准150%以上，或主要成分含量在兽药国家标准120%以上且累计2批次的；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（三）主要成分含量在兽药国家标准50%以下，或主要成分含量在兽药国家标准80%以下且累计2批次以上的；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（四）其他药效不确定、不良反应大以及可能对养殖业、人体健康造成危害或者存在潜在风险的情形。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申请人隐瞒有关情况或者提供虚假材料、样品申请兽药产品批准文号的，农业部不予受理或者不予核发兽药产品批准文号；申请人1年内不得再次申请该兽药产品批准文号。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申请人提供虚假资料、样品或者采取其他欺骗手段取得兽药产品批准文号的，根据《兽药管理条例》第五十七条的规定予以处罚，申请人3年内不得再次申请该兽药产品批准文号。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发生兽药知识产权纠纷的，由当事人按照有关知识产权法律法规解决。知识产权管理部门生效决定或人民法院生效判决认定侵权行为成立的，由农业部依法注销已核发的兽药产品批准文号。</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兽药产品批准文号的编制格式为兽药类别简称＋企业所在地省（自治区、直辖市）序号＋企业序号＋兽药品种编号。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格式如下：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类别简称。药物饲料添加剂的类别简称为“兽药添字”；血清制品、疫苗、诊断制品、微生态制品等类别简称为“兽药生字”；中药材、中成药、化学药品、抗生素、生化药品、放射性药品、外用杀虫剂和消毒剂等类别简称为“兽药字”；原料药简称为“兽药原字”；农业部核发的临时兽药产品批准文号简称为“兽药临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（二）企业所在地省（自治区、直辖市）序号用2位阿拉伯数字表示，由农业部规定并公告。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（三）企业序号按省排序，用3位阿拉伯数字表示，由省级人民政府兽医行政管理部门发布。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（四）兽药品种编号用4位阿拉伯数字表示，由农业部规定并公告。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本办法自2016年5月1日起施行，2004年11月24日农业部公布的《兽药产品批准文号管理办法》（农业部令第45号）同时废止。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946" w:name="_Toc21450033"/>
      <w:bookmarkStart w:id="947" w:name="_Toc14265"/>
      <w:bookmarkStart w:id="948" w:name="_Toc466579880"/>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949" w:name="_Toc25653747"/>
      <w:bookmarkStart w:id="950" w:name="_Toc28250957"/>
      <w:bookmarkStart w:id="951" w:name="_Toc25648251"/>
      <w:bookmarkStart w:id="952" w:name="_Toc28157029"/>
      <w:bookmarkStart w:id="953" w:name="_Toc26348007"/>
      <w:bookmarkStart w:id="954" w:name="_Toc28252233"/>
      <w:r>
        <w:t>兽药标签和说明书管理办法</w:t>
      </w:r>
      <w:bookmarkEnd w:id="946"/>
      <w:bookmarkEnd w:id="947"/>
      <w:bookmarkEnd w:id="948"/>
      <w:bookmarkEnd w:id="949"/>
      <w:bookmarkEnd w:id="950"/>
      <w:bookmarkEnd w:id="951"/>
      <w:bookmarkEnd w:id="952"/>
      <w:bookmarkEnd w:id="953"/>
      <w:bookmarkEnd w:id="954"/>
    </w:p>
    <w:p>
      <w:pPr>
        <w:pStyle w:val="62"/>
      </w:pPr>
      <w:r>
        <w:t>（2002年</w:t>
      </w:r>
      <w:r>
        <w:rPr>
          <w:spacing w:val="-4"/>
        </w:rPr>
        <w:t>10月31日农业部令第22号公布，根据2004年7月1日公布施行的农业部令第38号《关于修订农业行政许可规章和规范性文件的决定》第一次修订，根据2007年11月8日中华人民共和国农业部令第6号公布、自公布之日起施行的《农业部现行规章清理结果》第二次修订，根据2017年11月30日中华人民共和国农业部令第8号公布的、自公布之日起施行《农业部关于修改和废止部分规章、规范性文件的决定》第三次修订）</w:t>
      </w:r>
    </w:p>
    <w:p>
      <w:pPr>
        <w:pStyle w:val="63"/>
        <w:spacing w:before="218" w:after="218" w:line="412" w:lineRule="exact"/>
        <w:rPr>
          <w:b/>
        </w:rPr>
      </w:pPr>
      <w:r>
        <w:t>第一章</w:t>
      </w:r>
      <w:r>
        <w:rPr>
          <w:rStyle w:val="36"/>
          <w:rFonts w:hint="eastAsia" w:asciiTheme="minorEastAsia" w:hAnsiTheme="minorEastAsia" w:eastAsiaTheme="minorEastAsia"/>
          <w:sz w:val="24"/>
          <w:szCs w:val="24"/>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为加强兽药监督管理，规范兽药标签和说明书的内容、印制、使用活动，保障兽药使用的安全有效，根据《兽药管理条例》，制定本办法。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农业部主管全国的兽药标签和说明书的管理工作，县级以上地方人民政府畜牧兽医行政管理部门主管所辖地区的兽药标签和说明书的管理工作。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凡在中国境内生产、经营、使用的兽药的标签和说明书必须符合本办法的规定。</w:t>
      </w:r>
    </w:p>
    <w:p>
      <w:pPr>
        <w:pStyle w:val="63"/>
        <w:spacing w:before="218" w:after="218" w:line="412" w:lineRule="exact"/>
        <w:rPr>
          <w:b/>
        </w:rPr>
      </w:pPr>
      <w:r>
        <w:t>第二章</w:t>
      </w:r>
      <w:r>
        <w:rPr>
          <w:rStyle w:val="36"/>
          <w:rFonts w:hint="eastAsia" w:asciiTheme="minorEastAsia" w:hAnsiTheme="minorEastAsia" w:eastAsiaTheme="minorEastAsia"/>
          <w:sz w:val="24"/>
          <w:szCs w:val="24"/>
        </w:rPr>
        <w:t xml:space="preserve">  </w:t>
      </w:r>
      <w:r>
        <w:t>兽药标签的基本要求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兽药产品（原料药除外）必须同时使用内包装标签和外包装标签。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内包装标签必须注明兽用标识、兽药名称、适应症（或功能与主治）、含量／包装规格、批准文号或《进口兽药登记许可证》证号、生产日期、生产批号、有效期、生产企业信息等内容。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安瓿、西林瓶等注射或内服产品由于包装尺寸的限制而无法注明上述全部内容的，可适当减少项目，但至少须标明兽药名称、含量规格、生产批号。</w:t>
      </w:r>
    </w:p>
    <w:p>
      <w:pPr>
        <w:pStyle w:val="3"/>
        <w:topLinePunct/>
        <w:spacing w:line="412" w:lineRule="exact"/>
        <w:ind w:firstLine="482"/>
        <w:rPr>
          <w:rFonts w:asciiTheme="minorEastAsia" w:hAnsiTheme="minorEastAsia" w:eastAsiaTheme="minorEastAsia"/>
          <w:b/>
          <w:spacing w:val="-4"/>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外包</w:t>
      </w:r>
      <w:r>
        <w:rPr>
          <w:rFonts w:asciiTheme="minorEastAsia" w:hAnsiTheme="minorEastAsia" w:eastAsiaTheme="minorEastAsia"/>
          <w:spacing w:val="-4"/>
          <w:sz w:val="24"/>
          <w:szCs w:val="24"/>
        </w:rPr>
        <w:t>装标签必须注明兽用标识、兽药名称、主要成分、适应症（或功能与主治）、用法与用量、含量／包装规格、批准文号或《进口兽药登记许可证》证号、生产日期、生产批号、有效期、停药期、贮藏、包装数量、生产企业信息等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兽用原</w:t>
      </w:r>
      <w:r>
        <w:rPr>
          <w:rFonts w:asciiTheme="minorEastAsia" w:hAnsiTheme="minorEastAsia" w:eastAsiaTheme="minorEastAsia"/>
          <w:spacing w:val="-4"/>
          <w:sz w:val="24"/>
          <w:szCs w:val="24"/>
        </w:rPr>
        <w:t>料药的标签必须注明兽药名称、包装规格、生产批号、生产日期、有效期、贮藏、批准文号、运输注意事项或其它标记、生产企业信息等内容。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对贮藏有特殊要求的必须在标签的醒目位置标明。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兽药有效期按年月顺序标注。年份用四位数表示，月份用两位数表示，如“有效期至2002年09月”，或“有效期至2002．09”。</w:t>
      </w:r>
    </w:p>
    <w:p>
      <w:pPr>
        <w:pStyle w:val="63"/>
        <w:spacing w:before="218" w:after="218" w:line="412" w:lineRule="exact"/>
        <w:rPr>
          <w:b/>
        </w:rPr>
      </w:pPr>
      <w:r>
        <w:t>第三章</w:t>
      </w:r>
      <w:r>
        <w:rPr>
          <w:rStyle w:val="36"/>
          <w:rFonts w:hint="eastAsia" w:asciiTheme="minorEastAsia" w:hAnsiTheme="minorEastAsia" w:eastAsiaTheme="minorEastAsia"/>
          <w:sz w:val="24"/>
          <w:szCs w:val="24"/>
        </w:rPr>
        <w:t xml:space="preserve">  </w:t>
      </w:r>
      <w:r>
        <w:t>兽药说明书的基本要求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兽用化学药品、抗生素产品的单方、复方及中西复方制剂的说明书必须注明以下内容：兽用标识、兽药名称、主要成分、性状、药理作用、适应症（或功能与主治）、用法与用量、不良反应、注意事项、停药期、外用杀虫药及其他对人体或环境有毒有害的废弃包装的处理措施、有效期、含量／包装规格、贮藏、批准文号、生产企业信息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中兽药说明书必须注明以下内容：兽用标识、兽药名称、主要成分、性状、功能与主治、用法与用量、不良反应、注意事项、有效期、规格、贮藏、批准文号、生产企业信息等。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兽用生物制品说明书必须注明以下内容：兽用标识、兽药名称、主要成分及含量（型、株及活疫苗的最低活菌数或病毒滴度）、性状、接种对象、用法与用量（冻干疫苗须标明稀释方法）、注意事项（包括不良反应与急救措施）、有效期、规格（容量和头份）、包装、贮藏、废弃包装处理措施、批准文号、生产企业信息等。</w:t>
      </w:r>
    </w:p>
    <w:p>
      <w:pPr>
        <w:pStyle w:val="63"/>
        <w:spacing w:before="218" w:after="218" w:line="412" w:lineRule="exact"/>
        <w:rPr>
          <w:b/>
        </w:rPr>
      </w:pPr>
      <w:r>
        <w:t>第四章</w:t>
      </w:r>
      <w:r>
        <w:rPr>
          <w:rStyle w:val="36"/>
          <w:rFonts w:hint="eastAsia" w:asciiTheme="minorEastAsia" w:hAnsiTheme="minorEastAsia" w:eastAsiaTheme="minorEastAsia"/>
          <w:sz w:val="24"/>
          <w:szCs w:val="24"/>
        </w:rPr>
        <w:t xml:space="preserve">  </w:t>
      </w:r>
      <w:r>
        <w:t>兽药标签和说明书的管理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兽药标签和说明书应当经农业部批准后方可使用。农业部制定兽药标签和说明书编写细则、范本，作为兽药标签和说明书编制、审批和监督执法的依据。。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兽药标签和说明书必须按照本规定的统一要求印制，其文字及图案不得擅自加入任何未经批准的内容。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兽药标签和说明书的内容必须真实、准确，不得虚假和夸大，也不得印有任何带有宣传、广告色彩的文字和标识。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兽药标签和说明书的内容不得超出或删减规定的项目内容；不得印有未获批准的专利、兽药GMP、商标等标识。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兽药标签和说明书所用文字必须是中文，并使用国家语言文字工作委员会公布的现行规范化汉字。根据需要可有外文对照。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兽药标签或最小销售包装上应当按照农业部的规定印制兽药产品电子追溯码，电子追溯码以二维码标注；已获批准的专利产品，可标注专利标记和专利号，并标明专利许可种类；注册商标应印制在标签和说明书的左上角或右上角；已获兽药GMP合格证的，必须按照兽药GMP标识使用有关规定正确地使用兽药GMP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兽药标签和说明书的字迹必须清晰易辨，兽用标识及外用药标识应清楚醒目，不得有印字脱落或粘贴不牢等现象，并不得用粘贴、剪切的方式进行修改或补充。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兽药标签和说明书内容对产品作用与用途项目的表述不得违反法定兽药标准的规定，并不得有扩大疗效和应用范围的内容；其用法与用量、停药期、有效期等项目内容必须与法定兽药标准一致，并使用符合兽药国家标准要求的规范性用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兽药标签和说明书上必须标识兽药通用名称，可同时标识商品名称。商品名称不得与通用名称连写，两者之间应有一定空隙并分行。通用名称与商品名称用字的比例不得小于1：2（指面积），并不得小于注册商标用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兽药最小销售单元的包装必须印有或贴有符合外包装标签规定内容的标签并附有说明书。兽药外包装箱上必须印有或粘贴有外包装标签。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凡违反本办法规定的，按照《兽药管理条例》有关规定进行处罚。兽药产品标签未按要求使用电子追溯码的，按照《兽药管理条例》第六十条第二款处罚。</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本办法下列用语的含义是：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兽药通用名：国家标准、农业部行业标准、地方标准及进口兽药注册的正式品名。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兽药商品名：系指某一兽药产品的专有商品名称。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内包装标签：系指直接接触兽药的包装上的标签。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外包装标签：系指直接接触内包装的外包装上的标签。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兽药最小销售单元：系指直接供上市销售的兽药最小包装。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兽药说明书：系指包含兽药有效成分、疗效、使用以及注意事项等基本信息的技术资料。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生产企业信息：包括企业名称、邮编、地址、电话、传真、电子邮址、网址等。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本办法自2003年3月1日起施行。</w:t>
      </w:r>
    </w:p>
    <w:p>
      <w:pPr>
        <w:widowControl/>
        <w:spacing w:before="156" w:after="156"/>
        <w:ind w:firstLine="240"/>
        <w:rPr>
          <w:rFonts w:cs="Times New Roman" w:asciiTheme="minorEastAsia" w:hAnsiTheme="minorEastAsia"/>
          <w:b/>
          <w:bCs/>
          <w:kern w:val="0"/>
          <w:sz w:val="24"/>
          <w:szCs w:val="24"/>
        </w:rPr>
      </w:pPr>
      <w:bookmarkStart w:id="955" w:name="_Toc466579875"/>
      <w:bookmarkStart w:id="956" w:name="_Toc25658"/>
      <w:bookmarkStart w:id="957" w:name="_Toc21450031"/>
      <w:r>
        <w:rPr>
          <w:rFonts w:asciiTheme="minorEastAsia" w:hAnsiTheme="minorEastAsia"/>
          <w:sz w:val="24"/>
          <w:szCs w:val="24"/>
        </w:rPr>
        <w:br w:type="page"/>
      </w:r>
    </w:p>
    <w:p>
      <w:pPr>
        <w:pStyle w:val="2"/>
        <w:keepNext w:val="0"/>
        <w:keepLines w:val="0"/>
        <w:topLinePunct/>
        <w:spacing w:line="412" w:lineRule="exact"/>
        <w:ind w:firstLine="482" w:firstLineChars="200"/>
        <w:jc w:val="both"/>
        <w:rPr>
          <w:rFonts w:asciiTheme="minorEastAsia" w:hAnsiTheme="minorEastAsia" w:eastAsiaTheme="minorEastAsia"/>
          <w:sz w:val="24"/>
          <w:szCs w:val="24"/>
        </w:rPr>
      </w:pPr>
    </w:p>
    <w:p>
      <w:pPr>
        <w:pStyle w:val="61"/>
        <w:spacing w:line="480" w:lineRule="auto"/>
      </w:pPr>
      <w:bookmarkStart w:id="958" w:name="_Toc25653748"/>
      <w:bookmarkStart w:id="959" w:name="_Toc28250958"/>
      <w:bookmarkStart w:id="960" w:name="_Toc26348008"/>
      <w:bookmarkStart w:id="961" w:name="_Toc28157030"/>
      <w:bookmarkStart w:id="962" w:name="_Toc28252234"/>
      <w:bookmarkStart w:id="963" w:name="_Toc25648252"/>
      <w:r>
        <w:t>兽药生产质量管理规范</w:t>
      </w:r>
      <w:bookmarkEnd w:id="955"/>
      <w:bookmarkEnd w:id="956"/>
      <w:bookmarkEnd w:id="957"/>
      <w:bookmarkEnd w:id="958"/>
      <w:bookmarkEnd w:id="959"/>
      <w:bookmarkEnd w:id="960"/>
      <w:bookmarkEnd w:id="961"/>
      <w:bookmarkEnd w:id="962"/>
      <w:bookmarkEnd w:id="963"/>
    </w:p>
    <w:p>
      <w:pPr>
        <w:pStyle w:val="62"/>
        <w:spacing w:line="412" w:lineRule="exact"/>
      </w:pPr>
      <w:r>
        <w:t>（2002年3月19日农业部令第11号公布，根据2017年11月30日中华人民共和国农业部令第8号公布的、自公布之日起施行《农业部关于修改和废止部分规章、规范性文件的决定》修订）</w:t>
      </w:r>
    </w:p>
    <w:p>
      <w:pPr>
        <w:pStyle w:val="63"/>
        <w:spacing w:before="218" w:after="218" w:line="412" w:lineRule="exact"/>
        <w:rPr>
          <w:b/>
        </w:rPr>
      </w:pPr>
      <w:r>
        <w:t>第一章</w:t>
      </w:r>
      <w:r>
        <w:rPr>
          <w:rFonts w:hint="eastAsia"/>
        </w:rPr>
        <w:t xml:space="preserve"> </w:t>
      </w:r>
      <w:r>
        <w:t xml:space="preserve"> 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根据《兽药管理条例》规定，制定本规范。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本规范是兽药生产和质量管理的基本准则，适用于兽药制剂生产的全过程、原料药生产中影响成品质量的关键工序。</w:t>
      </w:r>
    </w:p>
    <w:p>
      <w:pPr>
        <w:pStyle w:val="63"/>
        <w:spacing w:before="218" w:after="218" w:line="412" w:lineRule="exact"/>
        <w:rPr>
          <w:b/>
        </w:rPr>
      </w:pPr>
      <w:r>
        <w:t xml:space="preserve">第二章 </w:t>
      </w:r>
      <w:r>
        <w:rPr>
          <w:rFonts w:hint="eastAsia"/>
        </w:rPr>
        <w:t xml:space="preserve"> </w:t>
      </w:r>
      <w:r>
        <w:t>机构与人员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兽药生产企业应建立生产和质量管理机构，各类机构和人员职责应明确，并配备一定数量的与兽药生产相适应的具有专业知识和生产经验的管理人员和技术人员。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兽药生产企业主管兽药生产管理的负责人和质量管理的负责人，应具有制药或相关专业大专以上学历，有兽药生产和质量管理工作经验。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兽药生产管理部门的负责人和质量管理部门的负责人应具有兽医、制药及相关专业大专以上学历，有兽药生产和质量管理的实践经验，有能力对兽药生产和质量管理中的实际问题作出正确的判断和处理。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兽药生产管理部门负责人和质量管理部门负责人均应由专职人员担任，并不得互相兼任。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直接从事兽药生产操作和质量检验的人员应具有高中以上文化程度，具有基础理论知识和实际操作技能。从事生产辅助性工作的人员应具有初中以上文化程度。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兽药生产企业应制订人员培训计划，按本规范要求对从事兽药生产的各类人员进行培训，经考核合格后方可上岗。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对从事高生物活性、高毒性、强污染性、高致敏性及与人畜共患病有关或有特殊要求的兽药生产操作人员和质量检验人员，应经相应专业的技术培训。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质量检验人员应经省级兽药监察所培训，经考核合格后持证上岗。质量检验负责人的任命和变更应报省级兽药监察所备案。</w:t>
      </w:r>
    </w:p>
    <w:p>
      <w:pPr>
        <w:widowControl/>
        <w:spacing w:before="156" w:after="156"/>
        <w:ind w:firstLine="210"/>
        <w:rPr>
          <w:rFonts w:ascii="黑体" w:hAnsi="黑体" w:eastAsia="黑体" w:cs="Times New Roman"/>
          <w:bCs/>
          <w:sz w:val="28"/>
          <w:szCs w:val="28"/>
        </w:rPr>
      </w:pPr>
      <w:r>
        <w:br w:type="page"/>
      </w:r>
    </w:p>
    <w:p>
      <w:pPr>
        <w:pStyle w:val="63"/>
        <w:spacing w:before="218" w:after="218" w:line="412" w:lineRule="exact"/>
        <w:rPr>
          <w:b/>
        </w:rPr>
      </w:pPr>
      <w:r>
        <w:t>第三章</w:t>
      </w:r>
      <w:r>
        <w:rPr>
          <w:rFonts w:hint="eastAsia"/>
        </w:rPr>
        <w:t xml:space="preserve"> </w:t>
      </w:r>
      <w:r>
        <w:t xml:space="preserve"> 厂房与设施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兽药生产企业必须有整洁的生产环境，其空气、场地、水质应符合生产要求。厂区周围不应有影响兽药产品质量的污染源；厂区的地面、路面及运输等不应对兽药生产造成污染；生产、仓储、行政、生活和辅助区的总体布局应合理，不得互相妨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厂房应按生产工艺流程及所要求的空气洁净度级别进行合理布局，同一厂房内以及相邻厂房之间的生产操作不得相互妨碍。厂房设计、建设及布局应符合以下要求：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生产区域的布局要顺应工艺流程，减少生产流程的迂回、往返；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洁净度级别高的房间宜设在靠近人员最少到达、干扰少的位置。洁净度级别相同的房间要相对集中。洁净室（区）内不同房间之间相互联系应符合品种和工艺的需要，必要时要有防止交叉污染的措施；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洁净室（区）与非洁净室（区）之间应设缓冲室、气闸室或空气吹淋等防止污染的设施；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洁净厂房中人员及物料的出入门应分别设置，物料传递路线应尽量缩短；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w:t>
      </w:r>
      <w:r>
        <w:rPr>
          <w:rFonts w:asciiTheme="minorEastAsia" w:hAnsiTheme="minorEastAsia" w:eastAsiaTheme="minorEastAsia"/>
          <w:sz w:val="24"/>
          <w:szCs w:val="24"/>
        </w:rPr>
        <w:t>物料和成品的出入口应分开；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w:t>
      </w:r>
      <w:r>
        <w:rPr>
          <w:rFonts w:asciiTheme="minorEastAsia" w:hAnsiTheme="minorEastAsia" w:eastAsiaTheme="minorEastAsia"/>
          <w:sz w:val="24"/>
          <w:szCs w:val="24"/>
        </w:rPr>
        <w:t>人员和物料进入洁净厂房要有各自的净化用室和设施，净化用室的设置和要求应与生产区的洁净度级别相适应；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操作区内仅允许放置与操作有关的物料，设置必要的工艺设备，用于生产、贮存的区域不得用作非区域内工作人员的通道；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r>
        <w:rPr>
          <w:rFonts w:asciiTheme="minorEastAsia" w:hAnsiTheme="minorEastAsia" w:eastAsiaTheme="minorEastAsia"/>
          <w:sz w:val="24"/>
          <w:szCs w:val="24"/>
        </w:rPr>
        <w:t>电梯不宜设在洁净区内，确需设置时，电梯前应设缓冲室。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厂房及仓储区应有防止昆虫、鼠类及其它动物进入的设施。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厂房应便于进行清洁工作。非洁净室（区）厂房的地面、墙壁、天棚等内表面应平整、清洁、无污迹，易清洁。洁净室（区）内表面应平整光滑、耐冲击、无裂缝、接口严密、无颗粒物脱落，并能耐受清洗和消毒，墙壁与地面的交界处宜成弧形或采取其他措施，地面应平整光滑、无缝隙、耐磨、耐腐蚀、耐冲击，易除尘清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根据需要，厂房内应划分生产区和仓储区，具有与生产规模相适应的面积和空间，便于生产操作和安置设备，存放物料、中间产品、待验品和成品，并应最大限度地减少差错和交叉污染。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根据兽药生产工艺要求，洁净室（区）内设置的称量室和备料室，其空气洁净度级别应与生产条件的要求一致，并有捕尘和防止交叉污染的设施。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物料进入洁净室（区）前必须进行清洁处理，物料入口处须设置清除物料外包装的房间。无菌生产所需的物料，应经无菌处理后再从传递窗或缓冲室中传递。</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洁净室（区）内各种管道、灯具、风口以及其它公用设施，在设计和安装时应考虑使用中避免出现不易清洁的部位。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洁净室（区）内应根据生产要求提供足够的照明。主要工作室的最低照度不得低于150勒克斯，对照度有特殊要求的生产部位可设置局部照明。厂房应有应急照明设施。厂房内其它区域的最低照度不得低于100勒克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进入洁净室（区）的空气必须净化，并根据生产工艺要求划分空气洁净级别。洁净室（区）内空气的微生物数和尘粒数应定期监测，监测结果应记录存档。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洁净室（区）的窗户、天棚及进入室内的管道、风口、灯具与墙壁或天棚的连接部位均应密封。空气洁净度级别不同的相邻洁净室（区）之间的静压差应大于5帕。洁净室（区）与非洁净室（区）之间的静压差应大于10帕。洁净室（区）与室外大气（含与室外直接相通的区域）的静压差应大于12帕，并应有指示压差的装置或设置监控报警系统。对生物制品的洁净室车间，上述规定的静压差数值绝对值应按工艺要求确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洁净室（区）的温度和相对湿度应与兽药生产工艺要求相适应。无特殊要求时，温度应控制在18-26℃，相对湿度控制在30-65%。</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洁净室（区）内安装的水池、地漏不得对兽药产生污染。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不同空气洁净度级别的洁净室（区）之间的人员及物料出入，应有防止交叉污染的措施。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生产青霉素类、β-内酰胺结构类等高致敏性兽药应使用相对独立的厂房、设施及独立的空气净化系统，分装室应保持相对负压，排至室外的废气应经净化处理并符合要求，排风口应远离其它空气净化系统的进风口。如需利用停产的该类车间分装其它产品时，则必须进行清洁处理，不得有残留并经测试合格后才能生产其它产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生物制品应按微生物类别、性质的不同分开生产。强毒菌种与弱毒菌种、生产用菌毒种与非生产用菌毒种、生产用细胞与非生产用细胞、活疫苗与灭活疫苗、灭活前与灭活后、脱毒前与脱毒后其生产操作区域和贮存设备应严格分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中药制剂的生产操作区应与中药材的前处理、提取、浓缩以及动物脏器、组织的洗涤或处理等生产操作区分开。中药材前处理操作工序应有良好的通风、排烟、除尘设施。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工艺用水的水处理及其配套设施的设计、安装和维护应能确保达到设定的质量标准和需要，并制订工艺用水的制造规程、贮存方法、质量标准、检验操作规程及设施的清洗规程等。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与兽药直接接触的干燥用空气、压缩空气和惰性气体应经净化处理，其洁净程度应与洁净室（区）内的洁净级别相同。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仓储区建筑应符合防潮、防火的要求，仓储面积应适用于物料及产品的分类、有序存放。待检、合格、不合格物料及产品应分库保存或严格分开码垛贮存，并有易于识别的明显标记。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对温度、湿度有特殊要求的物料或产品应置于能保证其稳定性的仓储条件下储存。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易燃易爆的危险品、废品应分别在特殊的或隔离的仓库内保存。毒性药品、麻醉药品、精神药品应按规定保存。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仓储区应有符合规定的消防间距和交通通道。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仓储区应保持清洁和干燥，照明、通风等设施及温度、湿度的控制应符合储存要求并定期监测。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仓储区可设原料取样或称量室，其环境的空气洁净度级别应与生产要求一致。如不在取样室取样，取样时应有防止污染和交叉污染的措施。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质量管理部门应根据需要设置检验、中药标本、留样观察以及其它各类实验室，能根据需要对实验室洁净度、温湿度进行控制并与兽药生产区分开。生物检定、微生物限度检定和生物制品检验用强、弱毒操作间要分室进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对环境有特殊要求的仪器设备，应放置在专门的仪器室内，并有防止外界因素影响的设施。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实验动物房应与其他区域严格分开，其设计建造应符合国家有关规定。生产兽用生物制品必须设置生产和检验用动物房。生产其他需进行动物实验的兽药产品，兽药生产企业可采取设置实验动物房或委托其它单位进行有关动物实验的方式，被委托实验单位的实验动物房必须具备相应的条件和资质，并应符合规定要求。</w:t>
      </w:r>
    </w:p>
    <w:p>
      <w:pPr>
        <w:pStyle w:val="63"/>
        <w:spacing w:before="218" w:after="218" w:line="412" w:lineRule="exact"/>
        <w:rPr>
          <w:b/>
        </w:rPr>
      </w:pPr>
      <w:r>
        <w:t xml:space="preserve">第四章 </w:t>
      </w:r>
      <w:r>
        <w:rPr>
          <w:rFonts w:hint="eastAsia"/>
        </w:rPr>
        <w:t xml:space="preserve"> </w:t>
      </w:r>
      <w:r>
        <w:t xml:space="preserve">设 </w:t>
      </w:r>
      <w:r>
        <w:rPr>
          <w:rFonts w:hint="eastAsia"/>
        </w:rPr>
        <w:t xml:space="preserve"> </w:t>
      </w:r>
      <w:r>
        <w:t>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兽药生产企业必须具备与所生产产品相适应的生产和检验设备，其性能和主要技术参数应能保证生产和产品质量控制</w:t>
      </w:r>
      <w:r>
        <w:rPr>
          <w:rFonts w:asciiTheme="minorEastAsia" w:hAnsiTheme="minorEastAsia" w:eastAsiaTheme="minorEastAsia"/>
          <w:bCs/>
          <w:sz w:val="24"/>
          <w:szCs w:val="24"/>
        </w:rPr>
        <w:t>及实施兽药产品电子追溯管理</w:t>
      </w:r>
      <w:r>
        <w:rPr>
          <w:rFonts w:asciiTheme="minorEastAsia" w:hAnsiTheme="minorEastAsia" w:eastAsiaTheme="minorEastAsia"/>
          <w:sz w:val="24"/>
          <w:szCs w:val="24"/>
        </w:rPr>
        <w:t>的需要。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设备的设计、选型、安装应符合生产要求，易于清洗、消毒或灭菌，便于生产操作和维修、保养，并能防止差错和减少污染。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生产设备的安装需跨越两个洁净度级别不同的区域时，应采取密封的隔断装置。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与兽药直接接触的设备表面应光洁、平整、易清洗或消毒、耐腐蚀，不与兽药发生化学变化或吸附兽药。设备所用的润滑剂、冷却剂等不得对兽药或容器造成污染。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与设备连接的主要固定管道应标明管内物料名称、流向。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纯化水、注射用水的制备、储存和分配系统应能防止微生物的滋生和污染。储罐和输送管道所用材料应无毒、耐腐蚀。管道的设计和安装应避免死角、盲管。储罐和管道应规定清洗、灭菌周期。注射用水储罐的通气口应安装不脱落纤维的疏水性除菌滤器。注射用水的储存可采用80℃以上保温、65℃以上保温循环或4℃以下存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用于生产和检验的仪器、仪表、量器、衡器等的适用范围和精密度应符合生产和检验的要求，有明显的合格标志，并定期经法定计量部门校验。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生产设备应有明显的状态标志，并定期维修、保养和验证。设备安装、维修、保养的操作不得影响产品的质量。不合格的设备应搬出生产区，未搬出前应有明显标志。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生产、检验设备及器具均应制定使用、维修、清洁、保养规程，定期检查、清洁、保养与维修，并由专人进行管理和记录。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主要生产和检验设备、仪器、衡器均应建立设备档案，内容包括：生产厂家、型号、规格、技术参数、说明书、设备图纸、备件清单、安装位置及施工图，以及检修和维修保养内容及记录、验证记录、事故记录等。</w:t>
      </w:r>
    </w:p>
    <w:p>
      <w:pPr>
        <w:pStyle w:val="63"/>
        <w:spacing w:before="218" w:after="218" w:line="412" w:lineRule="exact"/>
        <w:rPr>
          <w:b/>
        </w:rPr>
      </w:pPr>
      <w:r>
        <w:t xml:space="preserve">第五章 </w:t>
      </w:r>
      <w:r>
        <w:rPr>
          <w:rFonts w:hint="eastAsia"/>
        </w:rPr>
        <w:t xml:space="preserve"> </w:t>
      </w:r>
      <w:r>
        <w:t xml:space="preserve">物 </w:t>
      </w:r>
      <w:r>
        <w:rPr>
          <w:rFonts w:hint="eastAsia"/>
        </w:rPr>
        <w:t xml:space="preserve"> </w:t>
      </w:r>
      <w:r>
        <w:t>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兽药生产所用物料的购入、贮存、发放、使用等应制定管理制度。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兽药生产所需的物料，应符合兽药标准、药品标准、包装材料标准、兽用生物制品规程或其它有关标准，不得对兽药的质量产生不良影响。进口兽药应有口岸兽药监察所的检验报告。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兽药生产所用的中药材应符合质量标准，其产地应保持相对稳定。中药材外包装上应标明品名、产地、来源、加工日期，并附质量合格证。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兽药生产所用物料应从合法或符合规定条件的单位购进，并按规定入库。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待验、合格、不合格物料应严格管理，有易于识别的明显标志和防止混淆的措施，并建立物料流转帐卡。不合格的物料应专区存放，并按有关规定及时处理。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对温度、湿度或其它条件有特殊要求的物料、中间产品和成品，应按规定条件贮存。固体、液体原料应分开贮存；挥发性物料应注意避免污染其它物料；炮制、整理加工后的净药材应使用洁净容器或包装，并与未加工、炮制的药材严格分开；贵细药材、毒性药材等应在专柜内贮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兽用麻醉药品、精神药品、毒性药品（包括药材）及易燃易爆和其它危险品的验收、贮存、保管、使用、销毁应严格执行国家有关的规定。菌毒种的验收、贮存、保管、使用、销毁应执行国家有关兽医微生物菌种保管的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物料应按规定的使用期限贮存，未规定使用期限的，其贮存一般不超过三年，期满后应复验。贮存期内如有特殊情况应及时复验。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兽药的标签、使用说明书应与畜牧兽医行政管理部门批准的内容、式样、文字相一致。标签内容包括：兽用标记、兽药名称（通用名、商品名）、有效成分及其含量、规格、作用用途、用法用量、批准文号、生产批号、有效期、停药期、生产厂名及地址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产品</w:t>
      </w:r>
      <w:r>
        <w:rPr>
          <w:rFonts w:asciiTheme="minorEastAsia" w:hAnsiTheme="minorEastAsia" w:eastAsiaTheme="minorEastAsia"/>
          <w:spacing w:val="-4"/>
          <w:sz w:val="24"/>
          <w:szCs w:val="24"/>
        </w:rPr>
        <w:t>说明书内容应包括兽用标记、兽药名称、主要成份、性状、药理作用、作用用途、用法用量、不良反应、注意事项、停药期、有效期、贮存、生产批号、生产厂名等。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必要时标签与产品说明书内容可同时印制在产品标签、包装盒、袋上。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标签、使用说明书应经企业质量管理部门校对无误后印刷、发放、使用。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兽药的标签、使用说明书应由专人保管、领用，并符合以下要求：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标签、使用说明书均应按品种、规格有专柜或专库存放，由专人验收、保管、发放、领用，并凭批包装指令发放，按实际需要量领取；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标签要计数发放，领用人核对、签名，使用数、残损数及剩余数之和应与领用数相符，印有批号的残损或剩余标签及包装材料应由专人负责计数销毁；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标签发放、使用、销毁应有记录。</w:t>
      </w:r>
    </w:p>
    <w:p>
      <w:pPr>
        <w:pStyle w:val="63"/>
        <w:spacing w:before="218" w:after="218" w:line="412" w:lineRule="exact"/>
        <w:rPr>
          <w:b/>
        </w:rPr>
      </w:pPr>
      <w:r>
        <w:t xml:space="preserve">第六章 </w:t>
      </w:r>
      <w:r>
        <w:rPr>
          <w:rFonts w:hint="eastAsia"/>
        </w:rPr>
        <w:t xml:space="preserve"> </w:t>
      </w:r>
      <w:r>
        <w:t xml:space="preserve">卫 </w:t>
      </w:r>
      <w:r>
        <w:rPr>
          <w:rFonts w:hint="eastAsia"/>
        </w:rPr>
        <w:t xml:space="preserve"> </w:t>
      </w:r>
      <w:r>
        <w:t>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兽药生产企业应有防止污染的卫生措施，制定环境、工艺、厂房、人员等各项卫生管理制度，并由专人负责。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兽药生产车间、工序、岗位均应按生产和空气洁净度级别的要求制定厂房、设备、管道、容器等清洁操作规程，内容应包括：清洁方法、程序、间隔时间，使用的清洁剂或消毒剂，清洁工具的清洁方法和存放地点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生产区内不得吸烟及存放非生产物品和个人杂物，生产中的废弃物应及时处理。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更衣室、浴室及厕所的设置及卫生环境不得对洁净室（区）产生不良影响。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工作服的选材、式样及穿戴方式应与生产操作和空气洁净度级别要求相适应，不同级别洁净室（区）的工作服应有明显标识，并不得混用。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洁净工作服的质地应光滑、不产生静电、不脱落纤维和颗粒性物质。无菌工作服必须包盖全部头发、胡须及脚部，并能最大限度地阻留人体脱落物。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不同空气洁净度级别使用的工作服应分别清洗、整理，必要时消毒或灭菌。工作服洗涤、灭菌时不应带入附加的颗粒物质。工作服应制定清洗制度，确定清洗周期。进行病原微生物培养或操作区域内使用的工作服应消毒后清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洁净室（区）内人员数量应严格控制，仅限于该区域生产操作人员和经批准的人员进入。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进入洁净室（区）的人员不得化妆和佩带饰物，不得裸手直接接触兽药。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洁净室（区）内应使用无脱落物、易清洗、易消毒的卫生工具，卫生工具应存放于对产品不造成污染的指定地点，并应限定使用区域。洁净室（区）应定期消毒，使用的消毒剂不得对设备、物料和成品产生污染。消毒剂品种应定期更换，防止产生耐药菌株。</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生产人员应建立健康档案。直接接触兽药的生产人员每年至少体检一次。传染病、皮肤病患者和体表有伤口者不得从事直接接触兽药的生产。</w:t>
      </w:r>
    </w:p>
    <w:p>
      <w:pPr>
        <w:pStyle w:val="63"/>
        <w:spacing w:before="218" w:after="218" w:line="412" w:lineRule="exact"/>
        <w:rPr>
          <w:b/>
        </w:rPr>
      </w:pPr>
      <w:r>
        <w:t xml:space="preserve">第七章 </w:t>
      </w:r>
      <w:r>
        <w:rPr>
          <w:rFonts w:hint="eastAsia"/>
        </w:rPr>
        <w:t xml:space="preserve"> </w:t>
      </w:r>
      <w:r>
        <w:t>验 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兽药生产验证应包括厂房、设施及设备安装确认、运行确认、性能确认、模拟生产验证和产品验证及仪器仪表的校验。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产品的生产工艺及关键设施、设备应按验证方案进行验证。当影响产品质量的主要因素，如工艺、质量控制方法、主要原辅料、主要生产设备或主要生产介质等发生改变时，以及生产一定周期后，应进行再验证。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应根据验证对象提出验证项目，并制订工作程序和验证方案。验证工作程序包括：提出验证要求、建立验证组织、完成验证方案的审批和组织实施。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验证方案主要内容包括：验证目的、要求、质量标准、实施所需要的条件、测试方法、时间进度表等。验证工作完成后应写出验证报告，由验证工作负责人审核、批准。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验证过程中的数据和分析内容应以文件形式归档保存。验证文件应包括验证方案、验证报告、评价和建议、批准人等。</w:t>
      </w:r>
    </w:p>
    <w:p>
      <w:pPr>
        <w:pStyle w:val="63"/>
        <w:spacing w:before="218" w:after="218" w:line="412" w:lineRule="exact"/>
        <w:rPr>
          <w:b/>
        </w:rPr>
      </w:pPr>
      <w:r>
        <w:t xml:space="preserve">第八章 </w:t>
      </w:r>
      <w:r>
        <w:rPr>
          <w:rFonts w:hint="eastAsia"/>
        </w:rPr>
        <w:t xml:space="preserve"> </w:t>
      </w:r>
      <w:r>
        <w:t>文</w:t>
      </w:r>
      <w:r>
        <w:rPr>
          <w:rFonts w:hint="eastAsia"/>
        </w:rPr>
        <w:t xml:space="preserve"> </w:t>
      </w:r>
      <w:r>
        <w:t xml:space="preserve"> 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兽药生产企业应有完整的生产管理、质量管理文件和各类管理制度、记录。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各类制度及记录内容应包括：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企业管理、生产管理、质量管理、生产辅助部门的各项管理制度：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厂房、设施和设备的使用、维护、保养、检修等制度和记录；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物料验收、发放管理制度和记录；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生产操作、质量检验、产品销售、用户投诉等制度和记录；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w:t>
      </w:r>
      <w:r>
        <w:rPr>
          <w:rFonts w:asciiTheme="minorEastAsia" w:hAnsiTheme="minorEastAsia" w:eastAsiaTheme="minorEastAsia"/>
          <w:sz w:val="24"/>
          <w:szCs w:val="24"/>
        </w:rPr>
        <w:t>环境、厂房、设备、人员、工艺等卫生管理制度和记录；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w:t>
      </w:r>
      <w:r>
        <w:rPr>
          <w:rFonts w:asciiTheme="minorEastAsia" w:hAnsiTheme="minorEastAsia" w:eastAsiaTheme="minorEastAsia"/>
          <w:sz w:val="24"/>
          <w:szCs w:val="24"/>
        </w:rPr>
        <w:t>不合格品管理、物料退库和报废、紧急情况处理、三废处理等制度和记录；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本规范和专业技术培训等制度和记录；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r>
        <w:rPr>
          <w:rFonts w:asciiTheme="minorEastAsia" w:hAnsiTheme="minorEastAsia" w:eastAsiaTheme="minorEastAsia"/>
          <w:sz w:val="24"/>
          <w:szCs w:val="24"/>
        </w:rPr>
        <w:t>兽药产品追溯管理制度和记录。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产品生产管理文件主要包括生产工艺规程、岗位操作法或标准操作规程、批生产记录等。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生产工艺规程内容包括：品名，剂型，处方，生产工艺的操作要求，物料、中间产品、成品的质量标准和技术参数及贮存注意事项，物料平衡的计算方法，成品容器，包装材料的要求等。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岗位操作法内容包括：生产操作方法和要点，重点操作的复核、复查，中间体、半成品质量标准及控制，安全和劳动保护，设备维修、清洗，异常情况处理和报告，工艺卫生和环境卫生等。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标准操作规程内容包括：题目、编号、制定人及制定日期、审核人及审核日期、批准人及批准日期、颁发部门、生效日期、分发部门、标题及正文。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批生产记录内容包括：产品名称、剂型、规格、本批的配方及投料、所用容器和标签及包装材料的说明、生产批号、生产日期、操作者、复核者签名，有关操作与设备、相关生产阶段的产品数量、物料平衡的计算、生产过程的控制记录、检验结果及特殊情况处理记录，并附产品标签、使用说明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产品质量管理文件主要包括：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产品的申请和审批文件；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物料、中间产品和成品质量标准、企业内控标准及其检验操作规程；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产品质量稳定性考察；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批检验记录，并附检验原始记录和检验报告单。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兽药生产企业应建立文件的起草、修订、审查、批准、撤销、印刷和保管的管理制度。分发、使用的文件应为批准的现行文本，已撤销和过时的文件除留档备查外，不得在工作现场出现。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生产管理文件和质量管理文件应符合以下要求：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文件标题应能清楚地说明文件的性质；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各类文件应有便于识别其文本、类别的系统编号和日期；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文件数据的填写应真实、清晰，不得任意涂改，若确需修改，需签名和标明日期，并应使原数据仍可辨认；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文件不得使用手抄件；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w:t>
      </w:r>
      <w:r>
        <w:rPr>
          <w:rFonts w:asciiTheme="minorEastAsia" w:hAnsiTheme="minorEastAsia" w:eastAsiaTheme="minorEastAsia"/>
          <w:sz w:val="24"/>
          <w:szCs w:val="24"/>
        </w:rPr>
        <w:t>文件制定、审查和批准的责任应明确，并有责任人签名。</w:t>
      </w:r>
    </w:p>
    <w:p>
      <w:pPr>
        <w:pStyle w:val="63"/>
        <w:spacing w:before="218" w:after="218" w:line="412" w:lineRule="exact"/>
        <w:rPr>
          <w:b/>
        </w:rPr>
      </w:pPr>
      <w:r>
        <w:t>第九章</w:t>
      </w:r>
      <w:r>
        <w:rPr>
          <w:rFonts w:hint="eastAsia"/>
        </w:rPr>
        <w:t xml:space="preserve"> </w:t>
      </w:r>
      <w:r>
        <w:t xml:space="preserve"> 生产管理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兽药生产企业应制订生产工艺规程、岗位操作法或标准操作规程，并不得任意更改。如需更改时应按原文件制订程序办理有关手续。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sz w:val="24"/>
          <w:szCs w:val="24"/>
        </w:rPr>
        <w:t>生产操作前，操作人员应检查生产环境、设施、设备、容器的清洁卫生状况和主要设备的运行状况，并认真核对物料、半成品数量及检验报告单。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sz w:val="24"/>
          <w:szCs w:val="24"/>
        </w:rPr>
        <w:t>每批产品应按产量和数量的物料平衡进行检查。如有显著差异，必须查明原因，在得出合理解释、确认无潜在质量事故后，方可按正常产品处理。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sz w:val="24"/>
          <w:szCs w:val="24"/>
        </w:rPr>
        <w:t>批生产记录应及时填写，做到字迹清晰、内容真实、数据完整，并由操作人及复核人签名。记录应保持整洁，不得撕毁和任意涂改；更改时应在更改处签名，并使原数据仍可辨认。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批生产记录应按批号归档，保存至兽药有效期后一年。未规定有效期的兽药，批生产记录应保存三年。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sz w:val="24"/>
          <w:szCs w:val="24"/>
        </w:rPr>
        <w:t>在规定期限内具有同一性质和质量，并在同一连续生产周期中生产出来的一定数量的兽药为一批。每批产品均应编制生产批号。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第七十七条  </w:t>
      </w:r>
      <w:r>
        <w:rPr>
          <w:rFonts w:asciiTheme="minorEastAsia" w:hAnsiTheme="minorEastAsia" w:eastAsiaTheme="minorEastAsia"/>
          <w:sz w:val="24"/>
          <w:szCs w:val="24"/>
        </w:rPr>
        <w:t>兽药生产操作应采取以下措施：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生产前应确认生产环境中无上次生产遗留物；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应防止尘埃的产生和扩散；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不同产品品种、规格的生产操作不得在同一生产操作间同时进行；有数条包装线同时进行包装时，应采取隔离或其它有效防止污染或混淆的设施；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生产过程应按工艺、质量控制要点进行中间检查，并填写生产记录；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w:t>
      </w:r>
      <w:r>
        <w:rPr>
          <w:rFonts w:asciiTheme="minorEastAsia" w:hAnsiTheme="minorEastAsia" w:eastAsiaTheme="minorEastAsia"/>
          <w:sz w:val="24"/>
          <w:szCs w:val="24"/>
        </w:rPr>
        <w:t>生产过程中应防止物料及产品所产生的气体、蒸汽、喷雾物或生物体等引起的交叉污染；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w:t>
      </w:r>
      <w:r>
        <w:rPr>
          <w:rFonts w:asciiTheme="minorEastAsia" w:hAnsiTheme="minorEastAsia" w:eastAsiaTheme="minorEastAsia"/>
          <w:sz w:val="24"/>
          <w:szCs w:val="24"/>
        </w:rPr>
        <w:t>每一生产操作间或生产用设备、容器应有所生产的产品或物料名称、批号、数量等状态标志；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不同药性的药材不得在一起洗涤，洗涤后的药材及切制的炮制品不宜露天干燥；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r>
        <w:rPr>
          <w:rFonts w:asciiTheme="minorEastAsia" w:hAnsiTheme="minorEastAsia" w:eastAsiaTheme="minorEastAsia"/>
          <w:sz w:val="24"/>
          <w:szCs w:val="24"/>
        </w:rPr>
        <w:t>药材及中间产品的灭菌方法以不改变药材的药效、质量为原则。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第七十八条  </w:t>
      </w:r>
      <w:r>
        <w:rPr>
          <w:rFonts w:asciiTheme="minorEastAsia" w:hAnsiTheme="minorEastAsia" w:eastAsiaTheme="minorEastAsia"/>
          <w:sz w:val="24"/>
          <w:szCs w:val="24"/>
        </w:rPr>
        <w:t>应根据产品工艺规程选用工艺用水，工艺用水应符合质量标准，并定期检验，检验有记录。应根据验证结果规定检验周期。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第七十九条  </w:t>
      </w:r>
      <w:r>
        <w:rPr>
          <w:rFonts w:asciiTheme="minorEastAsia" w:hAnsiTheme="minorEastAsia" w:eastAsiaTheme="minorEastAsia"/>
          <w:sz w:val="24"/>
          <w:szCs w:val="24"/>
        </w:rPr>
        <w:t>产品应有批包装记录，内容包括：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待包装产品的名称、批号、含量规格和包装规格；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印有批号的标签和使用说明书及产品合格证；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待包装产品和包装材料的领取数量及发放人、领用人、核对人签名；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已包装产品的数量；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w:t>
      </w:r>
      <w:r>
        <w:rPr>
          <w:rFonts w:asciiTheme="minorEastAsia" w:hAnsiTheme="minorEastAsia" w:eastAsiaTheme="minorEastAsia"/>
          <w:sz w:val="24"/>
          <w:szCs w:val="24"/>
        </w:rPr>
        <w:t>前次包装操作的清场记录（副本）及本次包装清场记录（正本）；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w:t>
      </w:r>
      <w:r>
        <w:rPr>
          <w:rFonts w:asciiTheme="minorEastAsia" w:hAnsiTheme="minorEastAsia" w:eastAsiaTheme="minorEastAsia"/>
          <w:sz w:val="24"/>
          <w:szCs w:val="24"/>
        </w:rPr>
        <w:t>本次包装操作完成后的检验核对结果、核对人签名；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生产操作负责人签名。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第八十条  </w:t>
      </w:r>
      <w:r>
        <w:rPr>
          <w:rFonts w:asciiTheme="minorEastAsia" w:hAnsiTheme="minorEastAsia" w:eastAsiaTheme="minorEastAsia"/>
          <w:sz w:val="24"/>
          <w:szCs w:val="24"/>
        </w:rPr>
        <w:t>每批产品的每一生产阶段完成后必须由生产操作人员清场，填写清场记录。清场记录内容应包括：工序、品名、生产批号、清场日期、检查项目及结果、清场负责人及复查人签名。清场记录应纳入批生产记录。</w:t>
      </w:r>
    </w:p>
    <w:p>
      <w:pPr>
        <w:pStyle w:val="63"/>
        <w:spacing w:before="218" w:after="218" w:line="412" w:lineRule="exact"/>
        <w:rPr>
          <w:b/>
        </w:rPr>
      </w:pPr>
      <w:r>
        <w:t xml:space="preserve">第十章 </w:t>
      </w:r>
      <w:r>
        <w:rPr>
          <w:rFonts w:hint="eastAsia"/>
        </w:rPr>
        <w:t xml:space="preserve"> </w:t>
      </w:r>
      <w:r>
        <w:t>质量管理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第八十一条  </w:t>
      </w:r>
      <w:r>
        <w:rPr>
          <w:rFonts w:asciiTheme="minorEastAsia" w:hAnsiTheme="minorEastAsia" w:eastAsiaTheme="minorEastAsia"/>
          <w:sz w:val="24"/>
          <w:szCs w:val="24"/>
        </w:rPr>
        <w:t>兽药生产企业质量管理部门负责兽药生产全过程的质量管理和检验，受企业负责人直接领导。质量管理部门应配备一定数量的质量管理和检验人员，并有与兽药生产规模、品种、检验要求相适应的场所、仪器、设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第八十二条  </w:t>
      </w:r>
      <w:r>
        <w:rPr>
          <w:rFonts w:asciiTheme="minorEastAsia" w:hAnsiTheme="minorEastAsia" w:eastAsiaTheme="minorEastAsia"/>
          <w:sz w:val="24"/>
          <w:szCs w:val="24"/>
        </w:rPr>
        <w:t>质量管理部门的主要职责：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制订企业质量责任制和质量管理及检验人员的职责；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负责组织自检工作；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负责验证方案的审核；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制修订物料、中间产品和成品的内控标准和检验操作规程，制定取样和留样观察制度；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w:t>
      </w:r>
      <w:r>
        <w:rPr>
          <w:rFonts w:asciiTheme="minorEastAsia" w:hAnsiTheme="minorEastAsia" w:eastAsiaTheme="minorEastAsia"/>
          <w:sz w:val="24"/>
          <w:szCs w:val="24"/>
        </w:rPr>
        <w:t>制订检验用设施、设备、仪器的使用及管理办法；实验动物管理办法及消毒剂使用管理办法等；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6</w:t>
      </w:r>
      <w:r>
        <w:rPr>
          <w:rFonts w:hint="eastAsia" w:asciiTheme="minorEastAsia" w:hAnsiTheme="minorEastAsia" w:eastAsiaTheme="minorEastAsia"/>
          <w:sz w:val="24"/>
          <w:szCs w:val="24"/>
        </w:rPr>
        <w:t>.</w:t>
      </w:r>
      <w:r>
        <w:rPr>
          <w:rFonts w:asciiTheme="minorEastAsia" w:hAnsiTheme="minorEastAsia" w:eastAsiaTheme="minorEastAsia"/>
          <w:sz w:val="24"/>
          <w:szCs w:val="24"/>
        </w:rPr>
        <w:t>决定物料和中间产品的使用；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审核成品发放前批生产记录及本批产品上传国家兽药产品追溯系统的电子追溯码信息与记录，决定成品发放；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r>
        <w:rPr>
          <w:rFonts w:asciiTheme="minorEastAsia" w:hAnsiTheme="minorEastAsia" w:eastAsiaTheme="minorEastAsia"/>
          <w:sz w:val="24"/>
          <w:szCs w:val="24"/>
        </w:rPr>
        <w:t>审核不合格品处理程序；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9</w:t>
      </w:r>
      <w:r>
        <w:rPr>
          <w:rFonts w:hint="eastAsia" w:asciiTheme="minorEastAsia" w:hAnsiTheme="minorEastAsia" w:eastAsiaTheme="minorEastAsia"/>
          <w:sz w:val="24"/>
          <w:szCs w:val="24"/>
        </w:rPr>
        <w:t>.</w:t>
      </w:r>
      <w:r>
        <w:rPr>
          <w:rFonts w:asciiTheme="minorEastAsia" w:hAnsiTheme="minorEastAsia" w:eastAsiaTheme="minorEastAsia"/>
          <w:sz w:val="24"/>
          <w:szCs w:val="24"/>
        </w:rPr>
        <w:t>对物料、标签、中间产品和成品进行取样、检验、留样，并出具检验报告；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10</w:t>
      </w:r>
      <w:r>
        <w:rPr>
          <w:rFonts w:hint="eastAsia" w:asciiTheme="minorEastAsia" w:hAnsiTheme="minorEastAsia" w:eastAsiaTheme="minorEastAsia"/>
          <w:sz w:val="24"/>
          <w:szCs w:val="24"/>
        </w:rPr>
        <w:t>.</w:t>
      </w:r>
      <w:r>
        <w:rPr>
          <w:rFonts w:asciiTheme="minorEastAsia" w:hAnsiTheme="minorEastAsia" w:eastAsiaTheme="minorEastAsia"/>
          <w:sz w:val="24"/>
          <w:szCs w:val="24"/>
        </w:rPr>
        <w:t>定期监测洁净室（区）的尘粒数和微生物数和对工艺用水的质量监测；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11</w:t>
      </w:r>
      <w:r>
        <w:rPr>
          <w:rFonts w:hint="eastAsia" w:asciiTheme="minorEastAsia" w:hAnsiTheme="minorEastAsia" w:eastAsiaTheme="minorEastAsia"/>
          <w:sz w:val="24"/>
          <w:szCs w:val="24"/>
        </w:rPr>
        <w:t>.</w:t>
      </w:r>
      <w:r>
        <w:rPr>
          <w:rFonts w:asciiTheme="minorEastAsia" w:hAnsiTheme="minorEastAsia" w:eastAsiaTheme="minorEastAsia"/>
          <w:sz w:val="24"/>
          <w:szCs w:val="24"/>
        </w:rPr>
        <w:t>评价原料、中间产品及成品的质量稳定性，为确定物料贮存期、兽药有效期提供数据；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12</w:t>
      </w:r>
      <w:r>
        <w:rPr>
          <w:rFonts w:hint="eastAsia" w:asciiTheme="minorEastAsia" w:hAnsiTheme="minorEastAsia" w:eastAsiaTheme="minorEastAsia"/>
          <w:sz w:val="24"/>
          <w:szCs w:val="24"/>
        </w:rPr>
        <w:t>.</w:t>
      </w:r>
      <w:r>
        <w:rPr>
          <w:rFonts w:asciiTheme="minorEastAsia" w:hAnsiTheme="minorEastAsia" w:eastAsiaTheme="minorEastAsia"/>
          <w:sz w:val="24"/>
          <w:szCs w:val="24"/>
        </w:rPr>
        <w:t>负责产品质量指标的统计考核及总结报送工作；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13</w:t>
      </w:r>
      <w:r>
        <w:rPr>
          <w:rFonts w:hint="eastAsia" w:asciiTheme="minorEastAsia" w:hAnsiTheme="minorEastAsia" w:eastAsiaTheme="minorEastAsia"/>
          <w:sz w:val="24"/>
          <w:szCs w:val="24"/>
        </w:rPr>
        <w:t>.</w:t>
      </w:r>
      <w:r>
        <w:rPr>
          <w:rFonts w:asciiTheme="minorEastAsia" w:hAnsiTheme="minorEastAsia" w:eastAsiaTheme="minorEastAsia"/>
          <w:sz w:val="24"/>
          <w:szCs w:val="24"/>
        </w:rPr>
        <w:t>负责建立产品质量档案工作。产品质量档案内容应包括：产品简介；质量标准沿革；主要原辅料、半成品、成品质量标准；历年质量情况及留样观察情况；与国内外同类产品对照情况；重大质量事故的分析、处理情况；用户访问意见、检验方法变更情况、提高产品质量的试验总结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14</w:t>
      </w:r>
      <w:r>
        <w:rPr>
          <w:rFonts w:hint="eastAsia" w:asciiTheme="minorEastAsia" w:hAnsiTheme="minorEastAsia" w:eastAsiaTheme="minorEastAsia"/>
          <w:sz w:val="24"/>
          <w:szCs w:val="24"/>
        </w:rPr>
        <w:t>.</w:t>
      </w:r>
      <w:r>
        <w:rPr>
          <w:rFonts w:asciiTheme="minorEastAsia" w:hAnsiTheme="minorEastAsia" w:eastAsiaTheme="minorEastAsia"/>
          <w:sz w:val="24"/>
          <w:szCs w:val="24"/>
        </w:rPr>
        <w:t>负责组织质量管理、检验人员的专业技术及本规范的培训、考核及总结工作；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15</w:t>
      </w:r>
      <w:r>
        <w:rPr>
          <w:rFonts w:hint="eastAsia" w:asciiTheme="minorEastAsia" w:hAnsiTheme="minorEastAsia" w:eastAsiaTheme="minorEastAsia"/>
          <w:sz w:val="24"/>
          <w:szCs w:val="24"/>
        </w:rPr>
        <w:t>.</w:t>
      </w:r>
      <w:r>
        <w:rPr>
          <w:rFonts w:asciiTheme="minorEastAsia" w:hAnsiTheme="minorEastAsia" w:eastAsiaTheme="minorEastAsia"/>
          <w:sz w:val="24"/>
          <w:szCs w:val="24"/>
        </w:rPr>
        <w:t>会同企业有关部门对主要物料供应商质量体系进行评估。</w:t>
      </w:r>
    </w:p>
    <w:p>
      <w:pPr>
        <w:pStyle w:val="63"/>
        <w:spacing w:before="218" w:after="218" w:line="412" w:lineRule="exact"/>
        <w:rPr>
          <w:b/>
        </w:rPr>
      </w:pPr>
      <w:r>
        <w:t xml:space="preserve">第十一章 </w:t>
      </w:r>
      <w:r>
        <w:rPr>
          <w:rFonts w:hint="eastAsia"/>
        </w:rPr>
        <w:t xml:space="preserve"> </w:t>
      </w:r>
      <w:r>
        <w:t>产品销售与收回</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第八十三条  </w:t>
      </w:r>
      <w:r>
        <w:rPr>
          <w:rFonts w:asciiTheme="minorEastAsia" w:hAnsiTheme="minorEastAsia" w:eastAsiaTheme="minorEastAsia"/>
          <w:sz w:val="24"/>
          <w:szCs w:val="24"/>
        </w:rPr>
        <w:t>每批成品均应有销售记录。根据销售记录能追查每批兽药的售出情况，必要时应能及时全部追回。销售记录内容应包括：品名、剂型、批号、规格、数量、收货单位和地址、发货日期等。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第八十四条  </w:t>
      </w:r>
      <w:r>
        <w:rPr>
          <w:rFonts w:asciiTheme="minorEastAsia" w:hAnsiTheme="minorEastAsia" w:eastAsiaTheme="minorEastAsia"/>
          <w:sz w:val="24"/>
          <w:szCs w:val="24"/>
        </w:rPr>
        <w:t>销售记录应保存至兽药有效期后一年。未规定有效期的兽药，其销售记录应保存三年。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第八十五条  </w:t>
      </w:r>
      <w:r>
        <w:rPr>
          <w:rFonts w:asciiTheme="minorEastAsia" w:hAnsiTheme="minorEastAsia" w:eastAsiaTheme="minorEastAsia"/>
          <w:sz w:val="24"/>
          <w:szCs w:val="24"/>
        </w:rPr>
        <w:t>兽药生产企业应建立兽药退货和收回的书面程序，并有记录。兽药退货和收回记录内容应包括：品名、批号、规格、数量、退货和收回单位及地址、退货和收回原因及日期、处理意见。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因质量原因退货和收回的兽药制剂，应在企业质量管理部门监督下销毁，涉及其它批号时，应同时处理。</w:t>
      </w:r>
    </w:p>
    <w:p>
      <w:pPr>
        <w:pStyle w:val="63"/>
        <w:spacing w:before="218" w:after="218" w:line="412" w:lineRule="exact"/>
        <w:rPr>
          <w:b/>
        </w:rPr>
      </w:pPr>
      <w:r>
        <w:t>第十二章</w:t>
      </w:r>
      <w:r>
        <w:rPr>
          <w:rFonts w:hint="eastAsia"/>
        </w:rPr>
        <w:t xml:space="preserve"> </w:t>
      </w:r>
      <w:r>
        <w:t xml:space="preserve"> 投诉与不良反应报告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第八十六条  </w:t>
      </w:r>
      <w:r>
        <w:rPr>
          <w:rFonts w:asciiTheme="minorEastAsia" w:hAnsiTheme="minorEastAsia" w:eastAsiaTheme="minorEastAsia"/>
          <w:sz w:val="24"/>
          <w:szCs w:val="24"/>
        </w:rPr>
        <w:t>企业应建立兽药不良反应监察报告制度，指定专门部门或人员负责管理。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第八十七条  </w:t>
      </w:r>
      <w:r>
        <w:rPr>
          <w:rFonts w:asciiTheme="minorEastAsia" w:hAnsiTheme="minorEastAsia" w:eastAsiaTheme="minorEastAsia"/>
          <w:sz w:val="24"/>
          <w:szCs w:val="24"/>
        </w:rPr>
        <w:t>对用</w:t>
      </w:r>
      <w:r>
        <w:rPr>
          <w:rFonts w:asciiTheme="minorEastAsia" w:hAnsiTheme="minorEastAsia" w:eastAsiaTheme="minorEastAsia"/>
          <w:spacing w:val="-4"/>
          <w:sz w:val="24"/>
          <w:szCs w:val="24"/>
        </w:rPr>
        <w:t>户的产品质量投诉和产品不良反应应详细记录和调查处理，并连同原投诉材料存档备查。对兽药不良反应应及时向当地农牧行政管理部门提出书面报告。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第八十八条  </w:t>
      </w:r>
      <w:r>
        <w:rPr>
          <w:rFonts w:asciiTheme="minorEastAsia" w:hAnsiTheme="minorEastAsia" w:eastAsiaTheme="minorEastAsia"/>
          <w:sz w:val="24"/>
          <w:szCs w:val="24"/>
        </w:rPr>
        <w:t>兽药生产出现重大质量问题和严重的安全问题时，应立即停止生产，并及时向当地农牧行政管理机关报告。</w:t>
      </w:r>
    </w:p>
    <w:p>
      <w:pPr>
        <w:pStyle w:val="63"/>
        <w:spacing w:before="218" w:after="218" w:line="412" w:lineRule="exact"/>
        <w:rPr>
          <w:b/>
        </w:rPr>
      </w:pPr>
      <w:r>
        <w:t xml:space="preserve">第十三章 </w:t>
      </w:r>
      <w:r>
        <w:rPr>
          <w:rFonts w:hint="eastAsia"/>
        </w:rPr>
        <w:t xml:space="preserve"> </w:t>
      </w:r>
      <w:r>
        <w:t xml:space="preserve">自 </w:t>
      </w:r>
      <w:r>
        <w:rPr>
          <w:rFonts w:hint="eastAsia"/>
        </w:rPr>
        <w:t xml:space="preserve"> </w:t>
      </w:r>
      <w:r>
        <w:t>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第八十九条  </w:t>
      </w:r>
      <w:r>
        <w:rPr>
          <w:rFonts w:asciiTheme="minorEastAsia" w:hAnsiTheme="minorEastAsia" w:eastAsiaTheme="minorEastAsia"/>
          <w:sz w:val="24"/>
          <w:szCs w:val="24"/>
        </w:rPr>
        <w:t>兽药生产企业应制定自检工作程序和自检周期，设立自检工作组，并定期组织自检。自检工作组应由质量、生产、销售等管理部门中熟悉专业及本规范的人员组成。自检工作每年至少一次。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第九十条  </w:t>
      </w:r>
      <w:r>
        <w:rPr>
          <w:rFonts w:asciiTheme="minorEastAsia" w:hAnsiTheme="minorEastAsia" w:eastAsiaTheme="minorEastAsia"/>
          <w:sz w:val="24"/>
          <w:szCs w:val="24"/>
        </w:rPr>
        <w:t>自检工作应按自检工作程序对人员、厂房、设备、文件、生产、质量控制、兽药销售、用户投诉和产品收回的处理等项目和记录定期进行检查，以证实与本规范的一致性。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第九十一条  </w:t>
      </w:r>
      <w:r>
        <w:rPr>
          <w:rFonts w:asciiTheme="minorEastAsia" w:hAnsiTheme="minorEastAsia" w:eastAsiaTheme="minorEastAsia"/>
          <w:sz w:val="24"/>
          <w:szCs w:val="24"/>
        </w:rPr>
        <w:t>自检应有记录。自检完成后应形成自检报告，内容包括自检的结果、评价的结论以及改进措施和建议，自检报告和记录应归档。</w:t>
      </w:r>
    </w:p>
    <w:p>
      <w:pPr>
        <w:pStyle w:val="63"/>
        <w:spacing w:before="218" w:after="218" w:line="412" w:lineRule="exact"/>
        <w:rPr>
          <w:b/>
        </w:rPr>
      </w:pPr>
      <w:r>
        <w:t>第十四章</w:t>
      </w:r>
      <w:r>
        <w:rPr>
          <w:rFonts w:hint="eastAsia"/>
        </w:rPr>
        <w:t xml:space="preserve"> </w:t>
      </w:r>
      <w:r>
        <w:t xml:space="preserve"> 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第九十二条  </w:t>
      </w:r>
      <w:r>
        <w:rPr>
          <w:rFonts w:asciiTheme="minorEastAsia" w:hAnsiTheme="minorEastAsia" w:eastAsiaTheme="minorEastAsia"/>
          <w:sz w:val="24"/>
          <w:szCs w:val="24"/>
        </w:rPr>
        <w:t>本规范下列用语的含义是：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兽药制剂：片剂、注射剂、粉剂、预混剂、口服溶液剂、混悬剂、胶囊剂、散剂、颗粒剂、软膏剂、酊剂、灌注剂、流浸膏与浸膏剂、兽用生物制品等。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物料：原料、辅料、包装材料等。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批号：用于识别"批"的一组数字或字母加数字。用以追溯或审查该批兽药的生产历史。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待验：物料在允许投料、使用或出厂前所处的搁置、等待检验结果的状态。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批生产记录：一个批次的待包装品或成品的所有生产记录。批生产记录能提供该批产品的生产历史，以及与质量有关的情况。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物料平衡：产品或物料的理论产量或理论用量与实际产量或用量之间的比较，并适当考虑可允许的正常偏差。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标准操作规程：经批准用以指示操作的通用性文件或管理办法。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生产工艺规程：规定为生产一定数量成品所需起始原料和包装材料的数量，以及工艺、加工说明、注意事项，包括生产过程中控制的一个或一套文件。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工艺用水：兽药生产工艺中使用的水，包括：饮用水、纯化水、注射用水。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纯化水：为蒸溜法、离子交换法、反渗透法或其它适宜的方法制得供药用的水，不含任何附加剂。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注射用水：符合2000年版《中国兽药典》注射用水项下规定的水。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洁净室（区）：需要对尘粒及微生物含量进行控制的房间（区域）。其建筑结构、装备及其使用均具有减少该区域内污染源的介入、产生和滞留的功能。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验证：证明任何程序、生产过程、设备、物料、活动或系统确实能达到预期结果的有文件证明的一系列活动。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不良反应：包括所有危及动物健康或生命及导致饲料报酬明显下降的不良反应；疑为兽药所致的致畸、致癌、致突变反应；各种类型的过敏反应；疑为兽药间相互作用所致的不良反应；因兽药质量或稳定性问题引起的不良反应；其它一切意外的不良反应。</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第九十三条  </w:t>
      </w:r>
      <w:r>
        <w:rPr>
          <w:rFonts w:asciiTheme="minorEastAsia" w:hAnsiTheme="minorEastAsia" w:eastAsiaTheme="minorEastAsia"/>
          <w:sz w:val="24"/>
          <w:szCs w:val="24"/>
        </w:rPr>
        <w:t>不同类别兽药的生产质量管理特殊要求列入本规范附录。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第九十四条  </w:t>
      </w:r>
      <w:r>
        <w:rPr>
          <w:rFonts w:asciiTheme="minorEastAsia" w:hAnsiTheme="minorEastAsia" w:eastAsiaTheme="minorEastAsia"/>
          <w:sz w:val="24"/>
          <w:szCs w:val="24"/>
        </w:rPr>
        <w:t>本规范由农业部负责解释。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第九十五条  </w:t>
      </w:r>
      <w:r>
        <w:rPr>
          <w:rFonts w:asciiTheme="minorEastAsia" w:hAnsiTheme="minorEastAsia" w:eastAsiaTheme="minorEastAsia"/>
          <w:sz w:val="24"/>
          <w:szCs w:val="24"/>
        </w:rPr>
        <w:t>本规范自2002年6月19日起施行。原农业部颁布的《兽药生产质量管理规范（试行）》（[1989]农[牧]字第52号）和《兽药生产质量管理规范实施细则（试行）》（农牧发[1994]32号）同时废止。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964" w:name="_Toc21450035"/>
      <w:bookmarkStart w:id="965" w:name="_Toc466579882"/>
      <w:bookmarkStart w:id="966" w:name="_Toc31965"/>
    </w:p>
    <w:p>
      <w:pPr>
        <w:pStyle w:val="3"/>
        <w:topLinePunct/>
        <w:spacing w:line="416" w:lineRule="exact"/>
        <w:ind w:firstLine="480"/>
        <w:rPr>
          <w:rFonts w:asciiTheme="minorEastAsia" w:hAnsiTheme="minorEastAsia" w:eastAsiaTheme="minorEastAsia"/>
          <w:sz w:val="24"/>
          <w:szCs w:val="24"/>
        </w:rPr>
      </w:pPr>
    </w:p>
    <w:p>
      <w:pPr>
        <w:pStyle w:val="61"/>
      </w:pPr>
      <w:bookmarkStart w:id="967" w:name="_Toc28157031"/>
      <w:bookmarkStart w:id="968" w:name="_Toc28250959"/>
      <w:bookmarkStart w:id="969" w:name="_Toc25653749"/>
      <w:bookmarkStart w:id="970" w:name="_Toc26348009"/>
      <w:bookmarkStart w:id="971" w:name="_Toc25648253"/>
      <w:bookmarkStart w:id="972" w:name="_Toc28252235"/>
      <w:r>
        <w:t>兽药经营</w:t>
      </w:r>
      <w:r>
        <w:rPr>
          <w:kern w:val="2"/>
        </w:rPr>
        <w:t>质量管理</w:t>
      </w:r>
      <w:r>
        <w:t>规范</w:t>
      </w:r>
      <w:bookmarkEnd w:id="964"/>
      <w:bookmarkEnd w:id="965"/>
      <w:bookmarkEnd w:id="966"/>
      <w:bookmarkEnd w:id="967"/>
      <w:bookmarkEnd w:id="968"/>
      <w:bookmarkEnd w:id="969"/>
      <w:bookmarkEnd w:id="970"/>
      <w:bookmarkEnd w:id="971"/>
      <w:bookmarkEnd w:id="972"/>
    </w:p>
    <w:p>
      <w:pPr>
        <w:pStyle w:val="62"/>
      </w:pPr>
      <w:r>
        <w:t>（</w:t>
      </w:r>
      <w:r>
        <w:rPr>
          <w:rFonts w:hint="eastAsia"/>
        </w:rPr>
        <w:t>2010年1月15日农业部令2010年第3号公布，根据2017年11月30日农业部令第8号修订</w:t>
      </w:r>
      <w:r>
        <w:t>）</w:t>
      </w:r>
    </w:p>
    <w:p>
      <w:pPr>
        <w:pStyle w:val="63"/>
        <w:spacing w:before="218" w:after="218" w:line="412" w:lineRule="exact"/>
        <w:rPr>
          <w:b/>
        </w:rPr>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为加强兽药经营质量管理，保证兽药质量，根据《兽药管理条例》，制定本规范。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本规范适用于中华人民共和国境内的兽药经营企业。</w:t>
      </w:r>
    </w:p>
    <w:p>
      <w:pPr>
        <w:pStyle w:val="63"/>
        <w:spacing w:before="218" w:after="218" w:line="412" w:lineRule="exact"/>
        <w:rPr>
          <w:b/>
        </w:rPr>
      </w:pPr>
      <w:r>
        <w:t xml:space="preserve">第二章 </w:t>
      </w:r>
      <w:r>
        <w:rPr>
          <w:rFonts w:hint="eastAsia"/>
        </w:rPr>
        <w:t xml:space="preserve"> </w:t>
      </w:r>
      <w:r>
        <w:t>场所与设施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兽药经营企业应当具有固定的经营场所和仓库，其面积应当符合省、自治区、直辖市人民政府兽医行政管理部门的规定。经营场所和仓库应当布局合理，相对独立。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经营场所的面积、设施和设备应当与经营的兽药品种、经营规模相适应。兽药经营区域与生活区域、动物诊疗区域应当分别独立设置，避免交叉污染。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兽药经营企业的经营地点应当与《兽药经营许可证》载明的地点一致。《兽药经营许可证》应当悬挂在经营场所的显著位置。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变更经营地点的，应当申请换发兽药经营许可证。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变更经营场所面积的，应当在变更后30个工作日内向发证机关备案。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兽药经营企业应当具有与经营的兽药品种、经营规模适应并能够保证兽药质量的常温库、阴凉库（柜）、冷库（柜）等仓库和相关设施、设备。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仓库面积和相关设施、设备应当满足合格兽药区、不合格兽药区、待验兽药区、退货兽药区等不同区域划分和不同兽药品种分区、分类保管、储存的要求。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变更仓库位置，增加、减少仓库数量、面积以及相关设施、设备的，应当在变更后30个工作日内向发证机关备案。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兽药直营连锁经营企业在同一县（市）内有多家经营门店的，可以统一配置仓储和相关设施、设备。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兽药经营企业的经营场所和仓库的地面、墙壁、顶棚等应当平整、光洁，门、窗应当严密、易清洁。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兽药经营企业的经营场所和仓库应当具有下列设施、设备：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（一）与经营兽药相适应的货架、柜台；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（二）避光、通风、照明的设施、设备；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（三）与储存兽药相适应的控制温度、湿度的设施、设备；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（四）防尘、防潮、防霉、防污染和防虫、防鼠、防乌的设施、设备；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（五）进行卫生清洁的设施、设备等；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（六）实施兽药电子追溯管理的相关设备。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兽药经营企业经营场所和仓库的设施、设备应当齐备、整洁、完好，并根据兽药品种、类别、用途等设立醒目标志。</w:t>
      </w:r>
    </w:p>
    <w:p>
      <w:pPr>
        <w:pStyle w:val="63"/>
        <w:spacing w:before="218" w:after="218" w:line="412" w:lineRule="exact"/>
        <w:rPr>
          <w:b/>
        </w:rPr>
      </w:pPr>
      <w:r>
        <w:t xml:space="preserve">第三章 </w:t>
      </w:r>
      <w:r>
        <w:rPr>
          <w:rFonts w:hint="eastAsia"/>
        </w:rPr>
        <w:t xml:space="preserve"> </w:t>
      </w:r>
      <w:r>
        <w:t>机构与人员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兽药经营企业直接负责的主管人员应当熟悉兽药管理法律、法规及政策规定，具备相应兽药专业知识。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兽药经营企业应当配备与经营兽药相适应的质量管理人员。有条件的，可以建立质量管理机构。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兽药经营企业主管质量的负责人和质量管理机构的负责人应当具备相应兽药专业知识，且其专业学历或技术职称应当符合省、自治区、直辖市人民政府兽医行政管理部门的规定。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质量管理人员应当具有兽药、兽医等相关专业中专以上学历，或者具有兽药、兽医等相关专业初级以上专业技术职称。经营兽用生物制品的，兽药质量管理人员应当具有兽药、兽医等相关专业大专以上学历，或者具有兽药、兽医等相关专业中级以上专业技术职称，并具备兽用生物制品专业知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兽药质量管理人员不得在本企业以外的其他单位兼职。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主管质量的负责人、质量管理机构的负责人、质量管理人员发生变更的，应当在变更后30个工作日内向发证机关备案。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兽药经营企业从事兽药采购、保管、销售、技术服务等工作的人员，应当具有高中以上学历，并具有相应兽药、兽医等专业知识，熟悉兽药管理法律、法规及政策规定。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兽药经营企业应当制定培训计划，定期对员工进行兽药管理法律、法规、政策规定和相关专业知识、职业道德培训、考核，并建立培训、考核档案。</w:t>
      </w:r>
    </w:p>
    <w:p>
      <w:pPr>
        <w:pStyle w:val="63"/>
        <w:spacing w:before="218" w:after="218" w:line="412" w:lineRule="exact"/>
        <w:rPr>
          <w:b/>
        </w:rPr>
      </w:pPr>
      <w:r>
        <w:t xml:space="preserve">第四章 </w:t>
      </w:r>
      <w:r>
        <w:rPr>
          <w:rFonts w:hint="eastAsia"/>
        </w:rPr>
        <w:t xml:space="preserve"> </w:t>
      </w:r>
      <w:r>
        <w:t>规章制度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兽药经营企业应当建立质量管理体系，制定管理制度、操作程序等质量管理文件。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质量管理文件应当包括下列内容：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（一）企业质量管理目标；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（二）企业组织机构、岗位和人员职责；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（三）对供货单位和所购兽药的质量评估制度；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（四）兽药采购、验收、入库、陈列、储存、运输、销售、出库等环节的管理制度；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（五）环境卫生的管理制度；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（六）兽药不良反应报告制度；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（七）不合格兽药和退货兽药的管理制度；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（八）质量事故、质量查询和质量投诉的管理制度；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（九）企业记录、档案和凭证的管理制度；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（十）质量管理培训、考核制度；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（十一）兽药产品追溯管理制度。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兽药经营企业应当建立下列记录：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（一）人员培训、考核记录；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（二）控制温度、湿度的设施、设备的维护、保养、清洁、运行状态记录；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（三）兽药质量评估记录；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（四）兽药采购、验收、入库、储存、销售、出库等记录；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（五）兽药清查记录；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（六）兽药质量投诉、质量纠纷、质量事故、不良反应等记录；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（七）不合格兽药和退货兽药的处理记录；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（八）兽医行政管理部门的监督检查情况记录；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（九）兽药产品追溯记录。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记录应当真实、准确、完整、清晰，不得随意涂改、伪造和变造。确需修改的，应当签名、注明日期，原数据应当清晰可辨。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兽药经营企业应当建立兽药质量管理档案，设置档案管理室或者档案柜，并由专人负责。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质量管理档案应当包括：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（一）人员档案、培训档案、设备设施档案、供应商质量评估档案、产品质量档案；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（二）开具的处方、进货及销售凭证；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（三）购销记录及本规范规定的其他记录。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质量管理档案不得涂改，保存期限不得少于2年；购销等记录和凭证应当保存至产品有效期后一年。</w:t>
      </w:r>
    </w:p>
    <w:p>
      <w:pPr>
        <w:pStyle w:val="63"/>
        <w:spacing w:before="218" w:after="218" w:line="412" w:lineRule="exact"/>
        <w:rPr>
          <w:b/>
        </w:rPr>
      </w:pPr>
      <w:r>
        <w:t xml:space="preserve">第五章 </w:t>
      </w:r>
      <w:r>
        <w:rPr>
          <w:rFonts w:hint="eastAsia"/>
        </w:rPr>
        <w:t xml:space="preserve"> </w:t>
      </w:r>
      <w:r>
        <w:t>采购与入库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兽药经营企业应当采购合法兽药产品。兽药经营企业应当对供货单位的资质、质量保证能力、质量信誉和产品批准证明文件进行审核，并与供货单位签订采购合同。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兽药经营企业购进兽药时，应当依照国家兽药管理规定、兽药标准和合同约定，对每批兽药的包装、标签、说明书、质量合格证等内容进行检查，符合要求的方可购进。必要时，应当对购进兽药进行检验或者委托兽药检验机构进行检验，检验报告应当与产品质量档案一起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经营企业应当保存采购兽药的有效凭证，建立真实、完整的采购记录，做到有效凭证、账、货相符。采购记录应当载明兽药的通用名称、商品名称、批准文号、批号、剂型、规格、有效期、生产单位、供货单位、购入数量、购入日期、经手人或者负责入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兽药入库时，应当进行检查验收，将兽药入库的信息上传兽药产品追溯系统，并做好记录。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有下列情形之一的兽药，不得入库：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（一）与进货单不符的；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（二）内、外包装破损可能影响产品质量的；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（三）没有标识或者标识模糊不清的；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（四）质量异常的；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（五）其他不符合规定的。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兽用生物制品入库，应当由两人以上进行检查验收。</w:t>
      </w:r>
    </w:p>
    <w:p>
      <w:pPr>
        <w:pStyle w:val="63"/>
        <w:spacing w:before="218" w:after="218" w:line="412" w:lineRule="exact"/>
        <w:rPr>
          <w:b/>
        </w:rPr>
      </w:pPr>
      <w:r>
        <w:t xml:space="preserve">第六章 </w:t>
      </w:r>
      <w:r>
        <w:rPr>
          <w:rFonts w:hint="eastAsia"/>
        </w:rPr>
        <w:t xml:space="preserve"> </w:t>
      </w:r>
      <w:r>
        <w:t>陈列与储存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陈列、储存兽药应当符合下列要求：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（一）按照品种、类别、用途以及温度、湿度等储存要求，分类、分区或者专库存放；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（二）按照兽药外包装图示标志的要求搬运和存放；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（三）与仓库地面、墙、顶等之间保持一定间距；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（四）内用兽药与外用兽药分开存放，兽用处方药与非处方药分开存放；易串味兽药、危险药品等特殊兽药与其他兽药分库存放；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（五）待验兽药、合格兽药、不合格兽药、退货兽药分区存放；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（六）同一企业的同一批号的产品集中存放。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不同区域、不同类型的兽药应当具有明显的识别标识。标识应当放置准确、字迹清楚。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不合格兽药以红色字体标识；待验和退货兽药以黄色字体标识；合格兽药以绿色字体标识。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兽药经营企业应当定期对兽药及其陈列、储存的条件和设施、设备的运行状态进行检查，并做好记录。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兽药经营企业应当及时清查兽医行政管理部门公布的假劣兽药，并做好记录。</w:t>
      </w:r>
    </w:p>
    <w:p>
      <w:pPr>
        <w:pStyle w:val="63"/>
        <w:spacing w:before="218" w:after="218" w:line="412" w:lineRule="exact"/>
        <w:rPr>
          <w:b/>
        </w:rPr>
      </w:pPr>
      <w:r>
        <w:t xml:space="preserve">第七章 </w:t>
      </w:r>
      <w:r>
        <w:rPr>
          <w:rFonts w:hint="eastAsia"/>
        </w:rPr>
        <w:t xml:space="preserve"> </w:t>
      </w:r>
      <w:r>
        <w:t>销售与运输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兽药经营企业销售兽药，应当遵循先产先出和按批号出库的原则。兽药出库时，应当进行检查、核对，建立出库记录，并将出库信息上传兽药产品追溯系统。兽药出库记录应当包括兽药通用名称、商品名称、批号、剂型、规格、生产厂商、数量、日期、经手人或者负责人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有下列情形之一的兽药，不得出库销售：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（一）标识模糊不清或者脱落的；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（二）外包装出现破损、封口不牢、封条严重损坏的；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（三）超出有效期限的；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（四）其他不符合规定的。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兽药经营企业应当建立销售记录。销售记录应当载明兽药通用名称、商品名称、批准文号、批号、有效期、剂型、规格、生产厂商、购货单位、销售数量、销售日期、经手人或者负责人等内容。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兽药经营企业销售兽药，应当开具有效凭证，做到有效凭证、账、货、记录相符。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兽药经营企业销售兽用处方药的，应当遵守兽用处方药管理规定；销售兽用中药材、中药饮片的，应当注明产地。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兽药拆零销售时，不得拆开最小销售单元。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兽药经营企业应当按照兽药外包装图示标志的要求运输兽药。有温度控制要求的兽药，在运输时应当采取必要的温度控制措施，并建立详细记录。</w:t>
      </w:r>
    </w:p>
    <w:p>
      <w:pPr>
        <w:pStyle w:val="63"/>
        <w:spacing w:before="218" w:after="218" w:line="412" w:lineRule="exact"/>
        <w:rPr>
          <w:b/>
        </w:rPr>
      </w:pPr>
      <w:r>
        <w:t xml:space="preserve">第八章 </w:t>
      </w:r>
      <w:r>
        <w:rPr>
          <w:rFonts w:hint="eastAsia"/>
        </w:rPr>
        <w:t xml:space="preserve"> </w:t>
      </w:r>
      <w:r>
        <w:t>售后服务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兽药经营企业应当按照兽医行政管理部门批准的兽药标签、说明书及其他规定进行宣传，不得误导购买者。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兽药经营企业应当向购买者提供技术咨询服务，在经营场所明示服务公约和质量承诺，指导购买者科学、安全、合理使用兽药。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兽药经营企业应当注意收集兽药使用信息，发现假、劣兽药和质量可疑兽药以及严重兽药不良反应时，应当及时向所在地兽医行政管理部门报告，并根据规定做好相关工作。</w:t>
      </w:r>
    </w:p>
    <w:p>
      <w:pPr>
        <w:pStyle w:val="63"/>
        <w:spacing w:before="218" w:after="218" w:line="412" w:lineRule="exact"/>
        <w:rPr>
          <w:b/>
        </w:rPr>
      </w:pPr>
      <w:r>
        <w:t xml:space="preserve">第九章 </w:t>
      </w:r>
      <w:r>
        <w:rPr>
          <w:rFonts w:hint="eastAsia"/>
        </w:rPr>
        <w:t xml:space="preserve"> </w:t>
      </w:r>
      <w:r>
        <w:t>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兽药经营企业经营兽用麻醉药品、精神药品、易制毒化学药品、毒性药品、放射性药品等特殊药品，还应当遵守国家其他有关规定。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动物防疫机构依法从事兽药经营活动的，应当遵守本规范。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各省、自治区、直辖市人民政府兽医行政管理部门可以根据本规范，结合本地实际，制定实施细则，并报农业部备案。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本规范自2010年3月1日起施行。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本规范施行前已开办的兽药经营企业，应当自本规范施行之日起24个月内达到本规范的要求，并依法申领兽药经营许可证。</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973" w:name="_Toc28252236"/>
      <w:bookmarkStart w:id="974" w:name="_Toc26348010"/>
      <w:bookmarkStart w:id="975" w:name="_Toc25653750"/>
      <w:bookmarkStart w:id="976" w:name="_Toc28250960"/>
      <w:bookmarkStart w:id="977" w:name="_Toc25648254"/>
      <w:bookmarkStart w:id="978" w:name="_Toc28157032"/>
      <w:r>
        <w:t>兽用生物制品经营管理办法</w:t>
      </w:r>
      <w:bookmarkEnd w:id="973"/>
      <w:bookmarkEnd w:id="974"/>
      <w:bookmarkEnd w:id="975"/>
      <w:bookmarkEnd w:id="976"/>
      <w:bookmarkEnd w:id="977"/>
      <w:bookmarkEnd w:id="978"/>
    </w:p>
    <w:p>
      <w:pPr>
        <w:pStyle w:val="62"/>
        <w:topLinePunct w:val="0"/>
        <w:ind w:firstLine="0" w:firstLineChars="0"/>
        <w:jc w:val="center"/>
        <w:rPr>
          <w:b/>
        </w:rPr>
      </w:pPr>
      <w:r>
        <w:t>（2007年3月29日</w:t>
      </w:r>
      <w:r>
        <w:rPr>
          <w:shd w:val="clear" w:color="auto" w:fill="FFFFFF"/>
        </w:rPr>
        <w:t>农业部</w:t>
      </w:r>
      <w:r>
        <w:t>令第3号公布）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为了加强兽用生物制品经营管理，保证兽用生物制品质量，根据《兽药管理条例》，制定本办法。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在中华人民共和国境内从事兽用生物制品的分发、经营和监督管理，应当遵守本办法。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兽用生物制品分为国家强制免疫计划所需兽用生物制品（以下简称国家强制免疫用生物制品）和非国家强制免疫计划所需兽用生物制品（以下简称非国家强制免疫用生物制品）。</w:t>
      </w:r>
    </w:p>
    <w:p>
      <w:pPr>
        <w:pStyle w:val="3"/>
        <w:tabs>
          <w:tab w:val="left" w:pos="5805"/>
        </w:tabs>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国家强制免疫用生物制品名单由农业部确定并公告。</w:t>
      </w:r>
      <w:r>
        <w:rPr>
          <w:rFonts w:asciiTheme="minorEastAsia" w:hAnsiTheme="minorEastAsia" w:eastAsiaTheme="minorEastAsia"/>
          <w:sz w:val="24"/>
          <w:szCs w:val="24"/>
        </w:rPr>
        <w:tab/>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农业部负责全国兽用生物制品的监督管理工作。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县级以上地方人民政府兽医行政管理部门负责本行政区域内兽用生物制品的监督管理工作。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国家强制免疫用生物制品由农业部指定的企业生产，依法实行政府采购，省级人民政府兽医行政管理部门组织分发。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发生重大动物疫情、灾情或者其他突发事件时，国家强制免疫用生物制品由农业部统一调用，生产企业不得自行销售。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农业部对定点生产企业实行动态管理。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省级人民政府兽医行政管理部门应当建立国家强制免疫用生物制品储存、运输等管理制度。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分发国家强制免疫用生物制品，应当建立真实、完整的分发记录。分发记录应当保存至制品有效期满后2年。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具备下列条件的养殖场可以向农业部指定的生产企业采购自用的国家强制免疫用生物制品，但应当将采购的品种、生产企业、数量向所在地县级以上地方人民政府兽医行政管理部门备案：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（一）具有相应的兽医技术人员；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（二）具有相应的运输、储藏条件；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（三）具有完善的购入验收、储藏保管、使用核对等管理制度。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养殖场应当建立真实、完整的采购、使用记录，并保存至制品有效期满后2年。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农业部指定的生产企业只能将国家强制免疫用生物制品销售给省级人民政府兽医行政管理部门和符合第七条规定的养殖场，不得向其他单位和个人销售。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兽用生物制品生产企业可以将本企业生产的非国家强制免疫用生物制品直接销售给使用者，也可以委托经销商销售。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兽用生物制品生产企业应当建立真实、完整的销售记录，应当向购买者提供批签发证明文件复印件。销售记录应当载明产品名称、产品批号、产品规格、产品数量、生产日期、有效期、收货单位和地址、发货日期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非国家强制免疫用生物制品经销商应当依法取得《兽药经营许可证》和工商营业执照。</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前款规定的《兽药经营许可证》的经营范围应当载明委托的兽用生物制品生产企业名称及委托销售的产品类别等内容。经营范围发生变化的，经销商应当办理变更手续。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兽用生物制品生产企业可以自主确定、调整经销商，并与经销商签订销售代理合同，明确代理范围等事项。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经销商只能经营所代理兽用生物制品生产企业生产的兽用生物制品，不得经营未经委托的其他企业生产的兽用生物制品。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经销商只能将所代理的产品销售给使用者，不得销售给其他兽药经营企业。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未经兽用生物制品生产企业委托，兽药经营企业不得经营兽用生物制品。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养殖户、养殖场、动物诊疗机构等使用者采购的或者经政府分发获得的兽用生物制品只限自用，不得转手销售。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县级以上地方人民政府兽医行政管理部门应当依法加强对兽用生物制品生产、经营企业和使用者监督检查，发现有违反《兽药管理条例》和本办法规定情形的，应当依法做出处理决定或者报告上级兽医行政管理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各级兽医行政管理部门、兽药检验机构、动物卫生监督机构及其工作人员，不得参与兽用生物制品的生产、经营活动，不得以其名义推荐或者监制、监销兽用生物制品和进行广告宣传。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养殖户、养殖场、动物诊疗机构等使用者转手销售兽用生物制品的，或者兽药经营者超出《兽药经营许可证》载明的经营范围经营兽用生物制品的，属于无证经营，按照《兽药管理条例》第五十六条的规定处罚。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农业部指定的生产企业违反《兽药管理条例》和本办法规定的，取消其国家强制免疫用生物制品的生产资格，并按照《兽药管理条例》的规定处罚。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本办法所称兽用生物制品是指以天然或者人工改造的微生物、寄生虫、生物毒素或者生物组织及代谢产物等为材料，采用生物学、分子生物学或者生物化学、生物工程等相应技术制成的，用于预防、治疗、诊断动物疫病或者改变动物生产性能的兽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本办法所称非国家强制免疫用生物制品是指农业部确定的强制免疫用生物制品以外的兽用生物制品。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进口兽用生物制品的经营管理适用《兽药进口管理办法》。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本办法自2007年5月1日起施行。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979" w:name="_Toc21450036"/>
      <w:bookmarkStart w:id="980" w:name="_Toc15238"/>
      <w:bookmarkStart w:id="981" w:name="_Toc466579883"/>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982" w:name="_Toc25648255"/>
      <w:bookmarkStart w:id="983" w:name="_Toc28252237"/>
      <w:bookmarkStart w:id="984" w:name="_Toc28250961"/>
      <w:bookmarkStart w:id="985" w:name="_Toc26348011"/>
      <w:bookmarkStart w:id="986" w:name="_Toc25653751"/>
      <w:bookmarkStart w:id="987" w:name="_Toc28157033"/>
      <w:r>
        <w:t>兽药进口管理办法</w:t>
      </w:r>
      <w:bookmarkEnd w:id="979"/>
      <w:bookmarkEnd w:id="980"/>
      <w:bookmarkEnd w:id="981"/>
      <w:bookmarkEnd w:id="982"/>
      <w:bookmarkEnd w:id="983"/>
      <w:bookmarkEnd w:id="984"/>
      <w:bookmarkEnd w:id="985"/>
      <w:bookmarkEnd w:id="986"/>
      <w:bookmarkEnd w:id="987"/>
    </w:p>
    <w:p>
      <w:pPr>
        <w:pStyle w:val="62"/>
        <w:rPr>
          <w:b/>
        </w:rPr>
      </w:pPr>
      <w:r>
        <w:t>（2007年7月31日农业部、海关总署令第2号公布，根据2019年4月25日农业农村部令2019年第2号修订）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为了加强进口兽药的监督管理，规范兽药进口行为，保证进口兽药质量，根据《中华人民共和国海关法》和《兽药管理条例》，制定本办法。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在中华人民共和国境内从事兽药进口、进口兽药的经营和监督管理，应当遵守本办法。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进口兽药实行目录管理。《进口兽药管理目录》由农业部会同海关总署制定、调整并公布。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农业部负责全国进口兽药的监督管理工作。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县级以上地方人民政府兽医行政管理部门负责本行政区域内进口兽药的监督管理工作。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兽药应当从具备检验能力的兽药检验机构所在地口岸进口（以下简称兽药进口口岸）。兽药检验机构名单由农业部确定并公布。</w:t>
      </w:r>
    </w:p>
    <w:p>
      <w:pPr>
        <w:pStyle w:val="63"/>
        <w:spacing w:before="218" w:after="218" w:line="412" w:lineRule="exact"/>
        <w:rPr>
          <w:b/>
        </w:rPr>
      </w:pPr>
      <w:r>
        <w:t xml:space="preserve">第二章 </w:t>
      </w:r>
      <w:r>
        <w:rPr>
          <w:rFonts w:hint="eastAsia"/>
        </w:rPr>
        <w:t xml:space="preserve"> </w:t>
      </w:r>
      <w:r>
        <w:t>兽药进口申请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兽药进口应当办理《进口兽药通关单》。《进口兽药通关单》由中国境内代理商向兽药进口口岸所在地省级人民政府兽医行政管理部门申请。申请时，应当提交下列材料：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（一）兽药进口申请表；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（二）代理合同（授权书）和购货合同复印件；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（三）《兽药经营许可证》、工商营业执照复印件；兽药生产企业申请进口本企业生产所需原料药的，提交工商营业执照；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（四）产品出厂检验报告；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（五）装箱单、提运单和货运发票复印件；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（六）产品中文标签、说明书式样。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申请兽用生物制品《进口兽药通关单》的，还应当向兽药进口口岸所在地省级人民政府兽医行政管理部门提交下列材料：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（一）农业部依据本办法第七条核发的兽用生物制品进口许可证复印件；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（二）生产企业所在国家（地区）兽药管理部门出具的批签发证明。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兽药进口口岸所在地省级人民政府兽医行政管理部门应当自收到申请之日起2个工作日内完成审查。审查合格的，发给《进口兽药通关单》；不合格的，书面通知申请人，并说明理由。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《进口兽药通关单》主要载明代理商名称、有效期限、兽药进口口岸、海关商品编码、商品名称、生产企业名称、进口数量、包装规格等内容。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兽药进口口岸所在地省级人民政府兽医行政管理部门应当在每月上旬将上月核发的《进口兽药通关单》报农业部备案。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代理商申请兽用生物制品进口许可证，应当向农业部提交下列材料：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（一）兽用生物制品进口申请表；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（二）代理合同（授权书）复印件；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（三）《兽药经营许可证》、工商营业执照复印件；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（四）《进口兽药注册证书》或者《兽药注册证书》复印件。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农业部自收到申请之日起20个工作日内完成审查。审查合格的，发给兽用生物制品进口许可证；不合格的，书面通知申请人，并说明理由。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兽用生物制品进口许可证主要载明代理商名称、兽药进口口岸、海关商品编码、商品名称、生产企业名称、进口数量、包装规格等事项，有效期为一年。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进口少量科研用兽药，应当向农业部申请，并提交兽药进口申请表和科研项目的立项报告、试验方案等材料。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进口注册用兽药样品、对照品、标准品、菌（毒、虫）种、细胞的,应当向农业部申请，并提交兽药进口申请表。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农业部受理申请后组织风险评估，并自收到评估结论之日起5个工作日内完成审查。审查合格的，发给《进口兽药通关单》；不合格的，书面通知申请人，并说明理由。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国内急需的兽药，由农业部指定单位进口，并发给《进口兽药通关单》。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《进口兽药通关单》实行一单一关，在30日有效期内只能一次性使用，内容不得更改，过期应当重新办理。</w:t>
      </w:r>
    </w:p>
    <w:p>
      <w:pPr>
        <w:pStyle w:val="63"/>
        <w:spacing w:before="218" w:after="218" w:line="412" w:lineRule="exact"/>
        <w:rPr>
          <w:b/>
        </w:rPr>
      </w:pPr>
      <w:r>
        <w:t>第三章</w:t>
      </w:r>
      <w:r>
        <w:rPr>
          <w:rFonts w:hint="eastAsia"/>
        </w:rPr>
        <w:t xml:space="preserve"> </w:t>
      </w:r>
      <w:r>
        <w:t xml:space="preserve"> 进口兽药经营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境外企业不得在中国境内直接销售兽药。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进口的兽用生物制品,由中国境内的兽药经营企业作为代理商销售，但外商独资、中外合资和合作经营企业不得销售进口的兽用生物制品。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兽用生物制品以外的其他进口兽药，由境外企业依法在中国境内设立的销售机构或者符合条件的中国境内兽药经营企业作为代理商销售。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境外企业在中国境内设立的销售机构、委托的代理商及代理商确定的经销商，应当取得《兽药经营许可证》，并遵守农业部制定的兽药经营质量管理规范。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销售进口兽用生物制品的《兽药经营许可证》，应当载明委托的境外企业名称及委托销售的产品类别等内容。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进口兽药销售代理商由境外企业确定、调整，并报农业部备案。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境外企业应当与代理商签订进口兽药销售代理合同，明确代理范围等事项。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境外企业在中国境内确定两家以上代理商销售进口兽用生物制品的，代理商只能将进口兽用生物制品直接销售给养殖户、养殖场、动物诊疗机构等使用者，不得再确定经销商进行销售。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境外企业在中国境内确定一家代理商销售进口兽用生物制品的，代理商可以将代理产品直接销售给使用者，也可以确定经销商销售代理的产品。但经销商只能将进口兽用生物制品直接销售给使用者，不得销售给其他兽药经营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代理商应当将经销商名单报农业部备案。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进口兽用生物制品，除境外企业确定的代理商及代理商确定的经销商外，其他兽药经营企业不得经营。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进口的兽药标签和说明书应当用中文标注。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养殖户、养殖场、动物诊疗机构等使用者采购的进口兽药只限自用，不得转手销售。</w:t>
      </w:r>
    </w:p>
    <w:p>
      <w:pPr>
        <w:pStyle w:val="63"/>
        <w:spacing w:before="218" w:after="218" w:line="412" w:lineRule="exact"/>
        <w:rPr>
          <w:b/>
        </w:rPr>
      </w:pPr>
      <w:r>
        <w:t xml:space="preserve">第四章 </w:t>
      </w:r>
      <w:r>
        <w:rPr>
          <w:rFonts w:hint="eastAsia"/>
        </w:rPr>
        <w:t xml:space="preserve"> </w:t>
      </w:r>
      <w:r>
        <w:t>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进口列入《进口兽药管理目录》的兽药，进口单位进口时,需持《进口兽药通关单》向海关申报,海关按货物进口管理的相关规定办理通关手续。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进口单位办理报关手续时，因企业申报不实或者伪报用途所产生的后果，由进口单位承担相应的法律责任。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经批准以加工贸易方式进口兽药的，海关按照有关规定实施监管。进口料件或加工制成品属于兽药且无法出口的，应当按照本办法规定办理《进口兽药通关单》，海关凭《进口兽药通关单》办理内销手续。未取得《进口兽药通关单》的，由加工贸易企业所在地省级人民政府兽医行政管理部门监督销毁，海关凭有关证明材料办理核销手续。销毁所需费用由加工贸易企业承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以暂时进口方式进口的不在中国境内销售的兽药，不需要办理《进口兽药通关单》。暂时进口期满后应当全部复运出境，因特殊原因确需进口的，依照本办法和相关规定办理进口手续后方可在境内销售。无法复运出境又无法办理进口手续的,经进口单位所在地省级人民政府兽医行政管理部门批准，并商进境地直属海关同意，由所在地省级人民政府兽医行政管理部门监督销毁，海关凭有关证明材料办理核销手续。销毁所需费用由进口单位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从境外进入保税区、出口加工区及其他海关特殊监管区域和保税监管场所的兽药及海关特殊监管区域、保税监管场所之间进出的兽药，免予办理《进口兽药通关单》，由海关按照有关规定实施监管。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从保税区、出口加工区及其他海关特殊监管区域和保税监管场所进入境内区外的兽药，应当办理《进口兽药通关单》。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兽用生物制品进口后，代理商应当向农业部指定的检验机构申请办理审查核对和抽查检验手续。未经审查核对或者抽查检验不合格的，不得销售。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其他兽药进口后，由兽药进口口岸所在地省级人民政府兽医行政管理部门通知兽药检验机构进行抽查检验。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县级以上地方人民政府兽医行政管理部门应当将进口兽药纳入兽药监督抽检计划，加强对进口兽药的监督检查，发现违反《兽药管理条例》和本办法规定情形的，应当依法作出处理决定。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禁止进口下列兽药：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（一）经风险评估可能对养殖业、人体健康造成危害或者存在潜在风险的；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（二）疗效不确定、不良反应大的；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（三）来自疫区可能造成疫病在中国境内传播的兽用生物制品；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（四）生产条件不符合规定的；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（五）标签和说明书不符合规定的；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（六）被撤销、吊销《进口兽药注册证书》的；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（七）《进口兽药注册证书》有效期届满的；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（八）未取得《进口兽药通关单》的；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（九）农业部禁止生产、经营和使用的。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提供虚假资料或者采取其他欺骗手段取得进口兽药证明文件的，按照《兽药管理条例》第五十七条的规定处罚。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伪造、涂改进口兽药证明文件进口兽药的，按照《兽药管理条例》第四十七条、第五十六条的规定处理。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买卖、出租、出借《进口兽药通关单》的，按照《兽药管理条例》第五十八条的规定处罚。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养殖户、养殖场、动物诊疗机构等使用者将采购的进口兽药转手销售的，或者代理商、经销商超出《兽药经营许可证》范围经营进口兽用生物制品的，属于无证经营，按照《兽药管理条例》第五十六条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兽药进口构成走私或者违反海关监管规定的，由海关根据《中华人民共和国海关法》及其相关法律、法规的规定处理。</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兽用麻醉药品、精神药品、毒性药品和放射性药品等特殊药品的进口管理，除遵守本办法的规定外，还应当遵守国家关于麻醉药品、精神药品、毒性药品和放射性药品的管理规定。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本办法所称进口兽药证明文件，是指《进口兽药注册证书》、《进口兽药通关单》、兽用生物制品进口许可证等。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兽药进口申请表、兽用生物制品进口申请表可以从中国兽药信息网（网址：</w:t>
      </w:r>
      <w:r>
        <w:fldChar w:fldCharType="begin"/>
      </w:r>
      <w:r>
        <w:instrText xml:space="preserve"> HYPERLINK "http://www.ivdc.gov.cn/" </w:instrText>
      </w:r>
      <w:r>
        <w:fldChar w:fldCharType="separate"/>
      </w:r>
      <w:r>
        <w:rPr>
          <w:rStyle w:val="32"/>
          <w:rFonts w:asciiTheme="minorEastAsia" w:hAnsiTheme="minorEastAsia" w:eastAsiaTheme="minorEastAsia"/>
          <w:color w:val="auto"/>
          <w:sz w:val="24"/>
          <w:szCs w:val="24"/>
        </w:rPr>
        <w:t>http://www.ivdc.gov.cn</w:t>
      </w:r>
      <w:r>
        <w:rPr>
          <w:rStyle w:val="32"/>
          <w:rFonts w:asciiTheme="minorEastAsia" w:hAnsiTheme="minorEastAsia" w:eastAsiaTheme="minorEastAsia"/>
          <w:color w:val="auto"/>
          <w:sz w:val="24"/>
          <w:szCs w:val="24"/>
        </w:rPr>
        <w:fldChar w:fldCharType="end"/>
      </w:r>
      <w:r>
        <w:rPr>
          <w:rFonts w:asciiTheme="minorEastAsia" w:hAnsiTheme="minorEastAsia" w:eastAsiaTheme="minorEastAsia"/>
          <w:sz w:val="24"/>
          <w:szCs w:val="24"/>
        </w:rPr>
        <w:t>）下载。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本办法自2008年1月1日起施行。海关总署发布的《海关总署关于验放进口兽药的通知》（[88]署货字第725号）、《海关总署关于明确进口人畜共用兽药有关验放问题的通知》（署法发[2001]276号）、中华人民共和国海关总署公告2001年第7号同时废止。</w:t>
      </w:r>
    </w:p>
    <w:p>
      <w:pPr>
        <w:pStyle w:val="3"/>
        <w:topLinePunct/>
        <w:spacing w:line="416" w:lineRule="exact"/>
        <w:ind w:firstLine="0" w:firstLineChars="0"/>
        <w:jc w:val="center"/>
        <w:rPr>
          <w:rFonts w:asciiTheme="minorEastAsia" w:hAnsiTheme="minorEastAsia" w:eastAsiaTheme="minorEastAsia"/>
          <w:b/>
          <w:sz w:val="24"/>
          <w:szCs w:val="24"/>
        </w:rPr>
      </w:pPr>
      <w:r>
        <w:rPr>
          <w:rFonts w:asciiTheme="minorEastAsia" w:hAnsiTheme="minorEastAsia" w:eastAsiaTheme="minorEastAsia"/>
          <w:b/>
          <w:sz w:val="24"/>
          <w:szCs w:val="24"/>
        </w:rPr>
        <w:t>进口兽药通关单</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3651" w:type="dxa"/>
            <w:gridSpan w:val="3"/>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1.进口商：</w:t>
            </w:r>
          </w:p>
          <w:p>
            <w:pPr>
              <w:topLinePunct/>
              <w:spacing w:beforeLines="0" w:afterLines="0" w:line="240" w:lineRule="auto"/>
              <w:ind w:firstLine="0" w:firstLineChars="0"/>
              <w:rPr>
                <w:rFonts w:cs="Times New Roman" w:asciiTheme="minorEastAsia" w:hAnsiTheme="minorEastAsia"/>
                <w:sz w:val="24"/>
                <w:szCs w:val="24"/>
              </w:rPr>
            </w:pPr>
          </w:p>
        </w:tc>
        <w:tc>
          <w:tcPr>
            <w:tcW w:w="4871" w:type="dxa"/>
            <w:gridSpan w:val="4"/>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5.进口兽药通关单号：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3651" w:type="dxa"/>
            <w:gridSpan w:val="3"/>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2.收货人：</w:t>
            </w:r>
          </w:p>
          <w:p>
            <w:pPr>
              <w:topLinePunct/>
              <w:spacing w:beforeLines="0" w:afterLines="0" w:line="240" w:lineRule="auto"/>
              <w:ind w:firstLine="0" w:firstLineChars="0"/>
              <w:rPr>
                <w:rFonts w:cs="Times New Roman" w:asciiTheme="minorEastAsia" w:hAnsiTheme="minorEastAsia"/>
                <w:sz w:val="24"/>
                <w:szCs w:val="24"/>
              </w:rPr>
            </w:pPr>
          </w:p>
        </w:tc>
        <w:tc>
          <w:tcPr>
            <w:tcW w:w="4871" w:type="dxa"/>
            <w:gridSpan w:val="4"/>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6.进口兽药通关单有效截止日期：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3651" w:type="dxa"/>
            <w:gridSpan w:val="3"/>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3.进口兽药生产厂：</w:t>
            </w:r>
          </w:p>
          <w:p>
            <w:pPr>
              <w:topLinePunct/>
              <w:spacing w:beforeLines="0" w:afterLines="0" w:line="240" w:lineRule="auto"/>
              <w:ind w:firstLine="0" w:firstLineChars="0"/>
              <w:rPr>
                <w:rFonts w:cs="Times New Roman" w:asciiTheme="minorEastAsia" w:hAnsiTheme="minorEastAsia"/>
                <w:sz w:val="24"/>
                <w:szCs w:val="24"/>
              </w:rPr>
            </w:pPr>
          </w:p>
        </w:tc>
        <w:tc>
          <w:tcPr>
            <w:tcW w:w="4871" w:type="dxa"/>
            <w:gridSpan w:val="4"/>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7.原产地国（地区）：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3651" w:type="dxa"/>
            <w:gridSpan w:val="3"/>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4.报关口岸：</w:t>
            </w:r>
          </w:p>
          <w:p>
            <w:pPr>
              <w:topLinePunct/>
              <w:spacing w:beforeLines="0" w:afterLines="0" w:line="240" w:lineRule="auto"/>
              <w:ind w:firstLine="0" w:firstLineChars="0"/>
              <w:rPr>
                <w:rFonts w:cs="Times New Roman" w:asciiTheme="minorEastAsia" w:hAnsiTheme="minorEastAsia"/>
                <w:sz w:val="24"/>
                <w:szCs w:val="24"/>
              </w:rPr>
            </w:pPr>
          </w:p>
        </w:tc>
        <w:tc>
          <w:tcPr>
            <w:tcW w:w="4871" w:type="dxa"/>
            <w:gridSpan w:val="4"/>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8.进口兽药用途：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17" w:type="dxa"/>
            <w:tcBorders>
              <w:top w:val="single" w:color="auto" w:sz="4" w:space="0"/>
              <w:left w:val="single" w:color="auto" w:sz="4" w:space="0"/>
              <w:bottom w:val="single" w:color="auto" w:sz="4" w:space="0"/>
              <w:right w:val="single" w:color="auto" w:sz="4" w:space="0"/>
            </w:tcBorders>
            <w:vAlign w:val="center"/>
          </w:tcPr>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兽药名称</w:t>
            </w:r>
          </w:p>
        </w:tc>
        <w:tc>
          <w:tcPr>
            <w:tcW w:w="1217" w:type="dxa"/>
            <w:tcBorders>
              <w:top w:val="single" w:color="auto" w:sz="4" w:space="0"/>
              <w:left w:val="single" w:color="auto" w:sz="4" w:space="0"/>
              <w:bottom w:val="single" w:color="auto" w:sz="4" w:space="0"/>
              <w:right w:val="single" w:color="auto" w:sz="4" w:space="0"/>
            </w:tcBorders>
            <w:vAlign w:val="center"/>
          </w:tcPr>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商品编码</w:t>
            </w:r>
          </w:p>
        </w:tc>
        <w:tc>
          <w:tcPr>
            <w:tcW w:w="1217" w:type="dxa"/>
            <w:tcBorders>
              <w:top w:val="single" w:color="auto" w:sz="4" w:space="0"/>
              <w:left w:val="single" w:color="auto" w:sz="4" w:space="0"/>
              <w:bottom w:val="single" w:color="auto" w:sz="4" w:space="0"/>
              <w:right w:val="single" w:color="auto" w:sz="4" w:space="0"/>
            </w:tcBorders>
            <w:vAlign w:val="center"/>
          </w:tcPr>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规格</w:t>
            </w:r>
          </w:p>
        </w:tc>
        <w:tc>
          <w:tcPr>
            <w:tcW w:w="1217" w:type="dxa"/>
            <w:tcBorders>
              <w:top w:val="single" w:color="auto" w:sz="4" w:space="0"/>
              <w:left w:val="single" w:color="auto" w:sz="4" w:space="0"/>
              <w:bottom w:val="single" w:color="auto" w:sz="4" w:space="0"/>
              <w:right w:val="single" w:color="auto" w:sz="4" w:space="0"/>
            </w:tcBorders>
            <w:vAlign w:val="center"/>
          </w:tcPr>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数量</w:t>
            </w:r>
          </w:p>
        </w:tc>
        <w:tc>
          <w:tcPr>
            <w:tcW w:w="1218" w:type="dxa"/>
            <w:tcBorders>
              <w:top w:val="single" w:color="auto" w:sz="4" w:space="0"/>
              <w:left w:val="single" w:color="auto" w:sz="4" w:space="0"/>
              <w:bottom w:val="single" w:color="auto" w:sz="4" w:space="0"/>
              <w:right w:val="single" w:color="auto" w:sz="4" w:space="0"/>
            </w:tcBorders>
            <w:vAlign w:val="center"/>
          </w:tcPr>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兽药批号</w:t>
            </w:r>
          </w:p>
        </w:tc>
        <w:tc>
          <w:tcPr>
            <w:tcW w:w="1218" w:type="dxa"/>
            <w:tcBorders>
              <w:top w:val="single" w:color="auto" w:sz="4" w:space="0"/>
              <w:left w:val="single" w:color="auto" w:sz="4" w:space="0"/>
              <w:bottom w:val="single" w:color="auto" w:sz="4" w:space="0"/>
              <w:right w:val="single" w:color="auto" w:sz="4" w:space="0"/>
            </w:tcBorders>
            <w:vAlign w:val="center"/>
          </w:tcPr>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单价</w:t>
            </w:r>
          </w:p>
        </w:tc>
        <w:tc>
          <w:tcPr>
            <w:tcW w:w="1218" w:type="dxa"/>
            <w:tcBorders>
              <w:top w:val="single" w:color="auto" w:sz="4" w:space="0"/>
              <w:left w:val="single" w:color="auto" w:sz="4" w:space="0"/>
              <w:bottom w:val="single" w:color="auto" w:sz="4" w:space="0"/>
              <w:right w:val="single" w:color="auto" w:sz="4" w:space="0"/>
            </w:tcBorders>
            <w:vAlign w:val="center"/>
          </w:tcPr>
          <w:p>
            <w:pPr>
              <w:pStyle w:val="3"/>
              <w:topLinePunct/>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总值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7"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c>
          <w:tcPr>
            <w:tcW w:w="1218" w:type="dxa"/>
            <w:tcBorders>
              <w:top w:val="single" w:color="auto" w:sz="4" w:space="0"/>
              <w:left w:val="single" w:color="auto" w:sz="4" w:space="0"/>
              <w:bottom w:val="single" w:color="auto" w:sz="4" w:space="0"/>
              <w:right w:val="single" w:color="auto" w:sz="4" w:space="0"/>
            </w:tcBorders>
            <w:vAlign w:val="center"/>
          </w:tcPr>
          <w:p>
            <w:pPr>
              <w:topLinePunct/>
              <w:spacing w:beforeLines="0" w:afterLines="0" w:line="240" w:lineRule="auto"/>
              <w:ind w:firstLine="0" w:firstLineChars="0"/>
              <w:jc w:val="cente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3651" w:type="dxa"/>
            <w:gridSpan w:val="3"/>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备注：</w:t>
            </w:r>
          </w:p>
        </w:tc>
        <w:tc>
          <w:tcPr>
            <w:tcW w:w="4871" w:type="dxa"/>
            <w:gridSpan w:val="4"/>
            <w:tcBorders>
              <w:top w:val="single" w:color="auto" w:sz="4" w:space="0"/>
              <w:left w:val="single" w:color="auto" w:sz="4" w:space="0"/>
              <w:bottom w:val="single" w:color="auto" w:sz="4" w:space="0"/>
              <w:right w:val="single" w:color="auto" w:sz="4" w:space="0"/>
            </w:tcBorders>
          </w:tcPr>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发证机关签章：</w:t>
            </w:r>
          </w:p>
          <w:p>
            <w:pPr>
              <w:pStyle w:val="3"/>
              <w:topLinePunct/>
              <w:ind w:firstLine="0" w:firstLineChars="0"/>
              <w:rPr>
                <w:rFonts w:asciiTheme="minorEastAsia" w:hAnsiTheme="minorEastAsia" w:eastAsiaTheme="minorEastAsia"/>
                <w:sz w:val="24"/>
                <w:szCs w:val="24"/>
              </w:rPr>
            </w:pPr>
          </w:p>
          <w:p>
            <w:pPr>
              <w:pStyle w:val="3"/>
              <w:topLinePunct/>
              <w:ind w:firstLine="0" w:firstLineChars="0"/>
              <w:rPr>
                <w:rFonts w:asciiTheme="minorEastAsia" w:hAnsiTheme="minorEastAsia" w:eastAsiaTheme="minorEastAsia"/>
                <w:sz w:val="24"/>
                <w:szCs w:val="24"/>
              </w:rPr>
            </w:pPr>
          </w:p>
          <w:p>
            <w:pPr>
              <w:pStyle w:val="3"/>
              <w:topLinePunct/>
              <w:ind w:firstLine="0" w:firstLineChars="0"/>
              <w:rPr>
                <w:rFonts w:asciiTheme="minorEastAsia" w:hAnsiTheme="minorEastAsia" w:eastAsiaTheme="minorEastAsia"/>
                <w:sz w:val="24"/>
                <w:szCs w:val="24"/>
              </w:rPr>
            </w:pPr>
          </w:p>
          <w:p>
            <w:pPr>
              <w:pStyle w:val="3"/>
              <w:topLinePunct/>
              <w:ind w:firstLine="0" w:firstLineChars="0"/>
              <w:rPr>
                <w:rFonts w:asciiTheme="minorEastAsia" w:hAnsiTheme="minorEastAsia" w:eastAsiaTheme="minorEastAsia"/>
                <w:sz w:val="24"/>
                <w:szCs w:val="24"/>
              </w:rPr>
            </w:pPr>
            <w:r>
              <w:rPr>
                <w:rFonts w:asciiTheme="minorEastAsia" w:hAnsiTheme="minorEastAsia" w:eastAsiaTheme="minorEastAsia"/>
                <w:sz w:val="24"/>
                <w:szCs w:val="24"/>
              </w:rPr>
              <w:t>发证日期：</w:t>
            </w:r>
          </w:p>
        </w:tc>
      </w:tr>
    </w:tbl>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988" w:name="_Toc466579884"/>
      <w:bookmarkStart w:id="989" w:name="_Toc31931"/>
      <w:bookmarkStart w:id="990" w:name="_Toc21450037"/>
      <w:bookmarkStart w:id="991" w:name="_Toc351032468"/>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992" w:name="_Toc26348012"/>
      <w:bookmarkStart w:id="993" w:name="_Toc25648256"/>
      <w:bookmarkStart w:id="994" w:name="_Toc28250962"/>
      <w:bookmarkStart w:id="995" w:name="_Toc28252238"/>
      <w:bookmarkStart w:id="996" w:name="_Toc28157034"/>
      <w:bookmarkStart w:id="997" w:name="_Toc25653752"/>
      <w:r>
        <w:t>兽药质量监督抽样规定</w:t>
      </w:r>
      <w:bookmarkEnd w:id="988"/>
      <w:bookmarkEnd w:id="989"/>
      <w:bookmarkEnd w:id="990"/>
      <w:bookmarkEnd w:id="991"/>
      <w:bookmarkEnd w:id="992"/>
      <w:bookmarkEnd w:id="993"/>
      <w:bookmarkEnd w:id="994"/>
      <w:bookmarkEnd w:id="995"/>
      <w:bookmarkEnd w:id="996"/>
      <w:bookmarkEnd w:id="997"/>
    </w:p>
    <w:p>
      <w:pPr>
        <w:pStyle w:val="62"/>
        <w:rPr>
          <w:b/>
        </w:rPr>
      </w:pPr>
      <w:r>
        <w:t>（2001年12月10日农业部令第6号公布，根据2007年11月8日中华人民共和国农业部令第6号公布、自公布之日起施行的《农业部现行规章清理结果》修订）</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为加强和规范兽药质量监督抽样工作，保证抽样工作的科学性和公正性，根据《兽药管理条例》的有关规定，制定本规定。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依照《兽药管理条例》第四十四条规定的兽药检验机构，根据省级以上农牧行政主管部门制定的抽样规划或者执法监督的需要，实施兽药质量监督抽样工作。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抽样人员应熟悉兽药管理法规，具有专业技术知识，掌握抽样工作程序和抽样操作技术。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兽药检验机构抽样时，抽样人员不得少于两人，并应当主动向被抽样单位或者个人出示抽样任务书。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兽药检验机构抽样时，被抽样的单位应当予以配合；抽样人员不能出示抽样任务书的，被抽样单位有权拒绝。</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被抽样单位应根据抽样工作的需要出具以下资料：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兽药生产企业提供《兽药生产许可证》及《营业执照》，被抽样兽药品种的批准证明文件、质量标准、生产记录、兽药检验报告书、批生产量、库存量、销售量和销售记录，以及主要原料进货证明（包括发票、合同、调拨单、检验报告书）等相关资料；有进口兽药原料药及用于分装的进口兽药的，还需提供《进口兽药许可证》、口岸兽药检验机构出具的检验报告或其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（二）兽药制</w:t>
      </w:r>
      <w:r>
        <w:rPr>
          <w:rFonts w:asciiTheme="minorEastAsia" w:hAnsiTheme="minorEastAsia" w:eastAsiaTheme="minorEastAsia"/>
          <w:spacing w:val="-4"/>
          <w:sz w:val="24"/>
          <w:szCs w:val="24"/>
        </w:rPr>
        <w:t>剂室提供《兽药制剂许可证》、被抽样兽药制剂的批准证明文件、质量标准、生产记录、兽药检验报告书、批生产量、库存量和使用量，以及主要原料进货证明（包括发票、合同、调拨单、检验报告书）等相关资料；有进口兽药原料药的，还需提供《进口兽药许可证》、口岸兽药检验机构出具的检验报告或其复印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兽药经营企业提供《兽药经营许可证》及《营业执照》，被抽样兽药品种的进货凭证（包括发票、合同、调拨单）、购销记录及库存量等相关资料；有进口兽药的，还需提供《进口兽药许可证》、口岸兽药检验机构出具的检验报告或其复印件。抽样人员应当核实前款规定的各项证明资料，并负有保密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兽药抽样应在被抽样单位存放兽药产品的现场进行，包括兽药生产企业成品仓库和药用原、辅料仓库；兽药经营企业的仓库或营业场所；兽医医疗机构的药房或药库；以及其他需要抽样的场所。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抽样品种由下达抽样任务的单位确定。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抽样人员应当检查兽药贮存条件是否符合要求；兽药包装是否按照规定印有或者贴有标签并附有说明书，字样是否清晰；标签或者说明书的内容是否与兽药管理部门核准的内容相符，并核实被抽样兽药品种的库存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对同一企业相同品种抽取的样品不超过三个批号的产品。相同批号的产品，依其库存数量，确定抽样件数，具体规定如下：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（一）原料药及大包装预混剂：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兽药包装为25公斤（含25公斤）以上的，10件以内，抽样1件；11－50件抽2件；51－100件抽3件；101件以上每增加100件增抽1件（增加不足100件按100件计）。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w:t>
      </w:r>
      <w:r>
        <w:rPr>
          <w:rFonts w:asciiTheme="minorEastAsia" w:hAnsiTheme="minorEastAsia" w:eastAsiaTheme="minorEastAsia"/>
          <w:spacing w:val="-4"/>
          <w:sz w:val="24"/>
          <w:szCs w:val="24"/>
        </w:rPr>
        <w:t>包装为2-24公斤的，每200公斤抽样1件，不足200公斤者以200公斤计。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兽药包装为2公斤以下的，每20公斤抽样1件，不足20公斤者以20公斤计。且以原包装抽取。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（二）注射剂：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2万支（瓶）以下，抽样1件。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2－5万支（瓶），抽样2件。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5－10万支（瓶），抽样3件。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10万支（瓶）以上，每增加10万支（瓶）加抽1件，不足10万支（瓶）以10万支计。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（三）其他制剂：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每2万盒（瓶），抽样1件，不足2万盒（瓶）以2万盒（瓶）计。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抽样数量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（一）注射用针剂（粉针）</w:t>
      </w:r>
      <w:r>
        <w:rPr>
          <w:rFonts w:asciiTheme="minorEastAsia" w:hAnsiTheme="minorEastAsia" w:eastAsiaTheme="minorEastAsia"/>
          <w:sz w:val="24"/>
          <w:szCs w:val="24"/>
        </w:rPr>
        <w:tab/>
      </w:r>
      <w:r>
        <w:rPr>
          <w:rFonts w:asciiTheme="minorEastAsia" w:hAnsiTheme="minorEastAsia" w:eastAsiaTheme="minorEastAsia"/>
          <w:sz w:val="24"/>
          <w:szCs w:val="24"/>
        </w:rPr>
        <w:t>50瓶（支）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（二）注射液（水针）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规格：1－5毫升</w:t>
      </w:r>
      <w:r>
        <w:rPr>
          <w:rFonts w:asciiTheme="minorEastAsia" w:hAnsiTheme="minorEastAsia" w:eastAsiaTheme="minorEastAsia"/>
          <w:sz w:val="24"/>
          <w:szCs w:val="24"/>
        </w:rPr>
        <w:tab/>
      </w:r>
      <w:r>
        <w:rPr>
          <w:rFonts w:asciiTheme="minorEastAsia" w:hAnsiTheme="minorEastAsia" w:eastAsiaTheme="minorEastAsia"/>
          <w:sz w:val="24"/>
          <w:szCs w:val="24"/>
        </w:rPr>
        <w:t>100支（瓶）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规格：10-20毫升</w:t>
      </w:r>
      <w:r>
        <w:rPr>
          <w:rFonts w:asciiTheme="minorEastAsia" w:hAnsiTheme="minorEastAsia" w:eastAsiaTheme="minorEastAsia"/>
          <w:sz w:val="24"/>
          <w:szCs w:val="24"/>
        </w:rPr>
        <w:tab/>
      </w:r>
      <w:r>
        <w:rPr>
          <w:rFonts w:asciiTheme="minorEastAsia" w:hAnsiTheme="minorEastAsia" w:eastAsiaTheme="minorEastAsia"/>
          <w:sz w:val="24"/>
          <w:szCs w:val="24"/>
        </w:rPr>
        <w:t>25支（瓶）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规格：50－100毫升</w:t>
      </w:r>
      <w:r>
        <w:rPr>
          <w:rFonts w:asciiTheme="minorEastAsia" w:hAnsiTheme="minorEastAsia" w:eastAsiaTheme="minorEastAsia"/>
          <w:sz w:val="24"/>
          <w:szCs w:val="24"/>
        </w:rPr>
        <w:tab/>
      </w:r>
      <w:r>
        <w:rPr>
          <w:rFonts w:asciiTheme="minorEastAsia" w:hAnsiTheme="minorEastAsia" w:eastAsiaTheme="minorEastAsia"/>
          <w:sz w:val="24"/>
          <w:szCs w:val="24"/>
        </w:rPr>
        <w:t>6支（瓶）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规格：250－500毫升</w:t>
      </w:r>
      <w:r>
        <w:rPr>
          <w:rFonts w:asciiTheme="minorEastAsia" w:hAnsiTheme="minorEastAsia" w:eastAsiaTheme="minorEastAsia"/>
          <w:sz w:val="24"/>
          <w:szCs w:val="24"/>
        </w:rPr>
        <w:tab/>
      </w:r>
      <w:r>
        <w:rPr>
          <w:rFonts w:asciiTheme="minorEastAsia" w:hAnsiTheme="minorEastAsia" w:eastAsiaTheme="minorEastAsia"/>
          <w:sz w:val="24"/>
          <w:szCs w:val="24"/>
        </w:rPr>
        <w:t>3瓶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注：该抽样数量不包括澄明度检查，需做该项检查的按实际需要抽取样品。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（三）片剂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片重0.5克、100片/瓶（袋、盒）以上（含100片）2瓶（袋、盒）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片重0.5克以下、500片/瓶（袋、盒）以上（含500片）2瓶（袋、盒）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（四）原料药200克</w:t>
      </w:r>
      <w:r>
        <w:rPr>
          <w:rFonts w:asciiTheme="minorEastAsia" w:hAnsiTheme="minorEastAsia" w:eastAsiaTheme="minorEastAsia"/>
          <w:sz w:val="24"/>
          <w:szCs w:val="24"/>
        </w:rPr>
        <w:tab/>
      </w:r>
      <w:r>
        <w:rPr>
          <w:rFonts w:asciiTheme="minorEastAsia" w:hAnsiTheme="minorEastAsia" w:eastAsiaTheme="minorEastAsia"/>
          <w:sz w:val="24"/>
          <w:szCs w:val="24"/>
        </w:rPr>
        <w:t>分装成2瓶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（五）预混剂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250克/袋（含250克以下）</w:t>
      </w:r>
      <w:r>
        <w:rPr>
          <w:rFonts w:asciiTheme="minorEastAsia" w:hAnsiTheme="minorEastAsia" w:eastAsiaTheme="minorEastAsia"/>
          <w:sz w:val="24"/>
          <w:szCs w:val="24"/>
        </w:rPr>
        <w:tab/>
      </w:r>
      <w:r>
        <w:rPr>
          <w:rFonts w:asciiTheme="minorEastAsia" w:hAnsiTheme="minorEastAsia" w:eastAsiaTheme="minorEastAsia"/>
          <w:sz w:val="24"/>
          <w:szCs w:val="24"/>
        </w:rPr>
        <w:t>10袋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250克/袋以上</w:t>
      </w:r>
      <w:r>
        <w:rPr>
          <w:rFonts w:asciiTheme="minorEastAsia" w:hAnsiTheme="minorEastAsia" w:eastAsiaTheme="minorEastAsia"/>
          <w:sz w:val="24"/>
          <w:szCs w:val="24"/>
        </w:rPr>
        <w:tab/>
      </w:r>
      <w:r>
        <w:rPr>
          <w:rFonts w:asciiTheme="minorEastAsia" w:hAnsiTheme="minorEastAsia" w:eastAsiaTheme="minorEastAsia"/>
          <w:sz w:val="24"/>
          <w:szCs w:val="24"/>
        </w:rPr>
        <w:t>10袋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（六）兽用生物制品\;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灭活苗</w:t>
      </w:r>
      <w:r>
        <w:rPr>
          <w:rFonts w:asciiTheme="minorEastAsia" w:hAnsiTheme="minorEastAsia" w:eastAsiaTheme="minorEastAsia"/>
          <w:sz w:val="24"/>
          <w:szCs w:val="24"/>
        </w:rPr>
        <w:tab/>
      </w:r>
      <w:r>
        <w:rPr>
          <w:rFonts w:asciiTheme="minorEastAsia" w:hAnsiTheme="minorEastAsia" w:eastAsiaTheme="minorEastAsia"/>
          <w:sz w:val="24"/>
          <w:szCs w:val="24"/>
        </w:rPr>
        <w:t>10支（瓶）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弱毒苗</w:t>
      </w:r>
      <w:r>
        <w:rPr>
          <w:rFonts w:asciiTheme="minorEastAsia" w:hAnsiTheme="minorEastAsia" w:eastAsiaTheme="minorEastAsia"/>
          <w:sz w:val="24"/>
          <w:szCs w:val="24"/>
        </w:rPr>
        <w:tab/>
      </w:r>
      <w:r>
        <w:rPr>
          <w:rFonts w:asciiTheme="minorEastAsia" w:hAnsiTheme="minorEastAsia" w:eastAsiaTheme="minorEastAsia"/>
          <w:sz w:val="24"/>
          <w:szCs w:val="24"/>
        </w:rPr>
        <w:t>20支（瓶）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抽样人员应当根据随机抽样原则进行抽样，并遵循以下操作程序：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启封兽药包装前应检查所抽样品的外观情况，确定品名、批号、批准文号、数量、包装状况等项无误后，方可进行下一步骤。发现异常情况时，包括如破损、受潮、受污染、混有其他品种、批号，或者有掺假、掺劣、假冒迹象等，应当作针对性抽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（二）用适当方法拆开抽样单元的包装，观察内容物的情况，确定无异常情况后，方可进行下一步骤。发现异常情况，应当作针对性抽样。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（三）将被拆包的抽样单元重新包封，贴上已被抽样的标记，注明品名、批号、生产单位、抽样数量、抽样日期及场所、抽样人姓名等。对有异常情况或做针对性抽检的产品可暂时封存以候检验结果的处理。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抽样结束后，抽样人员应当用《兽药封签》（见附件一）将所抽样品签封，据实填写《兽药抽样记录及凭证》（见附件二）。《兽药封签》和《兽药抽样记录及凭证》应当由抽样人员和被抽样单位负责人签字，并加盖抽样单位和被抽样单位公章；被抽样对象为个人的，由该个人签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《兽药抽样记录及凭证》一式三份，一份交被抽样单位或者个人作抽样凭证，一份封存于样品包装内随检验单位检品卡流转，一份由抽样单位保存备查。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抽样注意事项：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（一）抽样操作应当规范、注意安全，不影响所抽样品和被拆包装药品的质量。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（二）取样工具和盛样器具应当洁净、干燥，必要时作灭菌处理。盛样容器在使用及贮存运输过程中，应能防止受潮及异物混入。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（三）原料药取样应当迅速，样品和被拆包的抽样单元应当尽快密封，防止吸潮、风化或氧化。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（四）无菌原料药应当按照无菌操作法取样。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（五）需要在真空或者氮气条件下保存的兽药，抽取样品后，应当对样品和被拆包的抽样单元加以密封。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（六）液体样品应先摇匀后再取样。含有结晶者，应在不影响品质的情况下溶化后取样。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（七）对毒性、腐蚀性或者易燃易爆药品，抽样时应当穿戴防护用具，小心搬运，样品应当标注“危险品”的标志；易燃易爆药品应远离热源，并不得震动；腐蚀性药品还应当避免接触金属制品。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（八）遇光易变质的兽药应当避光取样，置于有色玻瓶中，必要时加套黑纸。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抽样过程中发现有下列情形之一的，应当及时报告农牧行政管理机关：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（一）国家农牧行政管理机关明文规定禁止使用的；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（二）未经批准生产、配制、经营、进口，或者须经口岸兽药检验机构检验而未经检验即生产、销售的；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（三）未取得兽药批准文号或人畜共用原料药未取得兽药或药品批准文号的；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（四）用途或用法用量超出规定范围的；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（五）应标明而未标明有效期或者更改有效期、超过有效期的；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（六）未注明或者更改生产批号的；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（七）超越许可范围生产、配制、经营或进口兽药的；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（八）未经登记或者质量检验不合格仍进口、销售或者使用的。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抽样人员应当采取措施保证样品不失效、不变质、不破损、不泄漏，并及时将抽取的样品送达承担检验任务的兽药检验机构。经核查，对抽样人员送检的样品与《兽药抽样记录及凭证》所记录的内容相符、《兽药封签》完整的，兽药检验机构予以签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兽药监督员可以依照《兽药管理条例》和本规定，开展兽药监督抽样工作。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兽药监督员实施监督抽样时，应当向被抽查单位或者个人出示符合《兽药管理条例》规定的证件。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进口兽药的报验程序，依照《进口兽药管理办法》的规定执行；进口兽药的抽样依照本规定执行。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本规定自发布之日起施行。农业部发布的《进口兽药抽样规定》［（1991）农（牧）字第2号］和《兽药监督检验抽样规定》［（1993）农（牧）函字第46号］同时废止。</w:t>
      </w:r>
    </w:p>
    <w:p>
      <w:pPr>
        <w:widowControl/>
        <w:spacing w:before="156" w:after="156"/>
        <w:ind w:firstLine="240"/>
        <w:rPr>
          <w:rFonts w:cs="Times New Roman" w:asciiTheme="minorEastAsia" w:hAnsiTheme="minorEastAsia"/>
          <w:b/>
          <w:bCs/>
          <w:kern w:val="0"/>
          <w:sz w:val="24"/>
          <w:szCs w:val="24"/>
        </w:rPr>
      </w:pPr>
      <w:bookmarkStart w:id="998" w:name="_Toc466579840"/>
      <w:bookmarkStart w:id="999" w:name="_Toc7665"/>
      <w:bookmarkStart w:id="1000" w:name="_Toc21450045"/>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01" w:name="_Toc28252239"/>
      <w:bookmarkStart w:id="1002" w:name="_Toc28157035"/>
      <w:bookmarkStart w:id="1003" w:name="_Toc25648257"/>
      <w:bookmarkStart w:id="1004" w:name="_Toc25653753"/>
      <w:bookmarkStart w:id="1005" w:name="_Toc28250963"/>
      <w:bookmarkStart w:id="1006" w:name="_Toc26348013"/>
      <w:r>
        <w:t>动物诊疗机构管理办法</w:t>
      </w:r>
      <w:bookmarkEnd w:id="998"/>
      <w:bookmarkEnd w:id="999"/>
      <w:bookmarkEnd w:id="1000"/>
      <w:bookmarkEnd w:id="1001"/>
      <w:bookmarkEnd w:id="1002"/>
      <w:bookmarkEnd w:id="1003"/>
      <w:bookmarkEnd w:id="1004"/>
      <w:bookmarkEnd w:id="1005"/>
      <w:bookmarkEnd w:id="1006"/>
    </w:p>
    <w:p>
      <w:pPr>
        <w:pStyle w:val="62"/>
      </w:pPr>
      <w:r>
        <w:t>（2008年11月26日中华人民共和国农业部令第19号公布，根据2016年5月30日中华人民共和国农业部令第3号公布、自2016年6月1日起施行的《农业部关于废止和修改部分规章、规范性文件的决定》第一次修订，根据2017年11月30日中华人民共和国农业部令第8号公布的、自公布之日起施行《农业部关于修改和废止部分规章、规范性文件的决定》第二次修订）</w:t>
      </w:r>
    </w:p>
    <w:p>
      <w:pPr>
        <w:pStyle w:val="63"/>
        <w:spacing w:before="218" w:after="218" w:line="412" w:lineRule="exact"/>
        <w:rPr>
          <w:kern w:val="0"/>
        </w:rPr>
      </w:pPr>
      <w:r>
        <w:rPr>
          <w:kern w:val="0"/>
        </w:rPr>
        <w:t>第一章  总  则</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第一条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为了加强动物诊疗机构管理，规范动物诊疗行为，保障公共卫生安全，根据《中华人民共和国动物防疫法》，制定本办法。</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在中华人民共和国境内从事动物诊疗活动的机构，应当遵守本办法。</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本办法所称动物诊疗，是指动物疾病的预防、诊断、治疗和动物绝育手术等经营性活动。</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农业部负责全国动物诊疗机构的监督管理。</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县级以上地方人民政府兽医主管部门负责本行政区域内动物诊疗机构的管理。</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县级以上地方人民政府设立的动物卫生监督机构负责本行政区域内动物诊疗机构的监督执法工作。</w:t>
      </w:r>
    </w:p>
    <w:p>
      <w:pPr>
        <w:pStyle w:val="63"/>
        <w:spacing w:before="218" w:after="218" w:line="412" w:lineRule="exact"/>
        <w:rPr>
          <w:kern w:val="0"/>
        </w:rPr>
      </w:pPr>
      <w:r>
        <w:rPr>
          <w:kern w:val="0"/>
        </w:rPr>
        <w:t>第二章  诊疗许可</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第四条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国家实行动物诊疗许可制度。从事动物诊疗活</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动的机构，应当取得动物诊疗许可证，并在规定的诊疗活动范围内开展动物诊疗活动。</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第五条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申请设立动物诊疗机构的，应当具备下列条件：</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（一）有固定的动物诊疗场所，且动物诊疗场所使用面积符合省、自治区、直辖市人民政府兽医主管部门的规定；</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（二）动物诊疗场所选址距离畜禽养殖场、屠宰加工场、动物交易场所不少于200米；</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（三）动物诊疗场所设有独立的出入口，出入口不得设在居民住宅楼内或者院内，不得与同一建筑物的其他用户共用通道；</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（四）具有布局合理的诊疗室、手术室、药房等设施；</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（五）具有诊断、手术、消毒、冷藏、常规化验、污水处理等器械设备；</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（六）具有1名以上取得执业兽医师资格证书的人员；</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（七）具有完善的诊疗服务、疫情报告、卫生消毒、兽药处方、药物和无害化处理等管理制度。</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第六条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动物诊疗机构从事动物颅腔、胸腔和腹腔手术的，除具备本办法第五条规定的条件外，还应当具备以下条件：</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（一）具有手术台、x光机或者b超等器械设备；</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（二）具有3名以上取得执业兽医师资格证书的人员。</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第七条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设立动物诊疗机构，应当向动物诊疗场所所在地的发证机关提出申请，并提交下列材料：</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（一）动物诊疗许可证申请表；</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（二）动物诊疗场所地理方位图、室内平面图和各功能区布局图；</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（三）动物诊疗场所使用权证明；</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（四）法定代表人（负责人）身份证明；</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（五）执业兽医师资格证书原件及复印件；</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（六）设施设备清单；</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（七）管理制度文本；</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（八）执业兽医和服务人员的健康证明材料。</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申请材料不齐全或者不符合规定条件的，发证机关应当自收到申请材料之日起5个工作日内一次告知申请人需补正的内容。</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第八条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动物诊疗机构应当使用规范的名称。不具备从事动物颅腔、胸腔和腹腔手术能力的，不得使用“动物医院”的名称。</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第九条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发证机关受理申请后，应当在20个工作日内完成对申请材料的审核和对动物诊疗场所的实地考查。符合规定条件的，发证机关应当向申请人颁发动物诊疗许可证；不符合条件的，书面通知申请人，并说明理由。</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专门从事水生动物疫病诊疗的，发证机关在核发动物诊疗许可证时，应当征求同级渔业行政主管部门的意见。</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动物诊疗许可证应当载明诊疗机构名称、诊疗活动范围、从业地点和法定代表人（负责人）等事项。</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动物诊疗许可证格式由农业部统一规定。</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第十一条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动物诊疗机构设立分支机构的，应当按照本办法的规定另行办理动物诊疗许可证。</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第十二条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动物诊疗机构变更名称或者法定代表人（负责人）的，应当在办理工商变更登记手续后15个工作日内，向原发证机关申请办理变更手续。</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动物诊疗机构变更从业地点、诊疗活动范围的，应当按照本办法规定重新办理动物诊疗许可手续，申请换发动物诊疗许可证。</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第十三条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动物诊疗许可证不得伪造、变造、转让、出租、出借。</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动物诊疗许可证遗失的，应当及时向原发证机关申请补发。</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第十四条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发证机关办理动物诊疗许可证，不得向申请人收取费用。</w:t>
      </w:r>
    </w:p>
    <w:p>
      <w:pPr>
        <w:pStyle w:val="63"/>
        <w:spacing w:before="218" w:after="218" w:line="412" w:lineRule="exact"/>
        <w:rPr>
          <w:kern w:val="0"/>
        </w:rPr>
      </w:pPr>
      <w:r>
        <w:rPr>
          <w:kern w:val="0"/>
        </w:rPr>
        <w:t>第三章  诊疗活动管理</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第十五条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动物诊疗机构应当依法从事动物诊疗活动，建立健全内部管理制度，在诊疗场所的显著位置悬挂动物诊疗许可证和公示从业人员基本情况。</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第十六条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动物诊疗机构应当按照国家兽药管理的规定使用兽药，不得使用假劣兽药和农业部规定禁止使用的药品及其他化合物。</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第十七条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动物诊疗机构兼营宠物用品、宠物食品、宠物美容等项目的，兼营区域与动物诊疗区域应当分别独立设置。</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第十八条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动物诊疗机构应当使用规范的病历、处方笺，病历、处方笺应当印有动物诊疗机构名称。病历档案应当保存3年以上。</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第十九条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动物诊疗机构安装、使用具有放射性的诊疗设备的，应当依法经环境保护部门批准。</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动物诊疗机构发现动物染疫或者疑似染疫的，应当按照国家规定立即向当地兽医主管部门、动物卫生监督机构或者动物疫病预防控制机构报告，并采取隔离等控制措施，防止动物疫情扩散。</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动物诊疗机构发现动物患有或者疑似患有国家规定应当扑杀的疫病时，不得擅自进行治疗。</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第二十一条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动物诊疗机构应当按照农业部规定处理病死动物和动物病理组织。</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动物诊疗机构应当参照《医疗废弃物管理条例》的有关规定处理医疗废弃物。</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第二十二条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动物诊疗机构的执业兽医应当按照当地人民政府或者兽医主管部门的要求，参加预防、控制和扑灭动物疫病活动。</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第二十三条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动物诊疗机构应当配合兽医主管部门、动物卫生监督机构、动物疫病预防控制机构进行有关法律法规宣传、流行病学调查和监测工作。</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第二十四条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动物诊疗机构不得随意抛弃病死动物、动物病理组织和医疗废弃物，不得排放未经无害化处理或者处理不达标的诊疗废水。</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第二十五条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动物诊疗机构应当定期对本单位工作人员进行专业知识和相关政策、法规培训。</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第二十六条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动物诊疗机构应当于每年3月底前将上年度动物诊疗活动情况向发证机关报告。</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第二十七条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动物卫生监督机构应当建立健全日常监管制度，对辖区内动物诊疗机构和人员执行法律、法规、规章的情况进行监督检查。</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兽医主管部门应当设立动物诊疗违法行为举报电话，并向社会公示。</w:t>
      </w:r>
    </w:p>
    <w:p>
      <w:pPr>
        <w:pStyle w:val="63"/>
        <w:spacing w:before="218" w:after="218" w:line="412" w:lineRule="exact"/>
        <w:rPr>
          <w:kern w:val="0"/>
        </w:rPr>
      </w:pPr>
      <w:r>
        <w:rPr>
          <w:kern w:val="0"/>
        </w:rPr>
        <w:t>第四章  罚  则</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第二十八条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违反本办法规定，动物诊疗机构有下列情形之一的，由动物卫生监督机构按照《中华人民共和国动物防疫法》第八十一条第一款的规定予以处罚；情节严重的，并报原发证机关收回、注销其动物诊疗许可证：</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（一）超出动物诊疗许可证核定的诊疗活动范围从事动物诊疗活动的；</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（二）变更从业地点、诊疗活动范围未重新办理动物诊疗许可证的。</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第二十九条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使用伪造、变造、受让、租用、借用的动物诊疗许可证的，动物卫生监督机构应当依法收缴，并按照《中华人民共和国动物防疫法》第八十一条第一款的规定予以处罚。</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出让、出租、出借动物诊疗许可证的，原发证机关应当收回、注销其动物诊疗许可证。</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动物诊疗场所不再具备本办法第五条、第六条规定条件的，由动物卫生监督机构给予警告，责令限期改正；逾期仍达不到规定条件的，由原发证机关收回、注销其动物诊疗许可证。</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第三十一条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动物诊疗机构连续停业两年以上的，或者连续两年未向发证机关报告动物诊疗活动情况，拒不改正的，由原发证机关收回、注销其动物诊疗许可证。</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第三十二条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违反本办法规定，动物诊疗机构有下列情形之一的，由动物卫生监督机构给予警告，责令限期改正；拒不改正或者再次出现同类违法行为的，处以一千元以下罚款。</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（一）变更机构名称或者法定代表人未办理变更手续的；</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（二）未在诊疗场所悬挂动物诊疗许可证或者公示从业人员基本情况的；</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（三）不使用病历，或者应当开具处方未开具处方的；</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（四）使用不规范的病历、处方笺的。</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第三十三条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动物诊疗机构在动物诊疗活动中，违法使用兽药的，或者违法处理医疗废弃物的，依照有关法律、行政法规的规定予以处罚。</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第三十四条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动物诊疗机构违反本办法第二十四条规定的，由动物卫生监督机构按照《中华人民共和国动物防疫法》第七十五条的规定予以处罚。</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第三十五条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发证机关及其动物卫生监督机构不依法履行审查和监督管理职责，玩忽职守、滥用职权或者徇私舞弊的，依照有关规定给予处分；构成犯罪的，依法追究刑事责任。</w:t>
      </w:r>
    </w:p>
    <w:p>
      <w:pPr>
        <w:pStyle w:val="63"/>
        <w:spacing w:before="218" w:after="218" w:line="412" w:lineRule="exact"/>
        <w:rPr>
          <w:kern w:val="0"/>
        </w:rPr>
      </w:pPr>
      <w:r>
        <w:rPr>
          <w:kern w:val="0"/>
        </w:rPr>
        <w:t>第五章  附  则</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第三十六条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乡村兽医在乡村从事动物诊疗活动的具体管理办法由农业部另行规定。</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第三十七条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本办法所称发证机关，是指县（市辖区）级人民政府兽医主管部门；市辖区未设立兽医主管部门的，发证机关为上一级兽医主管部门。</w:t>
      </w:r>
    </w:p>
    <w:p>
      <w:pPr>
        <w:shd w:val="clear" w:color="auto" w:fill="FFFFFF"/>
        <w:topLinePunct/>
        <w:spacing w:beforeLines="0" w:afterLines="0" w:line="412" w:lineRule="exact"/>
        <w:ind w:firstLine="482" w:firstLineChars="200"/>
        <w:rPr>
          <w:rFonts w:cs="Arial" w:asciiTheme="minorEastAsia" w:hAnsiTheme="minorEastAsia"/>
          <w:kern w:val="0"/>
          <w:sz w:val="24"/>
          <w:szCs w:val="24"/>
        </w:rPr>
      </w:pPr>
      <w:r>
        <w:rPr>
          <w:rFonts w:cs="Arial" w:asciiTheme="minorEastAsia" w:hAnsiTheme="minorEastAsia"/>
          <w:b/>
          <w:bCs/>
          <w:kern w:val="0"/>
          <w:sz w:val="24"/>
          <w:szCs w:val="24"/>
        </w:rPr>
        <w:t>第三十八条</w:t>
      </w:r>
      <w:r>
        <w:rPr>
          <w:rFonts w:hint="eastAsia" w:cs="Arial" w:asciiTheme="minorEastAsia" w:hAnsiTheme="minorEastAsia"/>
          <w:b/>
          <w:bCs/>
          <w:kern w:val="0"/>
          <w:sz w:val="24"/>
          <w:szCs w:val="24"/>
        </w:rPr>
        <w:t xml:space="preserve">  </w:t>
      </w:r>
      <w:r>
        <w:rPr>
          <w:rFonts w:cs="Arial" w:asciiTheme="minorEastAsia" w:hAnsiTheme="minorEastAsia"/>
          <w:kern w:val="0"/>
          <w:sz w:val="24"/>
          <w:szCs w:val="24"/>
        </w:rPr>
        <w:t>本办法自2009年1月1日起施行。</w:t>
      </w:r>
    </w:p>
    <w:p>
      <w:pPr>
        <w:shd w:val="clear" w:color="auto" w:fill="FFFFFF"/>
        <w:topLinePunct/>
        <w:spacing w:beforeLines="0" w:afterLines="0" w:line="412" w:lineRule="exact"/>
        <w:ind w:firstLine="480" w:firstLineChars="200"/>
        <w:rPr>
          <w:rFonts w:cs="Arial" w:asciiTheme="minorEastAsia" w:hAnsiTheme="minorEastAsia"/>
          <w:kern w:val="0"/>
          <w:sz w:val="24"/>
          <w:szCs w:val="24"/>
        </w:rPr>
      </w:pPr>
      <w:r>
        <w:rPr>
          <w:rFonts w:cs="Arial" w:asciiTheme="minorEastAsia" w:hAnsiTheme="minorEastAsia"/>
          <w:kern w:val="0"/>
          <w:sz w:val="24"/>
          <w:szCs w:val="24"/>
        </w:rPr>
        <w:t>本办法施行前已开办的动物诊疗机构，应当自本办法施行之日起12个月内，依照本办法的规定，办理动物诊疗许可证。</w:t>
      </w:r>
    </w:p>
    <w:p>
      <w:pPr>
        <w:topLinePunct/>
        <w:spacing w:beforeLines="0" w:afterLines="0" w:line="416" w:lineRule="exact"/>
        <w:ind w:firstLine="480" w:firstLineChars="200"/>
        <w:rPr>
          <w:rFonts w:asciiTheme="minorEastAsia" w:hAnsi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007" w:name="_Toc15620"/>
      <w:bookmarkStart w:id="1008" w:name="_Toc21450046"/>
      <w:bookmarkStart w:id="1009" w:name="_Toc466579835"/>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10" w:name="_Toc26348014"/>
      <w:bookmarkStart w:id="1011" w:name="_Toc25653754"/>
      <w:bookmarkStart w:id="1012" w:name="_Toc28157036"/>
      <w:bookmarkStart w:id="1013" w:name="_Toc28250964"/>
      <w:bookmarkStart w:id="1014" w:name="_Toc25648258"/>
      <w:bookmarkStart w:id="1015" w:name="_Toc28252240"/>
      <w:r>
        <w:t>北京市养犬管理规定</w:t>
      </w:r>
      <w:bookmarkEnd w:id="1007"/>
      <w:bookmarkEnd w:id="1008"/>
      <w:bookmarkEnd w:id="1009"/>
      <w:bookmarkEnd w:id="1010"/>
      <w:bookmarkEnd w:id="1011"/>
      <w:bookmarkEnd w:id="1012"/>
      <w:bookmarkEnd w:id="1013"/>
      <w:bookmarkEnd w:id="1014"/>
      <w:bookmarkEnd w:id="1015"/>
    </w:p>
    <w:p>
      <w:pPr>
        <w:pStyle w:val="62"/>
        <w:topLinePunct w:val="0"/>
        <w:ind w:firstLine="0" w:firstLineChars="0"/>
        <w:jc w:val="center"/>
        <w:rPr>
          <w:b/>
        </w:rPr>
      </w:pPr>
      <w:r>
        <w:t>（2003年9月5日北京市</w:t>
      </w:r>
      <w:r>
        <w:rPr>
          <w:shd w:val="clear" w:color="auto" w:fill="FFFFFF"/>
        </w:rPr>
        <w:t>人民代表大会常务委员会</w:t>
      </w:r>
      <w:r>
        <w:t>公告第11号公布）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为加强养犬管理，保障公民健康和人身安全，维护市容环境和社会公共秩序，根据国家有关法律、法规，结合本市实际情况，制定本规定。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本市行政区域内的机关、团体、部队、企业事业单位、其他组织和个人，均应当遵守本规定。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本市对养犬实行严格管理、限管结合的方针，政府部门执法，基层组织参与管理，社会公众监督，养犬人自律。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本市各级人民政府负责本规定的组织实施。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市和区、县、乡镇人民政府以及街道办事处，应当建立由公安、工商行政管理、畜牧兽医、卫生等行政部门和城市管理综合执法组织组成的养犬管理协调工作机制。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公安机关是养犬管理工作的主管机关，全面负责养犬管理工作，并具体负责养犬登记和年检，查处无证养犬、违法携犬外出等行为。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有关行政部门和城市管理综合执法组织按照职责分工，各负其责：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（一）畜牧兽医行政部门负责犬类的免疫、检疫和其他相关管理工作；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（二）城市管理综合执法组织负责对街面流动无照售犬行为和因养犬而破坏市容环境卫生行为的查处；协助公安机关查处无证养犬、违法携犬外出等行为；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（三）工商行政管理部门负责对从事犬类经营活动的监督管理；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（四）卫生行政部门负责对人用狂犬病疫苗注射和狂犬病人诊治的管理。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居民委员会、村民委员会和其他基层组织，应当协助本市各级人民政府做好养犬管理工作。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街道办事处、乡镇人民政府以及居民委员会、村民委员会，应当在居民、村民中开展依法养犬、文明养犬的宣传教育和培训工作。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广播、电视、报纸等新闻媒体，应当做好养犬管理法律、法规以及卫生防疫的宣传教育工作。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居民委员会、村民委员会、业主委员会可以召集居民会议、村民会议、业主会议，就本居住地区有关养犬管理规定事项依法制定公约，并组织监督实施。居民、村民、业主应当遵守公约。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本市东城区、西城区、崇文区、宣武区、朝阳区、海淀区、丰台区、石景山区为重点管理区，其他区、县为一般管理区。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重点管理区内的农村地区，经区人民政府决定，可以按照一般管理区进行管理。一般管理区的城镇和人口聚集的特殊区域，经区、县人民政府决定，可以按照重点管理区进行管理。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本市行政区域内的医院和学校的教学区、学生宿舍区禁止养犬。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天安门广场以及东、西长安街和其他主要道路禁止遛犬。主要道路名录由市人民政府确定，向社会公布。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市人民政府可以在重大节假日或者举办重大活动期间划定范围禁止遛犬。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区、县人民政府可以对本行政区域内的特定地区划定范围禁止养犬、禁止遛犬。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居民会议、村民会议、业主会议经讨论决定，可以在本居住地区内划定禁止遛犬的区域。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本市实行养犬登记、年检制度。未经登记和年检，任何单位和个人不得养犬。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在重点管理区内，每户只准养一只犬，不得养烈性犬、大型犬。禁养犬的具体品种和体高、体长标准，由畜牧兽医行政部门确定，向社会公布。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国家级文物保护单位、危险物品存放单位等因特殊工作需要养犬的，必须到单位所在地公安机关办理养犬登记。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个人养犬，应当具备下列条件：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（一）有合法身份证明；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（二）有完全民事行为能力；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（三）有固定住所且独户居住；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（四）住所在禁止养犬区域以外。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个人在养犬前，应当征得居民委员会、村民委员会的同意。对符合养犬条件的，居民委员会、村民委员会出具符合养犬条件的证明，并与其签订养犬义务保证书。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养犬人应当自取得居民委员会、村民委员会出具的符合养犬条件的证明之日起30日内，持证明到住所地的区、县公安机关进行养犬登记，领取养犬登记证。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养犬人取得养犬登记证后，携犬到畜牧兽医行政部门批准的动物诊疗机构对犬进行健康检查，免费注射预防狂犬病疫苗，领取动物防疫监督机构出具的动物健康免疫证。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养犬登记证每年年检一次，养犬人在年检时应当出示有效的养犬登记证和动物健康免疫证。养犬登记证年检时间、地点及要求由公安机关予以公告。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养犬应当缴纳管理服务费。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重点管理区内每只犬第一年为1000元，以后每年度为500元。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对盲人养导盲犬和肢体重残人养扶助犬的，免收管理服务费。对养绝育犬的或者生活困难的鳏寡老人养犬的，减半收取第一年管理服务费。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一般管理区的收费标准，由区、县人民政府根据实际情况确定。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养犬缴纳的费用集中上缴国库，纳入财政预算管理。养犬管理工作以及管理工作所发生服务的费用纳入有关部门的部门预算。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养犬人住所地变更的，应当自变更之日起30日内，持养犬登记证到新住所登记机关办理变更登记。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养犬人将在一般管理区登记的犬，转移到重点管理区饲养的，应当符合重点管理区的养犬条件，并自转移之日起30日内，持养犬登记证到饲养地登记机关办理变更登记，补缴管理服务费差额。</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养犬人将犬转让给他人的，受让人应当到登记机关办理变更登记。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养犬人丢失登记证的，应当自丢失之日起15日内，到原登记机关申请补发。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犬死亡或者失踪的，养犬人应当到登记机关办理注销手续。未办理注销手续的，不得再养犬。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养犬人因故确需放弃所饲养犬的，应当将犬送交犬类留检所，并到公安机关办理注销手续。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养犬人应当遵守下列规定：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（一）不得携犬进入市场、商店、商业街区、饭店、公园、公共绿地、学校、医院、展览馆、影剧院、体育场馆、社区公共健身场所、游乐场、候车室等公共场所；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（二）不得携犬乘坐除小型出租汽车以外的公共交通工具；携犬乘坐小型出租汽车时，应当征得驾驶员同意，并为犬戴嘴套，或者将犬装入犬袋、犬笼，或者怀抱；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（三）携犬乘坐电梯的，应当避开乘坐电梯的高峰时间，并为犬戴嘴套，或者将犬装入犬袋、犬笼；居民委员会、村民委员会、业主委员会可以根据实际情况确定禁止携犬乘坐电梯的具体时间；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（四）携犬出户时，应当对犬束犬链，由成年人牵领，携犬人应当携带养犬登记证，并应当避让老年人、残疾人、孕妇和儿童；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（五）对烈性犬、大型犬实行拴养或者圈养，不得出户遛犬；因登记、年检、免疫、诊疗等出户的，应当将犬装入犬笼或者为犬戴嘴套、束犬链，由成年人牵领；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（六）携犬出户时，对犬在户外排泄的粪便，携犬人应当立即清除；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（七）养犬不得干扰他人正常生活；犬吠影响他人休息时，养犬人应当采取有效措施予以制止；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（八）定期为犬注射预防狂犬病疫苗；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（九）不得虐待、遗弃所养犬；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（十）严格履行养犬义务保证书规定的其他义务。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犬伤害他人的，养犬人应当立即将被伤者送至医疗机构诊治，并先行垫付医疗费用。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因养犬人或者第三人过错。致使犬伤害他人的，养犬人或者第三人应当负担被伤害人的全部医疗费用，并依法赔偿被伤害人其他损失。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对伤人犬或者疑似患有狂犬病的犬，养犬人应当及时送交公安机关设立的犬类留检所，由动物防疫监督机构进行检疫；对确认患有狂犬病的犬，动物防疫监督机构应当依法采取扑灭措施，并进行无害化处理。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发现狂犬病等疫病的单位、个人应当及时向区、县畜牧兽医、卫生行政部门报告；市和区、县人民政府接到报告后，应当根据疫情划定疫点、疫区，并采取紧急灭犬等防治措施。公安机关协助做好工作。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从事犬类养殖、销售，举办犬展览，开办动物诊疗机构或者从事其他犬类经营活动的，应当取得畜牧兽医行政部门的许可，依法办理工商登记注册，并向公安机关备案。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从事动物诊疗的人员应当具有兽医资格，并经过执业登记注册。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禁养区、重点管理区内禁止从事犬类养殖、销售和举办犬展览。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养殖、销售犬类的单位和个人，必须遵守下列规定：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（一）对养殖的犬应当进行犬类狂犬病的预防接种，经预防接种后，由动物防疫监督机构出具动物健康免疫证；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（二）销售的犬有动物健康免疫证和检疫证明；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（三）不得将养殖的犬带出饲养场地。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禁止冒用、涂改、伪造、买卖与养犬和从事犬类经营活动相关的证件、证明。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对违反本规定的养犬行为，任何单位和个人都有权批评、劝阻，或者向居民委员会、村民委员会反映，或者向有关行政部门举报，居民委员会、村民委员会和有关部门应当及时处理。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因养犬干扰他人正常生活发生纠纷的，当事人可以向人民调解委员会申请调解，也可以直接向人民法院起诉；当事人没有申请调解的，人民调解委员会也可以主动调解。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人民调解委员会主持下达成的调解协议，当事人应当履行。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公安机关应当建立养犬违法记录档案，对多次被举报或者处罚的养犬人进行重点管理。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养犬人因违反本规定，被公安机关没收其犬、吊销养犬登记证的，在五年内不予办理养犬登记。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居民委员会、村民委员会应当将本居住地区的养犬登记、年检情况等事项向居民、村民公开。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对违反本规定第八条、第十条第一款、第二十二条，在禁养区内养犬的或者在重点管理区内饲养烈性犬、大型犬的以及冒用、涂改和伪造养犬登记证养犬的，由公安机关没收其犬，并可对单位处1万元罚款，对个人处5000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对违反本规定第九条，未经登记、年检养犬的，由公安机关没收其犬，或者对单位处5000元罚款，对个人处2000元罚款。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对违反本规定第十四条、第十五条，逾期不办理养犬变更登记的或者丢失养犬登记证逾期不补办的，由公安机关责令限期改正，并可对单位处2000元罚款，对个人处500元罚款。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有下列行为之一的，由公安机关予以警告，并可对单位处2000元以下罚款，对个人处500元以下罚款；情节严重的，没收其犬，吊销养犬登记证：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（一）违反本规定第八条，在禁遛区遛犬的；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（二）违反本规定第十七条第一项、第二项，携犬进入公共场所、乘坐公共交通工具或者小型出租汽车的；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（三）违反本规定第十七条第三项，乘坐电梯的；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（四）违反本规定第十七条第四项、第五项，携犬出户的；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（五）违反本规定第二十一条第三项，将养殖的犬带出饲养场地的。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对违反本规定第十七条第六项，携犬人对犬在户外排泄粪便不立即清除，破坏市容环境卫生的，由城市管理综合执法组织责令改正，并可处50元罚款。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对违反本规定第二十条、二十一条第一项和第二项、第二十二条，违法从事犬类经营活动的，由工商行政管理部门或者畜牧兽医行政部门依法处理；对街面流动无照售犬的，由城市管理综合执法组织依法处理。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负有养犬管理职责的行政部门和城市管理综合执法组织以及其工作人员，应当实行执法责任制，依照法定程序积极履行管理职责，文明执法。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负有养犬管理职责的行政部门和城市管理综合执法组织的工作人员，有下列行为之一的，由其所在单位或者上级主管部门给予批评教育责令改正；情节严重的，给予行政处分：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（一）对符合本规定条件的养犬人不予办理养犬登记、年检或者故意拖延的；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（二）对执法检查中发现的问题或者接到的举报，不依法处理或者相互推诿的；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（三）其他滥用职权、玩忽职守、徇私舞弊行为的。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市公安机关设立犬类留检所，负责收容处理养犬人放弃饲养的犬、被没收的犬以及无主犬。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公安机关设立的犬类留检所收容的犬，自收容之日起7日内可以被认领、领养；对无人认领、领养的，由公安机关负责处理；对病死犬，应当进行无公害处理。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市人民政府和有关行政部门应当制定实施本规定的配套规章和规范性文件。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本规定自2003年10月15日起施行。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1994年11月30日北京市第十届人民代表大会常务委员会第十四次会议通过的《北京市严格限制养犬规定》同时废止。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016" w:name="_Toc466579838"/>
      <w:bookmarkStart w:id="1017" w:name="_Toc471"/>
      <w:bookmarkStart w:id="1018" w:name="_Toc21450047"/>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19" w:name="_Toc25653755"/>
      <w:bookmarkStart w:id="1020" w:name="_Toc28252241"/>
      <w:bookmarkStart w:id="1021" w:name="_Toc26348015"/>
      <w:bookmarkStart w:id="1022" w:name="_Toc28157037"/>
      <w:bookmarkStart w:id="1023" w:name="_Toc28250965"/>
      <w:bookmarkStart w:id="1024" w:name="_Toc25648259"/>
      <w:r>
        <w:t>乡村兽医管理办法</w:t>
      </w:r>
      <w:bookmarkEnd w:id="1016"/>
      <w:bookmarkEnd w:id="1017"/>
      <w:bookmarkEnd w:id="1018"/>
      <w:bookmarkEnd w:id="1019"/>
      <w:bookmarkEnd w:id="1020"/>
      <w:bookmarkEnd w:id="1021"/>
      <w:bookmarkEnd w:id="1022"/>
      <w:bookmarkEnd w:id="1023"/>
      <w:bookmarkEnd w:id="1024"/>
    </w:p>
    <w:p>
      <w:pPr>
        <w:pStyle w:val="62"/>
        <w:rPr>
          <w:b/>
        </w:rPr>
      </w:pPr>
      <w:r>
        <w:t>（2008年11月26日中华人民共和国农业部令第17号公布，根据2019年4月25日农业农村部令2019年第2号修订）</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为了加强乡村兽医从业管理，提高乡村兽医业务素质和职业道德水平，保障乡村兽医合法权益，保护动物健康和公共卫生安全，根据《中华人民共和国动物防疫法》，制定本办法。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乡村兽医在乡村从事动物诊疗服务活动的，应当遵守本办法。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本办法所称乡村兽医，是指尚未取得执业兽医资格，经登记在乡村从事动物诊疗服务活动的人员。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农业部主管全国乡村兽医管理工作。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县级以上地方人民政府兽医主管部门主管本行政区域内乡村兽医管理工作。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县级以上地方人民政府设立的动物卫生监督机构负责本行政区域内乡村兽医监督执法工作。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国家鼓励符合条件的乡村兽医参加执业兽医资格考试，鼓励取得执业兽医资格的人员到乡村从事动物诊疗服务活动。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国家实行乡村兽医登记制度。符合下列条件之一的，可以向县级人民政府兽医主管部门申请乡村兽医登记：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（一）取得中等以上兽医、畜牧（畜牧兽医）、中兽医（民族兽医）或水产养殖专业学历的；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（二）取得中级以上动物疫病防治员、水生动物病害防治员职业技能鉴定证书的；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（三）在乡村从事动物诊疗服务连续5年以上的；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（四）经县级人民政府兽医主管部门培训合格的。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申请乡村兽医登记的，应当提交下列材料：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（一）乡村兽医登记申请表；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（二）学历证明、职业技能鉴定证书、培训合格证书；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（三）申请人身份证明和复印件。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县级人民政府兽医主管部门应当在收到申请材料之日起20个工作日内完成审核。审核合格的，予以登记，并颁发乡村兽医登记证；不合格的，书面通知申请人，并说明理由。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乡村兽医登记证应当载明乡村兽医姓名、从业区域、有效期等事项。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乡村兽医登记证有效期五年，有效期届满需要继续从事动物诊疗服务活动的，应当在有效期届满三个月前申请续展。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乡村兽医登记证格式由农业部规定，各省、自治区、直辖市人民政府兽医主管部门统一印制。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县级人民政府兽医主管部门办理乡村兽医登记，不得收取任何费用。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县级人民政府兽医主管部门应当将登记的乡村兽医名单逐级汇总报省、自治区、直辖市人民政府兽医主管部门备案。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乡村兽医只能在本乡镇从事动物诊疗服务活动，不得在城区从业。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乡村兽医在乡村从事动物诊疗服务活动的，应当有固定的从业场所和必要的兽医器械。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乡村兽医应当按照《兽药管理条例》和农业部的规定使用兽药，并如实记录用药情况。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乡村兽医在动物诊疗服务活动中，应当按照规定处理使用过的兽医器械和医疗废弃物。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乡村兽医在动物诊疗服务活动中发现动物染疫或者疑似染疫的，应当按照国家规定立即报告，并采取隔离等控制措施，防止动物疫情扩散。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乡村兽医在动物诊疗服务活动中发现动物患有或者疑似患有国家规定应当扑杀的疫病时，不得擅自进行治疗。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发生突发动物疫情时，乡村兽医应当参加当地人民政府或者有关部门组织的预防、控制和扑灭工作，不得拒绝和阻碍。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省、自治区、直辖市人民政府兽医主管部门应当制定乡村兽医培训规划，保证乡村兽医至少每两年接受一次培训。县级人民政府兽医主管部门应当根据培训规划制定本地区乡村兽医培训计划。</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县级人民政府兽医主管部门和乡（镇）人民政府应当按照《中华人民共和国动物防疫法》的规定，优先确定乡村兽医作为村级动物防疫员。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乡村兽医有下列行为之一的，由动物卫生监督机构给予警告，责令暂停六个月以上一年以下动物诊疗服务活动；情节严重的，由原登记机关收回、注销乡村兽医登记证：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（一）不按照规定区域从业的；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（二）不按照当地人民政府或者有关部门的要求参加动物疫病预防、控制和扑灭活动的。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乡村兽医有下列情形之一的，原登记机关应当收回、注销乡村兽医登记证：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（一）死亡或者被宣告失踪的；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（二）中止兽医服务活动满二年的。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乡村兽医在动物诊疗服务活动中，违法使用兽药的，依照有关法律、行政法规的规定予以处罚。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从事水生动物疫病防治的乡村兽医由县级人民政府渔业行政主管部门依照本办法的规定进行登记和监管。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县级人民政府渔业行政主管部门应当将登记的从事水生动物疫病防治的乡村兽医信息汇总通报同级兽医主管部门。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本办法自2009年1月1日起施行。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025" w:name="_Toc21450048"/>
      <w:bookmarkStart w:id="1026" w:name="_Toc25314"/>
      <w:bookmarkStart w:id="1027" w:name="_Toc46657983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28" w:name="_Toc28252242"/>
      <w:bookmarkStart w:id="1029" w:name="_Toc25653756"/>
      <w:bookmarkStart w:id="1030" w:name="_Toc28157038"/>
      <w:bookmarkStart w:id="1031" w:name="_Toc28250966"/>
      <w:bookmarkStart w:id="1032" w:name="_Toc26348016"/>
      <w:bookmarkStart w:id="1033" w:name="_Toc25648260"/>
      <w:r>
        <w:t>执业兽医管理办法</w:t>
      </w:r>
      <w:bookmarkEnd w:id="1025"/>
      <w:bookmarkEnd w:id="1026"/>
      <w:bookmarkEnd w:id="1027"/>
      <w:bookmarkEnd w:id="1028"/>
      <w:bookmarkEnd w:id="1029"/>
      <w:bookmarkEnd w:id="1030"/>
      <w:bookmarkEnd w:id="1031"/>
      <w:bookmarkEnd w:id="1032"/>
      <w:bookmarkEnd w:id="1033"/>
    </w:p>
    <w:p>
      <w:pPr>
        <w:pStyle w:val="62"/>
      </w:pPr>
      <w:r>
        <w:t>（2008年11月26日中华人民共和国农业部令第18号公布，根据2013年9月28日中华人民共和国农业部令第3号公布、自2013年11月1日起施行的《农业部关于修订〈执业兽医管理办法〉的决定》第一次修订，根据2013年12月31日中华人民共和国农业部令第5号公布、自公布之日起施行的《农业部关于修订部分规章的决定》第二次修订）</w:t>
      </w:r>
    </w:p>
    <w:p>
      <w:pPr>
        <w:pStyle w:val="63"/>
        <w:spacing w:before="218" w:after="218" w:line="412" w:lineRule="exact"/>
        <w:rPr>
          <w:b/>
        </w:rPr>
      </w:pPr>
      <w:r>
        <w:t>第一章  总则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为了规范执业兽医执业行为，提高执业兽医业务素质和职业道德水平，保障执业兽医合法权益，保护动物健康和公共卫生安全，根据《中华人民共和国动物防疫法》，制定本办法。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在中华人民共和国境内从事动物诊疗和动物保健活动的兽医人员适用本办法。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本办法所称执业兽医，包括执业兽医师和执业助理兽医师。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农业部主管全国执业兽医管理工作。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县级以上地方人民政府兽医主管部门主管本行政区域内的执业兽医管理工作。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县级以上地方人民政府设立的动物卫生监督机构负责执业兽医的监督执法工作。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县级以上人民政府兽医主管部门应当对在预防、控制和扑灭动物疫病工作中做出突出贡献的执业兽医，按照国家有关规定给予表彰和奖励。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执业兽医应当具备良好的职业道德，按照有关动物防疫、动物诊疗和兽药管理等法律、行政法规和技术规范的要求，依法执业。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执业兽医应当定期参加兽医专业知识和相关政策法规教育培训，不断提高业务素质。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执业兽医依法履行职责，其权益受法律保护。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鼓励成立兽医行业协会，实行行业自律，规范从业行为，提高服务水平。</w:t>
      </w:r>
    </w:p>
    <w:p>
      <w:pPr>
        <w:pStyle w:val="63"/>
        <w:spacing w:before="218" w:after="218" w:line="412" w:lineRule="exact"/>
        <w:rPr>
          <w:b/>
        </w:rPr>
      </w:pPr>
      <w:r>
        <w:t>第二章  资格考试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国家实行执业兽医资格考试制度。执业兽医资格考试由农业部组织，全国统一大纲、统一命题、统一考试。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具有兽医、畜牧兽医、中兽医（民族兽医）或者水产养殖专业大学专科以上学历的人员，可以参加执业兽医资格考试。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执业兽医资格考试内容包括兽医综合知识和临床技能两部分。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农业</w:t>
      </w:r>
      <w:r>
        <w:rPr>
          <w:rFonts w:asciiTheme="minorEastAsia" w:hAnsiTheme="minorEastAsia" w:eastAsiaTheme="minorEastAsia"/>
          <w:spacing w:val="-4"/>
          <w:sz w:val="24"/>
          <w:szCs w:val="24"/>
        </w:rPr>
        <w:t>部组织成立全国执业兽医资格考试委员会。考试委员会负责审定考试科目、考试大纲、考试试题，对考试工作进行监督、指导和确定合格标准。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农业部执业兽医管理办公室承担考试委员会的日常工作，负责拟订考试科目、编写考试大纲、建立考试题库、组织考试命题，并提出考试合格标准建议等。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执业兽医资格考试成绩符合执业兽医师标准的，取得执业兽医师资格证书；符合执业助理兽医师资格标准的，取得执业助理兽医师资格证书。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执业兽医师资格证书和执业助理兽医师资格证书由省、自治区、直辖市人民政府兽医主管部门颁发。</w:t>
      </w:r>
    </w:p>
    <w:p>
      <w:pPr>
        <w:pStyle w:val="63"/>
        <w:spacing w:before="218" w:after="218" w:line="412" w:lineRule="exact"/>
        <w:rPr>
          <w:b/>
        </w:rPr>
      </w:pPr>
      <w:r>
        <w:t>第三章  执业注册和备案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取得执业兽医师资格证书，从事动物诊疗活动的，应当向注册机关申请兽医执业注册；取得执业助理兽医师资格证书，从事动物诊疗辅助活动的，应当向注册机关备案。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申请兽医执业注册或者备案的，应当向注册机关提交下列材料：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（一）注册申请表或者备案表；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（二）执业兽医资格证书及其复印件；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（三）医疗机构出具的六个月内的健康体检证明；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（四）身份证明原件及其复印件；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（五）动物诊疗机构聘用证明及其复印件；申请人是动物诊疗机构法定代表人（负责人）的，提供动物诊疗许可证复印件。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注册机关收到执业兽医师注册申请后，应当在20个工作日内完成对申请材料的审核。经审核合格的，发给兽医师执业证书；不合格的，书面通知申请人，并说明理由。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注册机关收到执业助理兽医师备案材料后，应当及时对备案材料进行审查，材料齐全、真实的，应当发给助理兽医师执业证书。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兽医师执业证书和助理兽医师执业证书应当载明姓名、执业范围、受聘动物诊疗机构名称等事项。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兽医师执业证书和助理兽医师执业证书的格式由农业部规定，由省、自治区、直辖市人民政府兽医主管部门统一印制。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有下列情形之一的，不予发放兽医师执业证书或者助理兽医师执业证书：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（一）不具有完全民事行为能力的；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（二）被吊销兽医师执业证书或者助理兽医师执业证书不满二年的；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（三）患有国家规定不得从事动物诊疗活动的人畜共患传染病的。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执业兽医变更受聘的动物诊疗机构的，应当按照本办法的规定重新办理注册或者备案手续。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县级以上地方人民政府兽医主管部门应当将注册和备案的执业兽医名单逐级汇总报农业部。</w:t>
      </w:r>
    </w:p>
    <w:p>
      <w:pPr>
        <w:pStyle w:val="63"/>
        <w:spacing w:before="218" w:after="218" w:line="412" w:lineRule="exact"/>
        <w:rPr>
          <w:b/>
        </w:rPr>
      </w:pPr>
      <w:r>
        <w:t>第四章  执业活动管理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执业兽医不得同时在两个或者两个以上动物诊疗机构执业，但动物诊疗机构间的会诊、支援、应邀出诊、急救除外。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执业兽医师可以从事动物疾病的预防、诊断、治疗和开具处方、填写诊断书、出具有关证明文件等活动。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执业助理兽医师在执业兽医师指导下协助开展兽医执业活动，但不得开具处方、填写诊断书、出具有关证明文件。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兽医、畜牧兽医、中兽医（民族兽医）、水产养殖专业的学生可以在执业兽医师指导下进行专业实习。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经注册和备案专门从事水生动物疫病诊疗的执业兽医师和执业助理兽医师，不得从事其他动物疫病诊疗。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执业兽医在执业活动中应当履行下列义务：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（一）遵守法律、法规、规章和有关管理规定；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（二）按照技术操作规范从事动物诊疗和动物诊疗辅助活动；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（三）遵守职业道德，履行兽医职责；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（四）爱护动物，宣传动物保健知识和动物福利。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执业兽医师应当使用规范的处方笺、病历册，并在处方笺、病历册上签名。未经亲自诊断、治疗，不得开具处方药、填写诊断书、出具有关证明文件。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执业兽医师不得伪造诊断结果，出具虚假证明文件。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执业兽医在动物诊疗活动中发现动物染疫或者疑似染疫的，应当按照国家规定立即向当地兽医主管部门、动物卫生监督机构或者动物疫病预防控制机构报告，并采取隔离等控制措施，防止动物疫情扩散。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执业兽医在动物诊疗活动中发现动物患有或者疑似患有国家规定应当扑杀的疫病时，不得擅自进行治疗。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执业兽医应当按照国家有关规定合理用药，不得使用假劣兽药和农业部规定禁止使用的药品及其他化合物。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执业兽医师发现可能与兽药使用有关的严重不良反应的，应当立即向所在地人民政府兽医主管部门报告。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执业兽医应当按照当地人民政府或者兽医主管部门的要求，参加预防、控制和扑灭动物疫病活动，其所在单位不得阻碍、拒绝。</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执业兽医应当于每年3月底前将上年度兽医执业活动情况向注册机关报告。</w:t>
      </w:r>
    </w:p>
    <w:p>
      <w:pPr>
        <w:pStyle w:val="63"/>
        <w:spacing w:before="218" w:after="218" w:line="412" w:lineRule="exact"/>
        <w:rPr>
          <w:b/>
        </w:rPr>
      </w:pPr>
      <w:r>
        <w:t>第五章  罚</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违反</w:t>
      </w:r>
      <w:r>
        <w:rPr>
          <w:rFonts w:asciiTheme="minorEastAsia" w:hAnsiTheme="minorEastAsia" w:eastAsiaTheme="minorEastAsia"/>
          <w:spacing w:val="-4"/>
          <w:sz w:val="24"/>
          <w:szCs w:val="24"/>
        </w:rPr>
        <w:t>本办法规定，执业兽医有下列情形之一的，由动物卫生监督机构按照《中华人民共和国动物防疫法》第八十二条第一款的规定予以处罚；情节严重的，并报原注册机关收回、注销兽医师执业证书或者助理兽医师执业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（一）超出注册机关核定的执业范围从事动物诊疗活动的；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（二）变更受聘的动物诊疗机构未重新办理注册或者备案的。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使用伪造、变造、受让、租用、借用的兽医师执业证书或者助理兽医师执业证书的，动物卫生监督机构应当依法收缴，并按照《中华人民共和国动物防疫法》第八十二条第一款的规定予以处罚。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执业兽医有下列情形之一的，原注册机关应当收回、注销兽医师执业证书或者助理兽医师执业证书：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（一）死亡或者被宣告失踪的；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（二）中止兽医执业活动满二年的；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（三）被吊销兽医师执业证书或者助理兽医师执业证书的；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（四）连续两年没有将兽医执业活动情况向注册机关报告，且拒不改正的；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（五）出让、出租、出借兽医师执业证书或者助理兽医师执业证书的。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执业兽医师在动物诊疗活动中有下列情形之一的，由动物卫生监督机构给予警告，责令限期改正；拒不改正或者再次出现同类违法行为的，处一千元以下罚款：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（一）不使用病历，或者应当开具处方未开具处方的；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（二）使用不规范的处方笺、病历册，或者未在处方笺、病历册上签名的；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（三）未经亲自诊断、治疗，开具处方药、填写诊断书、出具有关证明文件的；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（四）伪造诊断结果，出具虚假证明文件的。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执业兽医在动物诊疗活动中，违法使用兽药的，依照有关法律、行政法规的规定予以处罚。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注册机关及动物卫生监督机构不依法履行审查和监督管理职责，玩忽职守、滥用职权或者徇私舞弊的，对直接负责的主管人员和其他直接责任人员，依照有关规定给予处分；构成犯罪的，依法追究刑事责任。</w:t>
      </w:r>
    </w:p>
    <w:p>
      <w:pPr>
        <w:pStyle w:val="63"/>
        <w:spacing w:before="218" w:after="218" w:line="412" w:lineRule="exact"/>
        <w:rPr>
          <w:b/>
        </w:rPr>
      </w:pPr>
      <w:r>
        <w:t>第六章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本办法施行前，不具有大学专科以上学历，但已取得兽医师以上专业技术职称，经县级以上地方人民政府兽医主管部门考核合格的，可以参加执业兽医资格考试。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本办法施行前，具有兽医、水产养殖本科以上学历，从事兽医临床教学或者动物诊疗活动，并取得高级兽医师、水产养殖高级工程师以上专业技术职称或者具有同等专业技术职称，经省、自治区、直辖市人民政府兽医主管部门考核合格，报农业部审核批准后颁发执业兽医师资格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动物饲养场（养殖小区）、实验动物饲育单位、兽药生产企业、动物园等单位聘用的取得执业兽医师资格证书和执业助理兽医师资格证书的兽医人员，可以凭聘用合同申请兽医执业注册或者备案，但不得对外开展兽医执业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省级人民政府兽医主管部门根据本地区实际，可以决定取得执业助理兽医师资格证书的兽医人员，依照本办法第三章规定的程序注册后，在一定期限内可以开具兽医处方笺。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前款期限由省级人民政府兽医主管部门确定，但不得超过2017年12月31日。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经注册的执业助理兽医师，注册机关应当在其执业证书上载明“依法注册”字样和期限，并按执业兽医师进行执业活动管理。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乡村兽医的具体管理办法由农业部另行规定。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外国人和香港、澳门、台湾居民申请执业兽医资格考试、注册和备案的具体办法另行制定。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本办法所称注册机关，是指县（市辖区）级人民政府兽医主管部门；市辖区未设立兽医主管部门的，注册机关为上一级兽医主管部门。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本办法自2009年1月1日起施行。</w:t>
      </w:r>
    </w:p>
    <w:p>
      <w:pPr>
        <w:widowControl/>
        <w:spacing w:before="156" w:after="156"/>
        <w:ind w:firstLine="240"/>
        <w:rPr>
          <w:rFonts w:cs="Times New Roman" w:asciiTheme="minorEastAsia" w:hAnsiTheme="minorEastAsia"/>
          <w:b/>
          <w:bCs/>
          <w:kern w:val="0"/>
          <w:sz w:val="24"/>
          <w:szCs w:val="24"/>
        </w:rPr>
      </w:pPr>
      <w:bookmarkStart w:id="1034" w:name="_Toc18407"/>
      <w:bookmarkStart w:id="1035" w:name="_Toc466579843"/>
      <w:bookmarkStart w:id="1036" w:name="_Toc21450049"/>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37" w:name="_Toc28250967"/>
      <w:bookmarkStart w:id="1038" w:name="_Toc28252243"/>
      <w:bookmarkStart w:id="1039" w:name="_Toc25648261"/>
      <w:bookmarkStart w:id="1040" w:name="_Toc25653757"/>
      <w:bookmarkStart w:id="1041" w:name="_Toc26348017"/>
      <w:bookmarkStart w:id="1042" w:name="_Toc28157039"/>
      <w:r>
        <w:t>病原微生物实验室生物安全管理条例</w:t>
      </w:r>
      <w:bookmarkEnd w:id="1034"/>
      <w:bookmarkEnd w:id="1035"/>
      <w:bookmarkEnd w:id="1036"/>
      <w:bookmarkEnd w:id="1037"/>
      <w:bookmarkEnd w:id="1038"/>
      <w:bookmarkEnd w:id="1039"/>
      <w:bookmarkEnd w:id="1040"/>
      <w:bookmarkEnd w:id="1041"/>
      <w:bookmarkEnd w:id="1042"/>
    </w:p>
    <w:p>
      <w:pPr>
        <w:pStyle w:val="62"/>
      </w:pPr>
      <w:r>
        <w:t>（2004年11月12日中华人民共和国国务院令第424号公布，根据2016年2月6日中华人民共和国国务院令第666号公布、自公布之日起施行的《国务院关于修改部分行政法规的决定》第一次修订，根据2018年3月19日中华人民共和国国务院令第698号公布、自公布之日起施行的《国务院关于修改和废止部分行政法规的决定》第二次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为了加强病原微生物实验室（以下称实验室）生物安全管理，保护实验室工作人员和公众的健康，制定本条例。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对中华人民共和国境内的实验室及其从事实验活动的生物安全管理，适用本条例。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本条例所称病原微生物，是指能够使人或者动物致病的微生物。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本条例所称实验活动，是指实验室从事与病原微生物菌（毒）种、样本有关的研究、教学、检测、诊断等活动。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国务院卫生主管部门主管与人体健康有关的实验室及其实验活动的生物安全监督工作。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国务院兽医主管部门主管与动物有关的实验室及其实验活动的生物安全监督工作。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国务院其他有关部门在各自职责范围内负责实验室及其实验活动的生物安全管理工作。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县级以上地方人民政府及其有关部门在各自职责范围内负责实验室及其实验活动的生物安全管理工作。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国家对病原微生物实行分类管理，对实验室实行分级管理。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国家实行统一的实验室生物安全标准。实验室应当符合国家标准和要求。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实验室的设立单位及其主管部门负责实验室日常活动的管理，承担建立健全安全管理制度，检查、维护实验设施、设备，控制实验室感染的职责。</w:t>
      </w:r>
    </w:p>
    <w:p>
      <w:pPr>
        <w:pStyle w:val="63"/>
        <w:spacing w:before="218" w:after="218" w:line="412" w:lineRule="exact"/>
        <w:rPr>
          <w:b/>
        </w:rPr>
      </w:pPr>
      <w:r>
        <w:t xml:space="preserve">第二章 </w:t>
      </w:r>
      <w:r>
        <w:rPr>
          <w:rFonts w:hint="eastAsia"/>
        </w:rPr>
        <w:t xml:space="preserve"> </w:t>
      </w:r>
      <w:r>
        <w:t>病原微生物的分类和管理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国家根据病原微生物的传染性、感染后对个体或者群体的危害程度，将病原微生物分为四类：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第一类病原微生物，是指能够引起人类或者动物非常严重疾病的微生物，以及我国尚未发现或者已经宣布消灭的微生物。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第二类病原微生物，是指能够引起人类或者动物严重疾病，比较容易直接或者间接在人与人、动物与人、动物与动物间传播的微生物。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第三类病原微生物，是指能够引起人类或者动物疾病，但一般情况下对人、动物或者环境不构成严重危害，传播风险有限，实验室感染后很少引起严重疾病，并且具备有效治疗和预防措施的微生物。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第四类病原微生物，是指在通常情况下不会引起人类或者动物疾病的微生物。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第一类、第二类病原微生物统称为高致病性病原微生物。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人间传染的病原微生物名录由国务院卫生主管部门商国务院有关部门后制定、调整并予以公布；动物间传染的病原微生物名录由国务院兽医主管部门商国务院有关部门后制定、调整并予以公布。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采集病原微生物样本应当具备下列条件：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（一）具有与采集病原微生物样本所需要的生物安全防护水平相适应的设备；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（二）具有掌握相关专业知识和操作技能的工作人员；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（三）具有有效的防止病原微生物扩散和感染的措施；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（四）具有保证病原微生物样本质量的技术方法和手段。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采集高致病性病原微生物样本的工作人员在采集过程中应当防止病原微生物扩散和感染，并对样本的来源、采集过程和方法等作详细记录。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运输高致病性病原微生物菌（毒）种或者样本，应当通过陆路运输；没有陆路通道，必须经水路运输的，可以通过水路运输；紧急情况下或者需要将高致病性病原微生物菌（毒）种或者样本运往国外的，可以通过民用航空运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运输高致病性病原微生物菌（毒）种或者样本，应当具备下列条件：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（一）运输目的、高致病性病原微生物的用途和接收单位符合国务院卫生主管部门或者兽医主管部门的规定；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（二）高致病性病原微生物菌（毒）种或者样本的容器应当密封，容器或者包装材料还应当符合防水、防破损、防外泄、耐高（低）温、耐高压的要求；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（三）容器或者包装材料上应当印有国务院卫生主管部门或者兽医主管部门规定的生物危险标识、警告用语和提示用语。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运输高致病性病原微生物菌（毒）种或者样本，应当经省级以上人民政府卫生主管部门或者兽医主管部门批准。在省、自治区、直辖市行政区域内运输的，由省、自治区、直辖市人民政府卫生主管部门或者兽医主管部门批准；需要跨省、自治区、直辖市运输或者运往国外的，由出发地的省、自治区、直辖市人民政府卫生主管部门或者兽医主管部门进行初审后，分别报国务院卫生主管部门或者兽医主管部门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出入境检验检疫机构在检验检疫过程中需要运输病原微生物样本的，由国务院出入境检验检疫部门批准，并同时向国务院卫生主管部门或者兽医主管部门通报。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通过民用航空运输高致病性病原微生物菌（毒）种或者样本的，除依照本条第二款、第三款规定取得批准外，还应当经国务院民用航空主管部门批准。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有关主管部门应当对申请人提交的关于运输高致性病原微生物菌（毒）种或者样本的申请材料进行审查，对符合本条第一款规定条件的，应当即时批准。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运输高致病性病原微生物菌（毒）种或者样本，应当由不少于2人的专人护送，并采取相应的防护措施。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有关单位或者个人不得通过公共电（汽）车和城市铁路运输病原微生物菌（毒）种或者样本。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需要通过铁路、公路、民用航空等公共交通工具运输高致病性病原微生物菌（毒）种或者样本的，承运单位应当凭本条例第十一条规定的批准文件予以运输。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承运单位应当与护送人共同采取措施，确保所运输的高致病性病原微生物菌（毒）种或者样本的安全，严防发生被盗、被抢、丢失、泄漏事件。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国务院卫生主管部门或者兽医主管部门指定的菌（毒）种保藏中心或者专业实验室（以下称保藏机构），承担集中储存病原微生物菌（毒）种和样本的任务。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保藏机构应当依照国务院卫生主管部门或者兽医主管部门的规定，储存实验室送交的病原微生物菌（毒）种和样本，并向实验室提供病原微生物菌（毒）种和样本。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保藏机构应当制定严格的安全保管制度，作好病原微生物菌（毒）种和样本进出和储存的记录，建立档案制度，并指定专人负责。对高致病性病原微生物菌（毒）种和样本应当设专库或者专柜单独储存。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保藏机构储存、提供病原微生物菌（毒）种和样本，不得收取任何费用，其经费由同级财政在单位预算中予以保障。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保藏机构的管理办法由国务院卫生主管部门会同国务院兽医主管部门制定。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保藏机构应当凭实验室依照本条例的规定取得的从事高致病性病原微生物相关实验活动的批准文件，向实验室提供高致病性病原微生物菌（毒）种和样本，并予以登记。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实验室在相关实验活动结束后，应当依照国务院卫生主管部门或者兽医主管部门的规定，及时将病原微生物菌（毒）种和样本就地销毁或者送交保藏机构保管。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保藏机构接受实验室送交的病原微生物菌（毒）种和样本，应当予以登记，并开具接收证明。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高致病性病原微生物菌（毒）种或者样本在运输、储存中被盗、被抢、丢失、泄漏的，承运单位、护送人、保藏机构应当采取必要的控制措施，并在2小时内分别向承运单位的主管部门、护送人所在单位和保藏机构的主管部门报告，同时向所在地的县级人民政府卫生主管部门或者兽医主管部门报告，发生被盗、被抢、丢失的，还应当向公安机关报告；接到报告的卫生主管部门或者兽医主管部门应当在2小时内向本级人民政府报告，并同时向上级人民政府卫生主管部门或者兽医主管部门和国务院卫生主管部门或者兽医主管部门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人民政府应当在接到报告后2小时内向设区的市级人民政府或者上一级人民政府报告；设区的市级人民政府应当在接到报告后2小时内向省、自治区、直辖市人民政府报告。省、自治区、直辖市人民政府应当在接到报告后1小时内，向国务院卫生主管部门或者兽医主管部门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任何单位和个人发现高致病性病原微生物菌（毒）种或者样本的容器或者包装材料，应当及时向附近的卫生主管部门或者兽医主管部门报告；接到报告的卫生主管部门或者兽医主管部门应当及时组织调查核实，并依法采取必要的控制措施。</w:t>
      </w:r>
    </w:p>
    <w:p>
      <w:pPr>
        <w:pStyle w:val="63"/>
        <w:spacing w:before="218" w:after="218" w:line="412" w:lineRule="exact"/>
        <w:rPr>
          <w:b/>
        </w:rPr>
      </w:pPr>
      <w:r>
        <w:t xml:space="preserve">第三章 </w:t>
      </w:r>
      <w:r>
        <w:rPr>
          <w:rFonts w:hint="eastAsia"/>
        </w:rPr>
        <w:t xml:space="preserve"> </w:t>
      </w:r>
      <w:r>
        <w:t>实验室的设立与管理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国家根据实验室对病原微生物的生物安全防护水平，并依照实验室生物安全国家标准的规定，将实验室分为一级、二级、三级、四级。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新建、改建、扩建三级、四级实验室或者生产、进口移动式三级、四级实验室应当遵守下列规定：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（一）符合国家生物安全实验室体系规划并依法履行有关审批手续；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（二）经国务院科技主管部门审查同意；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（三）符合国家生物安全实验室建筑技术规范；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（四）依照《中华人民共和国环境影响评价法》的规定进行环境影响评价并经环境保护主管部门审查批准；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（五）生物安全防护级别与其拟从事的实验活动相适应。</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所称国家生物安全实验室体系规划，由国务院投资主管部门会同国务院有关部门制定。制定国家生物安全实验室体系规划应当遵循总量控制、合理布局、资源共享的原则，并应当召开听证会或者论证会，听取公共卫生、环境保护、投资管理和实验室管理等方面专家的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三级、四级实验室应当通过实验室国家认可。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认证认可监督管理部门确定的认可机构应当依照实验室生物安全国家标准以及本条例的有关规定，对三级、四级实验室进行认可；实验室通过认可的，颁发相应级别的生物安全实验室证书。证书有效期为5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一级、二级实验室不得从事高致病性病原微生物实验活动。三级、四级实验室从事高致病性病原微生物实验活动，应当具备下列条件：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（一）实验目的和拟从事的实验活动符合国务院卫生主管部门或者兽医主管部门的规定；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（二）通过实验室国家认可；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（三）具有与拟从事的实验活动相适应的工作人员；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（四）工程质量经建筑主管部门依法检测验收合格。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  三级、四级实验室</w:t>
      </w:r>
      <w:r>
        <w:rPr>
          <w:rFonts w:asciiTheme="minorEastAsia" w:hAnsiTheme="minorEastAsia" w:eastAsiaTheme="minorEastAsia"/>
          <w:sz w:val="24"/>
          <w:szCs w:val="24"/>
        </w:rPr>
        <w:t>，需要从事某种高致病性病原微生物或者疑似高致病性病原微生物实验活动的，应当依照国务院卫生主管部门或者兽医主管部门的规定报省级以上人民政府卫生主管部门或者兽医主管部门批准。实验活动结果以及工作情况应当向原批准部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验室申报或者接受与高致病性病原微生物有关的科研项目，应当符合科研需要和生物安全要求，具有相应的生物安全防护水平。与动物间传染的高致病性病原微生物有关的科研项目，应当经国务院兽医主管部门同意；与人体健康有关的高致病性病原微生物科研项目，实验室应当将立项结果告知省级以上人民政府卫生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出入境检验检疫机构、医疗卫生机构、动物防疫机构在实验室开展检测、诊断工作时，发现高致病性病原微生物或者疑似高致病性病原微生物，需要进一步从事这类高致病性病原微生物相关实验活动的，应当依照本条例的规定经批准同意，并在具备相应条件的实验室中进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专门从事检测、诊断的实验室应当严格依照国务院卫生主管部门或者兽医主管部门的规定，建立健全规章制度，保证实验室生物安全。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省</w:t>
      </w:r>
      <w:r>
        <w:rPr>
          <w:rFonts w:asciiTheme="minorEastAsia" w:hAnsiTheme="minorEastAsia" w:eastAsiaTheme="minorEastAsia"/>
          <w:spacing w:val="-4"/>
          <w:sz w:val="24"/>
          <w:szCs w:val="24"/>
        </w:rPr>
        <w:t>级以上人民政府卫生主管部门或者兽医主管部门应当自收到需要从事高致病性病原微生物相关实验活动的申请之日起15日内作出是否批准的决定。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出入境检验检疫机构为了检验检疫工作的紧急需要，申请在实验室对高致病性病原微生物或者疑似高致病性病原微生物开展进一步实验活动的，省级以上人民政府卫生主管部门或者兽医主管部门应当自收到申请之时起2小时内作出是否批准的决定；2小时内未作出决定的，实验室可以从事相应的实验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省级以上人民政府卫生主管部门或者兽医主管部门应当为申请人通过电报、电传、传真、电子数据交换和电子邮件等方式提出申请提供方便。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新建、改建或者扩建一级、二级实验室，应当向设区的市级人民政府卫生主管部门或者兽医主管部门备案。设区的市级人民政府卫生主管部门或者兽医主管部门应当每年将备案情况汇总后报省、自治区、直辖市人民政府卫生主管部门或者兽医主管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国务院卫生主管部门和兽医主管部门应当定期汇总并互相通报实验室数量和实验室设立、分布情况，以及三级、四级实验室从事高致病性病原微生物实验活动的情况。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已经建成并通过实验室国家认可的三级、四级实验室应当向所在地的县级人民政府环境保护主管部门备案。环境保护主管部门依照法律、行政法规的规定对实验室排放的废水、废气和其他废物处置情况进行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对我国尚未发现或者已经宣布消灭的病原微生物，任何单位和个人未经批准不得从事相关实验活动。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为了预防、控制传染病，需要从事前款所指病原微生物相关实验活动的，应当经国务院卫生主管部门或者兽医主管部门批准，并在批准部门指定的专业实验室中进行。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实验室使用新技术、新方法从事高致病性病原微生物相关实验活动的，应当符合防止高致病性病原微生物扩散、保证生物安全和操作者人身安全的要求，并经国家病原微生物实验室生物安全专家委员会论证；经论证可行的，方可使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需要在动物体上从事高致病性病原微生物相关实验活动的，应当在符合动物实验室生物安全国家标准的三级以上实验室进行。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实验室的设立单位负责实验室的生物安全管理。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实验室的设立单位应当依照本条例的规定制定科学、严格的管理制度，并定期对有关生物安全规定的落实情况进行检查，定期对实验室设施、设备、材料等进行检查、维护和更新，以确保其符合国家标准。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实验室的设立单位及其主管部门应当加强对实验室日常活动的管理。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实验室负责人为实验室生物安全的第一责任人。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实验室从事实验活动应当严格遵守有关国家标准和实验室技术规范、操作规程。实验室负责人应当指定专人监督检查实验室技术规范和操作规程的落实情况。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从事高致病性病原微生物相关实验活动的实验室的设立单位，应当建立健全安全保卫制度</w:t>
      </w:r>
      <w:r>
        <w:rPr>
          <w:rFonts w:asciiTheme="minorEastAsia" w:hAnsiTheme="minorEastAsia" w:eastAsiaTheme="minorEastAsia"/>
          <w:spacing w:val="-4"/>
          <w:sz w:val="24"/>
          <w:szCs w:val="24"/>
        </w:rPr>
        <w:t>，采取安全保卫措施，严防高致病性病原微生物被盗、被抢、丢失、泄漏，保障实验室及其病原微生物的安全。实验室发生高致病性病原微生物被盗、被抢、丢失、泄漏的，实验室的设立单位应当依照本条例第十七条的规定进行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从事高致病性病原微生物相关实验活动的实验室应当向当地公安机关备案，并接受公安机关有关实验室安全保卫工作的监督指导。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实验室或者实验室的设立单位应当每年定期对工作人员进行培训，保证其掌握实验室技术规范、操作规程、生物安全防护知识和实际操作技能，并进行考核。工作人员经考核合格的，方可上岗。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从事高致病性病原微生物相关实验活动的实验室，应当每半年将培训、考核其工作人员的情况和实验室运行情况向省、自治区、直辖市人民政府卫生主管部门或者兽医主管部门报告。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从事高致病性病原微生物相关实验活动应当有2名以上的工作人员共同进行。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入从事高致病性病原微生物相关实验活动的实验室的工作人员或者其他有关人员，应当经实验室负责人批准。实验室应当为其提供符合防护要求的防护用品并采取其他职业防护措施。从事高致病性病原微生物相关实验活动的实验室，还应当对实验室工作人员进行健康监测，每年组织对其进行体检，并建立健康档案；必要时，应当对实验室工作人员进行预防接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在同一个实验室的同一个独立安全区域内，只能同时从事一种高致病性病原微生物的相关实验活动。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实验室应当建立实验档案，记录实验室使用情况和安全监督情况。实验室从事高致病性病原微生物相关实验活动的实验档案保存期，不得少于20年。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实验室应当依照环境保护的有关法律、行政法规和国务院有关部门的规定，对废水、废气以及其他废物进行处置，并制定相应的环境保护措施，防止环境污染。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三级、四级实验室应当在明显位置标示国务院卫生主管部门和兽医主管部门规定的生物危险标识和生物安全实验室级别标志。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从事高致病性病原微生物相关实验活动的实验室应当制定实验室感染应急处置预案，并向该实验室所在地的省、自治区、直辖市人民政府卫生主管部门或者兽医主管部门备案。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国务院卫生主管部门和兽医主管部门会同国务院有关部门组织病原学、免疫学、检验医学、流行病学、预防兽医学、环境保护和实验室管理等方面的专家，组成国家病原微生物实验室生物安全专家委员会。该委员会承担从事高致病性病原微生物相关实验活动的实验室的设立与运行的生物安全评估和技术咨询、论证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卫生主管部门和兽医主管部门会同同级人民政府有关部门组织病原学、免疫学、检验医学、流行病学、预防兽医学、环境保护和实验室管理等方面的专家，组成本地区病原微生物实验室生物安全专家委员会。该委员会承担本地区实验室设立和运行的技术咨询工作。</w:t>
      </w:r>
    </w:p>
    <w:p>
      <w:pPr>
        <w:pStyle w:val="63"/>
        <w:spacing w:before="218" w:after="218" w:line="412" w:lineRule="exact"/>
        <w:rPr>
          <w:b/>
        </w:rPr>
      </w:pPr>
      <w:r>
        <w:t xml:space="preserve">第四章 </w:t>
      </w:r>
      <w:r>
        <w:rPr>
          <w:rFonts w:hint="eastAsia"/>
        </w:rPr>
        <w:t xml:space="preserve"> </w:t>
      </w:r>
      <w:r>
        <w:t>实验室感染控制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实验室的设立单位应当指定专门的机构或者人员承担实验室感染控制工作，定期检查实验室的生物安全防护、病原微生物菌（毒）种和样本保存与使用、安全操作、实验室排放的废水和废气以及其他废物处置等规章制度的实施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负责实验室感染控制工作的机构或者人员应当具有与该实验室中的病原微生物有关的传染病防治知识，并定期调查、了解实验室工作人员的健康状况。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实验室工作人员出现与本实验室从事的高致病性病原微生物相关实验活动有关的感染临床症状或者体征时，实验室负责人应当向负责实验室感染控制工作的机构或者人员报告，同时派专人陪同及时就诊；实验室工作人员应当将近期所接触的病原微生物的种类和危险程度如实告知诊治医疗机构。接诊的医疗机构应当及时救治；不具备相应救治条件的，应当依照规定将感染的实验室工作人员转诊至具备相应传染病救治条件的医疗机构；具备相应传染病救治条件的医疗机构应当接诊治疗，不得拒绝救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实验发生高致病性病原微生物泄漏时，实验室工作人员应当立即采取控制措施，防止高致病性病原微生物扩散，并同时向负责实验室感染控制工作的机构或者人员报告。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负责实验室感染控制工作的机构或者人员接到本条例第四十三条、第四十四条规定的报告后，应当立即启动实验室感染应急处置预案，并组织人员对该实验室生物安全状况等情况进行调查；确认发生实验室感染或者高致病性病原微生物泄漏的，应当依照本条例第十七条的规定进行报告，并同时采取控制措施，对有关人员进行医学观察或者隔离治疗，封闭实验室，防止扩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卫生主管部门或者兽医主管部门接到关于实验室发生工作人员感染事故或者病原微生物泄漏事件的报告，或者发现实验室从事病原微生物相关实验活动造成实验室感染事故的，应当立即组织疾病预防控制机构、动物防疫监督机构和医疗机构以及其他有关机构依法采取下列预防、控制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（一）封闭被病原微生物污染的实验室或者可能造成病原微生物扩散的场所；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（二）开展流行病学调查；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（三）对病人进行隔离治疗，对相关人员进行医学检查；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（四）对密切接触者进行医学观察；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（五）进行现场消毒；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（六）对染疫或者疑似染疫的动物采取隔离、扑杀等措施；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（七）其他需要采取的预防、控制措施。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医疗机构或者兽医医疗机构及其执行职务的医务人员发现由于实验室感染而引起的与高致病性病原微生物相关的传染病病人、疑似传染病病人或者患有疫病、疑似患有疫病的动物，诊治的医疗机构或者兽医医疗机构应当在2小时内报告所在地的县级人民政府卫生主管部门或者兽医主管部门；接到报告的卫生主管部门或者兽医主管部门应当在2小时内通报实验室所在地的县级人民政府卫生主管部门或者兽医主管部门。接到通报的卫生主管部门或者兽医主管部门应当依照本条例第四十六条的规定采取预防、控制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发生病原微生物扩散，有可能造成传染病暴发、流行时，县级以上人民政府卫生主管部门或者兽医主管部门应当依照有关法律、行政法规的规定以及实验室感染应急处置预案进行处理。</w:t>
      </w:r>
    </w:p>
    <w:p>
      <w:pPr>
        <w:pStyle w:val="63"/>
        <w:spacing w:before="218" w:after="218" w:line="412" w:lineRule="exact"/>
        <w:rPr>
          <w:b/>
        </w:rPr>
      </w:pPr>
      <w:r>
        <w:t>第五章</w:t>
      </w:r>
      <w:r>
        <w:rPr>
          <w:rFonts w:hint="eastAsia"/>
        </w:rPr>
        <w:t xml:space="preserve"> </w:t>
      </w:r>
      <w:r>
        <w:t xml:space="preserve"> 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县级以上地方人民政府卫生主管部门、兽医主管部门依照各自分工，履行下列职责：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（一）对病原微生物菌（毒）种、样本的采集、运输、储存进行监督检查；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（二）对从事高致病性病原微生物相关实验活动的实验室是否符合本条例规定的条件进行监督检查；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（三）对实验室或者实验室的设立单位培训、考核其工作人员以及上岗人员的情况进行监督检查；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（四）对实验室是否按照有关国家标准、技术规范和操作规程从事病原微生物相关实验活动进行监督检查。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县级以上地方人民政府卫生主管部门、兽医主管部门，应当主要通过检查反映实验室执行国家有关法律、行政法规以及国家标准和要求的记录、档案、报告，切实履行监督管理职责。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县级以上人民政府卫生主管部门、兽医主管部门、环境保护主管部门在履行监督检查职责时，有权进入被检查单位和病原微生物泄漏或者扩散现场调查取证、采集样品，查阅复制有关资料。需要进入从事高致病性病原微生物相关实验活动的实验室调查取证、采集样品的，应当指定或者委托专业机构实施。被检查单位应当予以配合，不得拒绝、阻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国务院认证认可监督管理部门依照《中华人民共和国认证认可条例》的规定对实验室认可活动进行监督检查。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卫生主管部门、兽医主管部门、环境保护主管部门应当依据法定的职权和程序履行职责，做到公正、公平、公开、文明、高效。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卫生主管部门、兽医主管部门、环境保护主管部门的执法人员执行职务时，应当有2名以上执法人员参加，出示执法证件，并依照规定填写执法文书。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现场检查笔录、采样记录等文书经核对无误后，应当由执法人员和被检查人、被采样人签名。被检查人、被采样人拒绝签名的，执法人员应当在自己签名后注明情况。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卫生主管部门、兽医主管部门、环境保护主管部门及其执法人员执行职务，应当自觉接受社会和公民的监督。公民、法人和其他组织有权向上级人民政府及其卫生主管部门、兽医主管部门、环境保护主管部门举报地方人民政府及其有关主管部门不依照规定履行职责的情况。接到举报的有关人民政府或者其卫生主管部门、兽医主管部门、环境保护主管部门，应当及时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上级人民政府卫生主管部门、兽医主管部门、环境保护主管部门发现属于下级人民政府卫生主管部门、兽医主管部门、环境保护主管部门职责范围内需要处理的事项的，应当及时告知该部门处理；下级人民政府卫生主管部门、兽医主管部门、环境保护主管部门不及时处理或者不积极履行本部门职责的，上级人民政府卫生主管部门、兽医主管部门、环境保护主管部门应当责令其限期改正；逾期不改正的，上级人民政府卫生主管部门、兽医主管部门、环境保护主管部门有权直接予以处理。</w:t>
      </w:r>
    </w:p>
    <w:p>
      <w:pPr>
        <w:pStyle w:val="63"/>
        <w:spacing w:before="218" w:after="218" w:line="412" w:lineRule="exact"/>
        <w:rPr>
          <w:b/>
        </w:rPr>
      </w:pPr>
      <w:r>
        <w:t xml:space="preserve">第六章 </w:t>
      </w:r>
      <w:r>
        <w:rPr>
          <w:rFonts w:hint="eastAsia"/>
        </w:rPr>
        <w:t xml:space="preserve"> </w:t>
      </w:r>
      <w:r>
        <w:t>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三级、四级实验室未经批准从事某种高致病性病原微生物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卫生主管部门或者兽医主管部门违反本条例的规定，准予不符合本条例规定条件的实验室从事高致病性病原微生物相关实验活动的，由作出批准决定的卫生主管部门或者兽医主管部门撤销原批准决定，责令有关实验室立即停止有关活动，并监督其将用于实验活动的病原微生物销毁或者送交保藏机构，对直接负责的主管人员和其他直接责任人员依法给予行政处分；构成犯罪的，依法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因违法作出批准决定给当事人的合法权益造成损害的，作出批准决定的卫生主管部门或者兽医主管部门应当依法承担赔偿责任。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卫生主管部门或者兽医主管部门对出入境检验检疫机构为了检验检疫工作的紧急需要，申请在实验室对高致病性病原微生物或者疑似高致病性病原微生物开展进一步检测活动，不在法定期限内作出是否批准决定的，由其上级行政机关或者监察机关责令改正，给予警告；造成传染病传播、流行或者其他严重后果的，对直接负责的主管人员和其他直接责任人员依法给予撤职、开除的行政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（一）未依照规定在明显位置标示国务院卫生主管部门和兽医主管部门规定的生物危险标识和生物安全实验室级别标志的；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（二）未向原批准部门报告实验活动结果以及工作情况的；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（三）未依照规定采集病原微生物样本，或者对所采集样本的来源、采集过程和方法等未作详细记录的；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（四）新建、改建或者扩建一级、二级实验室未向设区的市级人民政府卫生主管部门或者兽医主管部门备案的；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（五）未依照规定定期对工作人员进行培训，或者工作人员考核不合格允许其上岗，或者批准未采取防护措施的人员进入实验室的；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（六）实验室工作人员未遵守实验室生物安全技术规范和操作规程的；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（七）未依照规定建立或者保存实验档案的；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（八）未依照规定制定实验室感染应急处置预案并备案的。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经依法批准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责令停止该项实验活动，该实验室2年内不得申请从事高致病性病原微生物实验活动；造成传染病传播、流行的，该实验室设立单位的主管部门还应当对该实验室的设立单位的直接负责的主管人员和其他直接责任人员，依法给予降级、撤职、开除的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（一）实验室在相关实验活动结束后，未依照规定及时将病原微生物菌（毒）种和样本就地销毁或者送交保藏机构保管的；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（二）实验室使用新技术、新方法从事高致病性病原微生物相关实验活动未经国家病原微生物实验室生物安全专家委员会论证的；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（三）未经批准擅自从事在我国尚未发现或者已经宣布消灭的病原微生物相关实验活动的；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（四）在未经指定的专业实验室从事在我国尚未发现或者已经宣布消灭的病原微生物相关实验活动的；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（五）在同一个实验室的同一个独立安全区域内同时从事两种或者两种以上高致病性病原微生物的相关实验活动的。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认可机构对不符合实验室生物安全国家标准以及本条例规定条件的实验室予以认可，或者对符合实验室生物安全国家标准以及本条例规定条件的实验室不予认可的，由国务院认证认可监督管理部门责令限期改正，给予警告；造成传染病传播、流行或者其他严重后果的，由国务院认证认可监督管理部门撤销其认可资格，有上级主管部门的，由其上级主管部门对主要负责人、直接负责的主管人员和其他直接责任人员依法给予撤职、开除的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发生病原微生物被盗、被抢、丢失、泄漏，承运单位、护送人、保藏机构和实验室的设立单位未依照本条例的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予撤职、开除的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保藏机构未依照规定储存实验室送交的菌（毒）种和样本，或者未依照规定提供菌（毒）种和样本的，由其指定部门责令限期改正，收回违法提供的菌（毒）种和样本，并给予警告；造成传染病传播、流行或者其他严重后果的，由其所在单位或者其上级主管部门对主要负责人、直接负责的主管人员和其他直接责任人员，依法给予撤职、开除的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pStyle w:val="63"/>
        <w:spacing w:before="218" w:after="218" w:line="412" w:lineRule="exact"/>
        <w:rPr>
          <w:b/>
        </w:rPr>
      </w:pPr>
      <w:r>
        <w:t xml:space="preserve">第七章 </w:t>
      </w:r>
      <w:r>
        <w:rPr>
          <w:rFonts w:hint="eastAsia"/>
        </w:rPr>
        <w:t xml:space="preserve"> </w:t>
      </w:r>
      <w:r>
        <w:t xml:space="preserve">附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军队实验室由中国人民解放军卫生主管部门参照本条例负责监督管理。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本条例施行前设立的实验室，应当自本条例施行之日起6个月内，依照本条例的规定，办理有关手续。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本条例自公布之日起施行。</w:t>
      </w:r>
      <w:r>
        <w:rPr>
          <w:rFonts w:asciiTheme="minorEastAsia" w:hAnsiTheme="minorEastAsia" w:eastAsiaTheme="minorEastAsia"/>
          <w:sz w:val="24"/>
          <w:szCs w:val="24"/>
        </w:rPr>
        <w:br w:type="page"/>
      </w:r>
      <w:bookmarkStart w:id="1043" w:name="_Toc20847"/>
      <w:bookmarkStart w:id="1044" w:name="_Toc466579847"/>
      <w:bookmarkStart w:id="1045" w:name="_Toc21450050"/>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46" w:name="_Toc26348018"/>
      <w:bookmarkStart w:id="1047" w:name="_Toc28250968"/>
      <w:bookmarkStart w:id="1048" w:name="_Toc25648262"/>
      <w:bookmarkStart w:id="1049" w:name="_Toc25653758"/>
      <w:bookmarkStart w:id="1050" w:name="_Toc28157040"/>
      <w:bookmarkStart w:id="1051" w:name="_Toc28252244"/>
      <w:r>
        <w:t>动物病原微生物菌（毒）种保藏管理办法</w:t>
      </w:r>
      <w:bookmarkEnd w:id="1043"/>
      <w:bookmarkEnd w:id="1044"/>
      <w:bookmarkEnd w:id="1045"/>
      <w:bookmarkEnd w:id="1046"/>
      <w:bookmarkEnd w:id="1047"/>
      <w:bookmarkEnd w:id="1048"/>
      <w:bookmarkEnd w:id="1049"/>
      <w:bookmarkEnd w:id="1050"/>
      <w:bookmarkEnd w:id="1051"/>
    </w:p>
    <w:p>
      <w:pPr>
        <w:pStyle w:val="62"/>
      </w:pPr>
      <w:r>
        <w:t>（2008年11月26日中华人民共和国农业部令第16号公布，根据2016年5月30日中华人民共和国农业部令第3号公布、自2016年6月1日起施行的《农业部关于废止和修改部分规章、规范性文件的决定》修订）</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为了加强动物病原微生物菌（毒）种和样本保藏管理，依据《中华人民共和国动物防疫法》、《病原微生物实验室生物安全管理条例》和《兽药管理条例》等法律法规，制定本办法。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本办法适用于中华人民共和国境内菌（毒）种和样本的保藏活动及其监督管理。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本办法所称菌（毒）种，是指具有保藏价值的动物细菌、真菌、放线菌、衣原体、支原体、立克次氏体、螺旋体、病毒等微生物。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本办法所称样本，是指人工采集的、经鉴定具有保藏价值的含有动物病原微生物的体液、组织、排泄物、分泌物、污染物等物质。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本办法所称</w:t>
      </w:r>
      <w:r>
        <w:rPr>
          <w:rFonts w:asciiTheme="minorEastAsia" w:hAnsiTheme="minorEastAsia" w:eastAsiaTheme="minorEastAsia"/>
          <w:spacing w:val="4"/>
          <w:sz w:val="24"/>
          <w:szCs w:val="24"/>
        </w:rPr>
        <w:t>保藏机构，是指承担菌（毒）种和样本保藏任务，并向合法从事动物病原微生物相关活动的实验室或者兽用生物制品企业提供菌（毒）种或者样本的单位。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菌（毒）种和样本的分类按照《动物病原微生物分类名录》的规定执行。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农业部主管全国菌（毒）种和样本保藏管理工作。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县级以上地方人民政府兽医主管部门负责本行政区域内的菌（毒）种和样本保藏监督管理工作。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国家对实验活动用菌（毒）种和样本实行集中保藏，保藏机构以外的任何单位和个人不得保藏菌（毒）种或者样本。</w:t>
      </w:r>
    </w:p>
    <w:p>
      <w:pPr>
        <w:pStyle w:val="63"/>
        <w:spacing w:before="218" w:after="218" w:line="412" w:lineRule="exact"/>
        <w:rPr>
          <w:b/>
        </w:rPr>
      </w:pPr>
      <w:r>
        <w:t>第二章  保藏机构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保藏机构分为国家级保藏中心和省级保藏中心。保藏机构由农业部指定。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保藏机构保藏的菌（毒）种和样本的种类由农业部核定。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保藏机构应当具备以下条件：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（一）符合国家关于保藏机构设立的整体布局和实际需要；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满足菌（毒）种和样本保藏需要的设施设备；保藏高致病性动物病原微生物菌（毒）种或者样本的，应当具有相应级别的高等级生物安全实验室，并依法取得《高致病性动物病原微生物实验室资格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（三）有满足保藏工作要求的工作人员；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（四）有完善的菌（毒）种和样本保管制度、安全保卫制度；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（五）有满足保藏活动需要的经费。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保藏机构的职责：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（一）负责菌（毒）种和样本的收集、筛选、分析、鉴定和保藏；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（二）开展菌（毒）种和样本的分类与保藏新方法、新技术研究；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（三）建立菌（毒）种和样本数据库；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（四）向合法从事动物病原微生物实验活动的实验室或者兽用生物制品生产企业提供菌（毒）种或者样本。</w:t>
      </w:r>
    </w:p>
    <w:p>
      <w:pPr>
        <w:pStyle w:val="63"/>
        <w:spacing w:before="218" w:after="218" w:line="412" w:lineRule="exact"/>
        <w:rPr>
          <w:b/>
        </w:rPr>
      </w:pPr>
      <w:r>
        <w:t>第三章  菌（毒）种和样本的收集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从事动物疫情监测、疫病诊断、检验检疫和疫病研究等活动的单位和个人，应当及时将研究、教学、检测、诊断等实验活动中获得的具有保藏价值的菌（毒）种和样本，送交保藏机构鉴定和保藏，并提交菌（毒）种和样本的背景资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保藏机构可以向国内有关单位和个人索取需要保藏的菌（毒）种和样本。</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保藏机构应当向提供菌（毒）种和样本的单位和个人出具接收证明。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保藏机构应当在每年年底前将保藏的菌（毒）种和样本的种类、数量报农业部。</w:t>
      </w:r>
    </w:p>
    <w:p>
      <w:pPr>
        <w:pStyle w:val="63"/>
        <w:spacing w:before="218" w:after="218" w:line="412" w:lineRule="exact"/>
        <w:rPr>
          <w:b/>
        </w:rPr>
      </w:pPr>
      <w:r>
        <w:t>第四章  菌（毒）种和样本的保藏、供应</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保藏机构应当设专库保藏一、二类菌（毒）种和样本，设专柜保藏三、四类菌（毒）种和样本。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保藏机构保藏的菌（毒）种和样本应当分类存放，实行双人双锁管理。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保藏机构应当建立完善的技术资料档案，详细记录所保藏的菌（毒）种和样本的名称、编号、数量、来源、病原微生物类别、主要特性、保存方法等情况。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技术资料档案应当永久保存。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保藏机构应当对保藏的菌（毒）种按时鉴定、复壮，妥善保藏，避免失活。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保藏机构对保藏的菌（毒）种开展鉴定、复壮的，应当按照规定在相应级别的生物安全实验室进行。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保藏机构应当制定实验室安全事故处理应急预案。发生保藏的菌（毒）种或者样本被盗、被抢、丢失、泄漏和实验室人员感染的，应当按照《病原微生物实验室生物安全管理条例》的规定及时报告、启动预案，并采取相应的处理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实验室和兽用生物制品生产企业需要使用菌（毒）种或者样本的，应当向保藏机构提出申请。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保藏机构应当按照以下规定提供菌（毒）种或者样本：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（一）提供高致病性动物病原微生物菌（毒）种或者样本的，查验从事高致病性动物病原微生物相关实验活动的批准文件；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（二）提供兽用生物制品生产和检验用菌（毒）种或者样本的，查验兽药生产批准文号文件；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（三）提供三、四类菌（毒）种或者样本的，查验实验室所在单位出具的证明。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保藏机构应当留存前款规定的证明文件的原件或者复印件。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保</w:t>
      </w:r>
      <w:r>
        <w:rPr>
          <w:rFonts w:asciiTheme="minorEastAsia" w:hAnsiTheme="minorEastAsia" w:eastAsiaTheme="minorEastAsia"/>
          <w:spacing w:val="4"/>
          <w:sz w:val="24"/>
          <w:szCs w:val="24"/>
        </w:rPr>
        <w:t>藏机构提供菌（毒）种或者样本时，应当进行登记，详细记录所提供的菌（毒）种或者样本的名称、数量、时间以及发放人、领取人、使用单位名称等。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保藏机构应当对具有知识产权的菌（毒）种承担相应的保密责任。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保藏机构提供具有知识产权的菌（毒）种或者样本的，应当经原提供者或者持有人的书面同意。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保藏机构提供的菌（毒）种或者样本应当附有标签，标明菌（毒）种名称、编号、移植和冻干日期等。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保藏机构保藏菌（毒）种或者样本所需费用由同级财政在单位预算中予以保障。</w:t>
      </w:r>
    </w:p>
    <w:p>
      <w:pPr>
        <w:pStyle w:val="63"/>
        <w:spacing w:before="218" w:after="218" w:line="412" w:lineRule="exact"/>
        <w:rPr>
          <w:b/>
        </w:rPr>
      </w:pPr>
      <w:r>
        <w:t>第五章  菌（毒）种和样本的销毁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有下列情形之一的，保藏机构应当组织专家论证，提出销毁菌（毒）种或者样本的建议：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（一）国家规定应当销毁的；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（二）有证据表明已丧失生物活性或者被污染，已不适于继续使用的；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（三）无继续保藏价值的。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保藏机</w:t>
      </w:r>
      <w:r>
        <w:rPr>
          <w:rFonts w:asciiTheme="minorEastAsia" w:hAnsiTheme="minorEastAsia" w:eastAsiaTheme="minorEastAsia"/>
          <w:spacing w:val="6"/>
          <w:sz w:val="24"/>
          <w:szCs w:val="24"/>
        </w:rPr>
        <w:t>构销毁一、二类菌（毒）种和样本的，应当经农业部批准；销毁三、四类菌（毒）种和样本的，应当经保藏机构负责人批准，并报农业部备案。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保藏机构销毁菌（毒）种和样本的，应当在实施销毁30日前书面告知原提供者。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保藏机构销毁菌（毒）种和样本的，应当制定销毁方案，注明销毁的原因、品种、数量，以及销毁方式方法、时间、地点、实施人和监督人等。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保藏机构销毁菌（毒）种和样本时，应当使用可靠的销毁设施和销毁方法，必要时应当组织开展灭活效果验证和风险评估。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保藏机构销毁菌（毒）种和样本的，应当做好销毁记录，经销毁实施人、监督人签字后存档，并将销毁情况报农业部。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实验室在相关实验活动结束后，应当按照规定及时将菌（毒）种和样本就地销毁或者送交保藏机构保管。</w:t>
      </w:r>
    </w:p>
    <w:p>
      <w:pPr>
        <w:pStyle w:val="63"/>
        <w:spacing w:before="218" w:after="218" w:line="412" w:lineRule="exact"/>
        <w:rPr>
          <w:b/>
        </w:rPr>
      </w:pPr>
      <w:r>
        <w:t>第六章  菌（毒）种和样本的对外交流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国家对菌（毒）种和样本对外交流实行认定审批制度。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从国外引进和向国外提供菌（毒）种或者样本的，应当报农业部批准。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从国外引进菌（毒）种或者样本的单位，应当在引进菌（毒）种或者样本后6个月内，将备份及其背景资料，送交保藏机构。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引进单位应当在相关活动结束后，及时将菌（毒）种和样本就地销毁。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出口《生物两用品及相关设备和技术出口管制清单》所列的菌（毒）种或者样本的，还应当按照《生物两用品及相关设备和技术出口管制条例》的规定取得生物两用品及相关设备和技术出口许可证件。</w:t>
      </w:r>
    </w:p>
    <w:p>
      <w:pPr>
        <w:pStyle w:val="63"/>
        <w:spacing w:before="218" w:after="218" w:line="412" w:lineRule="exact"/>
        <w:rPr>
          <w:b/>
        </w:rPr>
      </w:pPr>
      <w:r>
        <w:t>第七章  罚</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违反本办法规定，保藏或者提供菌（毒）种或者样本的，由县级以上地方人民政府兽医主管部门责令其将菌（毒）种或者样本销毁或者送交保藏机构；拒不销毁或者送交的，对单位处一万元以上三万元以下罚款，对个人处五百元以上一千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违反本办法规定，未及时向保藏机构提供菌（毒）种或者样本的，由县级以上地方人民政府兽医主管部门责令改正；拒不改正的，对单位处一万元以上三万元以下罚款，对个人处五百元以上一千元以下罚款。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违反本办法规定，未经农业部批准，从国外引进或者向国外提供菌（毒）种或者样本的，由县级以上地方人民政府兽医主管部门责令其将菌（毒）种或者样本销毁或者送交保藏机构，并对单位处一万元以上三万元以下罚款，对个人处五百元以上一千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保藏机构违反本办法规定的，由农业部责令改正；情节严重的，取消保藏机构资格。</w:t>
      </w:r>
    </w:p>
    <w:p>
      <w:pPr>
        <w:pStyle w:val="63"/>
        <w:spacing w:before="218" w:after="218" w:line="412" w:lineRule="exact"/>
        <w:rPr>
          <w:b/>
        </w:rPr>
      </w:pPr>
      <w:r>
        <w:t>第八章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本办法自2009年1月1日起施行。1980年11月25日农业部发布的《兽医微生物菌种保藏管理试行办法》（农〔牧〕字第181号）同时废止。</w:t>
      </w: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asciiTheme="minorEastAsia" w:hAnsiTheme="minorEastAsia"/>
          <w:sz w:val="24"/>
          <w:szCs w:val="24"/>
        </w:rPr>
        <w:sectPr>
          <w:headerReference r:id="rId31" w:type="default"/>
          <w:footerReference r:id="rId33" w:type="default"/>
          <w:headerReference r:id="rId32" w:type="even"/>
          <w:footerReference r:id="rId34" w:type="even"/>
          <w:pgSz w:w="12247" w:h="17180"/>
          <w:pgMar w:top="1814" w:right="1701" w:bottom="1701" w:left="1701" w:header="851" w:footer="1134" w:gutter="0"/>
          <w:cols w:space="425" w:num="1"/>
          <w:docGrid w:type="lines" w:linePitch="312" w:charSpace="0"/>
        </w:sectPr>
      </w:pPr>
    </w:p>
    <w:p>
      <w:pPr>
        <w:pStyle w:val="3"/>
        <w:topLinePunct/>
        <w:spacing w:line="416" w:lineRule="exact"/>
        <w:ind w:firstLine="480"/>
        <w:rPr>
          <w:rFonts w:asciiTheme="minorEastAsia" w:hAnsiTheme="minorEastAsia" w:eastAsia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bookmarkStart w:id="1052" w:name="_Toc18917245"/>
      <w:bookmarkStart w:id="1053" w:name="_Toc12960345"/>
      <w:bookmarkStart w:id="1054" w:name="_Toc12960516"/>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1055" w:name="_Toc28252245"/>
      <w:bookmarkStart w:id="1056" w:name="_Toc25653759"/>
      <w:bookmarkStart w:id="1057" w:name="_Toc25648263"/>
      <w:r>
        <w:t>八、渔</w:t>
      </w:r>
      <w:r>
        <w:rPr>
          <w:rFonts w:hint="eastAsia"/>
        </w:rPr>
        <w:t xml:space="preserve">  </w:t>
      </w:r>
      <w:r>
        <w:t>业</w:t>
      </w:r>
      <w:bookmarkEnd w:id="1055"/>
      <w:bookmarkEnd w:id="1056"/>
      <w:bookmarkEnd w:id="1057"/>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58" w:name="_Toc26348019"/>
      <w:bookmarkStart w:id="1059" w:name="_Toc25648264"/>
      <w:bookmarkStart w:id="1060" w:name="_Toc25653760"/>
      <w:bookmarkStart w:id="1061" w:name="_Toc28252246"/>
      <w:bookmarkStart w:id="1062" w:name="_Toc28250969"/>
      <w:bookmarkStart w:id="1063" w:name="_Toc28157041"/>
      <w:r>
        <w:t>中华人民共和国渔业法</w:t>
      </w:r>
      <w:bookmarkEnd w:id="1052"/>
      <w:bookmarkEnd w:id="1053"/>
      <w:bookmarkEnd w:id="1054"/>
      <w:bookmarkEnd w:id="1058"/>
      <w:bookmarkEnd w:id="1059"/>
      <w:bookmarkEnd w:id="1060"/>
      <w:bookmarkEnd w:id="1061"/>
      <w:bookmarkEnd w:id="1062"/>
      <w:bookmarkEnd w:id="1063"/>
    </w:p>
    <w:p>
      <w:pPr>
        <w:pStyle w:val="62"/>
      </w:pPr>
      <w:r>
        <w:t>（</w:t>
      </w:r>
      <w:r>
        <w:rPr>
          <w:rFonts w:hint="eastAsia"/>
        </w:rPr>
        <w:t>1986年1月20日中华人民共和国主席令第34号公布，根据2000年10月31日第九届全国人民代表大会常务委员会第十八次会议第一次修订，根据2004年8月28日中华人民共和国主席令第25号第二次修订，根据2009年8月27日中华人民共和国主席令第18号第三次修正，根据2013年12月28日中华人民共和国主席令第8号第四次修正</w:t>
      </w:r>
      <w:r>
        <w:t>）</w:t>
      </w:r>
    </w:p>
    <w:p>
      <w:pPr>
        <w:pStyle w:val="63"/>
        <w:spacing w:before="218" w:after="218" w:line="412" w:lineRule="exact"/>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asciiTheme="minorEastAsia" w:hAnsiTheme="minorEastAsia" w:eastAsiaTheme="minorEastAsia"/>
          <w:sz w:val="24"/>
          <w:szCs w:val="24"/>
        </w:rPr>
        <w:t xml:space="preserve">  为了加强渔业资源的保护、增殖、开发和合理利用，发展人工养殖，保障渔业生产者的合法权益，促进渔业生产的发展，适应社会主义建设和人民生活的需要，特制定本法。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在中华人民共和国的内水、滩涂、领海、专属经济区以及中华人民共和国管辖的一切其他海域从事养殖和捕捞水生动物、水生植物等渔业生产活动，都必须遵守本法。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国家对渔业生产实行以养殖为主，养殖、捕捞、加工并举，因地制宜，各有侧重的方针。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各级人民政府应当把渔业生产纳入国民经济发展计划，采取措施，加强水域的统一规划和综合利用。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国家鼓励渔业科学技术研究，推广先进技术，提高渔业科学技术水平。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在增殖和保护渔业资源、发展渔业生产、进行渔业科学技术研究等方面成绩显著的单位和个人，由各级人民政府给予精神的或者物质的奖励。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国务院渔业行政主管部门主管全国的渔业工作。县级以上地方人民政府渔业行政主管部门主管本行政区域内的渔业工作。县级以上人民政府渔业行政主管部门可以在重要渔业水域、渔港设渔政监督管理机构。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县级以上人民政府渔业行政主管部门及其所属的渔政监督管理机构可以设渔政检查人员。渔政检查人员执行渔业行政主管部门及其所属的渔政监督管理机构交付的任务。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国家对渔业的监督管理，实行统一领导、分级管理。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海洋渔业，除国务院划定由国务院渔业行政主管部门及其所属的渔政监督管理机构监督管理的海域和特定渔业资源渔场外，由毗邻海域的省、自治区、直辖市人民政府渔业行政主管部门监督管理。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江河、湖泊等水域的渔业，按照行政区划由有关县级以上人民政府渔业行政主管部门监督管理；跨行政区域的，由有关县级以上地方人民政府协商制定管理办法，或者由上一级人民政府渔业行政主管部门及其所属的渔政监督管理机构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asciiTheme="minorEastAsia" w:hAnsiTheme="minorEastAsia" w:eastAsiaTheme="minorEastAsia"/>
          <w:sz w:val="24"/>
          <w:szCs w:val="24"/>
        </w:rPr>
        <w:t xml:space="preserve">  外国人、外国渔业船舶进入中华人民共和国管辖水域，从事渔业生产或者渔业资源调查活动，必须经国务院有关主管部门批准，并遵守本法和中华人民共和国其他有关法律、法规的规定；同中华人民共和国订有条约、协定的，按照条约、协定办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国家渔政渔港监督管理机构对外行使渔政渔港监督管理权。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渔业行政主管部门和其所属的渔政监督管理机构及其工作人员不得参与和从事渔业生产经营活动。</w:t>
      </w:r>
    </w:p>
    <w:p>
      <w:pPr>
        <w:pStyle w:val="63"/>
        <w:spacing w:before="218" w:after="218" w:line="412" w:lineRule="exact"/>
      </w:pPr>
      <w:r>
        <w:t>第二章  养殖业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国家鼓励全民所有制单位、集体所有制单位和个人充分利用适于养殖的水域、滩涂，发展养殖业。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国家对水域利用进行统一规划，确定可以用于养殖业的水域和滩涂。单位和个人使用国家规划确定用于养殖业的全民所有的水域、滩涂的，使用者应当向县级以上地方人民政府渔业行政主管部门提出申请，由本级人民政府核发养殖证，许可其使用该水域、滩涂从事养殖生产。核发养殖证的具体办法由国务院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集体所有的或者全民所有由农业集体经济组织使用的水域、滩涂，可以由个人或者集体承包，从事养殖生产。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县级以上地方人民政府在核发养殖证时，应当优先安排当地的渔业生产者。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当事人因使用国家规划确定用于养殖业的水域、滩涂从事养殖生产发生争议的，按照有关法律规定的程序处理。在争议解决以前，任何一方不得破坏养殖生产。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国家建设征收集体所有的水域、滩涂，按照《中华人民共和国土地管理法》有关征地的规定办理。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县级以上地方人民政府应当采取措施，加强对商品鱼生产基地和城市郊区重要养殖水域的保护。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国家鼓励和支持水产优良品种的选育、培育和推广。水产新品种必须经全国水产原种和良种审定委员会审定，由国务院渔业行政主管部门公告后推广。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水产苗种的进口、出口由国务院渔业行政主管部门或者省、自治区、直辖市人民政府渔业行政主管部门审批。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水产苗种的生产由县级以上地方人民政府渔业行政主管部门审批。但是，渔业生产者自育、自用水产苗种的除外。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asciiTheme="minorEastAsia" w:hAnsiTheme="minorEastAsia" w:eastAsiaTheme="minorEastAsia"/>
          <w:sz w:val="24"/>
          <w:szCs w:val="24"/>
        </w:rPr>
        <w:t xml:space="preserve">  水产苗种的进口、出口必须实施检疫，防止病害传入境内和传出境外，具体检疫工作按照有关动植物进出境检疫法律、行政法规的规定执行。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引进转基因水产苗种必须进行安全性评价，具体管理工作按照国务院有关规定执行。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asciiTheme="minorEastAsia" w:hAnsiTheme="minorEastAsia" w:eastAsiaTheme="minorEastAsia"/>
          <w:sz w:val="24"/>
          <w:szCs w:val="24"/>
        </w:rPr>
        <w:t xml:space="preserve">  县级以上人民政府渔业行政主管部门应当加强对养殖生产的技术指导和病害防治工作。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从事养殖生产不得使用含有毒有害物质的饵料、饲料。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从事养殖生产应当保护水域生态环境，科学确定养殖密度，合理投饵、施肥、使用药物，不得造成水域的环境污染。</w:t>
      </w:r>
    </w:p>
    <w:p>
      <w:pPr>
        <w:pStyle w:val="63"/>
        <w:spacing w:before="218" w:after="218" w:line="412" w:lineRule="exact"/>
      </w:pPr>
      <w:r>
        <w:t>第三章  捕捞业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asciiTheme="minorEastAsia" w:hAnsiTheme="minorEastAsia" w:eastAsiaTheme="minorEastAsia"/>
          <w:sz w:val="24"/>
          <w:szCs w:val="24"/>
        </w:rPr>
        <w:t xml:space="preserve">  国家在财政、信贷和税收等方面采取措施，鼓励、扶持远洋捕捞业的发展，并根据渔业资源的可捕捞量，安排内水和近海捕捞力量。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asciiTheme="minorEastAsia" w:hAnsiTheme="minorEastAsia" w:eastAsiaTheme="minorEastAsia"/>
          <w:sz w:val="24"/>
          <w:szCs w:val="24"/>
        </w:rPr>
        <w:t xml:space="preserve">  国家根据捕捞量低于渔业资源增长量的原则，确定渔业资源的总可捕捞量，实行捕捞限额制度。国务院渔业行政主管部门负责组织渔业资源的调查和评估，为实行捕捞限额制度提供科学依据。中华人民共和国内海、领海、专属经济区和其他管辖海域的捕捞限额总量由国务院渔业行政主管部门确定，报国务院批准后逐级分解下达；国家确定的重要江河、湖泊的捕捞限额总量由有关省、自治区、直辖市人民政府确定或者协商确定，逐级分解下达。捕捞限额总量的分配应当体现公平、公正的原则，分配办法和分配结果必须向社会公开，并接受监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国务院渔业行政主管部门和省、自治区、直辖市人民政府渔业行政主管部门应当加强对捕捞限额制度实施情况的监督检查，对超过上级下达的捕捞限额指标的，应当在其次年捕捞限额指标中予以核减。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asciiTheme="minorEastAsia" w:hAnsiTheme="minorEastAsia" w:eastAsiaTheme="minorEastAsia"/>
          <w:sz w:val="24"/>
          <w:szCs w:val="24"/>
        </w:rPr>
        <w:t xml:space="preserve">  国家对捕捞业实行捕捞许可证制度。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政府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捕捞许可证不得买卖、出租和以其他形式转让，不得涂改、伪造、变造。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到他国管辖海域从事捕捞作业的，应当经国务院渔业行政主管部门批准，并遵守中华人民共和国缔结的或者参加的有关条约、协定和有关国家的法律。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asciiTheme="minorEastAsia" w:hAnsiTheme="minorEastAsia" w:eastAsiaTheme="minorEastAsia"/>
          <w:sz w:val="24"/>
          <w:szCs w:val="24"/>
        </w:rPr>
        <w:t xml:space="preserve">  具备下列条件的，方可发给捕捞许可证：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（一）有渔业船舶检验证书；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（二）有渔业船舶登记证书；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（三）符合国务院渔业行政主管部门规定的其他条件。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县级以上地方人民政府渔业行政主管部门批准发放的捕捞许可证，应当与上级人民政府渔业行政主管部门下达的捕捞限额指标相适应。</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asciiTheme="minorEastAsia" w:hAnsiTheme="minorEastAsia" w:eastAsiaTheme="minorEastAsia"/>
          <w:sz w:val="24"/>
          <w:szCs w:val="24"/>
        </w:rPr>
        <w:t xml:space="preserve">  从事捕捞作业的单位和个人，必须按照捕捞许可证关于作业类型、场所、时限、渔具数量和捕捞限额的规定进行作业，并遵守国家有关保护渔业资源的规定，大中型渔船应当填写渔捞日志。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asciiTheme="minorEastAsia" w:hAnsiTheme="minorEastAsia" w:eastAsiaTheme="minorEastAsia"/>
          <w:sz w:val="24"/>
          <w:szCs w:val="24"/>
        </w:rPr>
        <w:t xml:space="preserve">  制造、更新改造、购置、进口的从事捕捞作业的船舶必须经渔业船舶检验部门检验合格后，方可下水作业。具体管理办法由国务院规定。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asciiTheme="minorEastAsia" w:hAnsiTheme="minorEastAsia" w:eastAsiaTheme="minorEastAsia"/>
          <w:sz w:val="24"/>
          <w:szCs w:val="24"/>
        </w:rPr>
        <w:t xml:space="preserve">  渔港建设应当遵守国家的统一规划，实行谁投资谁受益的原则。县级以上地方人民政府应当对位于本行政区域内的渔港加强监督管理，维护渔港的正常秩序。</w:t>
      </w:r>
    </w:p>
    <w:p>
      <w:pPr>
        <w:pStyle w:val="63"/>
        <w:spacing w:before="218" w:after="218" w:line="412" w:lineRule="exact"/>
      </w:pPr>
      <w:r>
        <w:t>第四章  渔业资源的增殖和保护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asciiTheme="minorEastAsia" w:hAnsiTheme="minorEastAsia" w:eastAsiaTheme="minorEastAsia"/>
          <w:sz w:val="24"/>
          <w:szCs w:val="24"/>
        </w:rPr>
        <w:t xml:space="preserve">  县级以上人民政府渔业行政主管部门应当对其管理的渔业水域统一规划，采取措施，增殖渔业资源。县级以上人民政府渔业行政主管部门可以向受益的单位和个人征收渔业资源增殖保护费，专门用于增殖和保护渔业资源。渔业资源增殖保护费的征收办法由国务院渔业行政主管部门会同财政部门制定，报国务院批准后施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asciiTheme="minorEastAsia" w:hAnsiTheme="minorEastAsia" w:eastAsiaTheme="minorEastAsia"/>
          <w:sz w:val="24"/>
          <w:szCs w:val="24"/>
        </w:rPr>
        <w:t xml:space="preserve">  国家保护水产种质资源及其生存环境，并在具有较高经济价值和遗传育种价值的水产种质资源的主要生长繁育区域建立水产种质资源保护区。未经国务院渔业行政主管部门批准，任何单位或者个人不得在水产种质资源保护区内从事捕捞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asciiTheme="minorEastAsia" w:hAnsiTheme="minorEastAsia" w:eastAsiaTheme="minorEastAsia"/>
          <w:sz w:val="24"/>
          <w:szCs w:val="24"/>
        </w:rPr>
        <w:t xml:space="preserve">  禁止使用炸鱼、毒鱼、电鱼等破坏渔业资源的方法进行捕捞。禁止制造、销售、使用禁用的渔具。禁止在禁渔区、禁渔期进行捕捞。禁止使用小于最小网目尺寸的网具进行捕捞。捕捞的渔获物中幼鱼不得超过规定的比例。在禁渔区或者禁渔期内禁止销售非法捕捞的渔获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重点保护的渔业资源品种及其可捕捞标准，禁渔区和禁渔期，禁止使用或者限制使用的渔具和捕捞方法，最小网目尺寸以及其他保护渔业资源的措施，由国务院渔业行政主管部门或者省、自治区、直辖市人民政府渔业行政主管部门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asciiTheme="minorEastAsia" w:hAnsiTheme="minorEastAsia" w:eastAsiaTheme="minorEastAsia"/>
          <w:sz w:val="24"/>
          <w:szCs w:val="24"/>
        </w:rPr>
        <w:t xml:space="preserve">  禁止捕捞有重要经济价值的水生动物苗种。因养殖或者其他特殊需要，捕捞有重要经济价值的苗种或者禁捕的怀卵亲体的，必须经国务院渔业行政主管部门或者省、自治区、直辖市人民政府渔业行政主管部门批准，在指定的区域和时间内，按照限额捕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在水生动物苗种重点产区引水用水时，应当采取措施，保护苗种。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asciiTheme="minorEastAsia" w:hAnsiTheme="minorEastAsia" w:eastAsiaTheme="minorEastAsia"/>
          <w:sz w:val="24"/>
          <w:szCs w:val="24"/>
        </w:rPr>
        <w:t xml:space="preserve">  在鱼、虾、蟹洄游通道建闸、筑坝，对渔业资源有严重影响的，建设单位应当建造过鱼设施或者采取其他补救措施。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asciiTheme="minorEastAsia" w:hAnsiTheme="minorEastAsia" w:eastAsiaTheme="minorEastAsia"/>
          <w:sz w:val="24"/>
          <w:szCs w:val="24"/>
        </w:rPr>
        <w:t xml:space="preserve">  用于渔业并兼有调蓄、灌溉等功能的水体，有关主管部门应当确定渔业生产所需的最低水位线。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asciiTheme="minorEastAsia" w:hAnsiTheme="minorEastAsia" w:eastAsiaTheme="minorEastAsia"/>
          <w:sz w:val="24"/>
          <w:szCs w:val="24"/>
        </w:rPr>
        <w:t xml:space="preserve">  禁止围湖造田。沿海滩涂未经县级以上人民政府批准，不得围垦；重要的苗种基地和养殖场所不得围垦。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asciiTheme="minorEastAsia" w:hAnsiTheme="minorEastAsia" w:eastAsiaTheme="minorEastAsia"/>
          <w:sz w:val="24"/>
          <w:szCs w:val="24"/>
        </w:rPr>
        <w:t xml:space="preserve">  进行水下爆破、勘探、施工作业，对渔业资源有严重影响的，作业单位应当事先同有关县级以上人民政府渔业行政主管部门协商，采取措施，防止或者减少对渔业资源的损害；造成渔业资源损失的，由有关县级以上人民政府责令赔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第三十六条</w:t>
      </w:r>
      <w:r>
        <w:rPr>
          <w:rFonts w:asciiTheme="minorEastAsia" w:hAnsiTheme="minorEastAsia" w:eastAsiaTheme="minorEastAsia"/>
          <w:sz w:val="24"/>
          <w:szCs w:val="24"/>
        </w:rPr>
        <w:t xml:space="preserve">  各级人民政府应当采取措施，保护和改善渔业水域的生态环境，防治污染。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渔业水域生态环境的监督管理和渔业污染事故的调查处理，依照《中华人民共和国海洋环境保护法》和《中华人民共和国水污染防治法》的有关规定执行。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asciiTheme="minorEastAsia" w:hAnsiTheme="minorEastAsia" w:eastAsiaTheme="minorEastAsia"/>
          <w:sz w:val="24"/>
          <w:szCs w:val="24"/>
        </w:rPr>
        <w:t xml:space="preserve">  国家对白鳍豚等珍贵、濒危水生野生动物实行重点保护，防止其灭绝。禁止捕杀、伤害国家重点保护的水生野生动物。因科学研究、驯养繁殖、展览或者其他特殊情况，需要捕捞国家重点保护的水生野生动物的，依照《中华人民共和国野生动物保护法》的规定执行。</w:t>
      </w:r>
    </w:p>
    <w:p>
      <w:pPr>
        <w:pStyle w:val="63"/>
        <w:spacing w:before="218" w:after="218" w:line="412" w:lineRule="exact"/>
      </w:pPr>
      <w:r>
        <w:t>第五章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asciiTheme="minorEastAsia" w:hAnsiTheme="minorEastAsia" w:eastAsiaTheme="minorEastAsia"/>
          <w:sz w:val="24"/>
          <w:szCs w:val="24"/>
        </w:rPr>
        <w:t xml:space="preserve">  使用炸鱼、毒鱼、电鱼等破坏渔业资源方法进行捕捞的，违反关于禁渔区、禁渔期的规定进行捕捞的，或者使用禁用的渔具、捕捞方法和小于最小网目尺寸的网具进行捕捞或者渔获物中幼鱼超过规定比例的，没收渔获物和违法所得，处五万元以下的罚款；情节严重的，没收渔具，吊销捕捞许可证；情节特别严重的，可以没收渔船；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在禁渔区或者禁渔期内销售非法捕捞的渔获物的，县级以上地方人民政府渔业行政主管部门应当及时进行调查处理。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制造、销售禁用的渔具的，没收非法制造、销售的渔具和违法所得，并处一万元以下的罚款。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第三十九条</w:t>
      </w:r>
      <w:r>
        <w:rPr>
          <w:rFonts w:asciiTheme="minorEastAsia" w:hAnsiTheme="minorEastAsia" w:eastAsiaTheme="minorEastAsia"/>
          <w:sz w:val="24"/>
          <w:szCs w:val="24"/>
        </w:rPr>
        <w:t xml:space="preserve">  偷捕、抢夺他人养殖的水产品的，或者破坏他人养殖水体、养殖设施的，责令改正，可以处二万元以下的罚款；造成他人损失的，依法承担赔偿责任；构成犯罪的，依法追究刑事责任。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第四十条</w:t>
      </w:r>
      <w:r>
        <w:rPr>
          <w:rFonts w:asciiTheme="minorEastAsia" w:hAnsiTheme="minorEastAsia" w:eastAsiaTheme="minorEastAsia"/>
          <w:sz w:val="24"/>
          <w:szCs w:val="24"/>
        </w:rPr>
        <w:t xml:space="preserve">  使用全民所有的水域、滩涂从事养殖生产，无正当理由使水域、滩涂荒芜满一年的，由发放养殖证的机关责令限期开发利用；逾期未开发利用的，吊销养殖证，可以并处一万元以下的罚款。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未依法取得养殖证擅自在全民所有的水域从事养殖生产的，责令改正，补办养殖证或者限期拆除养殖设施。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未依法取得养殖证或者超越养殖证许可范围在全民所有的水域从事养殖生产，妨碍航运、行洪的，责令限期拆除养殖设施，可以并处一万元以下的罚款。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第四十一条</w:t>
      </w:r>
      <w:r>
        <w:rPr>
          <w:rFonts w:asciiTheme="minorEastAsia" w:hAnsiTheme="minorEastAsia" w:eastAsiaTheme="minorEastAsia"/>
          <w:sz w:val="24"/>
          <w:szCs w:val="24"/>
        </w:rPr>
        <w:t xml:space="preserve">  未依法取得捕捞许可证擅自进行捕捞的，没收渔获物和违法所得，并处十万元以下的罚款；情节严重的，并可以没收渔具和渔船。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第四十二条</w:t>
      </w:r>
      <w:r>
        <w:rPr>
          <w:rFonts w:asciiTheme="minorEastAsia" w:hAnsiTheme="minorEastAsia" w:eastAsiaTheme="minorEastAsia"/>
          <w:sz w:val="24"/>
          <w:szCs w:val="24"/>
        </w:rPr>
        <w:t xml:space="preserve">  违反捕捞许可证关于作业类型、场所、时限和渔具数量的规定进行捕捞的，没收渔获物和违法所得，可以并处五万元以下的罚款；情节严重的，并可以没收渔具，吊销捕捞许可证。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第四十三条</w:t>
      </w:r>
      <w:r>
        <w:rPr>
          <w:rFonts w:asciiTheme="minorEastAsia" w:hAnsiTheme="minorEastAsia" w:eastAsiaTheme="minorEastAsia"/>
          <w:sz w:val="24"/>
          <w:szCs w:val="24"/>
        </w:rPr>
        <w:t xml:space="preserve">  涂改、买卖、出租或者以其他形式转让捕捞许可证的，没收违法所得，吊销捕捞许可证，可以并处一万元以下的罚款；伪造、变造、买卖捕捞许可证，构成犯罪的，依法追究刑事责任。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第四十四条</w:t>
      </w:r>
      <w:r>
        <w:rPr>
          <w:rFonts w:asciiTheme="minorEastAsia" w:hAnsiTheme="minorEastAsia" w:eastAsiaTheme="minorEastAsia"/>
          <w:sz w:val="24"/>
          <w:szCs w:val="24"/>
        </w:rPr>
        <w:t xml:space="preserve">  非法生产、进口、出口水产苗种的，没收苗种和违法所得，并处五万元以下的罚款。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经营未经审定的水产苗种的，责令立即停止经营，没收违法所得，可以并处五万元以下的罚款。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第四十五条</w:t>
      </w:r>
      <w:r>
        <w:rPr>
          <w:rFonts w:asciiTheme="minorEastAsia" w:hAnsiTheme="minorEastAsia" w:eastAsiaTheme="minorEastAsia"/>
          <w:sz w:val="24"/>
          <w:szCs w:val="24"/>
        </w:rPr>
        <w:t xml:space="preserve">  未经批准在水产种质资源保护区内从事捕捞活动的，责令立即停止捕捞，没收渔获物和渔具，可以并处一万元以下的罚款。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第四十六条</w:t>
      </w:r>
      <w:r>
        <w:rPr>
          <w:rFonts w:asciiTheme="minorEastAsia" w:hAnsiTheme="minorEastAsia" w:eastAsiaTheme="minorEastAsia"/>
          <w:sz w:val="24"/>
          <w:szCs w:val="24"/>
        </w:rPr>
        <w:t xml:space="preserve">  外国人、外国渔船违反本法规定，擅自进入中华人民共和国管辖水域从事渔业生产和渔业资源调查活动的，责令其离开或者将其驱逐，可以没收渔获物、渔具，并处五十万元以下的罚款；情节严重的，可以没收渔船；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第四十七条</w:t>
      </w:r>
      <w:r>
        <w:rPr>
          <w:rFonts w:asciiTheme="minorEastAsia" w:hAnsiTheme="minorEastAsia" w:eastAsiaTheme="minorEastAsia"/>
          <w:sz w:val="24"/>
          <w:szCs w:val="24"/>
        </w:rPr>
        <w:t xml:space="preserve">  造成渔业水域生态环境破坏或者渔业污染事故的，依照《中华人民共和国海洋环境保护法》和《中华人民共和国水污染防治法》的规定追究法律责任。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第四十八条</w:t>
      </w:r>
      <w:r>
        <w:rPr>
          <w:rFonts w:asciiTheme="minorEastAsia" w:hAnsiTheme="minorEastAsia" w:eastAsiaTheme="minorEastAsia"/>
          <w:sz w:val="24"/>
          <w:szCs w:val="24"/>
        </w:rPr>
        <w:t xml:space="preserve">  本法规定的行政处罚，由县级以上人民政府渔业行政主管部门或者其所属的渔政监督管理机构决定。但是，本法已对处罚机关作出规定的除外。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海上执法时，对违反禁渔区、禁渔期的规定或者使用禁用的渔具、捕捞方法进行捕捞，以及未取得捕捞许可证进行捕捞的，事实清楚、证据充分，但是当场不能按照法定程序作出和执行行政处罚决定的，可以先暂时扣押捕捞许可证、渔具或者渔船，回港后依法作出和执行行政处罚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第四十九条</w:t>
      </w:r>
      <w:r>
        <w:rPr>
          <w:rFonts w:asciiTheme="minorEastAsia" w:hAnsiTheme="minorEastAsia" w:eastAsiaTheme="minorEastAsia"/>
          <w:sz w:val="24"/>
          <w:szCs w:val="24"/>
        </w:rPr>
        <w:t xml:space="preserve">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pPr>
        <w:pStyle w:val="63"/>
        <w:spacing w:before="218" w:after="218" w:line="412" w:lineRule="exact"/>
      </w:pPr>
      <w:r>
        <w:t>第六章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第五十条</w:t>
      </w:r>
      <w:r>
        <w:rPr>
          <w:rFonts w:asciiTheme="minorEastAsia" w:hAnsiTheme="minorEastAsia" w:eastAsiaTheme="minorEastAsia"/>
          <w:sz w:val="24"/>
          <w:szCs w:val="24"/>
        </w:rPr>
        <w:t xml:space="preserve">  本法自1986年7月1日起施行。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064" w:name="_Toc18917246"/>
      <w:bookmarkStart w:id="1065" w:name="_Toc12960346"/>
      <w:bookmarkStart w:id="1066" w:name="_Toc12960517"/>
      <w:bookmarkStart w:id="1067" w:name="_Toc26644"/>
      <w:bookmarkStart w:id="1068" w:name="OLE_LINK86"/>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69" w:name="_Toc28252247"/>
      <w:bookmarkStart w:id="1070" w:name="_Toc26348020"/>
      <w:bookmarkStart w:id="1071" w:name="_Toc25648265"/>
      <w:bookmarkStart w:id="1072" w:name="_Toc28250970"/>
      <w:bookmarkStart w:id="1073" w:name="_Toc25653761"/>
      <w:bookmarkStart w:id="1074" w:name="_Toc28157042"/>
      <w:r>
        <w:t>中华人民共和国渔业法实施细则</w:t>
      </w:r>
      <w:bookmarkEnd w:id="1064"/>
      <w:bookmarkEnd w:id="1065"/>
      <w:bookmarkEnd w:id="1066"/>
      <w:bookmarkEnd w:id="1067"/>
      <w:bookmarkEnd w:id="1069"/>
      <w:bookmarkEnd w:id="1070"/>
      <w:bookmarkEnd w:id="1071"/>
      <w:bookmarkEnd w:id="1072"/>
      <w:bookmarkEnd w:id="1073"/>
      <w:bookmarkEnd w:id="1074"/>
    </w:p>
    <w:bookmarkEnd w:id="1068"/>
    <w:p>
      <w:pPr>
        <w:pStyle w:val="62"/>
        <w:topLinePunct w:val="0"/>
        <w:ind w:firstLine="0" w:firstLineChars="0"/>
        <w:jc w:val="center"/>
      </w:pPr>
      <w:r>
        <w:t>（1987年10月14日国务院批准</w:t>
      </w:r>
      <w:r>
        <w:rPr>
          <w:rFonts w:hint="eastAsia"/>
        </w:rPr>
        <w:t>，</w:t>
      </w:r>
      <w:r>
        <w:t>1987年10月20日农牧渔业部发布）</w:t>
      </w:r>
    </w:p>
    <w:p>
      <w:pPr>
        <w:pStyle w:val="63"/>
        <w:spacing w:before="218" w:after="218" w:line="412" w:lineRule="exact"/>
      </w:pPr>
      <w:r>
        <w:t xml:space="preserve">第一章 </w:t>
      </w:r>
      <w:r>
        <w:rPr>
          <w:rFonts w:hint="eastAsia"/>
        </w:rPr>
        <w:t xml:space="preserve"> </w:t>
      </w:r>
      <w:r>
        <w:t>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根据《中华人民共和国渔业法》（以下简称《渔业法》）第三十四条的规定，制定本实施细则。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《渔业法》及本实施细则中下列用语的含义是：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（一）“中华人民共和国的内水”，是指中华人民共和国领海基线向陆一侧的海域和江河、湖泊等内陆水域。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（二）“中华人民共和国管辖的一切其他海域”，是指根据中华人民共和国法律，中华人民共和国缔结、参加的国际条约、协定或者其他有关国际法，而由中华人民共和国管辖的海域。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（三）“渔业水域”，是指中华人民共和国管辖水域中鱼、虾、蟹、贝类的产卵场、索饵场、越冬场、洄游通道和鱼、虾、蟹、贝、藻类及其他水生动植物的养殖场所。</w:t>
      </w:r>
    </w:p>
    <w:p>
      <w:pPr>
        <w:pStyle w:val="63"/>
        <w:spacing w:before="218" w:after="218" w:line="412" w:lineRule="exact"/>
      </w:pPr>
      <w:r>
        <w:t xml:space="preserve">第二章 </w:t>
      </w:r>
      <w:r>
        <w:rPr>
          <w:rFonts w:hint="eastAsia"/>
        </w:rPr>
        <w:t xml:space="preserve"> </w:t>
      </w:r>
      <w:r>
        <w:t>渔业的监督管理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国家对渔业的监督管理，实行统一领导、分级管理。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划定的“机动渔船底拖网禁渔区线”外侧，属于中华人民共和国管辖海域的渔业，由国务院渔业行政主管部门及其所属的海区渔政管理机构监督管理；“机动渔船底拖网禁渔区线”内侧海域的渔业，除国家另有规定者外，由毗邻海域的省、自治区、直辖市人民政府渔业行政主管部门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内陆水域渔业，按照行政区划由当地县级以上地方人民政府渔业行政主管部门监督管理；跨行政区域的内陆水域渔业，由有关县级以上地方人民政府协商制定管理办法，或者由上一级人民政府渔业行政主管部门及其所属的渔政监督管理机构监督管理；跨省、自治区、直辖市的大型江河的渔业，可以由国务院渔业行政主管部门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重要的、洄游性的共用渔业资源，由国家统一管理；定居性的、小宗的渔业资源，由地方人民政府渔业行政主管部门管理。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机动渔船底拖网禁渔区线”内侧海域的渔业，由有关省、自治区、直辖市人民政府渔业行政主管部门协商划定监督管理范围；划定监督管理范围有困难的，可划叠区或者共管区管理，必要时由国务院渔业行政主管部门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渔场和渔汛生产，应当以渔业资源可捕量为依据，按照有利于保护、增殖和合理利用渔业资源，优先安排邻近地区、兼顾其他地区的原则，统筹安排。</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舟山渔场冬季带鱼汛，浙江渔场大黄鱼汛，闽东、闽中渔场大黄鱼汛，吕泗渔场大黄鱼、小黄鱼、鲳鱼汛，渤海渔场秋季对虾汛等主要渔场、渔汛和跨海区管理线的捕捞作业，由国务院渔业行政主管部门或其授权单位安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国务院渔业行政主管部门的渔政渔港监督管理机构，代表国家行使渔政渔港监督管理权。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国务院渔业行政主管部门在黄渤海、东海、南海三个海区设渔政监督管理机构；在重要渔港、边境水域和跨省、自治区、直辖市的大型江河，根据需要设渔政渔港监督管理机构。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渔政检查人员有权对各种渔业及渔业船舶的证件、渔船、渔具、渔获物和捕捞方法，进行检查。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渔政检查人员经国务院渔业行政主管部门或者省级人民政府渔业行政主管部门考核，合格者方可执行公务。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渔业行政主管部门及其所属的渔政监督管理机构，应当与公安、海监、交通、环保、工商行政管理等有关部门相互协作，监督检查渔业法规的施行。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群众性护渔管理组织，应当在当地县级以上人民政府渔业行政主管部门的业务指导下，依法开展护渔管理工作。</w:t>
      </w:r>
    </w:p>
    <w:p>
      <w:pPr>
        <w:pStyle w:val="63"/>
        <w:spacing w:before="218" w:after="218" w:line="412" w:lineRule="exact"/>
      </w:pPr>
      <w:r>
        <w:t xml:space="preserve">第三章 </w:t>
      </w:r>
      <w:r>
        <w:rPr>
          <w:rFonts w:hint="eastAsia"/>
        </w:rPr>
        <w:t xml:space="preserve"> </w:t>
      </w:r>
      <w:r>
        <w:t>养殖业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使用全民所有的水面、滩涂，从事养殖生产的全民所有制单位和集体所有制单位，应当向县级以上地方人民政府申请养殖使用证。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全民所有的水面、滩涂在一县行政区域内的，由该县人民政府核发养殖使用证；跨县的，由有关县协商核发养殖使用证，必要时由上级人民政府决定核发养殖使用证。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领取养殖使用证的单位，无正当理由未从事养殖生产，或者放养量低于当地同类养殖水域平均放养量60%的，应当视为荒芜。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全民所有的水面、滩涂中的鱼、虾、蟹、贝、藻类的自然产卵场、繁殖场、索饵场及重要的洄游通道必须予以保护，不得划作养殖场所。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国家建设征用集体所有的水面、滩涂，按照国家土地管理法规办理。</w:t>
      </w:r>
    </w:p>
    <w:p>
      <w:pPr>
        <w:pStyle w:val="63"/>
        <w:spacing w:before="218" w:after="218" w:line="412" w:lineRule="exact"/>
      </w:pPr>
      <w:r>
        <w:t>第四章</w:t>
      </w:r>
      <w:r>
        <w:rPr>
          <w:rFonts w:hint="eastAsia"/>
        </w:rPr>
        <w:t xml:space="preserve"> </w:t>
      </w:r>
      <w:r>
        <w:t xml:space="preserve"> 捕捞业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近海渔场与外海渔场的划分：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（一）渤海、黄海为近海渔场。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（二）下列四个基点之间连线内侧海域为东海近海渔场；四个基点之间连线外侧海域为东海外海渔场。四个基点是：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北纬33度，东经125度；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北纬29度，东经125度；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北纬28度，东经124度30分；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北纬27度，东经123度。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（三）下列两条等深线之内侧海域为南海近海渔场；两条等深线之外侧海域为南海外海渔场。两条等深线是：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东经112度以东之80米等深线；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东经112度以西之100米等深线；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国家对捕捞业，实行捕捞许可制度。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事外海、远洋捕捞业的，由经营者提出申请，经省、自治区、直辖市人民政府渔业行政主管部门审核后，报国务院渔业行政主管部门批准。从事外海生产的渔船，必须按照批准的海域和渔期作业，不得擅自进入近海捕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近海大型拖网、围网作业的捕捞许可证，由国务院渔业行政主管部门批准发放；近海其他作业的捕捞许可证，由省、自治区、直辖市人民政府渔业行政主管部门按照国家下达的船网工具控制指标批准发放。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内陆水域的捕捞许可证，由县级以上地方人民政府渔业行政主管部门批准发放。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捕捞许可证的格式，由国务院渔业行政主管部门制定。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在中华人民共和国管辖水域，中外合资、中外合作经营的渔业企业，未经国务院有关主管部门批准，不得从事近海捕捞业。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有下列情形之一的，不得发放捕捞许可证：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（一）使用破坏渔业资源、被明令禁止使用的渔具或者捕捞方法的；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（二）未按国家规定办理批准手续，制造、更新改造、购置或者进口捕捞渔船的；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（三）未按国家规定领取渔业船舶证书、航行签证簿、职务船员证书、船舶户口簿、渔民证等证件的。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娱乐性游钓和在尚未养殖、管理的滩涂手工采集零星水产品的，不必申请捕捞许可证，但应当加强管理，防止破坏渔业资源。具体管理办法由县级以上人民政府制定。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因科学研究等特殊需要，在禁渔区、禁渔期捕捞，或者使用禁用的渔具、捕捞方法，或者捕捞重点保护的渔业资源品种，必须经省级以上人民政府渔业行政主管部门批准。</w:t>
      </w:r>
    </w:p>
    <w:p>
      <w:pPr>
        <w:pStyle w:val="63"/>
        <w:spacing w:before="218" w:after="218" w:line="412" w:lineRule="exact"/>
      </w:pPr>
      <w:r>
        <w:t>第五章</w:t>
      </w:r>
      <w:r>
        <w:rPr>
          <w:rFonts w:hint="eastAsia"/>
        </w:rPr>
        <w:t xml:space="preserve"> </w:t>
      </w:r>
      <w:r>
        <w:t xml:space="preserve"> 渔业资源的增殖和保护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禁止使用电力、鱼鹰捕鱼和敲䑩作业。在特定水域确有必要使用电力或者鱼鹰捕鱼时，必须经省、自治区、直辖市人民政府渔业行政主管部门批准。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县级以上人民政府渔业行政主管部门，应当依照本实施细则第三条规定的管理权限，确定重点保护的渔业资源品种及采捕标准。在重要鱼、虾、蟹、贝、藻类，以及其他重要水生生物的产卵场、索饵场、越冬场和洄游通道，规定禁渔区和禁渔期，禁止使用或者限制使用的渔具和捕捞方法，最小网目尺寸，以及制定其他保护渔业资源的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在“机动渔船底拖网禁渔区线”外侧建造人工鱼礁的，必须经国务院渔业行政主管部门批准；在“机动渔船底拖网禁渔区线”内侧建造人工鱼礁的，必须由有关省、自治区、直辖市人民政府渔业行政主管部门或其授权单位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建造人工鱼礁，应当避开主要航道和重要锚地，并通知有关交通和海洋管理部门。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定置渔业一般不得跨县作业。县级以上人民政府渔业行政主管部门应当限制其网桩数量、作业场所，并规定禁渔期。海洋定置渔业，不得越出“机动渔船底拖网禁渔区线”。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因养殖或者其他特殊需要，捕捞鳗鲡、鲥鱼、中华绒螯蟹、真鲷、石斑鱼等有重要经济价值的水生动物苗种或者禁捕的怀卵亲体的，必须经国务院渔业行政主管部门或者省、自治区、直辖市人民政府渔业行政主管部门批准，并领取专项许可证件，方可在指定区域和时间内，按照批准限额捕捞。捕捞其他有重要经济价值的水生动物苗种的批准权，由省、自治区、直辖市人民政府渔业行政主管部门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禁止捕捞中国对虾苗种和春季亲虾。因养殖需要中国对虾怀卵亲体的，应当限期由养殖单位自行培育，期限及管理办法由国务院渔业行政主管部门制定。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任何单位和个人，在鱼、虾、蟹、贝幼苗的重点产区直接引水、用水的，应当采取避开幼苗的密集期、密集区，或者设置网栅等保护措施。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各级渔业行政主管部门，应当对渔业水域污染情况进行监测；渔业环境保护监测网，应当纳入全国环境监测网络。因污染造成渔业损失的，应当由渔政渔港监督管理部门协同环保部门调查处理。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在重点渔业水域不得从事拆船业。在其他渔业水域从事拆船业，造成渔业资源损害的，由拆船单位依照有关规定负责赔偿。</w:t>
      </w:r>
    </w:p>
    <w:p>
      <w:pPr>
        <w:pStyle w:val="63"/>
        <w:spacing w:before="218" w:after="218" w:line="412" w:lineRule="exact"/>
      </w:pPr>
      <w:r>
        <w:t xml:space="preserve">第六章 </w:t>
      </w:r>
      <w:r>
        <w:rPr>
          <w:rFonts w:hint="eastAsia"/>
        </w:rPr>
        <w:t xml:space="preserve"> </w:t>
      </w:r>
      <w:r>
        <w:t xml:space="preserve">罚 </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依照《渔业法》第二十八条规定处以罚款的，按下列规执行：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（一）炸鱼、毒鱼的，违反关于禁渔区、禁渔期的规定进行捕捞的，擅自捕捞国家规定禁止捕捞的珍贵水生动物的，在内陆水域处五十元至五千元罚款，在海洋处五百元至五万元罚款；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（二）敲䑩作业的，处一千元至五万元罚款；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（三）未经批准使用鱼鹰捕鱼的，处五十元至二百元罚款；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（四）未经批准使用电力捕鱼的，在内陆水域处二百元至一千元罚款，在海洋处五百元至三千元罚款；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（五）使用小于规定的最小网目尺寸的网具进行捕捞的，处五十元于一千元罚款。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依照《渔业法》第二十九条规定处以罚款的，按罚款一千元以下执行。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依照《渔业法》第三十条规定需处以罚款的，按下列规定执行：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（一）内陆渔业非机动渔船，处五十元至一百五十元罚款；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（二）内陆渔业机动渔船和海洋渔业非机动渔船，处一百元至五百元罚款；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（三）海洋渔业机动渔船，处二百元至二万元罚款。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依照《渔业法》第三十一条规定需处以罚款的，按下列规定执行：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（一）内陆渔业非机动渔船，处二十五元至五十元罚款；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（二）内陆渔业机动渔船和海洋渔业非机动渔船，处五十元至一百元罚款；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（三）海洋渔业机动渔船，处五十元至三千元罚款；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（四）外海渔船擅自进入近海捕捞的，处三千元至二万元罚款。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买卖、出租或者以其他形式非法转让以及涂改捕捞许可证的，没收违法所得，吊销捕捞许可证，可以并处一百元至一千元罚款。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依照《渔业法》第二十八条、第三十条、第三十一条、第三十二条规定需处以罚款的，对船长或者单位负责人可以视情节另处一百元至五百元罚款。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未按《渔业法》和本实施细则有关规定，采取保护措施，造成渔业资源损失的，围湖造田或者未经批准围垦沿海滩涂的，应当依法承担责任。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中外合资、中外合作经营的渔业企业，违反本实施细则第十六条规定，没收渔获物和违法所得，可以并处三千元至五万元罚款。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外国人、外国渔船违反《渔业法》第八条规定，擅自进入中华人民共和国管辖水域从事渔业生产或者渔业资源调查活动的，渔业行政主管部门或其所属的渔政监督管理机构应当令其离开或者将其驱逐，并可处以罚款和没收渔获物、渔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渔业行政主管部门或其所属的渔政监督管理机构进行处罚时，应当填发处罚决定书；处以罚款及没收渔具、渔获物和违法所得的，应当开具凭证，并在捕捞许可证上载明。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有下列行为之一的，由公安机关依照《中华人民共和国治安管理处罚条例》的规定处罚；构成犯罪的，由司法机关追究刑事责任：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（一）拒绝、阻碍渔政检查人员依法执行职务的；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（二）偷窃、哄抢或者破坏渔具、渔船、渔获物的。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渔政检查人员玩忽职守或者徇私枉法的，由其所在单位或者上级主管部门给予行政处分；构成犯罪的，依法追究刑事责任。</w:t>
      </w:r>
    </w:p>
    <w:p>
      <w:pPr>
        <w:pStyle w:val="63"/>
        <w:spacing w:before="218" w:after="218" w:line="412" w:lineRule="exact"/>
      </w:pPr>
      <w:r>
        <w:t xml:space="preserve">第七章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本实施细则由农牧渔业部负责解释。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本实施细则自发布之日起施行。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075" w:name="_Toc12960518"/>
      <w:bookmarkStart w:id="1076" w:name="_Toc18917247"/>
      <w:bookmarkStart w:id="1077" w:name="_Toc466579901"/>
      <w:bookmarkStart w:id="1078" w:name="_Toc12960347"/>
      <w:bookmarkStart w:id="1079" w:name="_Toc12813"/>
      <w:bookmarkStart w:id="1080" w:name="OLE_LINK158"/>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081" w:name="_Toc28252248"/>
      <w:bookmarkStart w:id="1082" w:name="_Toc26348021"/>
      <w:bookmarkStart w:id="1083" w:name="_Toc28157043"/>
      <w:bookmarkStart w:id="1084" w:name="_Toc25648266"/>
      <w:bookmarkStart w:id="1085" w:name="_Toc25653762"/>
      <w:bookmarkStart w:id="1086" w:name="_Toc28250971"/>
      <w:r>
        <w:t>北京市实施《中华人民共和国渔业法》办法</w:t>
      </w:r>
      <w:bookmarkEnd w:id="1075"/>
      <w:bookmarkEnd w:id="1076"/>
      <w:bookmarkEnd w:id="1077"/>
      <w:bookmarkEnd w:id="1078"/>
      <w:bookmarkEnd w:id="1079"/>
      <w:bookmarkEnd w:id="1080"/>
      <w:bookmarkEnd w:id="1081"/>
      <w:bookmarkEnd w:id="1082"/>
      <w:bookmarkEnd w:id="1083"/>
      <w:bookmarkEnd w:id="1084"/>
      <w:bookmarkEnd w:id="1085"/>
      <w:bookmarkEnd w:id="1086"/>
    </w:p>
    <w:p>
      <w:pPr>
        <w:pStyle w:val="62"/>
        <w:rPr>
          <w:b/>
        </w:rPr>
      </w:pPr>
      <w:r>
        <w:t>（1990年9月8日</w:t>
      </w:r>
      <w:bookmarkStart w:id="1087" w:name="OLE_LINK159"/>
      <w:r>
        <w:t>北京市第九届人民代表大会常务委员会第二十二次会议通过</w:t>
      </w:r>
      <w:bookmarkEnd w:id="1087"/>
      <w:r>
        <w:t>，根据1997年4月15日北京市第十届人民代表大会常务委员会第三十六次会议《关于修改&lt;北京市实施中华人民共和国渔业法办法&gt;的决定》第一次修订，根据2007年7月27日北京市第十二届人民代表大会常务委员会第三十七次会议第二次修订）</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根据《中华人民共和国渔业法》，结合本市实际情况，制定本办法。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本办法适用于在本市行政区域内水域从事的养殖、捕捞等渔业生产活动。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市和区、县人民政府应当加强水域的统一规划和综合开发利用，保护渔业资源和渔业水域生态环境。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渔业生产实行养殖为主、合理捕捞的方针，鼓励科学研究，推广先进技术，促进生产发展。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市和区、县渔业行政主管部门主管本行政区域内的渔业工作；市和区、县渔政监督管理机构具体实施渔政监督管理工作。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水务、环境保护、园林绿化、工商行政管理和公安等部门，应当按照各自职责做好与渔业相关的工作。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辖区内渔业水域较大的乡镇人民政府，协助区、县渔业行政主管部门和渔政监督管理机构，开展渔业法制宣传教育，维护渔业生产秩序，保护渔业资源。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渔业生产者所有的渔业生产设施和产品以及依法取得的养殖水面使用权受法律保护，任何单位和个人不得侵占和破坏。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本市鼓励利用适于养殖的水域发展生态渔业、休闲渔业、节水型渔业、籽种渔业和特色养殖，优化养殖品种结构，实行渔业标准化生产，并在资金、物资和技术等方面给予扶持。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使用全民所有的水域从事养殖生产的单位和个人，应当向所在区、县渔业行政主管部门提出申请，由区、县人民政府核发养殖证。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集体所有的或者全民所有由农村集体经济组织使用的水域，由个人或者集体承包从事养殖生产的，承包人持承包合同，到所在区、县渔业行政主管部门备案，领取养殖证件。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从事渔业生产应当按照国家和本市有关养殖技术规范，合理投饵、施肥、使用药物，做好水生动物防疫工作，保护水域生态环境。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禁止使用国家公布的停用、禁用或者淘汰的药品、饲料、饲料添加剂及其他化合物；禁止使用未经审定公布的饲料、饲料添加剂；禁止使用假、劣兽药。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使用国家公布限制使用的药品、饲料、饲料添加剂及其他化合物，应当按照国家有关规定执行。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渔业生产者应当依法建立水产养殖生产记录和水产养殖用药记录。水产养殖生产和用药记录至少应当保存2年。禁止伪造水产养殖生产记录和水产养殖用药记录。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在水库从事渔业生产活动，必须遵守保护水利工程设施和水源保护的规定，不得影响防洪、供水，不得污染水体，不得影响水库的主要功能。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在水库管理范围内设置渔业设施，必须征得该水利工程管理部门的同意。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本市根据动物防疫法律法规的规定和水生动物防疫规划，加强水生动物的防疫、检疫和疫病的控制、扑灭工作。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单位和个人发现患有疫病或者疑似疫病的水生动物，应当及时向所在地负责水生动物防疫监督的机构报告。接到报告的防疫监督机构应当迅速采取措施，并按照国家和本市有关规定上报。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本市实行水产品标识和水产品质量追溯制度。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市和区、县渔业行政主管部门应当加强水产品质量的检验和监督工作，水产品质量的检验结果由市渔业行政主管部门按照国家规定的权限予以公布。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渔业生产者不得销售不符合质量安全标准的水产品。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在密云水库、怀柔水库、官厅水库以及其他重要渔业水域从事捕捞作业的单位和个人应当依法申请领取捕捞许可证。区、县渔政监督管理机构具体负责捕捞许可证的办理。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前款规定的其他重要渔业水域由市渔业行政主管部门向社会公布。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市渔业行政主管部门应当会同市水务部门、环境保护部门确定水库捕捞的船网工具控制指标。捕捞许可证的发放不得突破船网工具控制指标。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持捕捞许可证从事捕捞生产的，应当缴纳渔业资源增殖保护费，收费标准和办法按国家和本市的规定执行。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捕捞许可证不得买卖、出租或者以其他形式非法转让，不得涂改。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渔业行政主管部门应当根据生产的需要，组织苗种生产，引进、推广优良品种，进行技术指导和其他服务工作。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引进或者销售外地苗种，应当经由渔业行政主管部门检疫。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市和区、县人民政府及渔业行政主管部门应当加强渔业资源增殖工作，采取措施，促进渔业资源增殖。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单位和个人增殖放流水生动物和水生植物应当符合国家和本市有关规定，并在渔政监督管理机构的指导和监督下实施。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增殖放流水生动物和水生植物的水域、品种和质量由市渔业行政主管部门向社会公布。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密云水库、怀柔水库禁止垂钓。其他禁止垂钓的增殖放流水域，由市渔业行政主管部门会同水务、环境保护等部门确定并向社会公布。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任何单位和个人不得从事下列活动：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（一）使用炸鱼、毒鱼、电鱼等破坏渔业资源的方法进行捕捞；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（二）在禁渔区和禁渔期进行捕捞；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（三）捕捞的渔获物中幼鱼超过规定的比例；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（四）使用小于规定的最小网目尺寸的网具进行捕捞；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（五）未经批准捕捞有重要经济价值的水生动物苗种和怀卵亲体；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（六）未经批准捕捞国家重点保护的水生野生动物；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（七）在禁止垂钓的水域进行垂钓。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重点保护的渔业资源品种及其可捕捞标准、禁渔区和禁渔期、禁止使用或者限制使用的渔具和捕捞方法、最小网目尺寸以及其他保护渔业资源的措施，由市渔业行政主管部门制定并向社会公布。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渔业水域生态环境的监督管理和渔业污染事故的调查处理，按照水污染防治法律法规的规定执行。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市和区、县渔业行政主管部门及渔政监督管理机构应当按规定配备渔政执法人员。渔政执法人员经培训合格后，方可持证上岗。渔政执法人员对渔业生产及其相关活动进行检查时，应当统一着装、佩戴标志、出示执法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市和区、县渔政监督管理机构履行监督管理职责时，有权采取下列措施：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（一）进入渔业生产活动场所进行检查；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（二）要求被检查单位和个人就有关问题作出说明；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（三）查阅、复制被检查单位和个人的有关文件、凭证和资料；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（四）依法查封、扣押渔业生产活动中涉嫌违法的物品；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（五）对不符合质量安全标准的水产品进行无害化处理或者监督销毁；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（六）责令被检查单位和个人改正违反渔业法律法规的行为。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市和区、县渔政监督管理机构对违反有关渔业法律法规的行为予以行政处罚的，应当及时将有关单位的违法行为信息记入本市企业信用信息系统。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违反本办法规定的，由渔政监督管理机构予以处罚：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（一）违反本办法第九条第二款规定，在渔业生产过程中使用禁止使用的药品、饲料、饲料添加剂及其他化合物的，责令改正，并处1万元以上5万元以下罚款。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（二）违反本办法第十条规定，未按规定建立和保存水产养殖生产记录、水产养殖用药记录的，责令限期改正；逾期不改或者伪造记录的，处200元以上2000元以下罚款。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反本办法第十三条第三款规定，销售不符合质量安全标准水产品的，责令停止销售，追回已经销售的水产品，对违法销售的水产品进行无害化处理或者予以监督销毁，并没收违法所得，处2000元以上2万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（四）违反本办法第十九条第二款、第三款规定，增殖放流水生动物和水生植物的水域、品种和质量不符合规定的，处50元以上500元以下罚款；情节严重的，处500元以上5000元以下罚款。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（五）违反本办法第二十一条第一款第七项规定，在禁止垂钓的水域垂钓的，责令停止违法行为，没收渔具，并可以处50元以上500元以下罚款。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有上述行为，属于违反环境保护、城市管理等法律法规的，由有关部门予以处罚。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阻碍渔政执法人员依法执行职务的，由公安机关依照《中华人民共和国治安管理处罚法》的规定处罚；构成犯罪的，依法追究刑事责任。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渔业行政主管部门和渔政监督管理机构的工作人员有玩忽职守、滥用职权、徇私舞弊行为的，依法给予行政处分；构成犯罪的，依法追究刑事责任。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本办法自2007年9月1日起施行。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1088" w:name="_Toc13366"/>
      <w:bookmarkStart w:id="1089" w:name="_Toc12960531"/>
      <w:bookmarkStart w:id="1090" w:name="_Toc12960360"/>
      <w:bookmarkStart w:id="1091" w:name="_Toc466579905"/>
      <w:bookmarkStart w:id="1092" w:name="_Toc18917253"/>
    </w:p>
    <w:p>
      <w:pPr>
        <w:pStyle w:val="61"/>
      </w:pPr>
      <w:bookmarkStart w:id="1093" w:name="_Toc28252249"/>
      <w:bookmarkStart w:id="1094" w:name="_Toc25653763"/>
      <w:bookmarkStart w:id="1095" w:name="_Toc26348022"/>
      <w:bookmarkStart w:id="1096" w:name="_Toc28250972"/>
      <w:bookmarkStart w:id="1097" w:name="_Toc25648267"/>
      <w:bookmarkStart w:id="1098" w:name="_Toc28157044"/>
      <w:r>
        <w:t>水产苗种管理办法</w:t>
      </w:r>
      <w:bookmarkEnd w:id="1088"/>
      <w:bookmarkEnd w:id="1089"/>
      <w:bookmarkEnd w:id="1090"/>
      <w:bookmarkEnd w:id="1091"/>
      <w:bookmarkEnd w:id="1092"/>
      <w:bookmarkEnd w:id="1093"/>
      <w:bookmarkEnd w:id="1094"/>
      <w:bookmarkEnd w:id="1095"/>
      <w:bookmarkEnd w:id="1096"/>
      <w:bookmarkEnd w:id="1097"/>
      <w:bookmarkEnd w:id="1098"/>
    </w:p>
    <w:p>
      <w:pPr>
        <w:pStyle w:val="62"/>
      </w:pPr>
      <w:r>
        <w:t>（</w:t>
      </w:r>
      <w:r>
        <w:rPr>
          <w:rFonts w:hint="eastAsia"/>
        </w:rPr>
        <w:t>2001年12月10日农业部令第4号公布，2005年1月5日农业部令第46号修订</w:t>
      </w:r>
      <w:r>
        <w:t>）</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保护和合理利用水产种质资源，加强水产品种选育和苗种生产、经营、进出口管理，提高水产苗种质量，维护水产苗种生产者、经营者和使用者的合法权益，促进水产养殖业持续健康发展，根据《中华人民共和国渔业法》及有关法律法规，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本办法所称的水产苗种包括用于繁育、增养殖（栽培）生产和科研试验、观赏的水产动植物的亲本、稚体、幼体、受精卵、孢子及其遗传育种材料。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在中华人民共和国境内从事水产种质资源开发利用，品种选育、培育，水产苗种生产、经营、管理、进口、出口活动的单位和个人，应当遵守本办法。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珍稀、濒危水生野生动植物及其苗种的管理按有关法律法规的规定执行。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农业部负责全国水产种质资源和水产苗种管理工作。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县级以上地方人民政府渔业行政主管部门负责本行政区域内的水产种质资源和水产苗种管理工作。</w:t>
      </w:r>
    </w:p>
    <w:p>
      <w:pPr>
        <w:pStyle w:val="63"/>
        <w:spacing w:before="218" w:after="218" w:line="412" w:lineRule="exact"/>
        <w:rPr>
          <w:b/>
        </w:rPr>
      </w:pPr>
      <w:r>
        <w:t xml:space="preserve">第二章 </w:t>
      </w:r>
      <w:r>
        <w:rPr>
          <w:rFonts w:hint="eastAsia"/>
        </w:rPr>
        <w:t xml:space="preserve"> </w:t>
      </w:r>
      <w:r>
        <w:t>种质资源保护和品种选育</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国家有计划地搜集、整理、鉴定、保护、保存和合理利用水产种质资源。禁止任何单位和个人侵占和破坏水产种质资源。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保护水产种质资源及其生存环境，并在具有较高经济价值和遗传育种价值的水产种质资源的主要生长繁殖区域建立水产种质资源保护区。未经农业部批准，任何单位或者个人不得在水产种质资源保护区从事捕捞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建设项目对水产种质资源产生不利影响的，依照《中华人民共和国渔业法》第三十五条的规定处理。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省级以上人民政府渔业行政主管部门根据水产增养殖生产发展的需要和自然条件及种质资源特点，合理布局和建设水产原、良种场。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国家级或省级原、良种场负责保存或选育种用遗传材料和亲本，向水产苗种繁育单位提供亲本。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用于杂交生产商品苗种的亲本必须是纯系群体。对可育的杂交种不得用作亲本繁育。</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养殖可育的杂交个体和通过生物工程等技术改变遗传性状的个体及后代的，其场所必须建立严格的隔离和防逃措施，禁止将其投放于河流、湖泊、水库、海域等自然水域。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国家鼓励和支持水产优良品种的选育、培育和推广。县级以上人民政府渔业行政主管部门应当有计划地组织科研、教学和生产单位选育、培育水产优良新品种。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农业部设立全国水产原种和良种审定委员会，对水产新品种进行审定。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对审定合格的水产新品种，经农业部公告后方可推广。</w:t>
      </w:r>
    </w:p>
    <w:p>
      <w:pPr>
        <w:pStyle w:val="63"/>
        <w:spacing w:before="218" w:after="218" w:line="412" w:lineRule="exact"/>
        <w:rPr>
          <w:b/>
        </w:rPr>
      </w:pPr>
      <w:r>
        <w:t>第三章</w:t>
      </w:r>
      <w:r>
        <w:rPr>
          <w:rFonts w:hint="eastAsia"/>
        </w:rPr>
        <w:t xml:space="preserve"> </w:t>
      </w:r>
      <w:r>
        <w:t xml:space="preserve"> 生产经营管理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单位和个人从事水产苗种生产，应当经县级以上地方人民政府渔业行政主管部门批准，取得水产苗种生产许可证。但是，渔业生产者自育、自用水产苗种的除外。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省级人民政府渔业行政主管部门负责水产原、良种场的水产苗种生产许可证的核发工作；其他水产苗种生产许可证发放权限由省级人民政府渔业行政主管部门规定。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水产苗种生产许可证由省级人民政府渔业行政主管部门统一印制。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从事水产苗种生产的单位和个人应当具备下列条件：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（一）有固定的生产场地，水源充足，水质符合渔业用水标准；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（二）用于繁殖的亲本来源于原、良种场，质量符合种质标准；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（三）生产条件和设施符合水产苗种生产技术操作规程的要求；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（四）有与水产苗种生产和质量检验相适应的专业技术人员。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申请单位是水产原、良种场的，还应当符合农业部《水产原良种场生产管理规范》的要求。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申请从事水产苗种生产的单位和个人应当填写水产苗种生产申请表，并提交证明其符合本办法第十二条规定条件的材料。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水产苗种生产申请表格式由省级人民政府渔业行政主管部门统一制订。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县级以上地方人民政府渔业行政主管部门应当按照本办法第十一条第二款规定的审批权限，自受理申请之日起20日内对申请人提交的材料进行审查，并经现场考核后作出是否发放水产苗种生产许可证的决定。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水产苗种生产单位和个人应当按照许可证规定的范围、种类等进行生产。需要变更生产范围、种类的，应当向原发证机关办理变更手续。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水产苗种生产许可证的许可有效期限为三年。期满需延期的，应当于期满三十日前向原发证机关提出申请，办理续展手续。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水产苗种的生产应当遵守农业部制定的生产技术操作规程，保证苗种质量。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县级以上人民政府渔业行政主管部门应当组织有关质量检验机构对辖区内苗种场的亲本和稚、幼体质量进行检验，检验不合格的，给予警告，限期整改；到期仍不合格的，由发证机关收回并注销水产苗种生产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县级以上地方人民政府渔业行政主管部门应当加强对水产苗种的产地检疫。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国内异地引进水产苗种的，应当先到当地渔业行政主管部门办理检疫手续，经检疫合格后方可运输和销售。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检疫人员应当按照检疫规程实施检疫，对检疫合格的水产苗种出具检疫合格证明。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禁止在水产苗种繁殖、栖息地从事采矿、挖沙、爆破、排放污水等破坏水域生态环境的活动。对水域环境造成污染的，依照《中华人民共和国水污染防治法》和《中华人民共和国海洋环境保护法》的有关规定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在水生动物苗种主产区引水时，应当采取措施，保护苗种。</w:t>
      </w:r>
    </w:p>
    <w:p>
      <w:pPr>
        <w:pStyle w:val="63"/>
        <w:spacing w:before="218" w:after="218" w:line="412" w:lineRule="exact"/>
        <w:rPr>
          <w:b/>
        </w:rPr>
      </w:pPr>
      <w:r>
        <w:t xml:space="preserve">第四章 </w:t>
      </w:r>
      <w:r>
        <w:rPr>
          <w:rFonts w:hint="eastAsia"/>
        </w:rPr>
        <w:t xml:space="preserve"> </w:t>
      </w:r>
      <w:r>
        <w:t>进出口管理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单位和个人从事水产苗种进口和出口，应当经农业部或省级人民政府渔业行政主管部门批准。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农业部会同国务院有关部门制定水产苗种进口名录和出口名录，并定期公布。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产苗种进口名录和出口名录分为I、Ⅱ、Ⅲ类。列入进口名录I类的水产苗种不得进口，列入出口名录I类的水产苗种不得出口；列入名录Ⅱ类的水产苗种以及未列入名录的水产苗种的进口、出口由农业部审批，列入名录Ⅲ类的水产苗种的进口、出口由省级人民政府渔业行政主管部门审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申请进口水产苗种的单位和个人应当提交以下材料：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（一）水产苗种进口申请表；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（二）水产苗种进口安全影响报告（包括对引进地区水域生态环境、生物种类的影响，进口水产苗种可能携带的病虫害及危害性等）；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（三）与境外签订的意向书、赠送协议书复印件；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（四）进口水产苗种所在国（地区）主管部门出具的产地证明；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（五）营业执照复印件。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进口未列入水产苗种进口名录的水产苗种的单位应当具备以下条件：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（一）具有完整的防逃、隔离设施，试验池面积不少于３公顷；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（二）具备一定的科研力量，具有从事种质、疾病及生态研究的中高级技术人员；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（三）具备开展种质检测、疫病检疫以及水质检测工作的基本仪器设备。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进口未列入水产苗种进口名录的水产苗种的单位，除按第二十二条的规定提供材料外，还应当提供以下材料：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（一）进口水产苗种所在国家或地区的相关资料：包括进口水产苗种的分类地位、生物学性状、遗传特性、经济性状及开发利用现状，栖息水域及该地区的气候特点、水域生态条件等；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（二）进口水产苗种人工繁殖、养殖情况；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（三）进口国家或地区水产苗种疫病发生情况。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申请出口水产苗种的单位和个人应提交水产苗种出口申请表。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进出口水产苗种的单位和个人应当向省级人民政府渔业行政主管部门提出申请。省级人民政府渔业行政主管部门应当自申请受理之日起15日内对进出口水产苗种的申报材料进行审查核实，按审批权限直接审批或初步审查后将审查意见和全部材料报农业部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省级人民政府渔业行政主管部门应当将其审批的水产苗种进出口情况，在每年年底前报农业部备案。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农业</w:t>
      </w:r>
      <w:r>
        <w:rPr>
          <w:rFonts w:asciiTheme="minorEastAsia" w:hAnsiTheme="minorEastAsia" w:eastAsiaTheme="minorEastAsia"/>
          <w:spacing w:val="-4"/>
          <w:sz w:val="24"/>
          <w:szCs w:val="24"/>
        </w:rPr>
        <w:t>部收到省级人民政府渔业行政主管部门报送的材料后，对申请进口水产苗种的，在5日内委托全国水产原种和良种审定委员会组织专家对申请进口的水产苗种进行安全影响评估，并在收到安全影响评估报告后15日内作出是否同意进口的决定；对申请出口水产苗种的，应当在10日内作出是否同意出口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申请水产苗种进出口的单位或个人应当凭农业部或省级人民政府渔业行政主管部门批准的水产苗种进出口审批表办理进出口手续。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水产苗种进出口申请表、审批表格式由农业部统一制定。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进口、出口水产苗种应当实施检疫，防止病害传入境内和传出境外，具体检疫工作按照《中华人民共和国进出境动植物检疫法》等法律法规的规定执行。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水产苗种进口实行属地监管。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口单位和个人在进口水产苗种经出入境检验检疫机构检疫合格后，应当立即向所在地省级人民政府渔业行政主管部门报告，由所在地省级人民政府渔业行政主管部门或其委托的县级以上地方人民政府渔业行政主管部门具体负责入境后的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进口未列入水产苗种进口名录的水产苗种的，进口单位和个人应当在该水产苗种经出入境检验检疫机构检疫合格后，设置专门场所进行试养，特殊情况下应在农业部指定的场所进行。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试养期间一般为进口水产苗种的一个繁殖周期。试养期间，农业部不再批准该水产苗种的进口，进口单位不得向试养场所外扩散该试养苗种。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试养期满后的水产苗种应当经过全国水产原种和良种审定委员会审定、农业部公告后方可推广。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进口水产苗种投放于河流、湖泊、水库、海域等自然水域要严格遵守有关外来物种管理规定。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第五章 附则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本办法所用术语的含义：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（一）原种：指取自模式种采集水域或取自其他天然水域的野生水生动植物种，以及用于选育的原始亲体。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（二）良种：指生长快、品质好、抗逆性强、性状稳定和适应一定地区自然条件，并适用于增养殖（栽培）生产的水产动植物种。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（三）杂交种：指将不同种、亚种、品种的水产动植物进行杂交获得的后代。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（四）品种：指经人工选育成的，遗传性状稳定，并具有不同于原种或同种内其他群体的优良经济性状的水生动植物。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（五）稚、幼体：指从孵出后至性成熟之前这一阶段的个体。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（六）亲本：指已达性成熟年龄的个体。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违反本办法的规定应当给予处罚的，依照《中华人民共和国渔业法》等法律法规的有关规定给予处罚。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转基因水产苗种的选育、培育、生产、经营和进出口管理，应当同时遵守《农业转基因生物安全管理条例》及国家其他有关规定。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本办法自2005年4月1日起施行。</w:t>
      </w: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099" w:name="_Toc12960361"/>
      <w:bookmarkStart w:id="1100" w:name="_Toc25648268"/>
      <w:bookmarkStart w:id="1101" w:name="_Toc28252250"/>
      <w:bookmarkStart w:id="1102" w:name="_Toc28157045"/>
      <w:bookmarkStart w:id="1103" w:name="_Toc12960532"/>
      <w:bookmarkStart w:id="1104" w:name="_Toc32149"/>
      <w:bookmarkStart w:id="1105" w:name="_Toc25653764"/>
      <w:bookmarkStart w:id="1106" w:name="_Toc18917254"/>
      <w:bookmarkStart w:id="1107" w:name="_Toc28250973"/>
      <w:bookmarkStart w:id="1108" w:name="_Toc26348023"/>
      <w:r>
        <w:t>渔业捕捞许可管理规定</w:t>
      </w:r>
      <w:bookmarkEnd w:id="1099"/>
      <w:bookmarkEnd w:id="1100"/>
      <w:bookmarkEnd w:id="1101"/>
      <w:bookmarkEnd w:id="1102"/>
      <w:bookmarkEnd w:id="1103"/>
      <w:bookmarkEnd w:id="1104"/>
      <w:bookmarkEnd w:id="1105"/>
      <w:bookmarkEnd w:id="1106"/>
      <w:bookmarkEnd w:id="1107"/>
      <w:bookmarkEnd w:id="1108"/>
    </w:p>
    <w:p>
      <w:pPr>
        <w:pStyle w:val="62"/>
      </w:pPr>
      <w:r>
        <w:t>（2002年8月23日农业部令第19号公布，根据2004年7月1日农业部令第38号第一次修订，根据2007年11月8日农业部令第6号第二次修订，根据2013年12月31日农业部令第5号第三次修订，</w:t>
      </w:r>
      <w:r>
        <w:rPr>
          <w:rFonts w:hint="eastAsia"/>
        </w:rPr>
        <w:t>2018年12月3日农业农村部令2018年第1号发布，自2019年1月1日起施行</w:t>
      </w:r>
      <w:r>
        <w:t>）</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为了保护、合理利用渔业资源，控制捕捞强度，维护渔业生产秩序，保障渔业生产者的合法权益，根据《中华人民共和国渔业法》，制定本规定。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中华人民共和国的公民、法人和其他组织从事渔业捕捞活动，以及外国人、外国渔业船舶在中华人民共和国领域及管辖的其他水域从事渔业捕捞活动，应当遵守本规定。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中华人民共和国缔结的条约、协定另有规定的，按条约、协定执行。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国家对捕捞业实行船网工具控制指标管理，实行捕捞许可证制度和捕捞限额制度。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国家根据渔业资源变化与环境状况，确定船网工具控制指标，控制捕捞能力总量和渔业捕捞许可证数量。渔业捕捞许可证的批准发放，应当遵循公开、公平、公正原则，数量不得超过船网工具控制指标范围。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渔业捕捞许可证、船网工具指标等证书文件的审批实行签发人负责制，相关证书文件经签发人签字并加盖公章后方为有效。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签发人对其审批签发证书文件的真实性及合法性负责。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农业农村部主管全国渔业捕捞许可管理和捕捞能力总量控制工作。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县级以上地方人民政府渔业主管部门及其所属的渔政监督管理机构负责本行政区域内的渔业捕捞许可管理和捕捞能力总量控制的组织、实施工作。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县级以上人民政府渔业主管部门应当在其办公场所和网上办理平台，公布船网工具指标、渔业捕捞许可证审批的条件、程序、期限以及需要提交的全部材料目录和申请书示范文本等事项。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县级以上人民政府渔业主管部门应当按照本规定自受理船网工具指标或渔业捕捞许可证申请之日起 20个工作日内审查完毕或者作出是否批准的决定。不予受理申请或者不予批准的，应当书面通知申请人并说明理由。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县级以上人民政府渔业主管部门应当加强渔船和捕捞许可管理信息系统建设，建立健全渔船动态管理数据库。海洋渔船船网工具指标和捕捞许可证的申请、审核审批及制发证书文件等应当通过全国统一的渔船动态管理系统进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申请人应当提供的户口簿、营业执照、渔业船舶检验证书、渔业船舶登记证等法定证照、权属证明在全国渔船动态管理系统或者部门间核查能够查询到有效信息的，可以不再提供纸质材料。</w:t>
      </w:r>
    </w:p>
    <w:p>
      <w:pPr>
        <w:pStyle w:val="63"/>
        <w:spacing w:before="218" w:after="218" w:line="412" w:lineRule="exact"/>
        <w:rPr>
          <w:b/>
        </w:rPr>
      </w:pPr>
      <w:r>
        <w:t>第二章  船网工具指标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海洋渔船按船长分为以下三类：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（一）海洋大型渔船：船长大于或者等于24米；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（二）海洋中型渔船：船长大于或者等于12米且小于24米；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（三）海洋小型渔船：船长小于12米。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内陆渔船的分类标准由各省、自治区、直辖市人民政府渔业主管部门制定。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国内海洋大中型捕捞渔船的船网工具控制指标由农业农村部确定并报国务院批准后，向有关省、自治区、直辖市下达。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国内海洋小型捕捞渔船的船网工具控制指标由省、自治区、直辖市人民政府依据其渔业资源与环境承载能力、资源利用状况、渔民传统作业情况等确定，报农业农村部批准后下达。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县级以上地方人民政府渔业主管部门应当控制本行政区域内海洋捕捞渔船的数量、功率，不得超过国家或省、自治区、直辖市人民政府下达的船网工具控制指标，具体办法由省、自治区、直辖市人民政府规定。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内陆水域捕捞业的船网工具控制指标和管理，按照省、自治区、直辖市人民政府的规定执行。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制造、更新改造、购置、进口海洋捕捞渔船，应当经有审批权的人民政府渔业主管部门在国家或者省、自治区、直辖市下达的船网工具控制指标内批准，并取得渔业船网工具指标批准书。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请海洋捕捞渔船船网工具指标，应当向户籍所在地、法人或非法人组织登记地县级以上人民政府渔业主管部门提出，提交渔业船网工具指标申请书、申请人户口簿或者营业执照，以及申请人所属渔业组织出具的意见，并按以下情况提供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（一）制造海洋捕捞渔船的，提供经确认符合船机桨匹配要求的渔船建造设计图纸。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内海洋捕捞渔船淘汰后申请制造渔船的，还应当提供渔船拆解所在地县级以上地方人民政府渔业主管部门与渔船定点拆解厂（点）共同出具的渔业船舶拆解、销毁或处理证明和现场监督管理的影像资料，以及原发证机关出具的渔业船舶证书注销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国内海洋捕捞渔船因海损事故造成渔船灭失后申请制造渔船的，还应当提供船籍港登记机关出具的灭失证明和原发证机关出具的渔业船舶证书注销证明。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（二）购置海洋捕捞渔船的提供：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1.被购置渔船的渔业船舶检验证书、渔业船舶国籍证书和所有权登记证书；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2.被购置渔船的渔业捕捞许可证注销证明；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3.渔业船网工具指标转移证明；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4.渔船交易合同；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5.出售方户口簿或者营业执照。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（三）更新改造海洋捕捞渔船的提供：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1.渔业船舶检验证书、渔业船舶国籍证书和所有权登记证书；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2.渔业捕捞许可证注销证明。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增加国内渔船主机功率的，还应当提供用于主机功率增加部分的被淘汰渔船的拆解、销毁或处理证明和现场监督管理的影像资料或者灭失证明，及其原发证机关出具的渔业船舶证书注销证明，并提供经确认符合船机桨匹配要求的渔船建造设计图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（四）进口海洋捕捞渔船的，提供进口理由、旧渔业船舶进口技术评定书。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申请制造、购置、更新改造、进口远洋渔船的，除分别按照第一项、第二项、第三项、第四项规定提供相应资料外，应当提供远洋渔业项目可行性研究报告；到他国管辖海域作业的远洋渔船，还应当提供与外方的合作协议或有关当局同意入渔的证明。但是，申请购置和更新改造的远洋渔船，不需提供渔业捕捞许可证注销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（六）购置并制造、购置并更新改造、进口并更新改造海洋捕捞渔船的，同时按照制造、更新改造和进口海洋捕捞渔船的要求提供相关材料。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下列海洋捕捞渔船的船网工具指标，向省级人民政府渔业主管部门申请。省级人民政府渔业主管部门应当按照规定进行审查，并将审查意见和申请人的全部申请材料报农业农村部审批：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（一）远洋渔船；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（二）因特殊需要，超过国家下达的省、自治区、直辖市渔业船网工具控制指标的渔船；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（三）其他依法应由农业农村部审批的渔船。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除第十二条规定情况外，制造或者更新改造国内海洋大中型捕捞渔船的船网工具指标，由省级人民政府渔业主管部门审批。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跨省、自治区、直辖市购置国内海洋捕捞渔船的，由买入地省级人民政府渔业主管部门审批。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其他国内渔船的船网工具指标的申请、审批，由省、自治区、直辖市人民政府规定。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制造、更新改造国内海洋捕捞渔船的，应当在本省、自治区、直辖市渔业船网工具控制指标范围内，通过淘汰旧捕捞渔船解决，船数和功率数应当分别不超过淘汰渔船的船数和功率数。国内海洋大中型捕捞渔船和小型捕捞渔船的船网工具指标不得相互转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购置国内海洋捕捞渔船的船网工具指标随船转移。国内海洋大中型捕捞渔船不得跨海区买卖，国内海洋小型和内陆捕捞渔船不得跨省、自治区、直辖市买卖。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国内现有海洋捕捞渔船经审批转为远洋捕捞作业的，其船网工具指标予以保留。因渔船发生重大改造，导致渔船主尺度、主机功率和作业类型发生变更的除外。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专业远洋渔船不计入省、自治区、直辖市的船网工具控制指标，由农业农村部统一管理，不得在我国管辖水域作业。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渔船灭失、拆解、销毁的，原船舶所有人可自渔船灭失、拆解、销毁之日起12个月内，按本规定申请办理渔船制造或更新改造手续；逾期未申请的，视为自行放弃，由渔业主管部门收回船网工具指标。渔船灭失依法需要调查处理的，调查处理所需时间不计算在此规定期限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申请人应当凭渔业船网工具指标批准书办理渔船制造、更新改造、购置或进口手续，并申请渔船检验、登记，办理渔业捕捞许可证。审批机关应当同时在渔业船网工具指标批准书上记载办理情况。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制造、更新改造、进口渔船的渔业船网工具指标批准书的有效期为18个月，购置渔船的渔业船网工具指标批准书的有效期为6个月。因特殊原因在规定期限内无法办理完毕相关手续的，可在有效期届满前3个月内申请有效期延展一次，延展期不得超过原船网工具指标批准书核准的有效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船网工具指标批准书有效期届满未依法延续的，审批机关应当予以注销并收回船网工具指标。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渔业船网工具指标批准书在有效期内遗失或者灭失的，船舶所有人应当在 1个月内向原审批机关说明遗失或者灭失的时间、地点和原因等情况，由原审批机关在其官方网站上发布声明，自公告声明发布之日起 15日后，船舶所有人可向原审批机关申请补发渔业船网工具指标批准书。补发的渔业船网工具指标批准书有效期限不变。</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因继承、赠与、法院判决、拍卖等发生海洋渔船所有权转移的，参照购置海洋捕捞渔船的规定申请办理船网工具指标和渔业捕捞许可证。依法拍卖的，竞买人应当具备规定的条件。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有下列情形之一的，不予受理海洋渔船的渔业船网工具指标申请；已经受理的，不予批准：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（一）渔船数量或功率数超过船网工具控制指标的；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（二）从国外或香港、澳门、台湾地区进口，或以合作、合资等方式引进捕捞渔船在我国管辖水域作业的；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（三）制造拖网、单锚张纲张网、单船大型深水有囊围网（三角虎网）作业渔船的；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（四）户籍登记为一户的申请人已有两艘以上小型捕捞渔船，申请制造、购置的；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（五）除专业远洋渔船外，申请人户籍所在地、法人或非法人组织登记地为非沿海县（市）的，或者企业法定代表人户籍所在地与企业登记地不一致的；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（六）违反本规定第十四条第一款、第二款规定，以及不符合有关法律、法规、规章规定和产业发展政策的。</w:t>
      </w:r>
    </w:p>
    <w:p>
      <w:pPr>
        <w:pStyle w:val="63"/>
        <w:spacing w:before="218" w:after="218" w:line="412" w:lineRule="exact"/>
      </w:pPr>
      <w:r>
        <w:t>第三章  渔业捕捞许可证</w:t>
      </w:r>
    </w:p>
    <w:p>
      <w:pPr>
        <w:pStyle w:val="64"/>
        <w:spacing w:before="156" w:after="156"/>
      </w:pPr>
      <w:r>
        <w:t>第一节  一般规定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在中华人民共和国管辖水域从事渔业捕捞活动，以及中国籍渔船在公海从事渔业捕捞活动，应当经审批机关批准并领取渔业捕捞许可证，按照渔业捕捞许可证核定的作业类型、场所、时限、渔具数量和规格、捕捞品种等作业。对已实行捕捞限额管理的品种或水域，应当按照规定的捕捞限额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禁止在禁渔区、禁渔期、自然保护区从事渔业捕捞活动。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渔业捕捞许可证应当随船携带，徒手作业的应当随身携带，妥善保管，并接受渔业行政执法人员的检查。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渔业捕捞许可证分为下列八类：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（一）海洋渔业捕捞许可证，适用于许可中国籍渔船在我国管辖海域的捕捞作业；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（二）公海渔业捕捞许可证，适用于许可中国籍渔船在公海的捕捞作业。国际或区域渔业管理组织有特别规定的，应当同时遵守有关规定；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（三）内陆渔业捕捞许可证，适用于许可在内陆水域的捕捞作业；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（四）专项（特许）渔业捕捞许可证，适用于许可在特定水域、特定时间或对特定品种的捕捞作业，或者使用特定渔具或捕捞方法的捕捞作业；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（五）临时渔业捕捞许可证，适用于许可临时从事捕捞作业和非专业渔船临时从事捕捞作业；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（六）休闲渔业捕捞许可证，适用于许可从事休闲渔业的捕捞活动；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（七）外国渔业捕捞许可证，适用于许可外国船舶、外国人在我国管辖水域的捕捞作业；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（八）捕捞辅助船许可证，适用于许可为渔业捕捞生产提供服务的渔业捕捞辅助船，从事捕捞辅助活动。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渔业捕捞许可证核定的作业类型分为刺网、围网、拖网、张网、钓具、耙刺、陷阱、笼壶、地拉网、敷网、抄网、掩罩等共12种。核定作业类型最多不得超过两种，并应当符合渔具准用目录和技术标准，明确每种作业类型中的具体作业方式。拖网、张网不得互换且不得与其他作业类型兼作，其他作业类型不得改为拖网、张网作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捕捞辅助船不得从事捕捞生产作业，其携带的渔具应当捆绑、覆盖。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渔业捕捞许可证核定的海洋捕捞作业场所分为以下四类：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A类渔区：黄海、渤海、东海和南海等海域机动渔船底拖网禁渔区线向陆地一侧海域；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B类渔区：我国与有关国家缔结的协定确定的共同管理渔区、南沙海域、黄岩岛海域及其他特定渔业资源渔场和水产种质资源保护区；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C类渔区：渤海、黄海、东海、南海及其他我国管辖海域中除A类、B类渔区之外的海域。其中，黄渤海区为C1、东海区为C2、南海区为C3；</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D类渔区：公海。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内陆水域捕捞作业场所按具体水域核定，跨行政区域的按该水域在不同行政区域的范围进行核定。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海洋捕捞作业场所要明确核定渔区的类别和范围，其中 B 类渔区要明确核定渔区、渔场或保护区的具体名称。公海要明确海域的名称。内陆水域作业场所要明确具体的水域名称及其范围。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渔业捕捞许可证的作业场所核定权限如下：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（一）农业农村部：A类、B类、C类、D类渔区和内陆水域；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（二）省级人民政府渔业主管部门：在海洋为本省、自治区、直辖市范围内的A类渔区，农业农村部授权的B类渔区、C类渔区。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在内陆水域为本省、自治区、直辖市行政管辖水域；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（三）市、县级人民政府渔业主管部门：由省级人民政府渔业主管部门在其权限内规定并授权。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国内海洋大中型渔船捕捞许可证的作业场所应当核定在海洋 B类、C类渔区，国内海洋小型渔船捕捞许可证的作业场所应当核定在海洋 A 类渔区。因传统作业习惯需要，经作业水域所在地审批机关批准，海洋大中型渔船捕捞许可证的作业场所可核定在海洋 A 类渔区。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作业场所核定在 B 类、C 类渔区的渔船，不得跨海区界限作业，但我国与有关国家缔结的协定确定的共同管理渔区跨越海区界限的除外。作业场所核定在 A 类渔区或内陆水域的渔船，不得跨省、自治区、直辖市管辖水域界限作业。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专项（特许）渔业捕捞许可证应当与海洋渔业捕捞许可证或内陆渔业捕捞许可证同时使用，但因教学、科研等特殊需要，可单独使用专项（特许）渔业捕捞许可证。在 B类渔区捕捞作业的，应当申请核发专项（特许）渔业捕捞许可证。</w:t>
      </w:r>
    </w:p>
    <w:p>
      <w:pPr>
        <w:pStyle w:val="64"/>
        <w:spacing w:before="156" w:after="156"/>
      </w:pPr>
      <w:r>
        <w:t>第二节  申请与核发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渔业捕捞许可证的申请人应当是船舶所有人。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徒手作业的，渔业捕捞许可证的申请人应当是作业人本人。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申请渔业捕捞许可证，申请人应当向户籍所在地、法人或非法人组织登记地县级以上人民政府渔业主管部门提出申请，并提交下列资料：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（一）渔业捕捞许可证申请书；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（二）船舶所有人户口簿或者营业执照；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（三）渔业船舶检验证书、渔业船舶国籍证书和所有权登记证书，徒手作业的除外；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（四）渔具和捕捞方法符合渔具准用目录和技术标准的说明。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申请海洋渔业捕捞许可证，除提供第一款规定的资料外，还应提供：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（一）申请人所属渔业组织出具的意见；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（二）首次申请和重新申请捕捞许可证的，提供渔业船网工具指标批准书；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（三）申请换发捕捞许可证的，提供原捕捞许可证。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申请公海渔业捕捞许可证，除提供第一款规定的资料外，还需提供：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（一）农业农村部远洋渔业项目批准文件；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（二）首次申请和重新申请的，提供渔业船网工具指标批准书；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（三）非专业远洋渔船需提供海洋渔业捕捞许可证暂存的凭据。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申请专项（特许）渔业捕捞许可证，除提供第一款规定的资料外，还应提供海洋渔业捕捞许可证或内陆渔业捕捞许可证。其中，申请到 B类渔区作业的专项（特许）渔业捕捞许可证的，还应当依据有关管理规定提供申请材料；申请在禁渔区或者禁渔期作业的，还应当提供作业事由和计划；承担教学、科研等项目租用渔船的，还应提供项目计划、租用协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科研、教学单位的专业科研调查船、教学实习船申请专项（特许）渔业捕捞许可证，除提供第一款规定的资料外，还应提供科研调查、教学实习任务书或项目可行性报告。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下列作业渔船的渔业捕捞许可证，向船籍港所在地省级人民政府渔业主管部门申请。省级人民政府渔业主管部门应当审核并报农业农村部批准发放：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（一）到公海作业的；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（二）到我国与有关国家缔结的协定确定的共同管理渔区及南沙海域、黄岩岛海域作业的；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（三）到特定渔业资源渔场、水产种质资源保护区作业的；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（四）科研、教学单位的专业科研调查船、教学实习船从事渔业科研、教学实习活动的；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（五）其他依法应当由农业农村部批准发放的。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下列作业的捕捞许可证，由省级人民政府渔业主管部门批准发放：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（一）海洋大型拖网、围网渔船作业的；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（二）因养殖或者其他特殊需要，捕捞农业农村部颁布的有重要经济价值的苗种或者禁捕的怀卵亲体的；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（三）因教学、科研等特殊需要，在禁渔区、禁渔期从事捕捞作业的。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因传统作业习惯或科研、教学及其他特殊情况，需要跨越本规定第二十五条第二款规定的界限从事捕捞作业的，由申请人所在地县级以上地方人民政府渔业主管部门审核同意后，报作业水域所在地审批机关批准发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在相邻交界水域作业的渔业捕捞许可证，由交界水域有关的县级以上地方人民政府渔业主管部门协商发放，或由其共同的上级人民政府渔业主管部门批准发放。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除本规定第二十九条、第三十条、第三十一条情况外，其他作业的渔业捕捞许可证由县级以上地方人民政府渔业主管部门审批发放。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县级以上地方人民政府渔业主管部门审批发放渔业捕捞许可证，应当优先安排当地专业渔民和渔业企业。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除专业远洋渔船外，申请渔业捕捞许可证，企业法定代表人户籍所在地与企业登记地不一致的；申请海洋渔业捕捞许可证，申请人户籍所在地、法人或非法人组织登记地为非沿海县（市）的，不予受理；已经受理的，不予批准。</w:t>
      </w:r>
    </w:p>
    <w:p>
      <w:pPr>
        <w:pStyle w:val="64"/>
        <w:spacing w:before="156" w:after="156"/>
      </w:pPr>
      <w:r>
        <w:t>第三节  证书使用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从事钓具、灯光围网作业渔船的子船与其主船（母船）使用同一本渔业捕捞许可证。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海洋渔业捕捞许可证和内陆渔业捕捞许可证的使用期限为5年。其他种类渔业捕捞许可证的使用期限根据实际需要确定，但最长不超过3年。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使用达到农业农村部规定的老旧渔业船舶船龄的渔船从事捕捞作业的，发证机关核发其渔业捕捞许可证时，证书使用期限不得超过渔业船舶检验证书记载的有效期限。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渔业捕捞许可证使用期届满，或者在有效期内有下列情形之一的，应当按规定申请换发渔业捕捞许可证：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（一）因行政区划调整导致船名变更、船籍港变更的；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（二）作业场所、作业方式变更的；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（三）船舶所有人姓名、名称或地址变更的，但渔船所有权发生转移的除外；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（四）渔业捕捞许可证污损不能使用的。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渔业捕捞许可证使用期届满的，船舶所有人应当在使用期届满前 3个月内，向原发证机关申请换发捕捞许可证。发证机关批准换发渔业捕捞许可证时，应当收回原渔业捕捞许可证，并予以注销。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在渔业捕捞许可证有效期内有下列情形之一的，应当重新申请渔业捕捞许可证：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（一）渔船作业类型变更的；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（二）渔船主机、主尺度、总吨位变更的；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（三）因购置渔船发生所有人变更的；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（四）国内现有捕捞渔船经审批转为远洋捕捞作业的。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有前款第一项、第二项、第三项情形的，还应当办理原渔业捕捞许可证注销手续。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渔业捕捞许可证遗失或者灭失的，船舶所有人应当在1个月内向原发证机关说明遗失或者灭失的时间、地点和原因等情况，由原发证机关在其官方网站上发布声明，自公告声明发布之日起15日后，船舶所有人可向原发证机关申请补发渔业捕捞许可证。补发的渔业捕捞许可证使用期限不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有下列情形之一的，渔业捕捞许可证失效，发证机关应当予以注销：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（一）渔业捕捞许可证、渔业船舶检验证书或者渔业船舶国籍证书有效期届满未依法延续的；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（二）渔船灭失、拆解或销毁的，或者因渔船损毁且渔业捕捞许可证灭失的；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（三）不再从事渔业捕捞作业的；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（四）渔业捕捞许可证依法被撤销、撤回或者吊销的；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（五）以贿赂、欺骗等不正当手段取得渔业捕捞许可证的；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（六）依法应当注销的其他情形。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有前款第一项、第三项规定情形的，发证机关应当事先告知当事人。有前款第二项规定情形的，应当由船舶所有人提供相关证明。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渔业捕捞许可证注销后12个月内未按规定重新申请办理的，视为自行放弃，由渔业主管部门收回船网工具指标，更新改造渔船注销捕捞许可证的除外。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使用期一年以上的渔业捕捞许可证实行年审制度，每年审验一次。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渔业捕捞许可证的年审工作由发证机关负责，也可由发证机关委托申请人户籍所在地、法人或非法人组织登记地的县级以上地方人民政府渔业主管部门负责。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同时符合下列条件的，为年审合格，由审验人签字，注明日期，加盖公章：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（一）具有有效的渔业船舶检验证书和渔业船舶国籍证书，船舶所有人和渔船主尺度、主机功率、总吨位未发生变更，且与渔业船舶证书载明的一致；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（二）渔船作业类型、场所、时限、渔具数量与许可内容一致；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（三）按规定填写和提交渔捞日志，未超出捕捞限额指标（对实行捕捞限额管理的渔船）；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（四）按规定缴纳渔业资源增殖保护费；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（五）按规定履行行政处罚决定；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（六）其他条件符合有关规定。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年审不合格的，由渔业主管部门责令船舶所有人限期改正，可以再审验一次。再次审验合格的，渔业捕捞许可证继续有效。</w:t>
      </w:r>
    </w:p>
    <w:p>
      <w:pPr>
        <w:pStyle w:val="63"/>
        <w:spacing w:before="218" w:after="218" w:line="412" w:lineRule="exact"/>
        <w:rPr>
          <w:b/>
        </w:rPr>
      </w:pPr>
      <w:r>
        <w:t>第四章  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渔业船网工具指标批准书、渔业船网工具指标申请不予许可决定书、渔业捕捞许可证、渔业捕捞许可证注销证明、渔业船舶拆解销毁或处理证明、渔业船舶灭失证明、渔业船网工具指标转移证明等证书文件，由农业农村部规定样式并统一印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渔业船网工具指标申请书、渔业船网工具指标申请审核变更说明、渔业捕捞许可证申请书、渔业捕捞许可证注销申请表、渔捞日志等，由县级以上人民政府渔业主管部门按照农业农村部规定的统一格式印制。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县级以上人民政府渔业主管部门应当逐船建立渔业船网工具指标审批和渔业捕捞许可证核发档案。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渔业船网工具指标批准书使用和渔业捕捞许可证被注销后，其核发档案应当保存至少5年。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签发人实行农业农村部和省级人民政府渔业主管部门报备制度，县级以上人民政府渔业主管部门应推荐一至两人为签发人。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省级人民政府渔业主管部门负责备案公布本省、自治区、直辖市县级以上地方人民政府渔业主管部门的签发人，农业农村部负责备案公布省、自治区、直辖市渔业主管部门的签发人。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签发人越权、违规签发，或擅自更改渔业船网工具指标和渔业捕捞许可证书证件，或有其他玩忽职守、徇私舞弊等行为的，视情节对有关签发人给予警告、通报批评、暂停或取消签发人资格等处分；签发人及其所在单位应依法承担相应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越权、违规签发或擅自更改的证书证件由其签发人所在单位的上级机关撤销，由原发证机关注销。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禁止涂改、伪造、变造、买卖、出租、出借或以其他形式转让渔业船网工具指标批准书和渔业捕捞许可证。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有下列情形之一的，为无效渔业捕捞许可证：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（一）逾期未年审或年审不合格的；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（二）证书载明的渔船主机功率与实际功率不符的；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（三）以欺骗或者涂改、伪造、变造、买卖、出租、出借等非法方式取得的；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（四）被撤销、注销的。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使用无效的渔业捕捞许可证或者在检查时不能提供渔业捕捞许可证，从事渔业捕捞活动的，视为无证捕捞。</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涂改、伪造、变造、买卖、出租、出借或以其他形式转让的渔业船网工具指标批准书，为无效渔业船网工具指标批准书，由批准机关予以注销，并核销相应船网工具指标。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依法被没收渔船的，海洋大中型捕捞渔船的船网工具指标由农业农村部核销，其他渔船的船网工具指标由省、自治区、直辖市人民政府渔业主管部门核销。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依法被列入失信被执行人的，县级以上人民政府渔业主管部门应当对其渔业船网工具指标、捕捞许可证的申请按规定予以限制，并冻结失信被执行人及其渔船在全国渔船动态管理系统中的相关数据。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海洋大中型渔船从事捕捞活动应当填写渔捞日志，渔捞日志应当记载渔船捕捞作业、进港卸载渔获物、水上收购或转运渔获物等情况。其他渔船渔捞日志的管理由省、自治区、直辖市人民政府规定。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国内海洋大中型渔船应当在返港后向港口所在地县级人民政府渔业主管部门或其指定的机构或渔业组织提交渔捞日志。公海捕捞作业渔船应当每月向农业农村部或其指定机构提交渔捞日志。使用电子渔捞日志的，应当每日提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船长应当对渔捞日志记录内容的真实性、正确性负责。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禁止在A类渔区转载渔获物。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未按规定提交渔捞日志或者渔捞日志填写不真实、不规范的，由县级以上人民政府渔业主管部门或其所属的渔政监督管理机构给予警告，责令改正；逾期不改正的，可以处 1000元以上1万元以下罚款。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违反本规定的其他行为，依照《中华人民共和国渔业法》或其他有关法律法规规章进行处罚。</w:t>
      </w:r>
    </w:p>
    <w:p>
      <w:pPr>
        <w:pStyle w:val="63"/>
        <w:spacing w:before="218" w:after="218" w:line="412" w:lineRule="exact"/>
        <w:rPr>
          <w:b/>
        </w:rPr>
      </w:pPr>
      <w:r>
        <w:t>第五章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本规定有关用语的定义如下：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渔业捕捞活动：捕捞或准备捕捞水生生物资源的行为，以及为这种行为提供支持和服务的各种活动。在尚未管理的滩涂或水域手工零星采集水产品的除外。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渔船：《中华人民共和国渔港水域交通安全管理条例》规定的渔业船舶。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船长：《渔业船舶国籍证书》中所载明的船长。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捕捞渔船：从事捕捞活动的生产船。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捕捞辅助船：渔获物运销船、冷藏加工船、渔用物资和燃料补给船等为渔业捕捞生产提供服务的船舶。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非专业渔船：从事捕捞活动的教学、科研调查船，特殊用途渔船，用于休闲捕捞活动的专业旅游观光船等船舶。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远洋渔船：在公海或他国管辖海域作业的捕捞渔船和捕捞辅助船，包括专业远洋渔船和非专业远洋渔船。专业远洋渔船，指专门用于在公海或他国管辖海域作业的捕捞渔船和捕捞辅助船；非专业远洋渔船，指具有国内有效的渔业捕捞许可证，转产到公海或他国管辖海域作业的捕捞渔船和捕捞辅助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船网工具控制指标：渔船的数量及其主机功率数值、网具或其他渔具的数量的最高限额。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船网工具指标：渔船的主机功率数值、网具或其他渔具的数额。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制造渔船：新建造渔船，包括旧船淘汰后再建造渔船。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更新改造渔船：通过更新主机或对船体和结构进行改造改变渔船主机功率、作业类型、主尺度或总吨位。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购置渔船：从国内买入渔船。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进口渔船：从国外和香港、澳门、台湾地区买入渔船，包括以各种方式引进渔船。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渔业组织：渔业合作组织、渔业社团（协会）、村集体经济组织、村民委员会等法人或非法人组织。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渔业船舶证书：渔业船舶检验证书、渔业船舶国籍证书、渔业捕捞许可证。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香港、澳门特别行政区持有广东省户籍的流动渔船的船网工具指标和捕捞许可证管理，按照农业农村部有关港澳流动渔船管理的规定执行。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国内捕捞辅助船的总量控制应当与本行政区域内捕捞渔船数量和规模相匹配，其船网工具指标和捕捞许可证审批按照捕捞渔船进行管理。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国内捕捞辅助船、休闲渔船和徒手作业捕捞许可管理的具体办法，由省、自治区、直辖市人民政府渔业主管部门规定。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我国渔船到他国管辖水域作业，应当经农业农村部批准。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中国籍渔业船舶以光船条件出租到境外申请办理光船租赁登记和非专业远洋渔船申请办理远洋渔业项目前，应当将海洋渔业捕捞许可证交回原发证机关暂存，原发证机关应当出具暂存凭据。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渔业捕捞许可证暂存期不计入渔业捕捞许可证核定的使用期限，暂存期间不需要办理年审手续。渔船回国终止光船租赁和远洋渔业项目后，凭暂存凭据领回渔业捕捞许可证。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本规定自2019年1月1日起施行。原农业部2002年8月23日发布，2004年7月1日、2007年11月8日和2013年12月31日修订的《渔业捕捞许可管理规定》同时废止。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109" w:name="_Toc25653765"/>
      <w:bookmarkStart w:id="1110" w:name="_Toc24847"/>
      <w:bookmarkStart w:id="1111" w:name="_Toc12960533"/>
      <w:bookmarkStart w:id="1112" w:name="_Toc25648269"/>
      <w:bookmarkStart w:id="1113" w:name="_Toc26348024"/>
      <w:bookmarkStart w:id="1114" w:name="_Toc28252251"/>
      <w:bookmarkStart w:id="1115" w:name="_Toc28157046"/>
      <w:bookmarkStart w:id="1116" w:name="_Toc12960362"/>
      <w:bookmarkStart w:id="1117" w:name="_Toc28250974"/>
      <w:bookmarkStart w:id="1118" w:name="_Toc466579907"/>
      <w:bookmarkStart w:id="1119" w:name="_Toc18917255"/>
      <w:r>
        <w:t>水产养殖质量安全管理规定</w:t>
      </w:r>
      <w:bookmarkEnd w:id="1109"/>
      <w:bookmarkEnd w:id="1110"/>
      <w:bookmarkEnd w:id="1111"/>
      <w:bookmarkEnd w:id="1112"/>
      <w:bookmarkEnd w:id="1113"/>
      <w:bookmarkEnd w:id="1114"/>
      <w:bookmarkEnd w:id="1115"/>
      <w:bookmarkEnd w:id="1116"/>
      <w:bookmarkEnd w:id="1117"/>
      <w:bookmarkEnd w:id="1118"/>
      <w:bookmarkEnd w:id="1119"/>
    </w:p>
    <w:p>
      <w:pPr>
        <w:pStyle w:val="62"/>
        <w:topLinePunct w:val="0"/>
        <w:ind w:firstLine="0" w:firstLineChars="0"/>
        <w:jc w:val="center"/>
      </w:pPr>
      <w:r>
        <w:t>（2003年7月24日</w:t>
      </w:r>
      <w:r>
        <w:rPr>
          <w:shd w:val="clear" w:color="auto" w:fill="FFFFFF"/>
        </w:rPr>
        <w:t>中华人民共和国</w:t>
      </w:r>
      <w:r>
        <w:t>农业部令第31号公布）</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为提高养殖水产品质量安全水平，保护渔业生态环境，促进水产养殖业的健康发展，根据《中华人民共和国渔业法》等法律、行政法规，制定本规定。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在中华人民共和国境内从事水产养殖的单位和个人，应当遵守本规定。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农业部主管全国水产养殖质量安全管理工作。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县级以上地方各级人民政府渔业行政主管部门主管本行政区域内水产养殖质量安全管理工作。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国家鼓励水产养殖单位和个人发展健康养殖，减少水产养殖病害发生；控制养殖用药，保证养殖水产品质量安全；推广生态养殖，保护养殖环境。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国家鼓励水产养殖单位和个人依照有关规定申请无公害农产品认证。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返 回</w:t>
      </w:r>
    </w:p>
    <w:p>
      <w:pPr>
        <w:pStyle w:val="63"/>
        <w:spacing w:before="218" w:after="218" w:line="412" w:lineRule="exact"/>
        <w:rPr>
          <w:b/>
        </w:rPr>
      </w:pPr>
      <w:r>
        <w:t xml:space="preserve">第二章 </w:t>
      </w:r>
      <w:r>
        <w:rPr>
          <w:rFonts w:hint="eastAsia"/>
        </w:rPr>
        <w:t xml:space="preserve"> </w:t>
      </w:r>
      <w:r>
        <w:t>养殖用水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水产养殖用水应当符合农业部《无公害食品海水养殖用水水质》（NY5052-2001）或《无公害食品淡水养殖用水水质》（NY5051-2001）等标准，禁止将不符合水质标准的水源用于水产养殖。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水产养殖单位和个人应当定期监测养殖用水水质。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养殖用水水源受到污染时，应当立即停止使用；确需使用的，应当经过净化处理达到养殖用水水质标准。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养殖水体水质不符合养殖用水水质标准时，应当立即采取措施进行处理。经处理后仍达不到要求的，应当停止养殖活动，并向当地渔业行政主管部门报告，其养殖水产品按本规定第十三条处理。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养殖场或池塘的进排水系统应当分开。水产养殖废水排放应当达到国家规定的排放标准。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返 回</w:t>
      </w:r>
    </w:p>
    <w:p>
      <w:pPr>
        <w:pStyle w:val="63"/>
        <w:spacing w:before="218" w:after="218" w:line="412" w:lineRule="exact"/>
        <w:rPr>
          <w:b/>
        </w:rPr>
      </w:pPr>
      <w:r>
        <w:t xml:space="preserve">第三章 </w:t>
      </w:r>
      <w:r>
        <w:rPr>
          <w:rFonts w:hint="eastAsia"/>
        </w:rPr>
        <w:t xml:space="preserve"> </w:t>
      </w:r>
      <w:r>
        <w:t>养殖生产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县级以上地方各级人民政府渔业行政主管部门应当根据水产养殖规划要求，合理确定用于水产养殖的水域和滩涂，同时根据水域滩涂环境状况划分养殖功能区，合理安排养殖生产布局，科学确定养殖规模、养殖方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使用水域、滩涂从事水产养殖的单位和个人应当按有关规定申领养殖证，并按核准的区域、规模从事养殖生产。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水产养殖生产应当符合国家有关养殖技术规范操作要求。水产养殖单位和个人应当配置与养殖水体和生产能力相适应的水处理设施和相应的水质、水生生物检测等基础性仪器设备。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水产养殖使用的苗种应当符合国家或地方质量标准。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水产养殖专业技术人员应当逐步按国家有关就业准入要求，经过职业技能培训并获得职业资格证书后，方能上岗。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水产养殖单位和个人应当填写《水产养殖生产记录》（格式见附件1），记载养殖种类、苗种来源及生长情况、饲料来源及投喂情况、水质变化等内容。《水产养殖生产记录》应当保存至该批水产品全部销售后2年以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销售的养殖水产品应当符合国家或地方的有关标准。不符合标准的产品应当进行净化处理，净化处理后仍不符合标准的产品禁止销售。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水产养殖单位销售自养水产品应当附具《产品标签》（格式见附件2），注明单位名称、地址，产品种类、规格，出池日期等。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返 回</w:t>
      </w:r>
    </w:p>
    <w:p>
      <w:pPr>
        <w:pStyle w:val="63"/>
        <w:spacing w:before="218" w:after="218" w:line="412" w:lineRule="exact"/>
        <w:rPr>
          <w:b/>
        </w:rPr>
      </w:pPr>
      <w:r>
        <w:t xml:space="preserve">第四章 </w:t>
      </w:r>
      <w:r>
        <w:rPr>
          <w:rFonts w:hint="eastAsia"/>
        </w:rPr>
        <w:t xml:space="preserve"> </w:t>
      </w:r>
      <w:r>
        <w:t>渔用饲料和水产养殖用药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使用渔用饲料应当符合《饲料和饲料添加剂管理条例》和农业部《无公害食品渔用饲料安全限量》（NY5072-2002）。鼓励使用配合饲料。限制直接投喂冰鲜（冻）饵料，防止残饵污染水质。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禁止使用无产品质量标准、无质量检验合格证、无生产许可证和产品批准文号的饲料、饲料添加剂。禁止使用变质和过期饲料。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使用水产养殖用药应当符合《兽药管理条例》和农业部《无公害食品渔药使用准则》（NY5071-2002）。使用药物的养殖水产品在休药期内不得用于人类食品消费。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禁止使用假、劣兽药及农业部规定禁止使用的药品、其他化合物和生物制剂。原料药不得直接用于水产养殖。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水产养殖单位和个人应当按照水产养殖用药使用说明书的要求或在水生生物病害防治员的指导下科学用药。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水生生物病害防治员应当按照有关就业准入的要求，经过职业技能培训并获得职业资格证书后，方能上岗。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水产养殖单位和个人应当填写《水产养殖用药记录》（格式见附件3），记载病害发生情况，主要症状，用药名称、时间、用量等内容。《水产养殖用药记录》应当保存至该批水产品全部销售后2年以上。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各级渔业行政主管部门和技术推广机构应当加强水产养殖用药安全使用的宣传、培训和技术指导工作。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农业部负责制定全国养殖水产品药物残留监控计划，并组织实施。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县级以上地方各级人民政府渔业行政主管部门负责本行政区域内养殖水产品药物残留的监控工作。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水产养殖单位和个人应当接受县级以上人民政府渔业行政主管部门组织的养殖水产品药物残留抽样检测。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返 回</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本规定用语定义：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健康养殖 指通过采用投放无疫病苗种、投喂全价饲料及人为控制养殖环境条件等技术措施，使养殖生物保持最适宜生长和发育的状态，实现减少养殖病害发生、提高产品质量的一种养殖方式。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生态养殖 指根据不同养殖生物间的共生互补原理，利用自然界物质循环系统，在一定的养殖空间和区域内，通过相应的技术和管理措施，使不同生物在同一环境中共同生长，实现保持生态平衡、提高养殖效益的一种养殖方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违反本规定的，依照《中华人民共和国渔业法》、《兽药管理条例》和《饲料和饲料添加剂管理条例》等法律法规进行处罚。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本规定由农业部负责解释。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本规定自2003年9月1日起施行。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120" w:name="_Toc466579908"/>
      <w:bookmarkStart w:id="1121" w:name="_Toc28252252"/>
      <w:bookmarkStart w:id="1122" w:name="_Toc12960363"/>
      <w:bookmarkStart w:id="1123" w:name="_Toc28157047"/>
      <w:bookmarkStart w:id="1124" w:name="_Toc12960534"/>
      <w:bookmarkStart w:id="1125" w:name="_Toc28250975"/>
      <w:bookmarkStart w:id="1126" w:name="_Toc26348025"/>
      <w:bookmarkStart w:id="1127" w:name="_Toc25648270"/>
      <w:bookmarkStart w:id="1128" w:name="_Toc18917256"/>
      <w:bookmarkStart w:id="1129" w:name="_Toc31823"/>
      <w:bookmarkStart w:id="1130" w:name="_Toc25653766"/>
      <w:r>
        <w:t>水生生物增殖放流管理规定</w:t>
      </w:r>
      <w:bookmarkEnd w:id="1120"/>
      <w:bookmarkEnd w:id="1121"/>
      <w:bookmarkEnd w:id="1122"/>
      <w:bookmarkEnd w:id="1123"/>
      <w:bookmarkEnd w:id="1124"/>
      <w:bookmarkEnd w:id="1125"/>
      <w:bookmarkEnd w:id="1126"/>
      <w:bookmarkEnd w:id="1127"/>
      <w:bookmarkEnd w:id="1128"/>
      <w:bookmarkEnd w:id="1129"/>
      <w:bookmarkEnd w:id="1130"/>
    </w:p>
    <w:p>
      <w:pPr>
        <w:pStyle w:val="62"/>
        <w:topLinePunct w:val="0"/>
        <w:ind w:firstLine="0" w:firstLineChars="0"/>
        <w:jc w:val="center"/>
        <w:rPr>
          <w:b/>
        </w:rPr>
      </w:pPr>
      <w:r>
        <w:t>（2009年3月24日</w:t>
      </w:r>
      <w:r>
        <w:rPr>
          <w:shd w:val="clear" w:color="auto" w:fill="FFFFFF"/>
        </w:rPr>
        <w:t>农业部</w:t>
      </w:r>
      <w:r>
        <w:t>令第20号公布）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水生生物增殖放流活动，科学养护水生生物资源，维护生物多样性和水域生态安全，促进渔业可持续健康发展，根据《中华人民共和国渔业法》、《中华人民共和国野生动物保护法》等法律法规，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本规定</w:t>
      </w:r>
      <w:r>
        <w:rPr>
          <w:rFonts w:asciiTheme="minorEastAsia" w:hAnsiTheme="minorEastAsia" w:eastAsiaTheme="minorEastAsia"/>
          <w:spacing w:val="-4"/>
          <w:sz w:val="24"/>
          <w:szCs w:val="24"/>
        </w:rPr>
        <w:t>所称水生生物增殖放流，是指采用放流、底播、移植等人工方式向海洋、江河、湖泊、水库等公共水域投放亲体、苗种等活体水生生物的活动。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在中华人民共和国管辖水域内进行水生生物增殖放流活动，应当遵守本规定。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农业部主管全国水生生物增殖放流工作。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县级以上地方人民政府渔业行政主管部门负责本行政区域内水生生物增殖放流的组织、协调与监督管理。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各级渔业行政主管部门应当加大对水生生物增殖放流的投入，积极引导、鼓励社会资金支持水生生物资源养护和增殖放流事业。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水生生物增殖放流专项资金应专款专用，并遵守有关管理规定。渔业行政主管部门使用社会资金用于增殖放流的，应当向社会、出资人公开资金使用情况。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县级以上人民政府渔业行政主管部门应当积极开展水生生物资源养护与增殖放流的宣传教育，提高公民养护水生生物资源、保护生态环境的意识。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县级以上人民政府渔业行政主管部门应当鼓励单位、个人及社会各界通过认购放流苗种、捐助资金、参加志愿者活动等多种途径和方式参与、开展水生生物增殖放流活动。对于贡献突出的单位和个人，应当采取适当方式给予宣传和鼓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县级以上地方人民政府渔业行政主管部门应当制定本行政区域内的水生生物增殖放流规划，并报上一级渔业行政主管部门备案。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用于增殖放流的人工繁殖的水生生物物种，应当来自有资质的生产单位。其中，属于经济物种的，应当来自持有《水产苗种生产许可证》的苗种生产单位；属于珍稀、濒危物种的，应当来自持有《水生野生动物驯养繁殖许可证》的苗种生产单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渔业行政主管部门应当按照“公开、公平、公正”的原则，依法通过招标或者议标的方式采购用于放流的水生生物或者确定苗种生产单位。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用于增殖放流的亲体、苗种等水生生物应当是本地种。苗种应当是本地种的原种或者子一代，确需放流其他苗种的，应当通过省级以上渔业行政主管部门组织的专家论证。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禁止使用外来种、杂交种、转基因种以及其他不符合生态要求的水生生物物种进行增殖放流。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用于增殖放流的水生生物应当依法经检验检疫合格，确保健康无病害、无禁用药物残留。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渔业行政主管部门组织开展增殖放流活动，应当公开进行，邀请渔民、有关科研单位和社会团体等方面的代表参加，并接受社会监督。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增殖放流的水生生物的种类、数量、规格等，应当向社会公示。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单位和个人自行开展规模性水生生物增殖放流活动的，应当提前15日向当地县级以上地方人民政府渔业行政主管部门报告增殖放流的种类、数量、规格、时间和地点等事项，接受监督检查。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经审查符合本规定的增殖放流活动，县级以上地方人民政府渔业行政主管部门应当给予必要的支持和协助。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应当报告并接受监督检查的增殖放流活动的规模标准，由县级以上地方人民政府渔业行政主管部门根据本地区水生生物增殖放流规划确定。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增殖放流应当遵守省级以上人民政府渔业行政主管部门制定的水生生物增殖放流技术规范，采取适当的放流方式，防止或者减轻对放流水生生物的损害。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渔业行政主管部门应当在增殖放流水域采取划定禁渔区、确定禁渔期等保护措施，加强增殖资源保护，确保增殖放流效果。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渔业行政主管部门应当组织开展有关增殖放流的科研攻关和技术指导，并采取标志放流、跟踪监测和社会调查等措施对增殖放流效果进行评价。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县级以上地方人民政府渔业行政主管部门应当将辖区内本年度水生生物增殖放流的种类、数量、规格、时间、地点、标志放流的数量及方法、资金来源及数量、放流活动等情况统计汇总，于11月底以前报上一级渔业行政主管部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违反本规定的，依照《中华人民共和国渔业法》、《中华人民共和国野生动物保护法》等有关法律法规的规定处罚。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本规定自2009年5月1日起施行。</w:t>
      </w: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131" w:name="_Toc25648271"/>
      <w:bookmarkStart w:id="1132" w:name="_Toc28250976"/>
      <w:bookmarkStart w:id="1133" w:name="_Toc28157048"/>
      <w:bookmarkStart w:id="1134" w:name="_Toc466579909"/>
      <w:bookmarkStart w:id="1135" w:name="_Toc18917257"/>
      <w:bookmarkStart w:id="1136" w:name="_Toc25653767"/>
      <w:bookmarkStart w:id="1137" w:name="_Toc3129"/>
      <w:bookmarkStart w:id="1138" w:name="_Toc28252253"/>
      <w:bookmarkStart w:id="1139" w:name="_Toc12960535"/>
      <w:bookmarkStart w:id="1140" w:name="_Toc12960364"/>
      <w:bookmarkStart w:id="1141" w:name="_Toc26348026"/>
      <w:r>
        <w:t>水域滩涂养殖发证登记办法</w:t>
      </w:r>
      <w:bookmarkEnd w:id="1131"/>
      <w:bookmarkEnd w:id="1132"/>
      <w:bookmarkEnd w:id="1133"/>
      <w:bookmarkEnd w:id="1134"/>
      <w:bookmarkEnd w:id="1135"/>
      <w:bookmarkEnd w:id="1136"/>
      <w:bookmarkEnd w:id="1137"/>
      <w:bookmarkEnd w:id="1138"/>
      <w:bookmarkEnd w:id="1139"/>
      <w:bookmarkEnd w:id="1140"/>
      <w:bookmarkEnd w:id="1141"/>
    </w:p>
    <w:p>
      <w:pPr>
        <w:pStyle w:val="62"/>
        <w:topLinePunct w:val="0"/>
        <w:ind w:firstLine="0" w:firstLineChars="0"/>
        <w:jc w:val="center"/>
      </w:pPr>
      <w:r>
        <w:t>（2010年5月24日</w:t>
      </w:r>
      <w:r>
        <w:rPr>
          <w:shd w:val="clear" w:color="auto" w:fill="FFFFFF"/>
        </w:rPr>
        <w:t>农业部</w:t>
      </w:r>
      <w:r>
        <w:t>令第9号公布）</w:t>
      </w:r>
    </w:p>
    <w:p>
      <w:pPr>
        <w:pStyle w:val="63"/>
        <w:spacing w:before="218" w:after="218" w:line="412" w:lineRule="exact"/>
        <w:rPr>
          <w:b/>
        </w:rPr>
      </w:pPr>
      <w:r>
        <w:t>第一章  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为了保障养殖生产者合法权益，规范水域、滩涂养殖发证登记工作，根据《中华人民共和国物权法》、《中华人民共和国渔业法》、《中华人民共和国农村土地承包法》等法律法规，制定本办法。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本办法所称水域、滩涂，是指经县级以上地方人民政府依法规划或者以其他形式确定可以用于水产养殖业的水域、滩涂。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本办法所称水域滩涂养殖权，是指依法取得的使用水域、滩涂从事水产养殖的权利。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使用水域、滩涂从事养殖生产，由县级以上地方人民政府核发养殖证，确认水域滩涂养殖权。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县级以上地方人民政府渔业行政主管部门负责水域、滩涂养殖发证登记具体工作，并建立登记簿，记载养殖证载明的事项。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水域滩涂养殖权人可以凭养殖证享受国家水产养殖扶持政策。</w:t>
      </w:r>
    </w:p>
    <w:p>
      <w:pPr>
        <w:pStyle w:val="63"/>
        <w:spacing w:before="218" w:after="218" w:line="412" w:lineRule="exact"/>
        <w:rPr>
          <w:b/>
        </w:rPr>
      </w:pPr>
      <w:r>
        <w:t>第二章  国家所有水域滩涂的发证登记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使用国家所有的水域、滩涂从事养殖生产的，应当向县级以上地方人民政府渔业行政主管部门提出申请，并提交以下材料：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（一）养殖证申请表；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（二）公民个人身份证明、法人或其他组织资格证明、法定代表人或者主要负责人的身份证明；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（三）依法应当提交的其他证明材料。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县级以上地方人民政府渔业行政主管部门应当在受理后15个工作日内对申请材料进行书面审查和实地核查。符合规定的，应当将申请在水域、滩涂所在地进行公示，公示期为10日；不符合规定的，书面通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公示期满后，符合下列条件的，县级以上地方人民政府渔业行政主管部门应当报请同级人民政府核发养殖证，并将养殖证载明事项载入登记簿：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（一）水域、滩涂依法可以用于养殖生产；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（二）证明材料合法有效；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（三）无权属争议。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登记簿应当准确记载养殖证载明的全部事项。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国家所有的水域、滩涂，应当优先用于下列当地渔业生产者从事养殖生产：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（一）以水域、滩涂养殖生产为主要生活来源的；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（二）因渔业产业结构调整，由捕捞业转产从事养殖业的；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（三）因养殖水域滩涂规划调整，需要另行安排养殖水域、滩涂从事养殖生产的。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依法转让国家所有水域、滩涂的养殖权的，应当持原养殖证，依照本章规定重新办理发证登记。</w:t>
      </w:r>
    </w:p>
    <w:p>
      <w:pPr>
        <w:pStyle w:val="63"/>
        <w:spacing w:before="218" w:after="218" w:line="412" w:lineRule="exact"/>
        <w:rPr>
          <w:b/>
        </w:rPr>
      </w:pPr>
      <w:r>
        <w:t>第三章  集体所有或者国家所有由集体使用</w:t>
      </w:r>
      <w:r>
        <w:rPr>
          <w:rFonts w:hint="eastAsia"/>
        </w:rPr>
        <w:br w:type="textWrapping"/>
      </w:r>
      <w:r>
        <w:t>水域滩涂的发证登记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农民集体所有或者国家所有依法由农民集体使用的水域、滩涂，以家庭承包方式用于养殖生产的，依照下列程序办理发证登记：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（一）水域、滩涂承包合同生效后，发包方应当在30个工作日内，将水域、滩涂承包方案、承包方及承包水域、滩涂的详细情况、水域、滩涂承包合同等材料报县级以上地方人民政府渔业行政主管部门；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（二）县级以上地方人民政府渔业行政主管部门对发包方报送的材料进行审核。符合规定的，报请同级人民政府核发养殖证，并将养殖证载明事项载入登记簿；不符合规定的，书面通知当事人。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农民集体所有或者国家所有依法由农民集体使用的水域、滩涂，以招标、拍卖、公开协商等方式承包用于养殖生产，承包方申请取得养殖证的，依照下列程序办理发证登记：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（一）水域、滩涂承包合同生效后，承包方填写养殖证申请表，并将水域、滩涂承包合同等材料报县级以上地方人民政府渔业行政主管部门；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（二）县级以上地方人民政府渔业行政主管部门对承包方提交的材料进行审核。符合规定的，报请同级人民政府核发养殖证，并将养殖证载明事项载入登记簿；不符合规定的，书面通知申请人。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县级以上地方人民政府渔业行政主管部门应当在登记簿上准确记载养殖证载明的全部事项。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农民集体所有或者国家所有依法由农民集体使用的水域、滩涂，以家庭承包方式用于养殖生产，在承包期内采取转包、出租、入股方式流转水域滩涂养殖权的，不需要重新办理发证登记。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采取转让、互换方式流转水域滩涂养殖权的，当事人可以要求重新办理发证登记。申请重新办理发证登记的，应当提交原养殖证和水域滩涂养殖权流转合同等相关证明材料。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因转让、互换以外的其他方式导致水域滩涂养殖权分立、合并的，应当持原养殖证及相关证明材料，向原发证登记机关重新办理发证登记。</w:t>
      </w:r>
    </w:p>
    <w:p>
      <w:pPr>
        <w:pStyle w:val="63"/>
        <w:spacing w:before="218" w:after="218" w:line="412" w:lineRule="exact"/>
        <w:rPr>
          <w:b/>
        </w:rPr>
      </w:pPr>
      <w:r>
        <w:t>第四章  变更、收回、注销和延展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水域滩涂养殖权人、利害关系人有权查阅、复制登记簿，县级以上地方人民政府渔业行政主管部门应当提供，不得限制和拒绝。</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水域滩涂养殖权人、利害关系人认为登记簿记载的事项错误的，可以申请更正登记。登记簿记载的权利人书面同意更正或者有证据证明登记确有错误的，县级以上地方人民政府渔业行政主管部门应当予以更正。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养殖权人姓名或名称、住所等事项发生变化的，当事人应当持原养殖证及相关证明材料，向原发证登记机关申请变更。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因被依法收回、征收等原因造成水域滩涂养殖权灭失的，应当由发证机关依法收回、注销养殖证。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实行家庭承包的农民集体所有或者国家所有依法由农民集体使用的水域、滩涂，在承包期内出现下列情形之一，发包方依法收回承包的水域、滩涂的，应当由发证机关收回、注销养殖证：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（一）承包方全家迁入设区的市，转为非农业户口的；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（二）承包方提出书面申请，自愿放弃全部承包水域、滩涂的；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（三）其他依法应当收回养殖证的情形。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符合本办法第十六条规定，水域滩涂养殖权人拒绝交回养殖证的，县级以上地方人民政府渔业行政主管部门调查核实后，报请发证机关依法注销养殖证，并予以公告。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水域滩涂养殖权期限届满，水域滩涂养殖权人依法继续使用国家所有的水域、滩涂从事养殖生产的，应当在期限届满60日前，持养殖证向原发证登记机关办理延展手续，并按本办法第五条规定提交相关材料。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因养殖水域滩涂规划调整不得从事养殖的，期限届满后不再办理延展手续。</w:t>
      </w:r>
    </w:p>
    <w:p>
      <w:pPr>
        <w:pStyle w:val="63"/>
        <w:spacing w:before="218" w:after="218" w:line="412" w:lineRule="exact"/>
        <w:rPr>
          <w:b/>
        </w:rPr>
      </w:pPr>
      <w:r>
        <w:t>第五章  附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养殖证由农业部监制，省级人民政府渔业行政主管部门印制。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颁发养殖证，除依法收取工本费外，不得向水域、滩涂使用人收取任何费用。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本办法施行前养殖水域、滩涂已核发养殖证或者农村土地承包经营权证的，在有效期内继续有效。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本办法自2010年7月1日起施行。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142" w:name="_Toc12960538"/>
      <w:bookmarkStart w:id="1143" w:name="_Toc18810"/>
      <w:bookmarkStart w:id="1144" w:name="_Toc18917260"/>
      <w:bookmarkStart w:id="1145" w:name="_Toc12960367"/>
      <w:bookmarkStart w:id="1146" w:name="_Toc466579923"/>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147" w:name="_Toc28250977"/>
      <w:bookmarkStart w:id="1148" w:name="_Toc25653768"/>
      <w:bookmarkStart w:id="1149" w:name="_Toc26348027"/>
      <w:bookmarkStart w:id="1150" w:name="_Toc25648272"/>
      <w:bookmarkStart w:id="1151" w:name="_Toc28252254"/>
      <w:bookmarkStart w:id="1152" w:name="_Toc28157049"/>
      <w:r>
        <w:t>渔业水域污染事故调查处理程序规定</w:t>
      </w:r>
      <w:bookmarkEnd w:id="1142"/>
      <w:bookmarkEnd w:id="1143"/>
      <w:bookmarkEnd w:id="1144"/>
      <w:bookmarkEnd w:id="1145"/>
      <w:bookmarkEnd w:id="1146"/>
      <w:bookmarkEnd w:id="1147"/>
      <w:bookmarkEnd w:id="1148"/>
      <w:bookmarkEnd w:id="1149"/>
      <w:bookmarkEnd w:id="1150"/>
      <w:bookmarkEnd w:id="1151"/>
      <w:bookmarkEnd w:id="1152"/>
    </w:p>
    <w:p>
      <w:pPr>
        <w:pStyle w:val="62"/>
        <w:topLinePunct w:val="0"/>
        <w:ind w:firstLine="0" w:firstLineChars="0"/>
        <w:jc w:val="center"/>
      </w:pPr>
      <w:r>
        <w:t>（1997年3月26日农业部令第13号公布）</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及时、公正地调查处理渔业水域污染事故，维护国家、集体和公民的合法权益，根据《中华人民共和国环境保护法》、《中华人民共和国水污染防治法》、《中华人民共和国渔业法》等有关法律法规，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任何公民、法人或其他组织造成渔业水域污染事故的，应当接受渔政监督管理机构（以下简称主管机构）的调查处理。各级主管机构调查处理渔业水域污染事故适用本规定。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本规定所称的渔业水域是指鱼虾贝类的产卵尝索饵尝越冬尝洄游通道和鱼虾贝藻类及其他水生动植物的增养殖常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本规定所称的渔业水域污染事故是指由于单位和个人将某种物质和能量引入渔业水域，损坏渔业水体使用功能，影响渔业水域内的生物繁殖、生长或造成该生物死亡、数量减少，以及造成该生物有毒有害物质积累、质量下降等，对渔业资源和渔业生产造成损害的事实。</w:t>
      </w:r>
    </w:p>
    <w:p>
      <w:pPr>
        <w:pStyle w:val="63"/>
        <w:spacing w:before="218" w:after="218" w:line="412" w:lineRule="exact"/>
        <w:rPr>
          <w:b/>
        </w:rPr>
      </w:pPr>
      <w:r>
        <w:t xml:space="preserve">第二章 </w:t>
      </w:r>
      <w:r>
        <w:rPr>
          <w:rFonts w:hint="eastAsia"/>
        </w:rPr>
        <w:t xml:space="preserve"> </w:t>
      </w:r>
      <w:r>
        <w:t>污染事故处理管辖</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地（市）、县主管机构依法管辖其监督管理范围内的较大及一般性渔业水域污染事故。省（自治区、直辖市）主管机构依法管辖其监督管理范围内直接经济损失额在百万元以上的重大渔业水域污染事故。中华人民共和国渔政渔港监督管理局管辖或指定省级主管机构处理直接经济损失额在千万元以上的特大渔业水域污染事故和涉外渔业水域污染事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中华人民共和国渔政渔港监督管理局成立渔业水域污染事故技术审定委员会，负责全国重大渔业水域污染事故的技术审定工作。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下级主管机构对其处理范围内的渔业水域污染事故，认为需要由上级主管机构处理的，可报请上级主管机构处理。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上级主管机构管辖的渔业水域污染事故必要时可以指定下级机构处理。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对管辖权有争议的渔业水域污染事故，由争议双方协商解决，协商不成的，由共同的上一级主管机构指定机关调查处理。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指定处理的渔业水域污染事故应办理书面手续。主管机构指定的单位，须在指定权限范围内行使权力。</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跨行政区域的渔业水域污染纠纷，按照《中华人民共和国水污染防治法》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的规定，由有关地方人民政府协商解决，或者由其共同的上级人民政府协调解决，主管机构应积极配合有关地方人民政府做好事故的处理工作。</w:t>
      </w:r>
    </w:p>
    <w:p>
      <w:pPr>
        <w:pStyle w:val="63"/>
        <w:spacing w:before="218" w:after="218" w:line="412" w:lineRule="exact"/>
        <w:rPr>
          <w:b/>
        </w:rPr>
      </w:pPr>
      <w:r>
        <w:t xml:space="preserve">第三章 </w:t>
      </w:r>
      <w:r>
        <w:rPr>
          <w:rFonts w:hint="eastAsia"/>
        </w:rPr>
        <w:t xml:space="preserve"> </w:t>
      </w:r>
      <w:r>
        <w:t>调查与取证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主管机构在发现或接到事故报告后，应做好下列工作：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（一）填写事故报告表，内容包括报告人、事故发生时间、地点、污染损害原因及状况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（二）尽快组织渔业环境监测站或有关人员赴现场进行调查取证。重大、特大及涉外渔业水域污染事故应立即向同级人民政府及环境保护主管部门和上一级主管机构报告。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（三）对污染情况复杂、损失较重的污染事故，应参照农业部颁布的《污染死鱼调查方法（淡水）》的规定进行调查取证。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渔业执法人员调查处理渔业水域污染事故，应当收集与污染事故有关的各种证据，证据包括书证、物证、视听资料、证人证言、当事人陈述、鉴定结论、现场笔录。证据必须查证属实，才能作为认定事实的依据。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调查渔业水域污染事故，必须制作现场笔录，内容包括：发生事故时间、地点、水体类型、气候、水文、污染物、污染源、污染范围、损失程度等。笔录应当表述清楚，定量准确，如实记录，并有在场调查的两名渔业执法人员的签名和笔录时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渔业环境监测站出具的监测数据、鉴定结论或其他具备资格的有关单位出具的鉴定证明是主管机构处理污染事故的依据。监测数据、鉴定结果报告书由监测鉴定人员签名，并加盖单位公章。</w:t>
      </w:r>
    </w:p>
    <w:p>
      <w:pPr>
        <w:pStyle w:val="63"/>
        <w:spacing w:before="218" w:after="218" w:line="412" w:lineRule="exact"/>
        <w:rPr>
          <w:b/>
        </w:rPr>
      </w:pPr>
      <w:r>
        <w:t xml:space="preserve">第四章 </w:t>
      </w:r>
      <w:r>
        <w:rPr>
          <w:rFonts w:hint="eastAsia"/>
        </w:rPr>
        <w:t xml:space="preserve"> </w:t>
      </w:r>
      <w:r>
        <w:t>处理程序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因渔业水域污染事故发生的赔偿责任和赔偿金额的纠纷，当事人可以向事故发生地的主管机构申请调解处理，当事人也可以直接向人民法院起诉。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主管机构受理当事人事故纠纷调解处理申请应符合下列条件：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（一）必须是双方当事人同意调解处理；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（二）申请人必须是与渔业损失事故纠纷有直接利害关系的单位或个人；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（三）有明确的被申请人和具体的事实依据与请求；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（四）不超越主管机构受理范围。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如属当事人一方申请调解的，主管机构有责任通知另一方接受调解，如另一方拒绝接受调解，当事人可直接向人民法院起诉。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请求主管机构调解处理的纠纷，当事人必须提交申请书，申请书应写明如下事实：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（一）申请人与被申请人的姓名、性别、年龄、职业、住址、邮政编码等（单位的名称、地址、法定代表人的姓名）；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（二）申请事项，事实和理由；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（三）与事故纠纷有关的证据和其他资料；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（四）请求解决的问题。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申请书一式三份，申请人自留一份，两份递交受理机构。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主管机构受理污染事故赔偿纠纷后，可根据需要邀请有关部门的人员参加调解处理工作。负责和参加处理纠纷的人员与纠纷当事人有利害关系时，应当自行回避，当事人也可提出回避请求。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主管机构应在收到申请书十日内将申请书副本送达被申请人。被申请人在收到申请书副本之日起十五日内提交答辩书和有关证据。被申请人不按期或不提出答辩书的，视为拒绝调解处理，主管机构应告知申请人向人民法院起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调解处理过程中，应召集双方座谈协商。经协商可达成调解协议。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调解协议书经当事人双方和主管机构三方签字盖章后生效。当事人拒不履行调解协议的，主管机构应督促履行，同时当事人可向人民法院起诉。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当事人对主管机构调解污染事故赔偿纠纷处理决定不服的，可以向人民法院起诉。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调解处理过程中，当事人一方向法院起诉，调解处理终止。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凡污染造成渔业损害事故的，都应赔偿渔业损失，并由主管机构根据情节依照《渔业行政处罚程序规定》对污染单位和个人给予罚款。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凡污染造成人工增殖和天然渔业资源损失的，按污染对渔业资源的损失及渔业生产的损害程度，由主管机构依照《渔业行政处罚程序规定》责令赔偿渔业资源损失。</w:t>
      </w:r>
    </w:p>
    <w:p>
      <w:pPr>
        <w:pStyle w:val="63"/>
        <w:spacing w:before="218" w:after="218" w:line="412" w:lineRule="exact"/>
        <w:rPr>
          <w:b/>
        </w:rPr>
      </w:pPr>
      <w:r>
        <w:t xml:space="preserve">第五章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本规定中渔业损失的计算，按农业部颁布的《水域污染事故渔业损失计算方法规定》执行。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本规定中事故报告登记表、现场记录、渔业水域污染事故调解协议书等文书格式，由农业部统一制定。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本 规定由农业部负责解释。</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153" w:name="_Toc955"/>
      <w:bookmarkStart w:id="1154" w:name="_Toc12960368"/>
      <w:bookmarkStart w:id="1155" w:name="_Toc18917261"/>
      <w:bookmarkStart w:id="1156" w:name="_Toc466579925"/>
      <w:bookmarkStart w:id="1157" w:name="_Toc1296053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158" w:name="_Toc28250978"/>
      <w:bookmarkStart w:id="1159" w:name="_Toc26348028"/>
      <w:bookmarkStart w:id="1160" w:name="_Toc25648273"/>
      <w:bookmarkStart w:id="1161" w:name="_Toc28252255"/>
      <w:bookmarkStart w:id="1162" w:name="_Toc28157050"/>
      <w:bookmarkStart w:id="1163" w:name="_Toc25653769"/>
      <w:r>
        <w:t>中华人民共和国渔业行政执法船舶管理办法</w:t>
      </w:r>
      <w:bookmarkEnd w:id="1153"/>
      <w:bookmarkEnd w:id="1154"/>
      <w:bookmarkEnd w:id="1155"/>
      <w:bookmarkEnd w:id="1156"/>
      <w:bookmarkEnd w:id="1157"/>
      <w:bookmarkEnd w:id="1158"/>
      <w:bookmarkEnd w:id="1159"/>
      <w:bookmarkEnd w:id="1160"/>
      <w:bookmarkEnd w:id="1161"/>
      <w:bookmarkEnd w:id="1162"/>
      <w:bookmarkEnd w:id="1163"/>
    </w:p>
    <w:p>
      <w:pPr>
        <w:pStyle w:val="62"/>
        <w:topLinePunct w:val="0"/>
        <w:ind w:firstLine="0" w:firstLineChars="0"/>
        <w:jc w:val="center"/>
        <w:rPr>
          <w:b/>
        </w:rPr>
      </w:pPr>
      <w:r>
        <w:t>（2000年6月13日</w:t>
      </w:r>
      <w:r>
        <w:rPr>
          <w:shd w:val="clear" w:color="auto" w:fill="FFFFFF"/>
        </w:rPr>
        <w:t>农业部</w:t>
      </w:r>
      <w:r>
        <w:t>令第33号公布）</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为加强渔业行政执法船舶管理，根据《中华人民共和国渔业法》等法律、法规的规定，制定本办法。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本办法所称渔业行政执法船舶是指各级渔业行政主管部门执行渔业行政执法任务的专用公务船、艇，以下称为渔政船。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渔政船实行建造审批，注册登记，统一编号，统一规范。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各级渔业行政主管部门依照本办法的规定对所属渔政船进行管理。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凡新建、改造、购置和报废渔政船的，必须填写《中华人民共和国渔政船新建、改造、购置、报废申请表》（格式见附件1〔略〕），经批准后方可进行。未经批准，不得新建、改造、购置和报废渔政船。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农业部直属渔政渔港监督管理机构和省级渔业行政主管部门需新建、改造、购置和报废渔政船的,报（沿海省级渔政船经所在海区局审核后）中华人民共和国渔政渔港监督管理局审批。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省级以下各级渔业行政主管部门需新建、改造、购置和报废渔政船的，由各省（区、市）渔业行政主管部门审批，报中华人民共和国渔政渔港监督管理局（海洋渔政船同时报所在海区渔政渔港监督管理局）备案。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渔政船的设计、建造规范和安装的设备必须符合国家有关规定。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所有渔政船必须向中华人民共和国渔政渔港监督管理局申请注册登记，经核准后，方可执行渔业行政执法任务。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海区渔政渔港监督管理局和各级渔业行政主管部门根据本办法第九条的编号规则，对所属渔政船编写船名号，并填写《中华人民共和国渔政船注册登记申请表》（格式见附件2〔略〕），向中华人民共和国渔政渔港监督管理局申请注册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中华人民共和国渔政渔港监督管理局对所有核准注册登记的渔政船，采用合适的方式向社会公布。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中华人民共和国渔政渔港监督管理局对服役的渔政船每三年重新注册一次。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渔政船实行统一外观颜色和标志。渔政船船体外部水线以上部分为白色，船首两侧用黑色宋体汉字标写船名号。有条件的渔政船应在驾驶室外两侧上方用红色宋体汉字标写船名号，夜间应有灯光照明或设夜间显示灯箱。烟囱两侧或驾驶楼两侧应刷制中国渔政徽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渔政船实行全国统一编号。经中华人民共和国渔政渔港监督管理局注册登记的海区渔政船的编号为“中国渔政XXX”。编号中的第一位数字为海区渔政渔港监督管理局的代码（附件3〔略〕），第二、三位数字为所属渔政船序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中华人民共和国渔政渔港监督管理局注册登记的省级以下（含省级）渔业行政主管部门所属渔政船的编号为“中国渔政XXXXX”，编号中的第一、二位数字为省级渔业行政主管部门的代码（附件3〔略〕），第三、四、五位数字为各级渔业行政主管部门所属渔政船的序号。省以下各级渔业行政主管部门所属渔政船的序号排列，由各省自行确定，报中华人民共和国渔政渔港监督管理局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单独执行渔业行政执法任务的快艇，也按上述规则编号。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渔政船备有快艇的，快艇名号为母船名号之后加“－X”，该位数代表快艇序号，由主管该渔政船的渔业行政主管部门编定。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渔政船的外观颜色、标志和“中国渔政”的名称，未经中华人民共和国渔政渔港监督管理局批准，不得擅自更改。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渔政船必须服从其渔业行政主管部门的调度指挥，认真执行下达的执法任务。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上一级渔业行政主管部门可以根据执法任务的需要，调用下一级渔业行政主管部门的渔政船执行执法任务。渔政船被调用期间服从上级渔业行政主管部门的指挥。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任何单位和个人不得利用渔政船从事生产、营运等以盈利为目的的经营活动。因渔业资源调查等活动或配合政府其它部门的公务活动需使用渔政船时，应报上一级渔业行政主管部门备案。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凡执行渔业行政执法任务需使用船、艇时，必须使用渔政船。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内陆地区或因特殊原因需借用、租用非渔政船执行渔业行政执法任务时，必须事先报经省级渔业行政主管部门批准。报告时应说明拟执行的任务、时间、范围以及拟借用、租用船舶的船名号等有关情况。执行任务时，借用、租用的非渔政船的船名号必须清晰可见，在不影响公务的前提下还应有明显的渔业行政执法标识。任务结束后应向批准部门报告执行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渔政船执行渔业行政执法任务时，有关执法检查和行政处罚等具体渔业行政执法事宜，由随船执行任务的渔业行政执法官员依法决定。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船长对渔政船的航泊安全负责，依照执法任务的要求制定航行计划。当船上渔业行政执法官员因执法任务的需要，要求调整原定的航行计划时，在不影响安全的情况下，船长应予以配合。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各级渔业行政主管部门要按渔业船舶管理的有关规定，对所属的渔政船配齐职务船员，按执法任务需要配备渔业行政执法官员。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海洋渔政船还要按中华人民共和国渔政渔港监督管理局统一规定的标准配备通讯导航设备。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渔政船发生事故时，船长应及时采取有效措施组织抢救，尽量减少损失，并及时报告其渔业行政主管部门。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渔政船须按规定向渔业船舶检验部门申报船舶检验，向渔港监督部门办理船舶登记。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违反本办法规定的，将追究有关人员的责任。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本办法由中华人民共和国渔政渔港监督管理局负责组织实施。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本办法自2001年1月1日起施行。原国家水产总局《渔政船管理暂行办法》〔（79）渔总（管）字第23号〕同时废止。</w:t>
      </w: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asciiTheme="minorEastAsia" w:hAnsiTheme="minorEastAsia"/>
          <w:sz w:val="24"/>
          <w:szCs w:val="24"/>
        </w:rPr>
        <w:sectPr>
          <w:headerReference r:id="rId35" w:type="default"/>
          <w:footerReference r:id="rId37" w:type="default"/>
          <w:headerReference r:id="rId36" w:type="even"/>
          <w:footerReference r:id="rId38" w:type="even"/>
          <w:pgSz w:w="12247" w:h="17180"/>
          <w:pgMar w:top="1814" w:right="1701" w:bottom="1701" w:left="1701" w:header="851" w:footer="1134" w:gutter="0"/>
          <w:cols w:space="425" w:num="1"/>
          <w:docGrid w:type="lines" w:linePitch="312" w:charSpace="0"/>
        </w:sectPr>
      </w:pPr>
    </w:p>
    <w:p>
      <w:pPr>
        <w:pStyle w:val="3"/>
        <w:topLinePunct/>
        <w:spacing w:line="416" w:lineRule="exact"/>
        <w:ind w:firstLine="480"/>
        <w:rPr>
          <w:rFonts w:asciiTheme="minorEastAsia" w:hAnsiTheme="minorEastAsia" w:eastAsia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bookmarkStart w:id="1164" w:name="_Toc21702"/>
      <w:bookmarkStart w:id="1165" w:name="_Toc18916781"/>
    </w:p>
    <w:p>
      <w:pPr>
        <w:topLinePunct/>
        <w:spacing w:beforeLines="0" w:afterLines="0" w:line="416" w:lineRule="exact"/>
        <w:ind w:firstLine="480" w:firstLineChars="200"/>
        <w:rPr>
          <w:rFonts w:cs="Times New Roman" w:asciiTheme="minorEastAsia" w:hAnsiTheme="minorEastAsia"/>
          <w:sz w:val="24"/>
          <w:szCs w:val="24"/>
        </w:rPr>
      </w:pPr>
    </w:p>
    <w:p>
      <w:pPr>
        <w:tabs>
          <w:tab w:val="left" w:pos="1700"/>
        </w:tabs>
        <w:topLinePunct/>
        <w:spacing w:beforeLines="0" w:afterLines="0" w:line="416" w:lineRule="exact"/>
        <w:ind w:firstLine="480" w:firstLineChars="200"/>
        <w:rPr>
          <w:rFonts w:cs="Times New Roman" w:asciiTheme="minorEastAsia" w:hAnsiTheme="minorEastAsia"/>
          <w:sz w:val="24"/>
          <w:szCs w:val="24"/>
        </w:rPr>
      </w:pPr>
    </w:p>
    <w:p>
      <w:pPr>
        <w:tabs>
          <w:tab w:val="left" w:pos="1700"/>
        </w:tabs>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1166" w:name="_Toc25648274"/>
      <w:bookmarkStart w:id="1167" w:name="_Toc25653770"/>
      <w:bookmarkStart w:id="1168" w:name="_Toc28252256"/>
      <w:r>
        <w:t>九、农药肥料</w:t>
      </w:r>
      <w:bookmarkEnd w:id="1166"/>
      <w:bookmarkEnd w:id="1167"/>
      <w:bookmarkEnd w:id="1168"/>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bookmarkStart w:id="1169" w:name="_Toc18916780"/>
    </w:p>
    <w:p>
      <w:pPr>
        <w:pStyle w:val="61"/>
      </w:pPr>
      <w:bookmarkStart w:id="1170" w:name="_Toc25653771"/>
      <w:bookmarkStart w:id="1171" w:name="_Toc28252257"/>
      <w:bookmarkStart w:id="1172" w:name="_Toc25648275"/>
      <w:bookmarkStart w:id="1173" w:name="_Toc26348029"/>
      <w:bookmarkStart w:id="1174" w:name="_Toc28157051"/>
      <w:bookmarkStart w:id="1175" w:name="_Toc28250979"/>
      <w:r>
        <w:t>农药管理条例</w:t>
      </w:r>
      <w:bookmarkEnd w:id="1169"/>
      <w:bookmarkEnd w:id="1170"/>
      <w:bookmarkEnd w:id="1171"/>
      <w:bookmarkEnd w:id="1172"/>
      <w:bookmarkEnd w:id="1173"/>
      <w:bookmarkEnd w:id="1174"/>
      <w:bookmarkEnd w:id="1175"/>
    </w:p>
    <w:p>
      <w:pPr>
        <w:pStyle w:val="62"/>
      </w:pPr>
      <w:r>
        <w:t>(1997年5月8日中华人民共和国国务院令第216号公布，根据2001年11月29日《国务院关于修改&lt;农药管理条例&gt;的决定》第一次修订，根据2017年3月16日中华人民共和国国务院令第677号第二次修订)</w:t>
      </w:r>
    </w:p>
    <w:p>
      <w:pPr>
        <w:pStyle w:val="63"/>
        <w:spacing w:before="218" w:after="218" w:line="412" w:lineRule="exact"/>
      </w:pPr>
      <w:r>
        <w:t>第一章  总</w:t>
      </w:r>
      <w:r>
        <w:rPr>
          <w:rFonts w:hint="eastAsia"/>
        </w:rPr>
        <w:t xml:space="preserve">  </w:t>
      </w:r>
      <w:r>
        <w:t>则</w:t>
      </w:r>
    </w:p>
    <w:p>
      <w:pPr>
        <w:pStyle w:val="3"/>
        <w:topLinePunct/>
        <w:spacing w:line="412" w:lineRule="exact"/>
        <w:ind w:firstLine="482"/>
        <w:rPr>
          <w:sz w:val="24"/>
          <w:szCs w:val="24"/>
        </w:rPr>
      </w:pPr>
      <w:r>
        <w:rPr>
          <w:b/>
          <w:sz w:val="24"/>
          <w:szCs w:val="24"/>
        </w:rPr>
        <w:t>第一条</w:t>
      </w:r>
      <w:r>
        <w:rPr>
          <w:rFonts w:asciiTheme="minorEastAsia" w:hAnsiTheme="minorEastAsia" w:eastAsiaTheme="minorEastAsia"/>
          <w:sz w:val="24"/>
          <w:szCs w:val="24"/>
        </w:rPr>
        <w:t xml:space="preserve">  </w:t>
      </w:r>
      <w:r>
        <w:rPr>
          <w:sz w:val="24"/>
          <w:szCs w:val="24"/>
        </w:rPr>
        <w:t>为了加强农药管理，保证农药质量，保障农产品质量安全和人畜安全，保护农业、林业生产和生态环境，制定本条例。</w:t>
      </w:r>
    </w:p>
    <w:p>
      <w:pPr>
        <w:pStyle w:val="3"/>
        <w:topLinePunct/>
        <w:spacing w:line="412" w:lineRule="exact"/>
        <w:ind w:firstLine="482"/>
        <w:rPr>
          <w:sz w:val="24"/>
          <w:szCs w:val="24"/>
        </w:rPr>
      </w:pPr>
      <w:r>
        <w:rPr>
          <w:b/>
          <w:sz w:val="24"/>
          <w:szCs w:val="24"/>
        </w:rPr>
        <w:t>第二条</w:t>
      </w:r>
      <w:r>
        <w:rPr>
          <w:rFonts w:asciiTheme="minorEastAsia" w:hAnsiTheme="minorEastAsia" w:eastAsiaTheme="minorEastAsia"/>
          <w:sz w:val="24"/>
          <w:szCs w:val="24"/>
        </w:rPr>
        <w:t xml:space="preserve">  </w:t>
      </w:r>
      <w:r>
        <w:rPr>
          <w:sz w:val="24"/>
          <w:szCs w:val="24"/>
        </w:rPr>
        <w:t>本条例所称农药，是指用于预防、控制危害农业、林业的病、虫、草、鼠和其他有害生物以及有目的地调节植物、昆虫生长的化学合成或者来源于生物、其他天然物质的一种物质或者几种物质的混合物及其制剂。</w:t>
      </w:r>
    </w:p>
    <w:p>
      <w:pPr>
        <w:pStyle w:val="3"/>
        <w:topLinePunct/>
        <w:spacing w:line="412" w:lineRule="exact"/>
        <w:ind w:firstLine="480"/>
        <w:rPr>
          <w:sz w:val="24"/>
          <w:szCs w:val="24"/>
        </w:rPr>
      </w:pPr>
      <w:r>
        <w:rPr>
          <w:sz w:val="24"/>
          <w:szCs w:val="24"/>
        </w:rPr>
        <w:t>前款规定的农药包括用于不同目的、场所的下列各类：</w:t>
      </w:r>
    </w:p>
    <w:p>
      <w:pPr>
        <w:pStyle w:val="3"/>
        <w:topLinePunct/>
        <w:spacing w:line="412" w:lineRule="exact"/>
        <w:ind w:firstLine="480"/>
        <w:rPr>
          <w:sz w:val="24"/>
          <w:szCs w:val="24"/>
        </w:rPr>
      </w:pPr>
      <w:r>
        <w:rPr>
          <w:sz w:val="24"/>
          <w:szCs w:val="24"/>
        </w:rPr>
        <w:t>（一）预防、控制危害农业、林业的病、虫（包括昆虫、蜱、螨）、草、鼠、软体动物和其他有害生物；</w:t>
      </w:r>
    </w:p>
    <w:p>
      <w:pPr>
        <w:pStyle w:val="3"/>
        <w:topLinePunct/>
        <w:spacing w:line="412" w:lineRule="exact"/>
        <w:ind w:firstLine="480"/>
        <w:rPr>
          <w:sz w:val="24"/>
          <w:szCs w:val="24"/>
        </w:rPr>
      </w:pPr>
      <w:r>
        <w:rPr>
          <w:sz w:val="24"/>
          <w:szCs w:val="24"/>
        </w:rPr>
        <w:t>（二）预防、控制仓储以及加工场所的病、虫、鼠和其他有害生物；</w:t>
      </w:r>
    </w:p>
    <w:p>
      <w:pPr>
        <w:pStyle w:val="3"/>
        <w:topLinePunct/>
        <w:spacing w:line="412" w:lineRule="exact"/>
        <w:ind w:firstLine="480"/>
        <w:rPr>
          <w:sz w:val="24"/>
          <w:szCs w:val="24"/>
        </w:rPr>
      </w:pPr>
      <w:r>
        <w:rPr>
          <w:sz w:val="24"/>
          <w:szCs w:val="24"/>
        </w:rPr>
        <w:t>（三）调节植物、昆虫生长；</w:t>
      </w:r>
    </w:p>
    <w:p>
      <w:pPr>
        <w:pStyle w:val="3"/>
        <w:topLinePunct/>
        <w:spacing w:line="412" w:lineRule="exact"/>
        <w:ind w:firstLine="480"/>
        <w:rPr>
          <w:sz w:val="24"/>
          <w:szCs w:val="24"/>
        </w:rPr>
      </w:pPr>
      <w:r>
        <w:rPr>
          <w:sz w:val="24"/>
          <w:szCs w:val="24"/>
        </w:rPr>
        <w:t>（四）农业、林业产品防腐或者保鲜；</w:t>
      </w:r>
    </w:p>
    <w:p>
      <w:pPr>
        <w:pStyle w:val="3"/>
        <w:topLinePunct/>
        <w:spacing w:line="412" w:lineRule="exact"/>
        <w:ind w:firstLine="480"/>
        <w:rPr>
          <w:sz w:val="24"/>
          <w:szCs w:val="24"/>
        </w:rPr>
      </w:pPr>
      <w:r>
        <w:rPr>
          <w:sz w:val="24"/>
          <w:szCs w:val="24"/>
        </w:rPr>
        <w:t>（五）预防、控制蚊、蝇、蜚蠊、鼠和其他有害生物；</w:t>
      </w:r>
    </w:p>
    <w:p>
      <w:pPr>
        <w:pStyle w:val="3"/>
        <w:topLinePunct/>
        <w:spacing w:line="412" w:lineRule="exact"/>
        <w:ind w:firstLine="480"/>
        <w:rPr>
          <w:sz w:val="24"/>
          <w:szCs w:val="24"/>
        </w:rPr>
      </w:pPr>
      <w:r>
        <w:rPr>
          <w:sz w:val="24"/>
          <w:szCs w:val="24"/>
        </w:rPr>
        <w:t>（六）预防、控制危害河流堤坝、铁路、码头、机场、建筑物和其他场所的有害生物。</w:t>
      </w:r>
    </w:p>
    <w:p>
      <w:pPr>
        <w:pStyle w:val="3"/>
        <w:topLinePunct/>
        <w:spacing w:line="412" w:lineRule="exact"/>
        <w:ind w:firstLine="482"/>
        <w:rPr>
          <w:sz w:val="24"/>
          <w:szCs w:val="24"/>
        </w:rPr>
      </w:pPr>
      <w:r>
        <w:rPr>
          <w:b/>
          <w:sz w:val="24"/>
          <w:szCs w:val="24"/>
        </w:rPr>
        <w:t>第三条</w:t>
      </w:r>
      <w:r>
        <w:rPr>
          <w:rFonts w:asciiTheme="minorEastAsia" w:hAnsiTheme="minorEastAsia" w:eastAsiaTheme="minorEastAsia"/>
          <w:sz w:val="24"/>
          <w:szCs w:val="24"/>
        </w:rPr>
        <w:t xml:space="preserve">  </w:t>
      </w:r>
      <w:r>
        <w:rPr>
          <w:sz w:val="24"/>
          <w:szCs w:val="24"/>
        </w:rPr>
        <w:t>国务院农业主管部门负责全国的农药监督管理工作。</w:t>
      </w:r>
    </w:p>
    <w:p>
      <w:pPr>
        <w:pStyle w:val="3"/>
        <w:topLinePunct/>
        <w:spacing w:line="412" w:lineRule="exact"/>
        <w:ind w:firstLine="480"/>
        <w:rPr>
          <w:sz w:val="24"/>
          <w:szCs w:val="24"/>
        </w:rPr>
      </w:pPr>
      <w:r>
        <w:rPr>
          <w:sz w:val="24"/>
          <w:szCs w:val="24"/>
        </w:rPr>
        <w:t>县级以上地方人民政府农业主管部门负责本行政区域的农药监督管理工作。</w:t>
      </w:r>
    </w:p>
    <w:p>
      <w:pPr>
        <w:pStyle w:val="3"/>
        <w:topLinePunct/>
        <w:spacing w:line="412" w:lineRule="exact"/>
        <w:ind w:firstLine="480"/>
        <w:rPr>
          <w:sz w:val="24"/>
          <w:szCs w:val="24"/>
        </w:rPr>
      </w:pPr>
      <w:r>
        <w:rPr>
          <w:sz w:val="24"/>
          <w:szCs w:val="24"/>
        </w:rPr>
        <w:t>县级以上人民政府其他有关部门在各自职责范围内负责有关的农药监督管理工作。</w:t>
      </w:r>
    </w:p>
    <w:p>
      <w:pPr>
        <w:pStyle w:val="3"/>
        <w:topLinePunct/>
        <w:spacing w:line="412" w:lineRule="exact"/>
        <w:ind w:firstLine="482"/>
        <w:rPr>
          <w:sz w:val="24"/>
          <w:szCs w:val="24"/>
        </w:rPr>
      </w:pPr>
      <w:r>
        <w:rPr>
          <w:b/>
          <w:sz w:val="24"/>
          <w:szCs w:val="24"/>
        </w:rPr>
        <w:t>第四条</w:t>
      </w:r>
      <w:r>
        <w:rPr>
          <w:rFonts w:asciiTheme="minorEastAsia" w:hAnsiTheme="minorEastAsia" w:eastAsiaTheme="minorEastAsia"/>
          <w:sz w:val="24"/>
          <w:szCs w:val="24"/>
        </w:rPr>
        <w:t xml:space="preserve">  </w:t>
      </w:r>
      <w:r>
        <w:rPr>
          <w:sz w:val="24"/>
          <w:szCs w:val="24"/>
        </w:rPr>
        <w:t>县级以上地方人民政府应当加强对农药监督管理工作的组织领导，将农药监督管理经费列入本级政府预算，保障农药监督管理工作的开展。</w:t>
      </w:r>
    </w:p>
    <w:p>
      <w:pPr>
        <w:pStyle w:val="3"/>
        <w:topLinePunct/>
        <w:spacing w:line="412" w:lineRule="exact"/>
        <w:ind w:firstLine="482"/>
        <w:rPr>
          <w:sz w:val="24"/>
          <w:szCs w:val="24"/>
        </w:rPr>
      </w:pPr>
      <w:r>
        <w:rPr>
          <w:b/>
          <w:sz w:val="24"/>
          <w:szCs w:val="24"/>
        </w:rPr>
        <w:t>第五条</w:t>
      </w:r>
      <w:r>
        <w:rPr>
          <w:rFonts w:asciiTheme="minorEastAsia" w:hAnsiTheme="minorEastAsia" w:eastAsiaTheme="minorEastAsia"/>
          <w:sz w:val="24"/>
          <w:szCs w:val="24"/>
        </w:rPr>
        <w:t xml:space="preserve">  </w:t>
      </w:r>
      <w:r>
        <w:rPr>
          <w:sz w:val="24"/>
          <w:szCs w:val="24"/>
        </w:rPr>
        <w:t>农药生产企业、农药经营者应当对其生产、经营的农药的安全性、有效性负责，自觉接受政府监管和社会监督。</w:t>
      </w:r>
    </w:p>
    <w:p>
      <w:pPr>
        <w:pStyle w:val="3"/>
        <w:topLinePunct/>
        <w:spacing w:line="412" w:lineRule="exact"/>
        <w:ind w:firstLine="480"/>
        <w:rPr>
          <w:sz w:val="24"/>
          <w:szCs w:val="24"/>
        </w:rPr>
      </w:pPr>
      <w:r>
        <w:rPr>
          <w:sz w:val="24"/>
          <w:szCs w:val="24"/>
        </w:rPr>
        <w:t>农药生产企业、农药经营者应当加强行业自律，规范生产、经营行为。</w:t>
      </w:r>
    </w:p>
    <w:p>
      <w:pPr>
        <w:pStyle w:val="3"/>
        <w:topLinePunct/>
        <w:spacing w:line="412" w:lineRule="exact"/>
        <w:ind w:firstLine="482"/>
        <w:rPr>
          <w:sz w:val="24"/>
          <w:szCs w:val="24"/>
        </w:rPr>
      </w:pPr>
      <w:r>
        <w:rPr>
          <w:b/>
          <w:sz w:val="24"/>
          <w:szCs w:val="24"/>
        </w:rPr>
        <w:t>第六条</w:t>
      </w:r>
      <w:r>
        <w:rPr>
          <w:rFonts w:asciiTheme="minorEastAsia" w:hAnsiTheme="minorEastAsia" w:eastAsiaTheme="minorEastAsia"/>
          <w:sz w:val="24"/>
          <w:szCs w:val="24"/>
        </w:rPr>
        <w:t xml:space="preserve">  </w:t>
      </w:r>
      <w:r>
        <w:rPr>
          <w:sz w:val="24"/>
          <w:szCs w:val="24"/>
        </w:rPr>
        <w:t>国家鼓励和支持研制、生产、使用安全、高效、经济的农药，推进农药专业化使用，促进农药产业升级。</w:t>
      </w:r>
    </w:p>
    <w:p>
      <w:pPr>
        <w:pStyle w:val="3"/>
        <w:topLinePunct/>
        <w:spacing w:line="412" w:lineRule="exact"/>
        <w:ind w:firstLine="480"/>
        <w:rPr>
          <w:sz w:val="24"/>
          <w:szCs w:val="24"/>
        </w:rPr>
      </w:pPr>
      <w:r>
        <w:rPr>
          <w:sz w:val="24"/>
          <w:szCs w:val="24"/>
        </w:rPr>
        <w:t>对在农药研制、推广和监督管理等工作中作出突出贡献的单位和个人，按照国家有关规定予以表彰或者奖励。</w:t>
      </w:r>
    </w:p>
    <w:p>
      <w:pPr>
        <w:pStyle w:val="63"/>
        <w:spacing w:before="218" w:after="218" w:line="412" w:lineRule="exact"/>
      </w:pPr>
      <w:r>
        <w:t>第二章  农药登记</w:t>
      </w:r>
    </w:p>
    <w:p>
      <w:pPr>
        <w:pStyle w:val="3"/>
        <w:topLinePunct/>
        <w:spacing w:line="412" w:lineRule="exact"/>
        <w:ind w:firstLine="482"/>
        <w:rPr>
          <w:sz w:val="24"/>
          <w:szCs w:val="24"/>
        </w:rPr>
      </w:pPr>
      <w:r>
        <w:rPr>
          <w:b/>
          <w:sz w:val="24"/>
          <w:szCs w:val="24"/>
        </w:rPr>
        <w:t>第七条</w:t>
      </w:r>
      <w:r>
        <w:rPr>
          <w:rFonts w:asciiTheme="minorEastAsia" w:hAnsiTheme="minorEastAsia" w:eastAsiaTheme="minorEastAsia"/>
          <w:sz w:val="24"/>
          <w:szCs w:val="24"/>
        </w:rPr>
        <w:t xml:space="preserve">  </w:t>
      </w:r>
      <w:r>
        <w:rPr>
          <w:sz w:val="24"/>
          <w:szCs w:val="24"/>
        </w:rPr>
        <w:t>国家实行农药登记制度。农药生产企业、向中国出口农药的企业应当依照本条例的规定申请农药登记，新农药研制者可以依照本条例的规定申请农药登记。</w:t>
      </w:r>
    </w:p>
    <w:p>
      <w:pPr>
        <w:pStyle w:val="3"/>
        <w:topLinePunct/>
        <w:spacing w:line="412" w:lineRule="exact"/>
        <w:ind w:firstLine="480"/>
        <w:rPr>
          <w:sz w:val="24"/>
          <w:szCs w:val="24"/>
        </w:rPr>
      </w:pPr>
      <w:r>
        <w:rPr>
          <w:sz w:val="24"/>
          <w:szCs w:val="24"/>
        </w:rPr>
        <w:t>国务院农业主管部门所属的负责农药检定工作的机构负责农药登记具体工作。省、自治区、直辖市人民政府农业主管部门所属的负责农药检定工作的机构协助做好本行政区域的农药登记具体工作。</w:t>
      </w:r>
    </w:p>
    <w:p>
      <w:pPr>
        <w:pStyle w:val="3"/>
        <w:topLinePunct/>
        <w:spacing w:line="412" w:lineRule="exact"/>
        <w:ind w:firstLine="482"/>
        <w:rPr>
          <w:sz w:val="24"/>
          <w:szCs w:val="24"/>
        </w:rPr>
      </w:pPr>
      <w:r>
        <w:rPr>
          <w:b/>
          <w:sz w:val="24"/>
          <w:szCs w:val="24"/>
        </w:rPr>
        <w:t>第八条</w:t>
      </w:r>
      <w:r>
        <w:rPr>
          <w:rFonts w:asciiTheme="minorEastAsia" w:hAnsiTheme="minorEastAsia" w:eastAsiaTheme="minorEastAsia"/>
          <w:sz w:val="24"/>
          <w:szCs w:val="24"/>
        </w:rPr>
        <w:t xml:space="preserve">  </w:t>
      </w:r>
      <w:r>
        <w:rPr>
          <w:sz w:val="24"/>
          <w:szCs w:val="24"/>
        </w:rPr>
        <w:t>国务院农业主管部门组织成立农药登记评审委员会，负责农药登记评审。</w:t>
      </w:r>
    </w:p>
    <w:p>
      <w:pPr>
        <w:pStyle w:val="3"/>
        <w:topLinePunct/>
        <w:spacing w:line="412" w:lineRule="exact"/>
        <w:ind w:firstLine="480"/>
        <w:rPr>
          <w:sz w:val="24"/>
          <w:szCs w:val="24"/>
        </w:rPr>
      </w:pPr>
      <w:r>
        <w:rPr>
          <w:sz w:val="24"/>
          <w:szCs w:val="24"/>
        </w:rPr>
        <w:t>农药登记评审委员会由下列人员组成：</w:t>
      </w:r>
    </w:p>
    <w:p>
      <w:pPr>
        <w:pStyle w:val="3"/>
        <w:topLinePunct/>
        <w:spacing w:line="412" w:lineRule="exact"/>
        <w:ind w:firstLine="480"/>
        <w:rPr>
          <w:sz w:val="24"/>
          <w:szCs w:val="24"/>
        </w:rPr>
      </w:pPr>
      <w:r>
        <w:rPr>
          <w:sz w:val="24"/>
          <w:szCs w:val="24"/>
        </w:rPr>
        <w:t>（一）国务院农业、林业、卫生、环境保护、粮食、工业行业管理、安全生产监督管理等有关部门和供销合作总社等单位推荐的农药产品化学、药效、毒理、残留、环境、质量标准和检测等方面的专家；</w:t>
      </w:r>
    </w:p>
    <w:p>
      <w:pPr>
        <w:pStyle w:val="3"/>
        <w:topLinePunct/>
        <w:spacing w:line="412" w:lineRule="exact"/>
        <w:ind w:firstLine="480"/>
        <w:rPr>
          <w:sz w:val="24"/>
          <w:szCs w:val="24"/>
        </w:rPr>
      </w:pPr>
      <w:r>
        <w:rPr>
          <w:sz w:val="24"/>
          <w:szCs w:val="24"/>
        </w:rPr>
        <w:t>（二）国家食品安全风险评估专家委员会的有关专家；</w:t>
      </w:r>
    </w:p>
    <w:p>
      <w:pPr>
        <w:pStyle w:val="3"/>
        <w:topLinePunct/>
        <w:spacing w:line="412" w:lineRule="exact"/>
        <w:ind w:firstLine="480"/>
        <w:rPr>
          <w:sz w:val="24"/>
          <w:szCs w:val="24"/>
        </w:rPr>
      </w:pPr>
      <w:r>
        <w:rPr>
          <w:sz w:val="24"/>
          <w:szCs w:val="24"/>
        </w:rPr>
        <w:t>（三）国务院农业、林业、卫生、环境保护、粮食、工业行业管理、安全生产监督管理等有关部门和供销合作总社等单位的代表。</w:t>
      </w:r>
    </w:p>
    <w:p>
      <w:pPr>
        <w:pStyle w:val="3"/>
        <w:topLinePunct/>
        <w:spacing w:line="412" w:lineRule="exact"/>
        <w:ind w:firstLine="480"/>
        <w:rPr>
          <w:sz w:val="24"/>
          <w:szCs w:val="24"/>
        </w:rPr>
      </w:pPr>
      <w:r>
        <w:rPr>
          <w:sz w:val="24"/>
          <w:szCs w:val="24"/>
        </w:rPr>
        <w:t>农药登记评审规则由国务院农业主管部门制定。</w:t>
      </w:r>
    </w:p>
    <w:p>
      <w:pPr>
        <w:pStyle w:val="3"/>
        <w:topLinePunct/>
        <w:spacing w:line="412" w:lineRule="exact"/>
        <w:ind w:firstLine="482"/>
        <w:rPr>
          <w:sz w:val="24"/>
          <w:szCs w:val="24"/>
        </w:rPr>
      </w:pPr>
      <w:r>
        <w:rPr>
          <w:b/>
          <w:sz w:val="24"/>
          <w:szCs w:val="24"/>
        </w:rPr>
        <w:t>第九条</w:t>
      </w:r>
      <w:r>
        <w:rPr>
          <w:rFonts w:asciiTheme="minorEastAsia" w:hAnsiTheme="minorEastAsia" w:eastAsiaTheme="minorEastAsia"/>
          <w:sz w:val="24"/>
          <w:szCs w:val="24"/>
        </w:rPr>
        <w:t xml:space="preserve">  </w:t>
      </w:r>
      <w:r>
        <w:rPr>
          <w:sz w:val="24"/>
          <w:szCs w:val="24"/>
        </w:rPr>
        <w:t>申请农药登记的，应当进行登记试验。</w:t>
      </w:r>
    </w:p>
    <w:p>
      <w:pPr>
        <w:pStyle w:val="3"/>
        <w:topLinePunct/>
        <w:spacing w:line="412" w:lineRule="exact"/>
        <w:ind w:firstLine="480"/>
        <w:rPr>
          <w:sz w:val="24"/>
          <w:szCs w:val="24"/>
        </w:rPr>
      </w:pPr>
      <w:r>
        <w:rPr>
          <w:sz w:val="24"/>
          <w:szCs w:val="24"/>
        </w:rPr>
        <w:t>农药的登记试验应当报所在地省、自治区、直辖市人民政府农业主管部门备案。</w:t>
      </w:r>
    </w:p>
    <w:p>
      <w:pPr>
        <w:pStyle w:val="3"/>
        <w:topLinePunct/>
        <w:spacing w:line="412" w:lineRule="exact"/>
        <w:ind w:firstLine="480"/>
        <w:rPr>
          <w:sz w:val="24"/>
          <w:szCs w:val="24"/>
        </w:rPr>
      </w:pPr>
      <w:r>
        <w:rPr>
          <w:sz w:val="24"/>
          <w:szCs w:val="24"/>
        </w:rPr>
        <w:t>新农药的登记试验应当向国务院农业主管部门提出申请。国务院农业主管部门应当自受理申请之日起40个工作日内对试验的安全风险及其防范措施进行审查，符合条件的，准予登记试验；不符合条件的，书面通知申请人并说明理由。</w:t>
      </w:r>
    </w:p>
    <w:p>
      <w:pPr>
        <w:pStyle w:val="3"/>
        <w:topLinePunct/>
        <w:spacing w:line="412" w:lineRule="exact"/>
        <w:ind w:firstLine="482"/>
        <w:rPr>
          <w:sz w:val="24"/>
          <w:szCs w:val="24"/>
        </w:rPr>
      </w:pPr>
      <w:r>
        <w:rPr>
          <w:b/>
          <w:sz w:val="24"/>
          <w:szCs w:val="24"/>
        </w:rPr>
        <w:t>第十条</w:t>
      </w:r>
      <w:r>
        <w:rPr>
          <w:rFonts w:asciiTheme="minorEastAsia" w:hAnsiTheme="minorEastAsia" w:eastAsiaTheme="minorEastAsia"/>
          <w:sz w:val="24"/>
          <w:szCs w:val="24"/>
        </w:rPr>
        <w:t xml:space="preserve">  </w:t>
      </w:r>
      <w:r>
        <w:rPr>
          <w:sz w:val="24"/>
          <w:szCs w:val="24"/>
        </w:rPr>
        <w:t>登记试验应当由国务院农业主管部门认定的登记试验单位按照国务院农业主管部门的规定进行。</w:t>
      </w:r>
    </w:p>
    <w:p>
      <w:pPr>
        <w:pStyle w:val="3"/>
        <w:topLinePunct/>
        <w:spacing w:line="412" w:lineRule="exact"/>
        <w:ind w:firstLine="480"/>
        <w:rPr>
          <w:sz w:val="24"/>
          <w:szCs w:val="24"/>
        </w:rPr>
      </w:pPr>
      <w:r>
        <w:rPr>
          <w:sz w:val="24"/>
          <w:szCs w:val="24"/>
        </w:rPr>
        <w:t>与已取得中国农药登记的农药组成成分、使用范围和使用方法相同的农药，免予残留、环境试验，但已取得中国农药登记的农药依照本条例第十五条的规定在登记资料保护期内的，应当经农药登记证持有人授权同意。</w:t>
      </w:r>
    </w:p>
    <w:p>
      <w:pPr>
        <w:pStyle w:val="3"/>
        <w:topLinePunct/>
        <w:spacing w:line="412" w:lineRule="exact"/>
        <w:ind w:firstLine="480"/>
        <w:rPr>
          <w:sz w:val="24"/>
          <w:szCs w:val="24"/>
        </w:rPr>
      </w:pPr>
      <w:r>
        <w:rPr>
          <w:sz w:val="24"/>
          <w:szCs w:val="24"/>
        </w:rPr>
        <w:t>登记试验单位应当对登记试验报告的真实性负责。</w:t>
      </w:r>
    </w:p>
    <w:p>
      <w:pPr>
        <w:pStyle w:val="3"/>
        <w:topLinePunct/>
        <w:spacing w:line="412" w:lineRule="exact"/>
        <w:ind w:firstLine="482"/>
        <w:rPr>
          <w:sz w:val="24"/>
          <w:szCs w:val="24"/>
        </w:rPr>
      </w:pPr>
      <w:r>
        <w:rPr>
          <w:b/>
          <w:sz w:val="24"/>
          <w:szCs w:val="24"/>
        </w:rPr>
        <w:t>第十一条</w:t>
      </w:r>
      <w:r>
        <w:rPr>
          <w:rFonts w:asciiTheme="minorEastAsia" w:hAnsiTheme="minorEastAsia" w:eastAsiaTheme="minorEastAsia"/>
          <w:sz w:val="24"/>
          <w:szCs w:val="24"/>
        </w:rPr>
        <w:t xml:space="preserve">  </w:t>
      </w:r>
      <w:r>
        <w:rPr>
          <w:sz w:val="24"/>
          <w:szCs w:val="24"/>
        </w:rPr>
        <w:t>登记试验结束后，申请人应当向所在地省、自治区、直辖市人民政府农业主管部门提出农药登记申请，并提交登记试验报告、标签样张和农药产品质量标准及其检验方法等申请资料；申请新农药登记的，还应当提供农药标准品。</w:t>
      </w:r>
    </w:p>
    <w:p>
      <w:pPr>
        <w:pStyle w:val="3"/>
        <w:topLinePunct/>
        <w:spacing w:line="412" w:lineRule="exact"/>
        <w:ind w:firstLine="480"/>
        <w:rPr>
          <w:sz w:val="24"/>
          <w:szCs w:val="24"/>
        </w:rPr>
      </w:pPr>
      <w:r>
        <w:rPr>
          <w:sz w:val="24"/>
          <w:szCs w:val="24"/>
        </w:rPr>
        <w:t>省、自治区、直辖市人民政府农业主管部门应当自受理申请之日起20个工作日内提出初审意见，并报送国务院农业主管部门。</w:t>
      </w:r>
    </w:p>
    <w:p>
      <w:pPr>
        <w:pStyle w:val="3"/>
        <w:topLinePunct/>
        <w:spacing w:line="412" w:lineRule="exact"/>
        <w:ind w:firstLine="480"/>
        <w:rPr>
          <w:sz w:val="24"/>
          <w:szCs w:val="24"/>
        </w:rPr>
      </w:pPr>
      <w:r>
        <w:rPr>
          <w:sz w:val="24"/>
          <w:szCs w:val="24"/>
        </w:rPr>
        <w:t>向中国出口农药的企业申请农药登记的，应当持本条第一款规定的资料、农药标准品以及在有关国家（地区）登记、使用的证明材料，向国务院农业主管部门提出申请。</w:t>
      </w:r>
    </w:p>
    <w:p>
      <w:pPr>
        <w:pStyle w:val="3"/>
        <w:topLinePunct/>
        <w:spacing w:line="412" w:lineRule="exact"/>
        <w:ind w:firstLine="482"/>
        <w:rPr>
          <w:sz w:val="24"/>
          <w:szCs w:val="24"/>
        </w:rPr>
      </w:pPr>
      <w:r>
        <w:rPr>
          <w:b/>
          <w:sz w:val="24"/>
          <w:szCs w:val="24"/>
        </w:rPr>
        <w:t>第十二条</w:t>
      </w:r>
      <w:r>
        <w:rPr>
          <w:rFonts w:asciiTheme="minorEastAsia" w:hAnsiTheme="minorEastAsia" w:eastAsiaTheme="minorEastAsia"/>
          <w:sz w:val="24"/>
          <w:szCs w:val="24"/>
        </w:rPr>
        <w:t xml:space="preserve">  </w:t>
      </w:r>
      <w:r>
        <w:rPr>
          <w:sz w:val="24"/>
          <w:szCs w:val="24"/>
        </w:rPr>
        <w:t>国务院农业主管部门受理申请或者收到省、自治区、直辖市人民政府农业主管部门报送的申请资料后，应当组织审查和登记评审，并自收到评审意见之日起20个工作日内作出审批决定，符合条件的，核发农药登记证；不符合条件的，书面通知申请人并说明理由。</w:t>
      </w:r>
    </w:p>
    <w:p>
      <w:pPr>
        <w:pStyle w:val="3"/>
        <w:topLinePunct/>
        <w:spacing w:line="412" w:lineRule="exact"/>
        <w:ind w:firstLine="482"/>
        <w:rPr>
          <w:sz w:val="24"/>
          <w:szCs w:val="24"/>
        </w:rPr>
      </w:pPr>
      <w:r>
        <w:rPr>
          <w:b/>
          <w:sz w:val="24"/>
          <w:szCs w:val="24"/>
        </w:rPr>
        <w:t>第十三条</w:t>
      </w:r>
      <w:r>
        <w:rPr>
          <w:rFonts w:asciiTheme="minorEastAsia" w:hAnsiTheme="minorEastAsia" w:eastAsiaTheme="minorEastAsia"/>
          <w:sz w:val="24"/>
          <w:szCs w:val="24"/>
        </w:rPr>
        <w:t xml:space="preserve">  </w:t>
      </w:r>
      <w:r>
        <w:rPr>
          <w:sz w:val="24"/>
          <w:szCs w:val="24"/>
        </w:rPr>
        <w:t>农药登记证应当载明农药名称、剂型、有效成分及其含量、毒性、使用范围、使用方法和剂量、登记证持有人、登记证号以及有效期等事项。</w:t>
      </w:r>
    </w:p>
    <w:p>
      <w:pPr>
        <w:pStyle w:val="3"/>
        <w:topLinePunct/>
        <w:spacing w:line="412" w:lineRule="exact"/>
        <w:ind w:firstLine="480"/>
        <w:rPr>
          <w:sz w:val="24"/>
          <w:szCs w:val="24"/>
        </w:rPr>
      </w:pPr>
      <w:r>
        <w:rPr>
          <w:sz w:val="24"/>
          <w:szCs w:val="24"/>
        </w:rPr>
        <w:t>农药登记证有效期为5年。有效期届满，需要继续生产农药或者向中国出口农药的，农药登记证持有人应当在有效期届满90日前向国务院农业主管部门申请延续。</w:t>
      </w:r>
    </w:p>
    <w:p>
      <w:pPr>
        <w:pStyle w:val="3"/>
        <w:topLinePunct/>
        <w:spacing w:line="412" w:lineRule="exact"/>
        <w:ind w:firstLine="480"/>
        <w:rPr>
          <w:sz w:val="24"/>
          <w:szCs w:val="24"/>
        </w:rPr>
      </w:pPr>
      <w:r>
        <w:rPr>
          <w:sz w:val="24"/>
          <w:szCs w:val="24"/>
        </w:rPr>
        <w:t>农药登记证载明事项发生变化的，农药登记证持有人应当按照国务院农业主管部门的规定申请变更农药登记证。</w:t>
      </w:r>
    </w:p>
    <w:p>
      <w:pPr>
        <w:pStyle w:val="3"/>
        <w:topLinePunct/>
        <w:spacing w:line="412" w:lineRule="exact"/>
        <w:ind w:firstLine="480"/>
        <w:rPr>
          <w:sz w:val="24"/>
          <w:szCs w:val="24"/>
        </w:rPr>
      </w:pPr>
      <w:r>
        <w:rPr>
          <w:sz w:val="24"/>
          <w:szCs w:val="24"/>
        </w:rPr>
        <w:t>国务院农业主管部门应当及时公告农药登记证核发、延续、变更情况以及有关的农药产品质量标准号、残留限量规定、检验方法、经核准的标签等信息。</w:t>
      </w:r>
    </w:p>
    <w:p>
      <w:pPr>
        <w:pStyle w:val="3"/>
        <w:topLinePunct/>
        <w:spacing w:line="412" w:lineRule="exact"/>
        <w:ind w:firstLine="482"/>
        <w:rPr>
          <w:sz w:val="24"/>
          <w:szCs w:val="24"/>
        </w:rPr>
      </w:pPr>
      <w:r>
        <w:rPr>
          <w:b/>
          <w:sz w:val="24"/>
          <w:szCs w:val="24"/>
        </w:rPr>
        <w:t>第十四条</w:t>
      </w:r>
      <w:r>
        <w:rPr>
          <w:rFonts w:asciiTheme="minorEastAsia" w:hAnsiTheme="minorEastAsia" w:eastAsiaTheme="minorEastAsia"/>
          <w:sz w:val="24"/>
          <w:szCs w:val="24"/>
        </w:rPr>
        <w:t xml:space="preserve">  </w:t>
      </w:r>
      <w:r>
        <w:rPr>
          <w:sz w:val="24"/>
          <w:szCs w:val="24"/>
        </w:rPr>
        <w:t>新农药研制者可以转让其已取得登记的新农药的登记资料；农药生产企业可以向具有相应生产能力的农药生产企业转让其已取得登记的农药的登记资料。</w:t>
      </w:r>
    </w:p>
    <w:p>
      <w:pPr>
        <w:pStyle w:val="3"/>
        <w:topLinePunct/>
        <w:spacing w:line="412" w:lineRule="exact"/>
        <w:ind w:firstLine="482"/>
        <w:rPr>
          <w:sz w:val="24"/>
          <w:szCs w:val="24"/>
        </w:rPr>
      </w:pPr>
      <w:r>
        <w:rPr>
          <w:b/>
          <w:sz w:val="24"/>
          <w:szCs w:val="24"/>
        </w:rPr>
        <w:t>第十五条</w:t>
      </w:r>
      <w:r>
        <w:rPr>
          <w:rFonts w:asciiTheme="minorEastAsia" w:hAnsiTheme="minorEastAsia" w:eastAsiaTheme="minorEastAsia"/>
          <w:sz w:val="24"/>
          <w:szCs w:val="24"/>
        </w:rPr>
        <w:t xml:space="preserve">  </w:t>
      </w:r>
      <w:r>
        <w:rPr>
          <w:sz w:val="24"/>
          <w:szCs w:val="24"/>
        </w:rPr>
        <w:t>国家对取得首次登记的、含有新化合物的农药的申请人提交的其自己所取得且未披露的试验数据和其他数据实施保护。</w:t>
      </w:r>
    </w:p>
    <w:p>
      <w:pPr>
        <w:pStyle w:val="3"/>
        <w:topLinePunct/>
        <w:spacing w:line="412" w:lineRule="exact"/>
        <w:ind w:firstLine="480"/>
        <w:rPr>
          <w:sz w:val="24"/>
          <w:szCs w:val="24"/>
        </w:rPr>
      </w:pPr>
      <w:r>
        <w:rPr>
          <w:sz w:val="24"/>
          <w:szCs w:val="24"/>
        </w:rPr>
        <w:t>自登记之日起6年内，对其他申请人未经已取得登记的申请人同意，使用前款规定的数据申请农药登记的，登记机关不予登记；但是，其他申请人提交其自己所取得的数据的除外。</w:t>
      </w:r>
    </w:p>
    <w:p>
      <w:pPr>
        <w:pStyle w:val="3"/>
        <w:topLinePunct/>
        <w:spacing w:line="412" w:lineRule="exact"/>
        <w:ind w:firstLine="480"/>
        <w:rPr>
          <w:sz w:val="24"/>
          <w:szCs w:val="24"/>
        </w:rPr>
      </w:pPr>
      <w:r>
        <w:rPr>
          <w:sz w:val="24"/>
          <w:szCs w:val="24"/>
        </w:rPr>
        <w:t>除下列情况外，登记机关不得披露本条第一款规定的数据：</w:t>
      </w:r>
    </w:p>
    <w:p>
      <w:pPr>
        <w:pStyle w:val="3"/>
        <w:topLinePunct/>
        <w:spacing w:line="412" w:lineRule="exact"/>
        <w:ind w:firstLine="480"/>
        <w:rPr>
          <w:sz w:val="24"/>
          <w:szCs w:val="24"/>
        </w:rPr>
      </w:pPr>
      <w:r>
        <w:rPr>
          <w:sz w:val="24"/>
          <w:szCs w:val="24"/>
        </w:rPr>
        <w:t>（一）公共利益需要；</w:t>
      </w:r>
    </w:p>
    <w:p>
      <w:pPr>
        <w:pStyle w:val="3"/>
        <w:topLinePunct/>
        <w:spacing w:line="412" w:lineRule="exact"/>
        <w:ind w:firstLine="480"/>
        <w:rPr>
          <w:sz w:val="24"/>
          <w:szCs w:val="24"/>
        </w:rPr>
      </w:pPr>
      <w:r>
        <w:rPr>
          <w:sz w:val="24"/>
          <w:szCs w:val="24"/>
        </w:rPr>
        <w:t>（二）已采取措施确保该类信息不会被不正当地进行商业使用。</w:t>
      </w:r>
    </w:p>
    <w:p>
      <w:pPr>
        <w:pStyle w:val="63"/>
        <w:spacing w:before="218" w:after="218" w:line="412" w:lineRule="exact"/>
      </w:pPr>
      <w:r>
        <w:t>第三章  农药生产</w:t>
      </w:r>
    </w:p>
    <w:p>
      <w:pPr>
        <w:pStyle w:val="3"/>
        <w:topLinePunct/>
        <w:spacing w:line="412" w:lineRule="exact"/>
        <w:ind w:firstLine="482"/>
        <w:rPr>
          <w:sz w:val="24"/>
          <w:szCs w:val="24"/>
        </w:rPr>
      </w:pPr>
      <w:r>
        <w:rPr>
          <w:b/>
          <w:sz w:val="24"/>
          <w:szCs w:val="24"/>
        </w:rPr>
        <w:t>第十六条</w:t>
      </w:r>
      <w:r>
        <w:rPr>
          <w:rFonts w:asciiTheme="minorEastAsia" w:hAnsiTheme="minorEastAsia" w:eastAsiaTheme="minorEastAsia"/>
          <w:sz w:val="24"/>
          <w:szCs w:val="24"/>
        </w:rPr>
        <w:t xml:space="preserve">  </w:t>
      </w:r>
      <w:r>
        <w:rPr>
          <w:sz w:val="24"/>
          <w:szCs w:val="24"/>
        </w:rPr>
        <w:t>农药生产应当符合国家产业政策。国家鼓励和支持农药生产企业采用先进技术和先进管理规范，提高农药的安全性、有效性。</w:t>
      </w:r>
    </w:p>
    <w:p>
      <w:pPr>
        <w:pStyle w:val="3"/>
        <w:topLinePunct/>
        <w:spacing w:line="412" w:lineRule="exact"/>
        <w:ind w:firstLine="482"/>
        <w:rPr>
          <w:sz w:val="24"/>
          <w:szCs w:val="24"/>
        </w:rPr>
      </w:pPr>
      <w:r>
        <w:rPr>
          <w:b/>
          <w:sz w:val="24"/>
          <w:szCs w:val="24"/>
        </w:rPr>
        <w:t>第十七条</w:t>
      </w:r>
      <w:r>
        <w:rPr>
          <w:rFonts w:asciiTheme="minorEastAsia" w:hAnsiTheme="minorEastAsia" w:eastAsiaTheme="minorEastAsia"/>
          <w:sz w:val="24"/>
          <w:szCs w:val="24"/>
        </w:rPr>
        <w:t xml:space="preserve">  </w:t>
      </w:r>
      <w:r>
        <w:rPr>
          <w:sz w:val="24"/>
          <w:szCs w:val="24"/>
        </w:rPr>
        <w:t>国家实行农药生产许可制度。农药生产企业应当具备下列条件，并按照国务院农业主管部门的规定向省、自治区、直辖市人民政府农业主管部门申请农药生产许可证：</w:t>
      </w:r>
    </w:p>
    <w:p>
      <w:pPr>
        <w:pStyle w:val="3"/>
        <w:topLinePunct/>
        <w:spacing w:line="412" w:lineRule="exact"/>
        <w:ind w:firstLine="480"/>
        <w:rPr>
          <w:sz w:val="24"/>
          <w:szCs w:val="24"/>
        </w:rPr>
      </w:pPr>
      <w:r>
        <w:rPr>
          <w:sz w:val="24"/>
          <w:szCs w:val="24"/>
        </w:rPr>
        <w:t>（一）有与所申请生产农药相适应的技术人员；</w:t>
      </w:r>
    </w:p>
    <w:p>
      <w:pPr>
        <w:pStyle w:val="3"/>
        <w:topLinePunct/>
        <w:spacing w:line="412" w:lineRule="exact"/>
        <w:ind w:firstLine="480"/>
        <w:rPr>
          <w:sz w:val="24"/>
          <w:szCs w:val="24"/>
        </w:rPr>
      </w:pPr>
      <w:r>
        <w:rPr>
          <w:sz w:val="24"/>
          <w:szCs w:val="24"/>
        </w:rPr>
        <w:t>（二）有与所申请生产农药相适应的厂房、设施；</w:t>
      </w:r>
    </w:p>
    <w:p>
      <w:pPr>
        <w:pStyle w:val="3"/>
        <w:topLinePunct/>
        <w:spacing w:line="412" w:lineRule="exact"/>
        <w:ind w:firstLine="480"/>
        <w:rPr>
          <w:sz w:val="24"/>
          <w:szCs w:val="24"/>
        </w:rPr>
      </w:pPr>
      <w:r>
        <w:rPr>
          <w:sz w:val="24"/>
          <w:szCs w:val="24"/>
        </w:rPr>
        <w:t>（三）有对所申请生产农药进行质量管理和质量检验的人员、仪器和设备；</w:t>
      </w:r>
    </w:p>
    <w:p>
      <w:pPr>
        <w:pStyle w:val="3"/>
        <w:topLinePunct/>
        <w:spacing w:line="412" w:lineRule="exact"/>
        <w:ind w:firstLine="480"/>
        <w:rPr>
          <w:sz w:val="24"/>
          <w:szCs w:val="24"/>
        </w:rPr>
      </w:pPr>
      <w:r>
        <w:rPr>
          <w:sz w:val="24"/>
          <w:szCs w:val="24"/>
        </w:rPr>
        <w:t>（四）有保证所申请生产农药质量的规章制度。</w:t>
      </w:r>
    </w:p>
    <w:p>
      <w:pPr>
        <w:pStyle w:val="3"/>
        <w:topLinePunct/>
        <w:spacing w:line="412" w:lineRule="exact"/>
        <w:ind w:firstLine="480"/>
        <w:rPr>
          <w:sz w:val="24"/>
          <w:szCs w:val="24"/>
        </w:rPr>
      </w:pPr>
      <w:r>
        <w:rPr>
          <w:sz w:val="24"/>
          <w:szCs w:val="24"/>
        </w:rPr>
        <w:t>省、自治区、直辖市人民政府农业主管部门应当自受理申请之日起20个工作日内作出审批决定，必要时应当进行实地核查。符合条件的，核发农药生产许可证；不符合条件的，书面通知申请人并说明理由。</w:t>
      </w:r>
    </w:p>
    <w:p>
      <w:pPr>
        <w:pStyle w:val="3"/>
        <w:topLinePunct/>
        <w:spacing w:line="412" w:lineRule="exact"/>
        <w:ind w:firstLine="480"/>
        <w:rPr>
          <w:sz w:val="24"/>
          <w:szCs w:val="24"/>
        </w:rPr>
      </w:pPr>
      <w:r>
        <w:rPr>
          <w:sz w:val="24"/>
          <w:szCs w:val="24"/>
        </w:rPr>
        <w:t>安全生产、环境保护等法律、行政法规对企业生产条件有其他规定的，农药生产企业还应当遵守其规定。</w:t>
      </w:r>
    </w:p>
    <w:p>
      <w:pPr>
        <w:pStyle w:val="3"/>
        <w:topLinePunct/>
        <w:spacing w:line="412" w:lineRule="exact"/>
        <w:ind w:firstLine="482"/>
        <w:rPr>
          <w:sz w:val="24"/>
          <w:szCs w:val="24"/>
        </w:rPr>
      </w:pPr>
      <w:r>
        <w:rPr>
          <w:b/>
          <w:sz w:val="24"/>
          <w:szCs w:val="24"/>
        </w:rPr>
        <w:t>第十八条</w:t>
      </w:r>
      <w:r>
        <w:rPr>
          <w:rFonts w:asciiTheme="minorEastAsia" w:hAnsiTheme="minorEastAsia" w:eastAsiaTheme="minorEastAsia"/>
          <w:sz w:val="24"/>
          <w:szCs w:val="24"/>
        </w:rPr>
        <w:t xml:space="preserve">  </w:t>
      </w:r>
      <w:r>
        <w:rPr>
          <w:sz w:val="24"/>
          <w:szCs w:val="24"/>
        </w:rPr>
        <w:t>农药生产许可证应当载明农药生产企业名称、住所、法定代表人(负责人)、生产范围、生产地址以及有效期等事项。</w:t>
      </w:r>
    </w:p>
    <w:p>
      <w:pPr>
        <w:pStyle w:val="3"/>
        <w:topLinePunct/>
        <w:spacing w:line="412" w:lineRule="exact"/>
        <w:ind w:firstLine="480"/>
        <w:rPr>
          <w:sz w:val="24"/>
          <w:szCs w:val="24"/>
        </w:rPr>
      </w:pPr>
      <w:r>
        <w:rPr>
          <w:sz w:val="24"/>
          <w:szCs w:val="24"/>
        </w:rPr>
        <w:t>农药生产许可证有效期为5年。有效期届满，需要继续生产农药的，农药生产企业应当在有效期届满90日前向省、自治区、直辖市人民政府农业主管部门申请延续。</w:t>
      </w:r>
    </w:p>
    <w:p>
      <w:pPr>
        <w:pStyle w:val="3"/>
        <w:topLinePunct/>
        <w:spacing w:line="412" w:lineRule="exact"/>
        <w:ind w:firstLine="480"/>
        <w:rPr>
          <w:sz w:val="24"/>
          <w:szCs w:val="24"/>
        </w:rPr>
      </w:pPr>
      <w:r>
        <w:rPr>
          <w:sz w:val="24"/>
          <w:szCs w:val="24"/>
        </w:rPr>
        <w:t>农药生产许可证载明事项发生变化的，农药生产企业应当按照国务院农业主管部门的规定申请变更农药生产许可证。</w:t>
      </w:r>
    </w:p>
    <w:p>
      <w:pPr>
        <w:pStyle w:val="3"/>
        <w:topLinePunct/>
        <w:spacing w:line="412" w:lineRule="exact"/>
        <w:ind w:firstLine="482"/>
        <w:rPr>
          <w:sz w:val="24"/>
          <w:szCs w:val="24"/>
        </w:rPr>
      </w:pPr>
      <w:r>
        <w:rPr>
          <w:b/>
          <w:sz w:val="24"/>
          <w:szCs w:val="24"/>
        </w:rPr>
        <w:t>第十九条</w:t>
      </w:r>
      <w:r>
        <w:rPr>
          <w:rFonts w:asciiTheme="minorEastAsia" w:hAnsiTheme="minorEastAsia" w:eastAsiaTheme="minorEastAsia"/>
          <w:sz w:val="24"/>
          <w:szCs w:val="24"/>
        </w:rPr>
        <w:t xml:space="preserve">  </w:t>
      </w:r>
      <w:r>
        <w:rPr>
          <w:sz w:val="24"/>
          <w:szCs w:val="24"/>
        </w:rPr>
        <w:t>委托加工、分装农药的，委托人应当取得相应的农药登记证，受托人应当取得农药生产许可证。</w:t>
      </w:r>
    </w:p>
    <w:p>
      <w:pPr>
        <w:pStyle w:val="3"/>
        <w:topLinePunct/>
        <w:spacing w:line="412" w:lineRule="exact"/>
        <w:ind w:firstLine="480"/>
        <w:rPr>
          <w:sz w:val="24"/>
          <w:szCs w:val="24"/>
        </w:rPr>
      </w:pPr>
      <w:r>
        <w:rPr>
          <w:sz w:val="24"/>
          <w:szCs w:val="24"/>
        </w:rPr>
        <w:t>委托人应当对委托加工、分装的农药质量负责。</w:t>
      </w:r>
    </w:p>
    <w:p>
      <w:pPr>
        <w:pStyle w:val="3"/>
        <w:topLinePunct/>
        <w:spacing w:line="412" w:lineRule="exact"/>
        <w:ind w:firstLine="482"/>
        <w:rPr>
          <w:sz w:val="24"/>
          <w:szCs w:val="24"/>
        </w:rPr>
      </w:pPr>
      <w:r>
        <w:rPr>
          <w:b/>
          <w:sz w:val="24"/>
          <w:szCs w:val="24"/>
        </w:rPr>
        <w:t>第二十条</w:t>
      </w:r>
      <w:r>
        <w:rPr>
          <w:rFonts w:asciiTheme="minorEastAsia" w:hAnsiTheme="minorEastAsia" w:eastAsiaTheme="minorEastAsia"/>
          <w:sz w:val="24"/>
          <w:szCs w:val="24"/>
        </w:rPr>
        <w:t xml:space="preserve">  </w:t>
      </w:r>
      <w:r>
        <w:rPr>
          <w:sz w:val="24"/>
          <w:szCs w:val="24"/>
        </w:rPr>
        <w:t>农药生产企业采购原材料，应当查验产品质量检验合格证和有关许可证明文件，不得采购、使用未依法附具产品质量检验合格证、未依法取得有关许可证明文件的原材料。</w:t>
      </w:r>
    </w:p>
    <w:p>
      <w:pPr>
        <w:pStyle w:val="3"/>
        <w:topLinePunct/>
        <w:spacing w:line="412" w:lineRule="exact"/>
        <w:ind w:firstLine="480"/>
        <w:rPr>
          <w:sz w:val="24"/>
          <w:szCs w:val="24"/>
        </w:rPr>
      </w:pPr>
      <w:r>
        <w:rPr>
          <w:sz w:val="24"/>
          <w:szCs w:val="24"/>
        </w:rPr>
        <w:t>农药生产企业应当建立原材料进货记录制度，如实记录原材料的名称、有关许可证明文件编号、规格、数量、供货人名称及其联系方式、进货日期等内容。原材料进货记录应当保存2年以上。</w:t>
      </w:r>
    </w:p>
    <w:p>
      <w:pPr>
        <w:pStyle w:val="3"/>
        <w:topLinePunct/>
        <w:spacing w:line="412" w:lineRule="exact"/>
        <w:ind w:firstLine="482"/>
        <w:rPr>
          <w:sz w:val="24"/>
          <w:szCs w:val="24"/>
        </w:rPr>
      </w:pPr>
      <w:r>
        <w:rPr>
          <w:b/>
          <w:sz w:val="24"/>
          <w:szCs w:val="24"/>
        </w:rPr>
        <w:t>第二十一条</w:t>
      </w:r>
      <w:r>
        <w:rPr>
          <w:rFonts w:asciiTheme="minorEastAsia" w:hAnsiTheme="minorEastAsia" w:eastAsiaTheme="minorEastAsia"/>
          <w:sz w:val="24"/>
          <w:szCs w:val="24"/>
        </w:rPr>
        <w:t xml:space="preserve">  </w:t>
      </w:r>
      <w:r>
        <w:rPr>
          <w:sz w:val="24"/>
          <w:szCs w:val="24"/>
        </w:rPr>
        <w:t>农药生产企业应当严格按照产品质量标准进行生产，确保农药产品与登记农药一致。农药出厂销售，应当经质量检验合格并附具产品质量检验合格证。</w:t>
      </w:r>
    </w:p>
    <w:p>
      <w:pPr>
        <w:pStyle w:val="3"/>
        <w:topLinePunct/>
        <w:spacing w:line="412" w:lineRule="exact"/>
        <w:ind w:firstLine="480"/>
        <w:rPr>
          <w:sz w:val="24"/>
          <w:szCs w:val="24"/>
        </w:rPr>
      </w:pPr>
      <w:r>
        <w:rPr>
          <w:sz w:val="24"/>
          <w:szCs w:val="24"/>
        </w:rPr>
        <w:t>农药生产企业应当建立农药出厂销售记录制度，如实记录农药的名称、规格、数量、生产日期和批号、产品质量检验信息、购货人名称及其联系方式、销售日期等内容。农药出厂销售记录应当保存2年以上。</w:t>
      </w:r>
    </w:p>
    <w:p>
      <w:pPr>
        <w:pStyle w:val="3"/>
        <w:topLinePunct/>
        <w:spacing w:line="412" w:lineRule="exact"/>
        <w:ind w:firstLine="482"/>
        <w:rPr>
          <w:sz w:val="24"/>
          <w:szCs w:val="24"/>
        </w:rPr>
      </w:pPr>
      <w:r>
        <w:rPr>
          <w:b/>
          <w:sz w:val="24"/>
          <w:szCs w:val="24"/>
        </w:rPr>
        <w:t>第二十二条</w:t>
      </w:r>
      <w:r>
        <w:rPr>
          <w:rFonts w:asciiTheme="minorEastAsia" w:hAnsiTheme="minorEastAsia" w:eastAsiaTheme="minorEastAsia"/>
          <w:sz w:val="24"/>
          <w:szCs w:val="24"/>
        </w:rPr>
        <w:t xml:space="preserve">  </w:t>
      </w:r>
      <w:r>
        <w:rPr>
          <w:sz w:val="24"/>
          <w:szCs w:val="24"/>
        </w:rPr>
        <w:t>农药包装应当符合国家有关规定，并印制或者贴有标签。国家鼓励农药生产企业使用可回收的农药包装材料。</w:t>
      </w:r>
    </w:p>
    <w:p>
      <w:pPr>
        <w:pStyle w:val="3"/>
        <w:topLinePunct/>
        <w:spacing w:line="412" w:lineRule="exact"/>
        <w:ind w:firstLine="480"/>
        <w:rPr>
          <w:sz w:val="24"/>
          <w:szCs w:val="24"/>
        </w:rPr>
      </w:pPr>
      <w:r>
        <w:rPr>
          <w:sz w:val="24"/>
          <w:szCs w:val="24"/>
        </w:rPr>
        <w:t>农药标签应当按照国务院农业主管部门的规定，以中文标注农药的名称、剂型、有效成分及其含量、毒性及其标识、使用范围、使用方法和剂量、使用技术要求和注意事项、生产日期、可追溯电子信息码等内容。</w:t>
      </w:r>
    </w:p>
    <w:p>
      <w:pPr>
        <w:pStyle w:val="3"/>
        <w:topLinePunct/>
        <w:spacing w:line="412" w:lineRule="exact"/>
        <w:ind w:firstLine="480"/>
        <w:rPr>
          <w:sz w:val="24"/>
          <w:szCs w:val="24"/>
        </w:rPr>
      </w:pPr>
      <w:r>
        <w:rPr>
          <w:sz w:val="24"/>
          <w:szCs w:val="24"/>
        </w:rPr>
        <w:t>剧毒、高毒农药以及使用技术要求严格的其他农药等限制使用农药的标签还应当标注“限制使用”字样，并注明使用的特别限制和特殊要求。用于食用农产品的农药的标签还应当标注安全间隔期。</w:t>
      </w:r>
    </w:p>
    <w:p>
      <w:pPr>
        <w:pStyle w:val="3"/>
        <w:topLinePunct/>
        <w:spacing w:line="412" w:lineRule="exact"/>
        <w:ind w:firstLine="482"/>
        <w:rPr>
          <w:sz w:val="24"/>
          <w:szCs w:val="24"/>
        </w:rPr>
      </w:pPr>
      <w:r>
        <w:rPr>
          <w:b/>
          <w:sz w:val="24"/>
          <w:szCs w:val="24"/>
        </w:rPr>
        <w:t>第二十三条</w:t>
      </w:r>
      <w:r>
        <w:rPr>
          <w:rFonts w:asciiTheme="minorEastAsia" w:hAnsiTheme="minorEastAsia" w:eastAsiaTheme="minorEastAsia"/>
          <w:sz w:val="24"/>
          <w:szCs w:val="24"/>
        </w:rPr>
        <w:t xml:space="preserve">  </w:t>
      </w:r>
      <w:r>
        <w:rPr>
          <w:sz w:val="24"/>
          <w:szCs w:val="24"/>
        </w:rPr>
        <w:t>农药生产企业不得擅自改变经核准的农药的标签内容，不得在农药的标签中标注虚假、误导使用者的内容。</w:t>
      </w:r>
    </w:p>
    <w:p>
      <w:pPr>
        <w:pStyle w:val="3"/>
        <w:topLinePunct/>
        <w:spacing w:line="412" w:lineRule="exact"/>
        <w:ind w:firstLine="480"/>
        <w:rPr>
          <w:sz w:val="24"/>
          <w:szCs w:val="24"/>
        </w:rPr>
      </w:pPr>
      <w:r>
        <w:rPr>
          <w:sz w:val="24"/>
          <w:szCs w:val="24"/>
        </w:rPr>
        <w:t>农药包装过小，标签不能标注全部内容的，应当同时附具说明书，说明书的内容应当与经核准的标签内容一致。</w:t>
      </w:r>
    </w:p>
    <w:p>
      <w:pPr>
        <w:pStyle w:val="63"/>
        <w:spacing w:before="218" w:after="218" w:line="412" w:lineRule="exact"/>
      </w:pPr>
      <w:r>
        <w:t>第四章  农药经营</w:t>
      </w:r>
    </w:p>
    <w:p>
      <w:pPr>
        <w:pStyle w:val="3"/>
        <w:topLinePunct/>
        <w:spacing w:line="412" w:lineRule="exact"/>
        <w:ind w:firstLine="482"/>
        <w:rPr>
          <w:sz w:val="24"/>
          <w:szCs w:val="24"/>
        </w:rPr>
      </w:pPr>
      <w:r>
        <w:rPr>
          <w:b/>
          <w:sz w:val="24"/>
          <w:szCs w:val="24"/>
        </w:rPr>
        <w:t>第二十四条</w:t>
      </w:r>
      <w:r>
        <w:rPr>
          <w:rFonts w:asciiTheme="minorEastAsia" w:hAnsiTheme="minorEastAsia" w:eastAsiaTheme="minorEastAsia"/>
          <w:sz w:val="24"/>
          <w:szCs w:val="24"/>
        </w:rPr>
        <w:t xml:space="preserve">  </w:t>
      </w:r>
      <w:r>
        <w:rPr>
          <w:sz w:val="24"/>
          <w:szCs w:val="24"/>
        </w:rPr>
        <w:t>国家实行农药经营许可制度，但经营卫生用农药的除外。农药经营者应当具备下列条件，并按照国务院农业主管部门的规定向县级以上地方人民政府农业主管部门申请农药经营许可证：</w:t>
      </w:r>
    </w:p>
    <w:p>
      <w:pPr>
        <w:pStyle w:val="3"/>
        <w:topLinePunct/>
        <w:spacing w:line="412" w:lineRule="exact"/>
        <w:ind w:firstLine="480"/>
        <w:rPr>
          <w:sz w:val="24"/>
          <w:szCs w:val="24"/>
        </w:rPr>
      </w:pPr>
      <w:r>
        <w:rPr>
          <w:sz w:val="24"/>
          <w:szCs w:val="24"/>
        </w:rPr>
        <w:t>（一）有具备农药和病虫害防治专业知识，熟悉农药管理规定，能够指导安全合理使用农药的经营人员；</w:t>
      </w:r>
    </w:p>
    <w:p>
      <w:pPr>
        <w:pStyle w:val="3"/>
        <w:topLinePunct/>
        <w:spacing w:line="412" w:lineRule="exact"/>
        <w:ind w:firstLine="480"/>
        <w:rPr>
          <w:sz w:val="24"/>
          <w:szCs w:val="24"/>
        </w:rPr>
      </w:pPr>
      <w:r>
        <w:rPr>
          <w:sz w:val="24"/>
          <w:szCs w:val="24"/>
        </w:rPr>
        <w:t>（二）有与其他商品以及饮用水水源、生活区域等有效隔离的营业场所和仓储场所，并配备与所申请经营农药相适应的防护设施；</w:t>
      </w:r>
    </w:p>
    <w:p>
      <w:pPr>
        <w:pStyle w:val="3"/>
        <w:topLinePunct/>
        <w:spacing w:line="412" w:lineRule="exact"/>
        <w:ind w:firstLine="480"/>
        <w:rPr>
          <w:sz w:val="24"/>
          <w:szCs w:val="24"/>
        </w:rPr>
      </w:pPr>
      <w:r>
        <w:rPr>
          <w:sz w:val="24"/>
          <w:szCs w:val="24"/>
        </w:rPr>
        <w:t>（三）有与所申请经营农药相适应的质量管理、台账记录、安全防护、应急处置、仓储管理等制度。</w:t>
      </w:r>
    </w:p>
    <w:p>
      <w:pPr>
        <w:pStyle w:val="3"/>
        <w:topLinePunct/>
        <w:spacing w:line="412" w:lineRule="exact"/>
        <w:ind w:firstLine="480"/>
        <w:rPr>
          <w:sz w:val="24"/>
          <w:szCs w:val="24"/>
        </w:rPr>
      </w:pPr>
      <w:r>
        <w:rPr>
          <w:sz w:val="24"/>
          <w:szCs w:val="24"/>
        </w:rPr>
        <w:t>经营限制使用农药的，还应当配备相应的用药指导和病虫害防治专业技术人员，并按照所在地省、自治区、直辖市人民政府农业主管部门的规定实行定点经营。</w:t>
      </w:r>
    </w:p>
    <w:p>
      <w:pPr>
        <w:pStyle w:val="3"/>
        <w:topLinePunct/>
        <w:spacing w:line="412" w:lineRule="exact"/>
        <w:ind w:firstLine="480"/>
        <w:rPr>
          <w:sz w:val="24"/>
          <w:szCs w:val="24"/>
        </w:rPr>
      </w:pPr>
      <w:r>
        <w:rPr>
          <w:sz w:val="24"/>
          <w:szCs w:val="24"/>
        </w:rPr>
        <w:t>县级以上地方人民政府农业主管部门应当自受理申请之日起20个工作日内作出审批决定。符合条件的，核发农药经营许可证；不符合条件的，书面通知申请人并说明理由。</w:t>
      </w:r>
    </w:p>
    <w:p>
      <w:pPr>
        <w:pStyle w:val="3"/>
        <w:topLinePunct/>
        <w:spacing w:line="412" w:lineRule="exact"/>
        <w:ind w:firstLine="482"/>
        <w:rPr>
          <w:sz w:val="24"/>
          <w:szCs w:val="24"/>
        </w:rPr>
      </w:pPr>
      <w:r>
        <w:rPr>
          <w:b/>
          <w:sz w:val="24"/>
          <w:szCs w:val="24"/>
        </w:rPr>
        <w:t>第二十五条</w:t>
      </w:r>
      <w:r>
        <w:rPr>
          <w:rFonts w:asciiTheme="minorEastAsia" w:hAnsiTheme="minorEastAsia" w:eastAsiaTheme="minorEastAsia"/>
          <w:sz w:val="24"/>
          <w:szCs w:val="24"/>
        </w:rPr>
        <w:t xml:space="preserve">  </w:t>
      </w:r>
      <w:r>
        <w:rPr>
          <w:sz w:val="24"/>
          <w:szCs w:val="24"/>
        </w:rPr>
        <w:t>农药经营许可证应当载明农药经营者名称、住所、负责人、经营范围以及有效期等事项。</w:t>
      </w:r>
    </w:p>
    <w:p>
      <w:pPr>
        <w:pStyle w:val="3"/>
        <w:topLinePunct/>
        <w:spacing w:line="412" w:lineRule="exact"/>
        <w:ind w:firstLine="480"/>
        <w:rPr>
          <w:sz w:val="24"/>
          <w:szCs w:val="24"/>
        </w:rPr>
      </w:pPr>
      <w:r>
        <w:rPr>
          <w:sz w:val="24"/>
          <w:szCs w:val="24"/>
        </w:rPr>
        <w:t>农药经营许可证有效期为5年。有效期届满，需要继续经营农药的，农药经营者应当在有效期届满90日前向发证机关申请延续。</w:t>
      </w:r>
    </w:p>
    <w:p>
      <w:pPr>
        <w:pStyle w:val="3"/>
        <w:topLinePunct/>
        <w:spacing w:line="412" w:lineRule="exact"/>
        <w:ind w:firstLine="480"/>
        <w:rPr>
          <w:sz w:val="24"/>
          <w:szCs w:val="24"/>
        </w:rPr>
      </w:pPr>
      <w:r>
        <w:rPr>
          <w:sz w:val="24"/>
          <w:szCs w:val="24"/>
        </w:rPr>
        <w:t>农药经营许可证载明事项发生变化的，农药经营者应当按照国务院农业主管部门的规定申请变更农药经营许可证。</w:t>
      </w:r>
    </w:p>
    <w:p>
      <w:pPr>
        <w:pStyle w:val="3"/>
        <w:topLinePunct/>
        <w:spacing w:line="412" w:lineRule="exact"/>
        <w:ind w:firstLine="480"/>
        <w:rPr>
          <w:sz w:val="24"/>
          <w:szCs w:val="24"/>
        </w:rPr>
      </w:pPr>
      <w:r>
        <w:rPr>
          <w:sz w:val="24"/>
          <w:szCs w:val="24"/>
        </w:rPr>
        <w:t>取得农药经营许可证的农药经营者设立分支机构的，应当依法申请变更农药经营许可证，并向分支机构所在地县级以上地方人民政府农业主管部门备案，其分支机构免予办理农药经营许可证。农药经营者应当对其分支机构的经营活动负责。</w:t>
      </w:r>
    </w:p>
    <w:p>
      <w:pPr>
        <w:pStyle w:val="3"/>
        <w:topLinePunct/>
        <w:spacing w:line="412" w:lineRule="exact"/>
        <w:ind w:firstLine="482"/>
        <w:rPr>
          <w:sz w:val="24"/>
          <w:szCs w:val="24"/>
        </w:rPr>
      </w:pPr>
      <w:r>
        <w:rPr>
          <w:b/>
          <w:sz w:val="24"/>
          <w:szCs w:val="24"/>
        </w:rPr>
        <w:t>第二十六条</w:t>
      </w:r>
      <w:r>
        <w:rPr>
          <w:rFonts w:asciiTheme="minorEastAsia" w:hAnsiTheme="minorEastAsia" w:eastAsiaTheme="minorEastAsia"/>
          <w:sz w:val="24"/>
          <w:szCs w:val="24"/>
        </w:rPr>
        <w:t xml:space="preserve">  </w:t>
      </w:r>
      <w:r>
        <w:rPr>
          <w:sz w:val="24"/>
          <w:szCs w:val="24"/>
        </w:rPr>
        <w:t>农药经营者采购农药应当查验产品包装、标签、产品质量检验合格证以及有关许可证明文件，不得向未取得农药生产许可证的农药生产企业或者未取得农药经营许可证的其他农药经营者采购农药。</w:t>
      </w:r>
    </w:p>
    <w:p>
      <w:pPr>
        <w:pStyle w:val="3"/>
        <w:topLinePunct/>
        <w:spacing w:line="412" w:lineRule="exact"/>
        <w:ind w:firstLine="480"/>
        <w:rPr>
          <w:sz w:val="24"/>
          <w:szCs w:val="24"/>
        </w:rPr>
      </w:pPr>
      <w:r>
        <w:rPr>
          <w:sz w:val="24"/>
          <w:szCs w:val="24"/>
        </w:rPr>
        <w:t>农药经营者应当建立采购台账，如实记录农药的名称、有关许可证明文件编号、规格、数量、生产企业和供货人名称及其联系方式、进货日期等内容。采购台账应当保存2年以上。</w:t>
      </w:r>
    </w:p>
    <w:p>
      <w:pPr>
        <w:pStyle w:val="3"/>
        <w:topLinePunct/>
        <w:spacing w:line="412" w:lineRule="exact"/>
        <w:ind w:firstLine="482"/>
        <w:rPr>
          <w:sz w:val="24"/>
          <w:szCs w:val="24"/>
        </w:rPr>
      </w:pPr>
      <w:r>
        <w:rPr>
          <w:b/>
          <w:sz w:val="24"/>
          <w:szCs w:val="24"/>
        </w:rPr>
        <w:t>第二十七条</w:t>
      </w:r>
      <w:r>
        <w:rPr>
          <w:rFonts w:asciiTheme="minorEastAsia" w:hAnsiTheme="minorEastAsia" w:eastAsiaTheme="minorEastAsia"/>
          <w:sz w:val="24"/>
          <w:szCs w:val="24"/>
        </w:rPr>
        <w:t xml:space="preserve">  </w:t>
      </w:r>
      <w:r>
        <w:rPr>
          <w:sz w:val="24"/>
          <w:szCs w:val="24"/>
        </w:rPr>
        <w:t>农药经营者应当建立销售台账，如实记录销售农药的名称、规格、数量、生产企业、购买人、销售日期等内容。销售台账应当保存2年以上。</w:t>
      </w:r>
    </w:p>
    <w:p>
      <w:pPr>
        <w:pStyle w:val="3"/>
        <w:topLinePunct/>
        <w:spacing w:line="412" w:lineRule="exact"/>
        <w:ind w:firstLine="480"/>
        <w:rPr>
          <w:sz w:val="24"/>
          <w:szCs w:val="24"/>
        </w:rPr>
      </w:pPr>
      <w:r>
        <w:rPr>
          <w:sz w:val="24"/>
          <w:szCs w:val="24"/>
        </w:rPr>
        <w:t>农药经营者应当向购买人询问病虫害发生情况并科学推荐农药，必要时应当实地查看病虫害发生情况，并正确说明农药的使用范围、使用方法和剂量、使用技术要求和注意事项，不得误导购买人。</w:t>
      </w:r>
    </w:p>
    <w:p>
      <w:pPr>
        <w:pStyle w:val="3"/>
        <w:topLinePunct/>
        <w:spacing w:line="412" w:lineRule="exact"/>
        <w:ind w:firstLine="480"/>
        <w:rPr>
          <w:sz w:val="24"/>
          <w:szCs w:val="24"/>
        </w:rPr>
      </w:pPr>
      <w:r>
        <w:rPr>
          <w:sz w:val="24"/>
          <w:szCs w:val="24"/>
        </w:rPr>
        <w:t>经营卫生用农药的，不适用本条第一款、第二款的规定。</w:t>
      </w:r>
    </w:p>
    <w:p>
      <w:pPr>
        <w:pStyle w:val="3"/>
        <w:topLinePunct/>
        <w:spacing w:line="412" w:lineRule="exact"/>
        <w:ind w:firstLine="482"/>
        <w:rPr>
          <w:sz w:val="24"/>
          <w:szCs w:val="24"/>
        </w:rPr>
      </w:pPr>
      <w:r>
        <w:rPr>
          <w:b/>
          <w:sz w:val="24"/>
          <w:szCs w:val="24"/>
        </w:rPr>
        <w:t>第二十八条</w:t>
      </w:r>
      <w:r>
        <w:rPr>
          <w:rFonts w:asciiTheme="minorEastAsia" w:hAnsiTheme="minorEastAsia" w:eastAsiaTheme="minorEastAsia"/>
          <w:sz w:val="24"/>
          <w:szCs w:val="24"/>
        </w:rPr>
        <w:t xml:space="preserve">  </w:t>
      </w:r>
      <w:r>
        <w:rPr>
          <w:sz w:val="24"/>
          <w:szCs w:val="24"/>
        </w:rPr>
        <w:t>农药经营者不得加工、分装农药，不得在农药中添加任何物质，不得采购、销售包装和标签不符合规定，未附具产品质量检验合格证，未取得有关许可证明文件的农药。</w:t>
      </w:r>
    </w:p>
    <w:p>
      <w:pPr>
        <w:pStyle w:val="3"/>
        <w:topLinePunct/>
        <w:spacing w:line="412" w:lineRule="exact"/>
        <w:ind w:firstLine="480"/>
        <w:rPr>
          <w:sz w:val="24"/>
          <w:szCs w:val="24"/>
        </w:rPr>
      </w:pPr>
      <w:r>
        <w:rPr>
          <w:sz w:val="24"/>
          <w:szCs w:val="24"/>
        </w:rPr>
        <w:t>经营卫生用农药的，应当将卫生用农药与其他商品分柜销售；经营其他农药的，不得在农药经营场所内经营食品、食用农产品、饲料等。</w:t>
      </w:r>
    </w:p>
    <w:p>
      <w:pPr>
        <w:pStyle w:val="3"/>
        <w:topLinePunct/>
        <w:spacing w:line="412" w:lineRule="exact"/>
        <w:ind w:firstLine="482"/>
        <w:rPr>
          <w:sz w:val="24"/>
          <w:szCs w:val="24"/>
        </w:rPr>
      </w:pPr>
      <w:r>
        <w:rPr>
          <w:b/>
          <w:sz w:val="24"/>
          <w:szCs w:val="24"/>
        </w:rPr>
        <w:t>第二十九条</w:t>
      </w:r>
      <w:r>
        <w:rPr>
          <w:rFonts w:asciiTheme="minorEastAsia" w:hAnsiTheme="minorEastAsia" w:eastAsiaTheme="minorEastAsia"/>
          <w:sz w:val="24"/>
          <w:szCs w:val="24"/>
        </w:rPr>
        <w:t xml:space="preserve">  </w:t>
      </w:r>
      <w:r>
        <w:rPr>
          <w:sz w:val="24"/>
          <w:szCs w:val="24"/>
        </w:rPr>
        <w:t>境外企业不得直接在中国销售农药。境外企业在中国销售农药的，应当依法在中国设立销售机构或者委托符合条件的中国代理机构销售。</w:t>
      </w:r>
    </w:p>
    <w:p>
      <w:pPr>
        <w:pStyle w:val="3"/>
        <w:topLinePunct/>
        <w:spacing w:line="412" w:lineRule="exact"/>
        <w:ind w:firstLine="480"/>
        <w:rPr>
          <w:sz w:val="24"/>
          <w:szCs w:val="24"/>
        </w:rPr>
      </w:pPr>
      <w:r>
        <w:rPr>
          <w:sz w:val="24"/>
          <w:szCs w:val="24"/>
        </w:rPr>
        <w:t>向中国出口的农药应当附具中文标签、说明书，符合产品质量标准，并经出入境检验检疫部门依法检验合格。禁止进口未取得农药登记证的农药。</w:t>
      </w:r>
    </w:p>
    <w:p>
      <w:pPr>
        <w:pStyle w:val="3"/>
        <w:topLinePunct/>
        <w:spacing w:line="412" w:lineRule="exact"/>
        <w:ind w:firstLine="480"/>
        <w:rPr>
          <w:sz w:val="24"/>
          <w:szCs w:val="24"/>
        </w:rPr>
      </w:pPr>
      <w:r>
        <w:rPr>
          <w:sz w:val="24"/>
          <w:szCs w:val="24"/>
        </w:rPr>
        <w:t>办理农药进出口海关申报手续，应当按照海关总署的规定出示相关证明文件。</w:t>
      </w:r>
    </w:p>
    <w:p>
      <w:pPr>
        <w:pStyle w:val="63"/>
        <w:spacing w:before="218" w:after="218" w:line="412" w:lineRule="exact"/>
      </w:pPr>
      <w:r>
        <w:t>第五章  农药使用</w:t>
      </w:r>
    </w:p>
    <w:p>
      <w:pPr>
        <w:pStyle w:val="3"/>
        <w:topLinePunct/>
        <w:spacing w:line="412" w:lineRule="exact"/>
        <w:ind w:firstLine="482"/>
        <w:rPr>
          <w:sz w:val="24"/>
          <w:szCs w:val="24"/>
        </w:rPr>
      </w:pPr>
      <w:r>
        <w:rPr>
          <w:b/>
          <w:sz w:val="24"/>
          <w:szCs w:val="24"/>
        </w:rPr>
        <w:t>第三十条</w:t>
      </w:r>
      <w:r>
        <w:rPr>
          <w:rFonts w:asciiTheme="minorEastAsia" w:hAnsiTheme="minorEastAsia" w:eastAsiaTheme="minorEastAsia"/>
          <w:sz w:val="24"/>
          <w:szCs w:val="24"/>
        </w:rPr>
        <w:t xml:space="preserve">  </w:t>
      </w:r>
      <w:r>
        <w:rPr>
          <w:sz w:val="24"/>
          <w:szCs w:val="24"/>
        </w:rPr>
        <w:t>县级以上人民政府农业主管部门应当加强农药使用指导、服务工作，建立健全农药安全、合理使用制度，并按照预防为主、综合防治的要求，组织推广农药科学使用技术，规范农药使用行为。林业、粮食、卫生等部门应当加强对林业、储粮、卫生用农药安全、合理使用的技术指导，环境保护主管部门应当加强对农药使用过程中环境保护和污染防治的技术指导。</w:t>
      </w:r>
    </w:p>
    <w:p>
      <w:pPr>
        <w:pStyle w:val="3"/>
        <w:topLinePunct/>
        <w:spacing w:line="412" w:lineRule="exact"/>
        <w:ind w:firstLine="482"/>
        <w:rPr>
          <w:sz w:val="24"/>
          <w:szCs w:val="24"/>
        </w:rPr>
      </w:pPr>
      <w:r>
        <w:rPr>
          <w:b/>
          <w:sz w:val="24"/>
          <w:szCs w:val="24"/>
        </w:rPr>
        <w:t>第三十一条</w:t>
      </w:r>
      <w:r>
        <w:rPr>
          <w:rFonts w:asciiTheme="minorEastAsia" w:hAnsiTheme="minorEastAsia" w:eastAsiaTheme="minorEastAsia"/>
          <w:sz w:val="24"/>
          <w:szCs w:val="24"/>
        </w:rPr>
        <w:t xml:space="preserve">  </w:t>
      </w:r>
      <w:r>
        <w:rPr>
          <w:sz w:val="24"/>
          <w:szCs w:val="24"/>
        </w:rPr>
        <w:t>县级人民政府农业主管部门应当组织植物保护、农业技术推广等机构向农药使用者提供免费技术培训，提高农药安全、合理使用水平。</w:t>
      </w:r>
    </w:p>
    <w:p>
      <w:pPr>
        <w:pStyle w:val="3"/>
        <w:topLinePunct/>
        <w:spacing w:line="412" w:lineRule="exact"/>
        <w:ind w:firstLine="480"/>
        <w:rPr>
          <w:sz w:val="24"/>
          <w:szCs w:val="24"/>
        </w:rPr>
      </w:pPr>
      <w:r>
        <w:rPr>
          <w:sz w:val="24"/>
          <w:szCs w:val="24"/>
        </w:rPr>
        <w:t>国家鼓励农业科研单位、有关学校、农民专业合作社、供销合作社、农业社会化服务组织和专业人员为农药使用者提供技术服务。</w:t>
      </w:r>
    </w:p>
    <w:p>
      <w:pPr>
        <w:pStyle w:val="3"/>
        <w:topLinePunct/>
        <w:spacing w:line="412" w:lineRule="exact"/>
        <w:ind w:firstLine="482"/>
        <w:rPr>
          <w:sz w:val="24"/>
          <w:szCs w:val="24"/>
        </w:rPr>
      </w:pPr>
      <w:r>
        <w:rPr>
          <w:b/>
          <w:sz w:val="24"/>
          <w:szCs w:val="24"/>
        </w:rPr>
        <w:t>第三十二条</w:t>
      </w:r>
      <w:r>
        <w:rPr>
          <w:rFonts w:asciiTheme="minorEastAsia" w:hAnsiTheme="minorEastAsia" w:eastAsiaTheme="minorEastAsia"/>
          <w:sz w:val="24"/>
          <w:szCs w:val="24"/>
        </w:rPr>
        <w:t xml:space="preserve">  </w:t>
      </w:r>
      <w:r>
        <w:rPr>
          <w:sz w:val="24"/>
          <w:szCs w:val="24"/>
        </w:rPr>
        <w:t>国家通过推广生物防治、物理防治、先进施药器械等措施，逐步减少农药使用量。</w:t>
      </w:r>
    </w:p>
    <w:p>
      <w:pPr>
        <w:pStyle w:val="3"/>
        <w:topLinePunct/>
        <w:spacing w:line="412" w:lineRule="exact"/>
        <w:ind w:firstLine="480"/>
        <w:rPr>
          <w:sz w:val="24"/>
          <w:szCs w:val="24"/>
        </w:rPr>
      </w:pPr>
      <w:r>
        <w:rPr>
          <w:sz w:val="24"/>
          <w:szCs w:val="24"/>
        </w:rPr>
        <w:t>县级人民政府应当制定并组织实施本行政区域的农药减量计划；对实施农药减量计划、自愿减少农药使用量的农药使用者，给予鼓励和扶持。</w:t>
      </w:r>
    </w:p>
    <w:p>
      <w:pPr>
        <w:pStyle w:val="3"/>
        <w:topLinePunct/>
        <w:spacing w:line="412" w:lineRule="exact"/>
        <w:ind w:firstLine="480"/>
        <w:rPr>
          <w:sz w:val="24"/>
          <w:szCs w:val="24"/>
        </w:rPr>
      </w:pPr>
      <w:r>
        <w:rPr>
          <w:sz w:val="24"/>
          <w:szCs w:val="24"/>
        </w:rPr>
        <w:t>县级人民政府农业主管部门应当鼓励和扶持设立专业化病虫害防治服务组织，并对专业化病虫害防治和限制使用农药的配药、用药进行指导、规范和管理，提高病虫害防治水平。</w:t>
      </w:r>
    </w:p>
    <w:p>
      <w:pPr>
        <w:pStyle w:val="3"/>
        <w:topLinePunct/>
        <w:spacing w:line="412" w:lineRule="exact"/>
        <w:ind w:firstLine="480"/>
        <w:rPr>
          <w:sz w:val="24"/>
          <w:szCs w:val="24"/>
        </w:rPr>
      </w:pPr>
      <w:r>
        <w:rPr>
          <w:sz w:val="24"/>
          <w:szCs w:val="24"/>
        </w:rPr>
        <w:t>县级人民政府农业主管部门应当指导农药使用者有计划地轮换使用农药，减缓危害农业、林业的病、虫、草、鼠和其他有害生物的抗药性。</w:t>
      </w:r>
    </w:p>
    <w:p>
      <w:pPr>
        <w:pStyle w:val="3"/>
        <w:topLinePunct/>
        <w:spacing w:line="412" w:lineRule="exact"/>
        <w:ind w:firstLine="480"/>
        <w:rPr>
          <w:sz w:val="24"/>
          <w:szCs w:val="24"/>
        </w:rPr>
      </w:pPr>
      <w:r>
        <w:rPr>
          <w:sz w:val="24"/>
          <w:szCs w:val="24"/>
        </w:rPr>
        <w:t>乡、镇人民政府应当协助开展农药使用指导、服务工作。</w:t>
      </w:r>
    </w:p>
    <w:p>
      <w:pPr>
        <w:pStyle w:val="3"/>
        <w:topLinePunct/>
        <w:spacing w:line="412" w:lineRule="exact"/>
        <w:ind w:firstLine="482"/>
        <w:rPr>
          <w:sz w:val="24"/>
          <w:szCs w:val="24"/>
        </w:rPr>
      </w:pPr>
      <w:r>
        <w:rPr>
          <w:b/>
          <w:sz w:val="24"/>
          <w:szCs w:val="24"/>
        </w:rPr>
        <w:t>第三十三条</w:t>
      </w:r>
      <w:r>
        <w:rPr>
          <w:rFonts w:asciiTheme="minorEastAsia" w:hAnsiTheme="minorEastAsia" w:eastAsiaTheme="minorEastAsia"/>
          <w:sz w:val="24"/>
          <w:szCs w:val="24"/>
        </w:rPr>
        <w:t xml:space="preserve">  </w:t>
      </w:r>
      <w:r>
        <w:rPr>
          <w:sz w:val="24"/>
          <w:szCs w:val="24"/>
        </w:rPr>
        <w:t>农药使用者应当遵守国家有关农药安全、合理使用制度，妥善保管农药，并在配药、用药过程中采取必要的防护措施，避免发生农药使用事故。</w:t>
      </w:r>
    </w:p>
    <w:p>
      <w:pPr>
        <w:pStyle w:val="3"/>
        <w:topLinePunct/>
        <w:spacing w:line="412" w:lineRule="exact"/>
        <w:ind w:firstLine="480"/>
        <w:rPr>
          <w:sz w:val="24"/>
          <w:szCs w:val="24"/>
        </w:rPr>
      </w:pPr>
      <w:r>
        <w:rPr>
          <w:sz w:val="24"/>
          <w:szCs w:val="24"/>
        </w:rPr>
        <w:t>限制使用农药的经营者应当为农药使用者提供用药指导，并逐步提供统一用药服务。</w:t>
      </w:r>
    </w:p>
    <w:p>
      <w:pPr>
        <w:pStyle w:val="3"/>
        <w:topLinePunct/>
        <w:spacing w:line="412" w:lineRule="exact"/>
        <w:ind w:firstLine="482"/>
        <w:rPr>
          <w:sz w:val="24"/>
          <w:szCs w:val="24"/>
        </w:rPr>
      </w:pPr>
      <w:r>
        <w:rPr>
          <w:b/>
          <w:sz w:val="24"/>
          <w:szCs w:val="24"/>
        </w:rPr>
        <w:t>第三十四条</w:t>
      </w:r>
      <w:r>
        <w:rPr>
          <w:rFonts w:asciiTheme="minorEastAsia" w:hAnsiTheme="minorEastAsia" w:eastAsiaTheme="minorEastAsia"/>
          <w:sz w:val="24"/>
          <w:szCs w:val="24"/>
        </w:rPr>
        <w:t xml:space="preserve">  </w:t>
      </w:r>
      <w:r>
        <w:rPr>
          <w:sz w:val="24"/>
          <w:szCs w:val="24"/>
        </w:rPr>
        <w:t>农药使用者应当严格按照农药的标签标注的使用范围、使用方法和剂量、使用技术要求和注意事项使用农药，不得扩大使用范围、加大用药剂量或者改变使用方法。</w:t>
      </w:r>
    </w:p>
    <w:p>
      <w:pPr>
        <w:pStyle w:val="3"/>
        <w:topLinePunct/>
        <w:spacing w:line="412" w:lineRule="exact"/>
        <w:ind w:firstLine="480"/>
        <w:rPr>
          <w:sz w:val="24"/>
          <w:szCs w:val="24"/>
        </w:rPr>
      </w:pPr>
      <w:r>
        <w:rPr>
          <w:sz w:val="24"/>
          <w:szCs w:val="24"/>
        </w:rPr>
        <w:t>农药使用者不得使用禁用的农药。</w:t>
      </w:r>
    </w:p>
    <w:p>
      <w:pPr>
        <w:pStyle w:val="3"/>
        <w:topLinePunct/>
        <w:spacing w:line="412" w:lineRule="exact"/>
        <w:ind w:firstLine="480"/>
        <w:rPr>
          <w:sz w:val="24"/>
          <w:szCs w:val="24"/>
        </w:rPr>
      </w:pPr>
      <w:r>
        <w:rPr>
          <w:sz w:val="24"/>
          <w:szCs w:val="24"/>
        </w:rPr>
        <w:t>标签标注安全间隔期的农药，在农产品收获前应当按照安全间隔期的要求停止使用。</w:t>
      </w:r>
    </w:p>
    <w:p>
      <w:pPr>
        <w:pStyle w:val="3"/>
        <w:topLinePunct/>
        <w:spacing w:line="412" w:lineRule="exact"/>
        <w:ind w:firstLine="480"/>
        <w:rPr>
          <w:sz w:val="24"/>
          <w:szCs w:val="24"/>
        </w:rPr>
      </w:pPr>
      <w:r>
        <w:rPr>
          <w:sz w:val="24"/>
          <w:szCs w:val="24"/>
        </w:rPr>
        <w:t>剧毒、高毒农药不得用于防治卫生害虫，不得用于蔬菜、瓜果、茶叶、菌类、中草药材的生产，不得用于水生植物的病虫害防治。</w:t>
      </w:r>
    </w:p>
    <w:p>
      <w:pPr>
        <w:pStyle w:val="3"/>
        <w:topLinePunct/>
        <w:spacing w:line="412" w:lineRule="exact"/>
        <w:ind w:firstLine="482"/>
        <w:rPr>
          <w:sz w:val="24"/>
          <w:szCs w:val="24"/>
        </w:rPr>
      </w:pPr>
      <w:r>
        <w:rPr>
          <w:b/>
          <w:sz w:val="24"/>
          <w:szCs w:val="24"/>
        </w:rPr>
        <w:t>第三十五条</w:t>
      </w:r>
      <w:r>
        <w:rPr>
          <w:rFonts w:asciiTheme="minorEastAsia" w:hAnsiTheme="minorEastAsia" w:eastAsiaTheme="minorEastAsia"/>
          <w:sz w:val="24"/>
          <w:szCs w:val="24"/>
        </w:rPr>
        <w:t xml:space="preserve">  </w:t>
      </w:r>
      <w:r>
        <w:rPr>
          <w:sz w:val="24"/>
          <w:szCs w:val="24"/>
        </w:rPr>
        <w:t>农药使用者应当保护环境，保护有益生物和珍稀物种，不得在饮用水水源保护区、河道内丢弃农药、农药包装物或者清洗施药器械。</w:t>
      </w:r>
    </w:p>
    <w:p>
      <w:pPr>
        <w:pStyle w:val="3"/>
        <w:topLinePunct/>
        <w:spacing w:line="412" w:lineRule="exact"/>
        <w:ind w:firstLine="480"/>
        <w:rPr>
          <w:sz w:val="24"/>
          <w:szCs w:val="24"/>
        </w:rPr>
      </w:pPr>
      <w:r>
        <w:rPr>
          <w:sz w:val="24"/>
          <w:szCs w:val="24"/>
        </w:rPr>
        <w:t>严禁在饮用水水源保护区内使用农药，严禁使用农药毒鱼、虾、鸟、兽等。</w:t>
      </w:r>
    </w:p>
    <w:p>
      <w:pPr>
        <w:pStyle w:val="3"/>
        <w:topLinePunct/>
        <w:spacing w:line="412" w:lineRule="exact"/>
        <w:ind w:firstLine="482"/>
        <w:rPr>
          <w:sz w:val="24"/>
          <w:szCs w:val="24"/>
        </w:rPr>
      </w:pPr>
      <w:r>
        <w:rPr>
          <w:b/>
          <w:sz w:val="24"/>
          <w:szCs w:val="24"/>
        </w:rPr>
        <w:t>第三十六条</w:t>
      </w:r>
      <w:r>
        <w:rPr>
          <w:rFonts w:asciiTheme="minorEastAsia" w:hAnsiTheme="minorEastAsia" w:eastAsiaTheme="minorEastAsia"/>
          <w:sz w:val="24"/>
          <w:szCs w:val="24"/>
        </w:rPr>
        <w:t xml:space="preserve">  </w:t>
      </w:r>
      <w:r>
        <w:rPr>
          <w:sz w:val="24"/>
          <w:szCs w:val="24"/>
        </w:rPr>
        <w:t>农产品生产企业、食品和食用农产品仓储企业、专业化病虫害防治服务组织和从事农产品生产的农民专业合作社等应当建立农药使用记录，如实记录使用农药的时间、地点、对象以及农药名称、用量、生产企业等。农药使用记录应当保存2年以上。</w:t>
      </w:r>
    </w:p>
    <w:p>
      <w:pPr>
        <w:pStyle w:val="3"/>
        <w:topLinePunct/>
        <w:spacing w:line="412" w:lineRule="exact"/>
        <w:ind w:firstLine="480"/>
        <w:rPr>
          <w:sz w:val="24"/>
          <w:szCs w:val="24"/>
        </w:rPr>
      </w:pPr>
      <w:r>
        <w:rPr>
          <w:sz w:val="24"/>
          <w:szCs w:val="24"/>
        </w:rPr>
        <w:t>国家鼓励其他农药使用者建立农药使用记录。</w:t>
      </w:r>
    </w:p>
    <w:p>
      <w:pPr>
        <w:pStyle w:val="3"/>
        <w:topLinePunct/>
        <w:spacing w:line="412" w:lineRule="exact"/>
        <w:ind w:firstLine="482"/>
        <w:rPr>
          <w:sz w:val="24"/>
          <w:szCs w:val="24"/>
        </w:rPr>
      </w:pPr>
      <w:r>
        <w:rPr>
          <w:b/>
          <w:sz w:val="24"/>
          <w:szCs w:val="24"/>
        </w:rPr>
        <w:t>第三十七条</w:t>
      </w:r>
      <w:r>
        <w:rPr>
          <w:rFonts w:asciiTheme="minorEastAsia" w:hAnsiTheme="minorEastAsia" w:eastAsiaTheme="minorEastAsia"/>
          <w:sz w:val="24"/>
          <w:szCs w:val="24"/>
        </w:rPr>
        <w:t xml:space="preserve">  </w:t>
      </w:r>
      <w:r>
        <w:rPr>
          <w:sz w:val="24"/>
          <w:szCs w:val="24"/>
        </w:rPr>
        <w:t>国家鼓励农药使用者妥善收集农药包装物等废弃物；农药生产企业、农药经营者应当回收农药废弃物，防止农药污染环境和农药中毒事故的发生。具体办法由国务院环境保护主管部门会同国务院农业主管部门、国务院财政部门等部门制定。</w:t>
      </w:r>
    </w:p>
    <w:p>
      <w:pPr>
        <w:pStyle w:val="3"/>
        <w:topLinePunct/>
        <w:spacing w:line="412" w:lineRule="exact"/>
        <w:ind w:firstLine="482"/>
        <w:rPr>
          <w:sz w:val="24"/>
          <w:szCs w:val="24"/>
        </w:rPr>
      </w:pPr>
      <w:r>
        <w:rPr>
          <w:b/>
          <w:sz w:val="24"/>
          <w:szCs w:val="24"/>
        </w:rPr>
        <w:t>第三十八条</w:t>
      </w:r>
      <w:r>
        <w:rPr>
          <w:rFonts w:asciiTheme="minorEastAsia" w:hAnsiTheme="minorEastAsia" w:eastAsiaTheme="minorEastAsia"/>
          <w:sz w:val="24"/>
          <w:szCs w:val="24"/>
        </w:rPr>
        <w:t xml:space="preserve">  </w:t>
      </w:r>
      <w:r>
        <w:rPr>
          <w:sz w:val="24"/>
          <w:szCs w:val="24"/>
        </w:rPr>
        <w:t>发生农药使用事故，农药使用者、农药生产企业、农药经营者和其他有关人员应当及时报告当地农业主管部门。</w:t>
      </w:r>
    </w:p>
    <w:p>
      <w:pPr>
        <w:pStyle w:val="3"/>
        <w:topLinePunct/>
        <w:spacing w:line="412" w:lineRule="exact"/>
        <w:ind w:firstLine="480"/>
        <w:rPr>
          <w:sz w:val="24"/>
          <w:szCs w:val="24"/>
        </w:rPr>
      </w:pPr>
      <w:r>
        <w:rPr>
          <w:sz w:val="24"/>
          <w:szCs w:val="24"/>
        </w:rPr>
        <w:t>接到报告的农业主管部门应当立即采取措施，防止事故扩大，同时通知有关部门采取相应措施。造成农药中毒事故的，由农业主管部门和公安机关依照职责权限组织调查处理，卫生主管部门应当按照国家有关规定立即对受到伤害的人员组织医疗救治；造成环境污染事故的，由环境保护等有关部门依法组织调查处理；造成储粮药剂使用事故和农作物药害事故的，分别由粮食、农业等部门组织技术鉴定和调查处理。</w:t>
      </w:r>
    </w:p>
    <w:p>
      <w:pPr>
        <w:pStyle w:val="3"/>
        <w:topLinePunct/>
        <w:spacing w:line="412" w:lineRule="exact"/>
        <w:ind w:firstLine="482"/>
        <w:rPr>
          <w:sz w:val="24"/>
          <w:szCs w:val="24"/>
        </w:rPr>
      </w:pPr>
      <w:r>
        <w:rPr>
          <w:b/>
          <w:sz w:val="24"/>
          <w:szCs w:val="24"/>
        </w:rPr>
        <w:t>第三十九条</w:t>
      </w:r>
      <w:r>
        <w:rPr>
          <w:rFonts w:asciiTheme="minorEastAsia" w:hAnsiTheme="minorEastAsia" w:eastAsiaTheme="minorEastAsia"/>
          <w:sz w:val="24"/>
          <w:szCs w:val="24"/>
        </w:rPr>
        <w:t xml:space="preserve">  </w:t>
      </w:r>
      <w:r>
        <w:rPr>
          <w:sz w:val="24"/>
          <w:szCs w:val="24"/>
        </w:rPr>
        <w:t>因防治突发重大病虫害等紧急需要，国务院农业主管部门可以决定临时生产、使用规定数量的未取得登记或者禁用、限制使用的农药，必要时应当会同国务院对外贸易主管部门决定临时限制出口或者临时进口规定数量、品种的农药。</w:t>
      </w:r>
    </w:p>
    <w:p>
      <w:pPr>
        <w:pStyle w:val="3"/>
        <w:topLinePunct/>
        <w:spacing w:line="412" w:lineRule="exact"/>
        <w:ind w:firstLine="480"/>
        <w:rPr>
          <w:sz w:val="24"/>
          <w:szCs w:val="24"/>
        </w:rPr>
      </w:pPr>
      <w:r>
        <w:rPr>
          <w:sz w:val="24"/>
          <w:szCs w:val="24"/>
        </w:rPr>
        <w:t>前款规定的农药，应当在使用地县级人民政府农业主管部门的监督和指导下使用。</w:t>
      </w:r>
    </w:p>
    <w:p>
      <w:pPr>
        <w:pStyle w:val="63"/>
        <w:spacing w:before="218" w:after="218" w:line="412" w:lineRule="exact"/>
      </w:pPr>
      <w:r>
        <w:t>第六章  监督管理</w:t>
      </w:r>
    </w:p>
    <w:p>
      <w:pPr>
        <w:pStyle w:val="3"/>
        <w:topLinePunct/>
        <w:spacing w:line="412" w:lineRule="exact"/>
        <w:ind w:firstLine="482"/>
        <w:rPr>
          <w:sz w:val="24"/>
          <w:szCs w:val="24"/>
        </w:rPr>
      </w:pPr>
      <w:r>
        <w:rPr>
          <w:b/>
          <w:sz w:val="24"/>
          <w:szCs w:val="24"/>
        </w:rPr>
        <w:t>第四十条</w:t>
      </w:r>
      <w:r>
        <w:rPr>
          <w:rFonts w:asciiTheme="minorEastAsia" w:hAnsiTheme="minorEastAsia" w:eastAsiaTheme="minorEastAsia"/>
          <w:sz w:val="24"/>
          <w:szCs w:val="24"/>
        </w:rPr>
        <w:t xml:space="preserve">  </w:t>
      </w:r>
      <w:r>
        <w:rPr>
          <w:sz w:val="24"/>
          <w:szCs w:val="24"/>
        </w:rPr>
        <w:t>县级以上人民政府农业主管部门应当定期调查统计农药生产、销售、使用情况，并及时通报本级人民政府有关部门。</w:t>
      </w:r>
    </w:p>
    <w:p>
      <w:pPr>
        <w:pStyle w:val="3"/>
        <w:topLinePunct/>
        <w:spacing w:line="412" w:lineRule="exact"/>
        <w:ind w:firstLine="480"/>
        <w:rPr>
          <w:sz w:val="24"/>
          <w:szCs w:val="24"/>
        </w:rPr>
      </w:pPr>
      <w:r>
        <w:rPr>
          <w:sz w:val="24"/>
          <w:szCs w:val="24"/>
        </w:rPr>
        <w:t>县级以上地方人民政府农业主管部门应当建立农药生产、经营诚信档案并予以公布；发现违法生产、经营农药的行为涉嫌犯罪的，应当依法移送公安机关查处。</w:t>
      </w:r>
    </w:p>
    <w:p>
      <w:pPr>
        <w:pStyle w:val="3"/>
        <w:topLinePunct/>
        <w:spacing w:line="412" w:lineRule="exact"/>
        <w:ind w:firstLine="482"/>
        <w:rPr>
          <w:sz w:val="24"/>
          <w:szCs w:val="24"/>
        </w:rPr>
      </w:pPr>
      <w:r>
        <w:rPr>
          <w:b/>
          <w:sz w:val="24"/>
          <w:szCs w:val="24"/>
        </w:rPr>
        <w:t>第四十一条</w:t>
      </w:r>
      <w:r>
        <w:rPr>
          <w:rFonts w:asciiTheme="minorEastAsia" w:hAnsiTheme="minorEastAsia" w:eastAsiaTheme="minorEastAsia"/>
          <w:sz w:val="24"/>
          <w:szCs w:val="24"/>
        </w:rPr>
        <w:t xml:space="preserve">  </w:t>
      </w:r>
      <w:r>
        <w:rPr>
          <w:sz w:val="24"/>
          <w:szCs w:val="24"/>
        </w:rPr>
        <w:t>县级以上人民政府农业主管部门履行农药监督管理职责，可以依法采取下列措施：</w:t>
      </w:r>
    </w:p>
    <w:p>
      <w:pPr>
        <w:pStyle w:val="3"/>
        <w:topLinePunct/>
        <w:spacing w:line="412" w:lineRule="exact"/>
        <w:ind w:firstLine="480"/>
        <w:rPr>
          <w:sz w:val="24"/>
          <w:szCs w:val="24"/>
        </w:rPr>
      </w:pPr>
      <w:r>
        <w:rPr>
          <w:sz w:val="24"/>
          <w:szCs w:val="24"/>
        </w:rPr>
        <w:t>（一）进入农药生产、经营、使用场所实施现场检查；</w:t>
      </w:r>
    </w:p>
    <w:p>
      <w:pPr>
        <w:pStyle w:val="3"/>
        <w:topLinePunct/>
        <w:spacing w:line="412" w:lineRule="exact"/>
        <w:ind w:firstLine="480"/>
        <w:rPr>
          <w:sz w:val="24"/>
          <w:szCs w:val="24"/>
        </w:rPr>
      </w:pPr>
      <w:r>
        <w:rPr>
          <w:sz w:val="24"/>
          <w:szCs w:val="24"/>
        </w:rPr>
        <w:t>（二）对生产、经营、使用的农药实施抽查检测；</w:t>
      </w:r>
    </w:p>
    <w:p>
      <w:pPr>
        <w:pStyle w:val="3"/>
        <w:topLinePunct/>
        <w:spacing w:line="412" w:lineRule="exact"/>
        <w:ind w:firstLine="480"/>
        <w:rPr>
          <w:sz w:val="24"/>
          <w:szCs w:val="24"/>
        </w:rPr>
      </w:pPr>
      <w:r>
        <w:rPr>
          <w:sz w:val="24"/>
          <w:szCs w:val="24"/>
        </w:rPr>
        <w:t>（三）向有关人员调查了解有关情况；</w:t>
      </w:r>
    </w:p>
    <w:p>
      <w:pPr>
        <w:pStyle w:val="3"/>
        <w:topLinePunct/>
        <w:spacing w:line="412" w:lineRule="exact"/>
        <w:ind w:firstLine="480"/>
        <w:rPr>
          <w:sz w:val="24"/>
          <w:szCs w:val="24"/>
        </w:rPr>
      </w:pPr>
      <w:r>
        <w:rPr>
          <w:sz w:val="24"/>
          <w:szCs w:val="24"/>
        </w:rPr>
        <w:t>（四）查阅、复制合同、票据、账簿以及其他有关资料；</w:t>
      </w:r>
    </w:p>
    <w:p>
      <w:pPr>
        <w:pStyle w:val="3"/>
        <w:topLinePunct/>
        <w:spacing w:line="412" w:lineRule="exact"/>
        <w:ind w:firstLine="480"/>
        <w:rPr>
          <w:sz w:val="24"/>
          <w:szCs w:val="24"/>
        </w:rPr>
      </w:pPr>
      <w:r>
        <w:rPr>
          <w:sz w:val="24"/>
          <w:szCs w:val="24"/>
        </w:rPr>
        <w:t>（五）查封、扣押违法生产、经营、使用的农药，以及用于违法生产、经营、使用农药的工具、设备、原材料等；</w:t>
      </w:r>
    </w:p>
    <w:p>
      <w:pPr>
        <w:pStyle w:val="3"/>
        <w:topLinePunct/>
        <w:spacing w:line="412" w:lineRule="exact"/>
        <w:ind w:firstLine="480"/>
        <w:rPr>
          <w:sz w:val="24"/>
          <w:szCs w:val="24"/>
        </w:rPr>
      </w:pPr>
      <w:r>
        <w:rPr>
          <w:sz w:val="24"/>
          <w:szCs w:val="24"/>
        </w:rPr>
        <w:t>（六）查封违法生产、经营、使用农药的场所。</w:t>
      </w:r>
    </w:p>
    <w:p>
      <w:pPr>
        <w:pStyle w:val="3"/>
        <w:topLinePunct/>
        <w:spacing w:line="412" w:lineRule="exact"/>
        <w:ind w:firstLine="482"/>
        <w:rPr>
          <w:sz w:val="24"/>
          <w:szCs w:val="24"/>
        </w:rPr>
      </w:pPr>
      <w:r>
        <w:rPr>
          <w:b/>
          <w:sz w:val="24"/>
          <w:szCs w:val="24"/>
        </w:rPr>
        <w:t>第四十二条</w:t>
      </w:r>
      <w:r>
        <w:rPr>
          <w:rFonts w:asciiTheme="minorEastAsia" w:hAnsiTheme="minorEastAsia" w:eastAsiaTheme="minorEastAsia"/>
          <w:sz w:val="24"/>
          <w:szCs w:val="24"/>
        </w:rPr>
        <w:t xml:space="preserve">  </w:t>
      </w:r>
      <w:r>
        <w:rPr>
          <w:sz w:val="24"/>
          <w:szCs w:val="24"/>
        </w:rPr>
        <w:t>国家建立农药召回制度。农药生产企业发现其生产的农药对农业、林业、人畜安全、农产品质量安全、生态环境等有严重危害或者较大风险的，应当立即停止生产，通知有关经营者和使用者，向所在地农业主管部门报告，主动召回产品，并记录通知和召回情况。</w:t>
      </w:r>
    </w:p>
    <w:p>
      <w:pPr>
        <w:pStyle w:val="3"/>
        <w:topLinePunct/>
        <w:spacing w:line="412" w:lineRule="exact"/>
        <w:ind w:firstLine="480"/>
        <w:rPr>
          <w:sz w:val="24"/>
          <w:szCs w:val="24"/>
        </w:rPr>
      </w:pPr>
      <w:r>
        <w:rPr>
          <w:sz w:val="24"/>
          <w:szCs w:val="24"/>
        </w:rPr>
        <w:t>农药经营者发现其经营的农药有前款规定的情形的，应当立即停止销售，通知有关生产企业、供货人和购买人，向所在地农业主管部门报告，并记录停止销售和通知情况。</w:t>
      </w:r>
    </w:p>
    <w:p>
      <w:pPr>
        <w:pStyle w:val="3"/>
        <w:topLinePunct/>
        <w:spacing w:line="412" w:lineRule="exact"/>
        <w:ind w:firstLine="480"/>
        <w:rPr>
          <w:sz w:val="24"/>
          <w:szCs w:val="24"/>
        </w:rPr>
      </w:pPr>
      <w:r>
        <w:rPr>
          <w:sz w:val="24"/>
          <w:szCs w:val="24"/>
        </w:rPr>
        <w:t>农药使用者发现其使用的农药有本条第一款规定的情形的，应当立即停止使用，通知经营者，并向所在地农业主管部门报告。</w:t>
      </w:r>
    </w:p>
    <w:p>
      <w:pPr>
        <w:pStyle w:val="3"/>
        <w:topLinePunct/>
        <w:spacing w:line="412" w:lineRule="exact"/>
        <w:ind w:firstLine="482"/>
        <w:rPr>
          <w:sz w:val="24"/>
          <w:szCs w:val="24"/>
        </w:rPr>
      </w:pPr>
      <w:r>
        <w:rPr>
          <w:b/>
          <w:sz w:val="24"/>
          <w:szCs w:val="24"/>
        </w:rPr>
        <w:t>第四十三条</w:t>
      </w:r>
      <w:r>
        <w:rPr>
          <w:rFonts w:asciiTheme="minorEastAsia" w:hAnsiTheme="minorEastAsia" w:eastAsiaTheme="minorEastAsia"/>
          <w:sz w:val="24"/>
          <w:szCs w:val="24"/>
        </w:rPr>
        <w:t xml:space="preserve">  </w:t>
      </w:r>
      <w:r>
        <w:rPr>
          <w:sz w:val="24"/>
          <w:szCs w:val="24"/>
        </w:rPr>
        <w:t>国务院农业主管部门和省、自治区、直辖市人民政府农业主管部门应当组织负责农药检定工作的机构、植物保护机构对已登记农药的安全性和有效性进行监测。</w:t>
      </w:r>
    </w:p>
    <w:p>
      <w:pPr>
        <w:pStyle w:val="3"/>
        <w:topLinePunct/>
        <w:spacing w:line="412" w:lineRule="exact"/>
        <w:ind w:firstLine="480"/>
        <w:rPr>
          <w:sz w:val="24"/>
          <w:szCs w:val="24"/>
        </w:rPr>
      </w:pPr>
      <w:r>
        <w:rPr>
          <w:sz w:val="24"/>
          <w:szCs w:val="24"/>
        </w:rPr>
        <w:t>发现已登记农药对农业、林业、人畜安全、农产品质量安全、生态环境等有严重危害或者较大风险的，国务院农业主管部门应当组织农药登记评审委员会进行评审，根据评审结果撤销、变更相应的农药登记证，必要时应当决定禁用或者限制使用并予以公告。</w:t>
      </w:r>
    </w:p>
    <w:p>
      <w:pPr>
        <w:pStyle w:val="3"/>
        <w:topLinePunct/>
        <w:spacing w:line="412" w:lineRule="exact"/>
        <w:ind w:firstLine="482"/>
        <w:rPr>
          <w:sz w:val="24"/>
          <w:szCs w:val="24"/>
        </w:rPr>
      </w:pPr>
      <w:r>
        <w:rPr>
          <w:b/>
          <w:sz w:val="24"/>
          <w:szCs w:val="24"/>
        </w:rPr>
        <w:t>第四十四条</w:t>
      </w:r>
      <w:r>
        <w:rPr>
          <w:rFonts w:asciiTheme="minorEastAsia" w:hAnsiTheme="minorEastAsia" w:eastAsiaTheme="minorEastAsia"/>
          <w:sz w:val="24"/>
          <w:szCs w:val="24"/>
        </w:rPr>
        <w:t xml:space="preserve">  </w:t>
      </w:r>
      <w:r>
        <w:rPr>
          <w:sz w:val="24"/>
          <w:szCs w:val="24"/>
        </w:rPr>
        <w:t>有下列情形之一的，认定为假农药：</w:t>
      </w:r>
    </w:p>
    <w:p>
      <w:pPr>
        <w:pStyle w:val="3"/>
        <w:topLinePunct/>
        <w:spacing w:line="412" w:lineRule="exact"/>
        <w:ind w:firstLine="480"/>
        <w:rPr>
          <w:sz w:val="24"/>
          <w:szCs w:val="24"/>
        </w:rPr>
      </w:pPr>
      <w:r>
        <w:rPr>
          <w:sz w:val="24"/>
          <w:szCs w:val="24"/>
        </w:rPr>
        <w:t>（一）以非农药冒充农药；</w:t>
      </w:r>
    </w:p>
    <w:p>
      <w:pPr>
        <w:pStyle w:val="3"/>
        <w:topLinePunct/>
        <w:spacing w:line="412" w:lineRule="exact"/>
        <w:ind w:firstLine="480"/>
        <w:rPr>
          <w:sz w:val="24"/>
          <w:szCs w:val="24"/>
        </w:rPr>
      </w:pPr>
      <w:r>
        <w:rPr>
          <w:sz w:val="24"/>
          <w:szCs w:val="24"/>
        </w:rPr>
        <w:t>（二）以此种农药冒充他种农药；</w:t>
      </w:r>
    </w:p>
    <w:p>
      <w:pPr>
        <w:pStyle w:val="3"/>
        <w:topLinePunct/>
        <w:spacing w:line="412" w:lineRule="exact"/>
        <w:ind w:firstLine="480"/>
        <w:rPr>
          <w:sz w:val="24"/>
          <w:szCs w:val="24"/>
        </w:rPr>
      </w:pPr>
      <w:r>
        <w:rPr>
          <w:sz w:val="24"/>
          <w:szCs w:val="24"/>
        </w:rPr>
        <w:t>（三）农药所含有效成分种类与农药的标签、说明书标注的有效成分不符。</w:t>
      </w:r>
    </w:p>
    <w:p>
      <w:pPr>
        <w:pStyle w:val="3"/>
        <w:topLinePunct/>
        <w:spacing w:line="412" w:lineRule="exact"/>
        <w:ind w:firstLine="480"/>
        <w:rPr>
          <w:sz w:val="24"/>
          <w:szCs w:val="24"/>
        </w:rPr>
      </w:pPr>
      <w:r>
        <w:rPr>
          <w:sz w:val="24"/>
          <w:szCs w:val="24"/>
        </w:rPr>
        <w:t>禁用的农药，未依法取得农药登记证而生产、进口的农药，以及未附具标签的农药，按照假农药处理。</w:t>
      </w:r>
    </w:p>
    <w:p>
      <w:pPr>
        <w:pStyle w:val="3"/>
        <w:topLinePunct/>
        <w:spacing w:line="412" w:lineRule="exact"/>
        <w:ind w:firstLine="482"/>
        <w:rPr>
          <w:sz w:val="24"/>
          <w:szCs w:val="24"/>
        </w:rPr>
      </w:pPr>
      <w:r>
        <w:rPr>
          <w:b/>
          <w:sz w:val="24"/>
          <w:szCs w:val="24"/>
        </w:rPr>
        <w:t>第四十五条</w:t>
      </w:r>
      <w:r>
        <w:rPr>
          <w:rFonts w:asciiTheme="minorEastAsia" w:hAnsiTheme="minorEastAsia" w:eastAsiaTheme="minorEastAsia"/>
          <w:sz w:val="24"/>
          <w:szCs w:val="24"/>
        </w:rPr>
        <w:t xml:space="preserve">  </w:t>
      </w:r>
      <w:r>
        <w:rPr>
          <w:sz w:val="24"/>
          <w:szCs w:val="24"/>
        </w:rPr>
        <w:t>有下列情形之一的，认定为劣质农药：</w:t>
      </w:r>
    </w:p>
    <w:p>
      <w:pPr>
        <w:pStyle w:val="3"/>
        <w:topLinePunct/>
        <w:spacing w:line="412" w:lineRule="exact"/>
        <w:ind w:firstLine="480"/>
        <w:rPr>
          <w:sz w:val="24"/>
          <w:szCs w:val="24"/>
        </w:rPr>
      </w:pPr>
      <w:r>
        <w:rPr>
          <w:sz w:val="24"/>
          <w:szCs w:val="24"/>
        </w:rPr>
        <w:t>（一）不符合农药产品质量标准；</w:t>
      </w:r>
    </w:p>
    <w:p>
      <w:pPr>
        <w:pStyle w:val="3"/>
        <w:topLinePunct/>
        <w:spacing w:line="412" w:lineRule="exact"/>
        <w:ind w:firstLine="480"/>
        <w:rPr>
          <w:sz w:val="24"/>
          <w:szCs w:val="24"/>
        </w:rPr>
      </w:pPr>
      <w:r>
        <w:rPr>
          <w:sz w:val="24"/>
          <w:szCs w:val="24"/>
        </w:rPr>
        <w:t>（二）混有导致药害等有害成分。</w:t>
      </w:r>
    </w:p>
    <w:p>
      <w:pPr>
        <w:pStyle w:val="3"/>
        <w:topLinePunct/>
        <w:spacing w:line="412" w:lineRule="exact"/>
        <w:ind w:firstLine="480"/>
        <w:rPr>
          <w:sz w:val="24"/>
          <w:szCs w:val="24"/>
        </w:rPr>
      </w:pPr>
      <w:r>
        <w:rPr>
          <w:sz w:val="24"/>
          <w:szCs w:val="24"/>
        </w:rPr>
        <w:t>超过农药质量保证期的农药，按照劣质农药处理。</w:t>
      </w:r>
    </w:p>
    <w:p>
      <w:pPr>
        <w:pStyle w:val="3"/>
        <w:topLinePunct/>
        <w:spacing w:line="412" w:lineRule="exact"/>
        <w:ind w:firstLine="482"/>
        <w:rPr>
          <w:sz w:val="24"/>
          <w:szCs w:val="24"/>
        </w:rPr>
      </w:pPr>
      <w:r>
        <w:rPr>
          <w:b/>
          <w:sz w:val="24"/>
          <w:szCs w:val="24"/>
        </w:rPr>
        <w:t>第四十六条</w:t>
      </w:r>
      <w:r>
        <w:rPr>
          <w:rFonts w:asciiTheme="minorEastAsia" w:hAnsiTheme="minorEastAsia" w:eastAsiaTheme="minorEastAsia"/>
          <w:sz w:val="24"/>
          <w:szCs w:val="24"/>
        </w:rPr>
        <w:t xml:space="preserve">  </w:t>
      </w:r>
      <w:r>
        <w:rPr>
          <w:sz w:val="24"/>
          <w:szCs w:val="24"/>
        </w:rPr>
        <w:t>假农药、劣质农药和回收的农药废弃物等应当交由具有危险废物经营资质的单位集中处置，处置费用由相应的农药生产企业、农药经营者承担；农药生产企业、农药经营者不明确的，处置费用由所在地县级人民政府财政列支。</w:t>
      </w:r>
    </w:p>
    <w:p>
      <w:pPr>
        <w:pStyle w:val="3"/>
        <w:topLinePunct/>
        <w:spacing w:line="412" w:lineRule="exact"/>
        <w:ind w:firstLine="482"/>
        <w:rPr>
          <w:sz w:val="24"/>
          <w:szCs w:val="24"/>
        </w:rPr>
      </w:pPr>
      <w:r>
        <w:rPr>
          <w:b/>
          <w:sz w:val="24"/>
          <w:szCs w:val="24"/>
        </w:rPr>
        <w:t>第四十七条</w:t>
      </w:r>
      <w:r>
        <w:rPr>
          <w:rFonts w:asciiTheme="minorEastAsia" w:hAnsiTheme="minorEastAsia" w:eastAsiaTheme="minorEastAsia"/>
          <w:sz w:val="24"/>
          <w:szCs w:val="24"/>
        </w:rPr>
        <w:t xml:space="preserve">  </w:t>
      </w:r>
      <w:r>
        <w:rPr>
          <w:sz w:val="24"/>
          <w:szCs w:val="24"/>
        </w:rPr>
        <w:t>禁止伪造、变造、转让、出租、出借农药登记证、农药生产许可证、农药经营许可证等许可证明文件。</w:t>
      </w:r>
    </w:p>
    <w:p>
      <w:pPr>
        <w:pStyle w:val="3"/>
        <w:topLinePunct/>
        <w:spacing w:line="412" w:lineRule="exact"/>
        <w:ind w:firstLine="482"/>
        <w:rPr>
          <w:sz w:val="24"/>
          <w:szCs w:val="24"/>
        </w:rPr>
      </w:pPr>
      <w:r>
        <w:rPr>
          <w:b/>
          <w:sz w:val="24"/>
          <w:szCs w:val="24"/>
        </w:rPr>
        <w:t>第四十八条</w:t>
      </w:r>
      <w:r>
        <w:rPr>
          <w:rFonts w:asciiTheme="minorEastAsia" w:hAnsiTheme="minorEastAsia" w:eastAsiaTheme="minorEastAsia"/>
          <w:sz w:val="24"/>
          <w:szCs w:val="24"/>
        </w:rPr>
        <w:t xml:space="preserve">  </w:t>
      </w:r>
      <w:r>
        <w:rPr>
          <w:sz w:val="24"/>
          <w:szCs w:val="24"/>
        </w:rPr>
        <w:t>县级以上人民政府农业主管部门及其工作人员和负责农药检定工作的机构及其工作人员，不得参与农药生产、经营活动。</w:t>
      </w:r>
    </w:p>
    <w:p>
      <w:pPr>
        <w:pStyle w:val="63"/>
        <w:spacing w:before="218" w:after="218" w:line="412" w:lineRule="exact"/>
      </w:pPr>
      <w:r>
        <w:t>第七章  法律责任</w:t>
      </w:r>
    </w:p>
    <w:p>
      <w:pPr>
        <w:pStyle w:val="3"/>
        <w:topLinePunct/>
        <w:spacing w:line="412" w:lineRule="exact"/>
        <w:ind w:firstLine="482"/>
        <w:rPr>
          <w:sz w:val="24"/>
          <w:szCs w:val="24"/>
        </w:rPr>
      </w:pPr>
      <w:r>
        <w:rPr>
          <w:b/>
          <w:sz w:val="24"/>
          <w:szCs w:val="24"/>
        </w:rPr>
        <w:t>第四十九条</w:t>
      </w:r>
      <w:r>
        <w:rPr>
          <w:rFonts w:asciiTheme="minorEastAsia" w:hAnsiTheme="minorEastAsia" w:eastAsiaTheme="minorEastAsia"/>
          <w:sz w:val="24"/>
          <w:szCs w:val="24"/>
        </w:rPr>
        <w:t xml:space="preserve">  </w:t>
      </w:r>
      <w:r>
        <w:rPr>
          <w:sz w:val="24"/>
          <w:szCs w:val="24"/>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pStyle w:val="3"/>
        <w:topLinePunct/>
        <w:spacing w:line="412" w:lineRule="exact"/>
        <w:ind w:firstLine="480"/>
        <w:rPr>
          <w:sz w:val="24"/>
          <w:szCs w:val="24"/>
        </w:rPr>
      </w:pPr>
      <w:r>
        <w:rPr>
          <w:sz w:val="24"/>
          <w:szCs w:val="24"/>
        </w:rPr>
        <w:t>（一）不履行监督管理职责，所辖行政区域的违法农药生产、经营活动造成重大损失或者恶劣社会影响；</w:t>
      </w:r>
    </w:p>
    <w:p>
      <w:pPr>
        <w:pStyle w:val="3"/>
        <w:topLinePunct/>
        <w:spacing w:line="412" w:lineRule="exact"/>
        <w:ind w:firstLine="480"/>
        <w:rPr>
          <w:sz w:val="24"/>
          <w:szCs w:val="24"/>
        </w:rPr>
      </w:pPr>
      <w:r>
        <w:rPr>
          <w:sz w:val="24"/>
          <w:szCs w:val="24"/>
        </w:rPr>
        <w:t>（二）对不符合条件的申请人准予许可或者对符合条件的申请人拒不准予许可；</w:t>
      </w:r>
    </w:p>
    <w:p>
      <w:pPr>
        <w:pStyle w:val="3"/>
        <w:topLinePunct/>
        <w:spacing w:line="412" w:lineRule="exact"/>
        <w:ind w:firstLine="480"/>
        <w:rPr>
          <w:sz w:val="24"/>
          <w:szCs w:val="24"/>
        </w:rPr>
      </w:pPr>
      <w:r>
        <w:rPr>
          <w:sz w:val="24"/>
          <w:szCs w:val="24"/>
        </w:rPr>
        <w:t>（三）参与农药生产、经营活动；</w:t>
      </w:r>
    </w:p>
    <w:p>
      <w:pPr>
        <w:pStyle w:val="3"/>
        <w:topLinePunct/>
        <w:spacing w:line="412" w:lineRule="exact"/>
        <w:ind w:firstLine="480"/>
        <w:rPr>
          <w:sz w:val="24"/>
          <w:szCs w:val="24"/>
        </w:rPr>
      </w:pPr>
      <w:r>
        <w:rPr>
          <w:sz w:val="24"/>
          <w:szCs w:val="24"/>
        </w:rPr>
        <w:t>（四）有其他徇私舞弊、滥用职权、玩忽职守行为。</w:t>
      </w:r>
    </w:p>
    <w:p>
      <w:pPr>
        <w:pStyle w:val="3"/>
        <w:topLinePunct/>
        <w:spacing w:line="412" w:lineRule="exact"/>
        <w:ind w:firstLine="482"/>
        <w:rPr>
          <w:sz w:val="24"/>
          <w:szCs w:val="24"/>
        </w:rPr>
      </w:pPr>
      <w:r>
        <w:rPr>
          <w:b/>
          <w:sz w:val="24"/>
          <w:szCs w:val="24"/>
        </w:rPr>
        <w:t>第五十条</w:t>
      </w:r>
      <w:r>
        <w:rPr>
          <w:rFonts w:asciiTheme="minorEastAsia" w:hAnsiTheme="minorEastAsia" w:eastAsiaTheme="minorEastAsia"/>
          <w:sz w:val="24"/>
          <w:szCs w:val="24"/>
        </w:rPr>
        <w:t xml:space="preserve">  </w:t>
      </w:r>
      <w:r>
        <w:rPr>
          <w:sz w:val="24"/>
          <w:szCs w:val="24"/>
        </w:rPr>
        <w:t>农药登记评审委员会组成人员在农药登记评审中谋取不正当利益的，由国务院农业主管部门从农药登记评审委员会除名；属于国家工作人员的，依法给予处分；构成犯罪的，依法追究刑事责任。</w:t>
      </w:r>
    </w:p>
    <w:p>
      <w:pPr>
        <w:pStyle w:val="3"/>
        <w:topLinePunct/>
        <w:spacing w:line="412" w:lineRule="exact"/>
        <w:ind w:firstLine="482"/>
        <w:rPr>
          <w:sz w:val="24"/>
          <w:szCs w:val="24"/>
        </w:rPr>
      </w:pPr>
      <w:r>
        <w:rPr>
          <w:b/>
          <w:sz w:val="24"/>
          <w:szCs w:val="24"/>
        </w:rPr>
        <w:t>第五十一条</w:t>
      </w:r>
      <w:r>
        <w:rPr>
          <w:rFonts w:asciiTheme="minorEastAsia" w:hAnsiTheme="minorEastAsia" w:eastAsiaTheme="minorEastAsia"/>
          <w:sz w:val="24"/>
          <w:szCs w:val="24"/>
        </w:rPr>
        <w:t xml:space="preserve">  </w:t>
      </w:r>
      <w:r>
        <w:rPr>
          <w:sz w:val="24"/>
          <w:szCs w:val="24"/>
        </w:rPr>
        <w:t>登记试验单位出具虚假登记试验报告的，由省、自治区、直辖市人民政府农业主管部门没收违法所得，并处5万元以上10万元以下罚款；由国务院农业主管部门从登记试验单位中除名，5年内不再受理其登记试验单位认定申请；构成犯罪的，依法追究刑事责任。</w:t>
      </w:r>
    </w:p>
    <w:p>
      <w:pPr>
        <w:pStyle w:val="3"/>
        <w:topLinePunct/>
        <w:spacing w:line="412" w:lineRule="exact"/>
        <w:ind w:firstLine="482"/>
        <w:rPr>
          <w:sz w:val="24"/>
          <w:szCs w:val="24"/>
        </w:rPr>
      </w:pPr>
      <w:r>
        <w:rPr>
          <w:b/>
          <w:sz w:val="24"/>
          <w:szCs w:val="24"/>
        </w:rPr>
        <w:t>第五十二条</w:t>
      </w:r>
      <w:r>
        <w:rPr>
          <w:rFonts w:asciiTheme="minorEastAsia" w:hAnsiTheme="minorEastAsia" w:eastAsiaTheme="minorEastAsia"/>
          <w:sz w:val="24"/>
          <w:szCs w:val="24"/>
        </w:rPr>
        <w:t xml:space="preserve">  </w:t>
      </w:r>
      <w:r>
        <w:rPr>
          <w:sz w:val="24"/>
          <w:szCs w:val="24"/>
        </w:rPr>
        <w:t>未取得农药生产许可证生产农药或者生产假农药的，由县级以上地方人民政府农业主管部门责令停止生产，没收违法所得、违法生产的产品和用于违法生产的工具、设备、原材料等，违法生产的产品货值金额不足1万元的，并处5万元以上10万元以下罚款，货值金额1万元以上的，并处货值金额10倍以上20倍以下罚款，由发证机关吊销农药生产许可证和相应的农药登记证；构成犯罪的，依法追究刑事责任。</w:t>
      </w:r>
    </w:p>
    <w:p>
      <w:pPr>
        <w:pStyle w:val="3"/>
        <w:topLinePunct/>
        <w:spacing w:line="412" w:lineRule="exact"/>
        <w:ind w:firstLine="480"/>
        <w:rPr>
          <w:sz w:val="24"/>
          <w:szCs w:val="24"/>
        </w:rPr>
      </w:pPr>
      <w:r>
        <w:rPr>
          <w:sz w:val="24"/>
          <w:szCs w:val="24"/>
        </w:rPr>
        <w:t>取得农药生产许可证的农药生产企业不再符合规定条件继续生产农药的，由县级以上地方人民政府农业主管部门责令限期整改；逾期拒不整改或者整改后仍不符合规定条件的，由发证机关吊销农药生产许可证。</w:t>
      </w:r>
    </w:p>
    <w:p>
      <w:pPr>
        <w:pStyle w:val="3"/>
        <w:topLinePunct/>
        <w:spacing w:line="412" w:lineRule="exact"/>
        <w:ind w:firstLine="480"/>
        <w:rPr>
          <w:sz w:val="24"/>
          <w:szCs w:val="24"/>
        </w:rPr>
      </w:pPr>
      <w:r>
        <w:rPr>
          <w:sz w:val="24"/>
          <w:szCs w:val="24"/>
        </w:rPr>
        <w:t>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p>
      <w:pPr>
        <w:pStyle w:val="3"/>
        <w:topLinePunct/>
        <w:spacing w:line="412" w:lineRule="exact"/>
        <w:ind w:firstLine="480"/>
        <w:rPr>
          <w:sz w:val="24"/>
          <w:szCs w:val="24"/>
        </w:rPr>
      </w:pPr>
      <w:r>
        <w:rPr>
          <w:sz w:val="24"/>
          <w:szCs w:val="24"/>
        </w:rPr>
        <w:t>委托未取得农药生产许可证的受托人加工、分装农药，或者委托加工、分装假农药、劣质农药的，对委托人和受托人均依照本条第一款、第三款的规定处罚。</w:t>
      </w:r>
    </w:p>
    <w:p>
      <w:pPr>
        <w:pStyle w:val="3"/>
        <w:topLinePunct/>
        <w:spacing w:line="412" w:lineRule="exact"/>
        <w:ind w:firstLine="482"/>
        <w:rPr>
          <w:sz w:val="24"/>
          <w:szCs w:val="24"/>
        </w:rPr>
      </w:pPr>
      <w:r>
        <w:rPr>
          <w:b/>
          <w:sz w:val="24"/>
          <w:szCs w:val="24"/>
        </w:rPr>
        <w:t>第五十三条</w:t>
      </w:r>
      <w:r>
        <w:rPr>
          <w:rFonts w:asciiTheme="minorEastAsia" w:hAnsiTheme="minorEastAsia" w:eastAsiaTheme="minorEastAsia"/>
          <w:sz w:val="24"/>
          <w:szCs w:val="24"/>
        </w:rPr>
        <w:t xml:space="preserve">  </w:t>
      </w:r>
      <w:r>
        <w:rPr>
          <w:sz w:val="24"/>
          <w:szCs w:val="24"/>
        </w:rPr>
        <w:t>农药生产企业有下列行为之一的，由县级以上地方人民政府农业主管部门责令改正，没收违法所得、违法生产的产品和用于违法生产的原材料等，违法生产的产品货值金额不足1万元的，并处1万元以上2万元以下罚款，货值金额1万元以上的，并处货值金额2倍以上5倍以下罚款；拒不改正或者情节严重的，由发证机关吊销农药生产许可证和相应的农药登记证：</w:t>
      </w:r>
    </w:p>
    <w:p>
      <w:pPr>
        <w:pStyle w:val="3"/>
        <w:topLinePunct/>
        <w:spacing w:line="412" w:lineRule="exact"/>
        <w:ind w:firstLine="480"/>
        <w:rPr>
          <w:sz w:val="24"/>
          <w:szCs w:val="24"/>
        </w:rPr>
      </w:pPr>
      <w:r>
        <w:rPr>
          <w:sz w:val="24"/>
          <w:szCs w:val="24"/>
        </w:rPr>
        <w:t>（一）采购、使用未依法附具产品质量检验合格证、未依法取得有关许可证明文件的原材料；</w:t>
      </w:r>
    </w:p>
    <w:p>
      <w:pPr>
        <w:pStyle w:val="3"/>
        <w:topLinePunct/>
        <w:spacing w:line="412" w:lineRule="exact"/>
        <w:ind w:firstLine="480"/>
        <w:rPr>
          <w:sz w:val="24"/>
          <w:szCs w:val="24"/>
        </w:rPr>
      </w:pPr>
      <w:r>
        <w:rPr>
          <w:sz w:val="24"/>
          <w:szCs w:val="24"/>
        </w:rPr>
        <w:t>（二）出厂销售未经质量检验合格并附具产品质量检验合格证的农药；</w:t>
      </w:r>
    </w:p>
    <w:p>
      <w:pPr>
        <w:pStyle w:val="3"/>
        <w:topLinePunct/>
        <w:spacing w:line="412" w:lineRule="exact"/>
        <w:ind w:firstLine="480"/>
        <w:rPr>
          <w:sz w:val="24"/>
          <w:szCs w:val="24"/>
        </w:rPr>
      </w:pPr>
      <w:r>
        <w:rPr>
          <w:sz w:val="24"/>
          <w:szCs w:val="24"/>
        </w:rPr>
        <w:t>（三）生产的农药包装、标签、说明书不符合规定；</w:t>
      </w:r>
    </w:p>
    <w:p>
      <w:pPr>
        <w:pStyle w:val="3"/>
        <w:topLinePunct/>
        <w:spacing w:line="412" w:lineRule="exact"/>
        <w:ind w:firstLine="480"/>
        <w:rPr>
          <w:sz w:val="24"/>
          <w:szCs w:val="24"/>
        </w:rPr>
      </w:pPr>
      <w:r>
        <w:rPr>
          <w:sz w:val="24"/>
          <w:szCs w:val="24"/>
        </w:rPr>
        <w:t>（四）不召回依法应当召回的农药。</w:t>
      </w:r>
    </w:p>
    <w:p>
      <w:pPr>
        <w:pStyle w:val="3"/>
        <w:topLinePunct/>
        <w:spacing w:line="412" w:lineRule="exact"/>
        <w:ind w:firstLine="482"/>
        <w:rPr>
          <w:sz w:val="24"/>
          <w:szCs w:val="24"/>
        </w:rPr>
      </w:pPr>
      <w:r>
        <w:rPr>
          <w:b/>
          <w:sz w:val="24"/>
          <w:szCs w:val="24"/>
        </w:rPr>
        <w:t>第五十四条</w:t>
      </w:r>
      <w:r>
        <w:rPr>
          <w:rFonts w:asciiTheme="minorEastAsia" w:hAnsiTheme="minorEastAsia" w:eastAsiaTheme="minorEastAsia"/>
          <w:sz w:val="24"/>
          <w:szCs w:val="24"/>
        </w:rPr>
        <w:t xml:space="preserve">  </w:t>
      </w:r>
      <w:r>
        <w:rPr>
          <w:sz w:val="24"/>
          <w:szCs w:val="24"/>
        </w:rPr>
        <w:t>农药生产企业不执行原材料进货、农药出厂销售记录制度，或者不履行农药废弃物回收义务的，由县级以上地方人民政府农业主管部门责令改正，处1万元以上5万元以下罚款；拒不改正或者情节严重的，由发证机关吊销农药生产许可证和相应的农药登记证。</w:t>
      </w:r>
    </w:p>
    <w:p>
      <w:pPr>
        <w:pStyle w:val="3"/>
        <w:topLinePunct/>
        <w:spacing w:line="412" w:lineRule="exact"/>
        <w:ind w:firstLine="482"/>
        <w:rPr>
          <w:sz w:val="24"/>
          <w:szCs w:val="24"/>
        </w:rPr>
      </w:pPr>
      <w:r>
        <w:rPr>
          <w:b/>
          <w:sz w:val="24"/>
          <w:szCs w:val="24"/>
        </w:rPr>
        <w:t>第五十五条</w:t>
      </w:r>
      <w:r>
        <w:rPr>
          <w:rFonts w:asciiTheme="minorEastAsia" w:hAnsiTheme="minorEastAsia" w:eastAsiaTheme="minorEastAsia"/>
          <w:sz w:val="24"/>
          <w:szCs w:val="24"/>
        </w:rPr>
        <w:t xml:space="preserve">  </w:t>
      </w:r>
      <w:r>
        <w:rPr>
          <w:sz w:val="24"/>
          <w:szCs w:val="24"/>
        </w:rPr>
        <w:t>农药经营者有下列行为之一的，由县级以上地方人民政府农业主管部门责令停止经营，没收违法所得、违法经营的农药和用于违法经营的工具、设备等，违法经营的农药货值金额不足1万元的，并处5000元以上5万元以下罚款，货值金额1万元以上的，并处货值金额5倍以上10倍以下罚款；构成犯罪的，依法追究刑事责任：</w:t>
      </w:r>
    </w:p>
    <w:p>
      <w:pPr>
        <w:pStyle w:val="3"/>
        <w:topLinePunct/>
        <w:spacing w:line="412" w:lineRule="exact"/>
        <w:ind w:firstLine="480"/>
        <w:rPr>
          <w:sz w:val="24"/>
          <w:szCs w:val="24"/>
        </w:rPr>
      </w:pPr>
      <w:r>
        <w:rPr>
          <w:sz w:val="24"/>
          <w:szCs w:val="24"/>
        </w:rPr>
        <w:t>（一）违反本条例规定，未取得农药经营许可证经营农药；</w:t>
      </w:r>
    </w:p>
    <w:p>
      <w:pPr>
        <w:pStyle w:val="3"/>
        <w:topLinePunct/>
        <w:spacing w:line="412" w:lineRule="exact"/>
        <w:ind w:firstLine="480"/>
        <w:rPr>
          <w:sz w:val="24"/>
          <w:szCs w:val="24"/>
        </w:rPr>
      </w:pPr>
      <w:r>
        <w:rPr>
          <w:sz w:val="24"/>
          <w:szCs w:val="24"/>
        </w:rPr>
        <w:t>（二）经营假农药；</w:t>
      </w:r>
    </w:p>
    <w:p>
      <w:pPr>
        <w:pStyle w:val="3"/>
        <w:topLinePunct/>
        <w:spacing w:line="412" w:lineRule="exact"/>
        <w:ind w:firstLine="480"/>
        <w:rPr>
          <w:sz w:val="24"/>
          <w:szCs w:val="24"/>
        </w:rPr>
      </w:pPr>
      <w:r>
        <w:rPr>
          <w:sz w:val="24"/>
          <w:szCs w:val="24"/>
        </w:rPr>
        <w:t>（三）在农药中添加物质。</w:t>
      </w:r>
    </w:p>
    <w:p>
      <w:pPr>
        <w:pStyle w:val="3"/>
        <w:topLinePunct/>
        <w:spacing w:line="412" w:lineRule="exact"/>
        <w:ind w:firstLine="480"/>
        <w:rPr>
          <w:sz w:val="24"/>
          <w:szCs w:val="24"/>
        </w:rPr>
      </w:pPr>
      <w:r>
        <w:rPr>
          <w:sz w:val="24"/>
          <w:szCs w:val="24"/>
        </w:rPr>
        <w:t>有前款第二项、第三项规定的行为，情节严重的，还应当由发证机关吊销农药经营许可证。</w:t>
      </w:r>
    </w:p>
    <w:p>
      <w:pPr>
        <w:pStyle w:val="3"/>
        <w:topLinePunct/>
        <w:spacing w:line="412" w:lineRule="exact"/>
        <w:ind w:firstLine="480"/>
        <w:rPr>
          <w:sz w:val="24"/>
          <w:szCs w:val="24"/>
        </w:rPr>
      </w:pPr>
      <w:r>
        <w:rPr>
          <w:sz w:val="24"/>
          <w:szCs w:val="24"/>
        </w:rPr>
        <w:t>取得农药经营许可证的农药经营者不再符合规定条件继续经营农药的，由县级以上地方人民政府农业主管部门责令限期整改；逾期拒不整改或者整改后仍不符合规定条件的，由发证机关吊销农药经营许可证。</w:t>
      </w:r>
    </w:p>
    <w:p>
      <w:pPr>
        <w:pStyle w:val="3"/>
        <w:topLinePunct/>
        <w:spacing w:line="412" w:lineRule="exact"/>
        <w:ind w:firstLine="482"/>
        <w:rPr>
          <w:sz w:val="24"/>
          <w:szCs w:val="24"/>
        </w:rPr>
      </w:pPr>
      <w:r>
        <w:rPr>
          <w:b/>
          <w:sz w:val="24"/>
          <w:szCs w:val="24"/>
        </w:rPr>
        <w:t>第五十六条</w:t>
      </w:r>
      <w:r>
        <w:rPr>
          <w:rFonts w:asciiTheme="minorEastAsia" w:hAnsiTheme="minorEastAsia" w:eastAsiaTheme="minorEastAsia"/>
          <w:sz w:val="24"/>
          <w:szCs w:val="24"/>
        </w:rPr>
        <w:t xml:space="preserve">  </w:t>
      </w:r>
      <w:r>
        <w:rPr>
          <w:sz w:val="24"/>
          <w:szCs w:val="24"/>
        </w:rPr>
        <w:t>农药经营者经营劣质农药的，由县级以上地方人民政府农业主管部门责令停止经营，没收违法所得、违法经营的农药和用于违法经营的工具、设备等，违法经营的农药货值金额不足1万元的，并处2000元以上2万元以下罚款，货值金额1万元以上的，并处货值金额2倍以上5倍以下罚款；情节严重的，由发证机关吊销农药经营许可证；构成犯罪的，依法追究刑事责任。</w:t>
      </w:r>
    </w:p>
    <w:p>
      <w:pPr>
        <w:pStyle w:val="3"/>
        <w:topLinePunct/>
        <w:spacing w:line="412" w:lineRule="exact"/>
        <w:ind w:firstLine="482"/>
        <w:rPr>
          <w:sz w:val="24"/>
          <w:szCs w:val="24"/>
        </w:rPr>
      </w:pPr>
      <w:r>
        <w:rPr>
          <w:b/>
          <w:sz w:val="24"/>
          <w:szCs w:val="24"/>
        </w:rPr>
        <w:t>第五十七条</w:t>
      </w:r>
      <w:r>
        <w:rPr>
          <w:rFonts w:asciiTheme="minorEastAsia" w:hAnsiTheme="minorEastAsia" w:eastAsiaTheme="minorEastAsia"/>
          <w:sz w:val="24"/>
          <w:szCs w:val="24"/>
        </w:rPr>
        <w:t xml:space="preserve">  </w:t>
      </w:r>
      <w:r>
        <w:rPr>
          <w:sz w:val="24"/>
          <w:szCs w:val="24"/>
        </w:rPr>
        <w:t>农药经营者有下列行为之一的，由县级以上地方人民政府农业主管部门责令改正，没收违法所得和违法经营的农药，并处5000元以上5万元以下罚款；拒不改正或者情节严重的，由发证机关吊销农药经营许可证：</w:t>
      </w:r>
    </w:p>
    <w:p>
      <w:pPr>
        <w:pStyle w:val="3"/>
        <w:topLinePunct/>
        <w:spacing w:line="412" w:lineRule="exact"/>
        <w:ind w:firstLine="480"/>
        <w:rPr>
          <w:sz w:val="24"/>
          <w:szCs w:val="24"/>
        </w:rPr>
      </w:pPr>
      <w:r>
        <w:rPr>
          <w:sz w:val="24"/>
          <w:szCs w:val="24"/>
        </w:rPr>
        <w:t>（一）设立分支机构未依法变更农药经营许可证，或者未向分支机构所在地县级以上地方人民政府农业主管部门备案；</w:t>
      </w:r>
    </w:p>
    <w:p>
      <w:pPr>
        <w:pStyle w:val="3"/>
        <w:topLinePunct/>
        <w:spacing w:line="412" w:lineRule="exact"/>
        <w:ind w:firstLine="480"/>
        <w:rPr>
          <w:sz w:val="24"/>
          <w:szCs w:val="24"/>
        </w:rPr>
      </w:pPr>
      <w:r>
        <w:rPr>
          <w:sz w:val="24"/>
          <w:szCs w:val="24"/>
        </w:rPr>
        <w:t>（二）向未取得农药生产许可证的农药生产企业或者未取得农药经营许可证的其他农药经营者采购农药；</w:t>
      </w:r>
    </w:p>
    <w:p>
      <w:pPr>
        <w:pStyle w:val="3"/>
        <w:topLinePunct/>
        <w:spacing w:line="412" w:lineRule="exact"/>
        <w:ind w:firstLine="480"/>
        <w:rPr>
          <w:sz w:val="24"/>
          <w:szCs w:val="24"/>
        </w:rPr>
      </w:pPr>
      <w:r>
        <w:rPr>
          <w:sz w:val="24"/>
          <w:szCs w:val="24"/>
        </w:rPr>
        <w:t>（三）采购、销售未附具产品质量检验合格证或者包装、标签不符合规定的农药；</w:t>
      </w:r>
    </w:p>
    <w:p>
      <w:pPr>
        <w:pStyle w:val="3"/>
        <w:topLinePunct/>
        <w:spacing w:line="412" w:lineRule="exact"/>
        <w:ind w:firstLine="480"/>
        <w:rPr>
          <w:sz w:val="24"/>
          <w:szCs w:val="24"/>
        </w:rPr>
      </w:pPr>
      <w:r>
        <w:rPr>
          <w:sz w:val="24"/>
          <w:szCs w:val="24"/>
        </w:rPr>
        <w:t>（四）不停止销售依法应当召回的农药。</w:t>
      </w:r>
    </w:p>
    <w:p>
      <w:pPr>
        <w:pStyle w:val="3"/>
        <w:topLinePunct/>
        <w:spacing w:line="412" w:lineRule="exact"/>
        <w:ind w:firstLine="482"/>
        <w:rPr>
          <w:sz w:val="24"/>
          <w:szCs w:val="24"/>
        </w:rPr>
      </w:pPr>
      <w:r>
        <w:rPr>
          <w:b/>
          <w:sz w:val="24"/>
          <w:szCs w:val="24"/>
        </w:rPr>
        <w:t>第五十八条</w:t>
      </w:r>
      <w:r>
        <w:rPr>
          <w:rFonts w:asciiTheme="minorEastAsia" w:hAnsiTheme="minorEastAsia" w:eastAsiaTheme="minorEastAsia"/>
          <w:sz w:val="24"/>
          <w:szCs w:val="24"/>
        </w:rPr>
        <w:t xml:space="preserve">  </w:t>
      </w:r>
      <w:r>
        <w:rPr>
          <w:sz w:val="24"/>
          <w:szCs w:val="24"/>
        </w:rPr>
        <w:t>农药经营者有下列行为之一的，由县级以上地方人民政府农业主管部门责令改正；拒不改正或者情节严重的，处2000元以上2万元以下罚款，并由发证机关吊销农药经营许可证：</w:t>
      </w:r>
    </w:p>
    <w:p>
      <w:pPr>
        <w:pStyle w:val="3"/>
        <w:topLinePunct/>
        <w:spacing w:line="412" w:lineRule="exact"/>
        <w:ind w:firstLine="480"/>
        <w:rPr>
          <w:sz w:val="24"/>
          <w:szCs w:val="24"/>
        </w:rPr>
      </w:pPr>
      <w:r>
        <w:rPr>
          <w:sz w:val="24"/>
          <w:szCs w:val="24"/>
        </w:rPr>
        <w:t>（一）不执行农药采购台账、销售台账制度；</w:t>
      </w:r>
    </w:p>
    <w:p>
      <w:pPr>
        <w:pStyle w:val="3"/>
        <w:topLinePunct/>
        <w:spacing w:line="412" w:lineRule="exact"/>
        <w:ind w:firstLine="480"/>
        <w:rPr>
          <w:sz w:val="24"/>
          <w:szCs w:val="24"/>
        </w:rPr>
      </w:pPr>
      <w:r>
        <w:rPr>
          <w:sz w:val="24"/>
          <w:szCs w:val="24"/>
        </w:rPr>
        <w:t>（二）在卫生用农药以外的农药经营场所内经营食品、食用农产品、饲料等；</w:t>
      </w:r>
    </w:p>
    <w:p>
      <w:pPr>
        <w:pStyle w:val="3"/>
        <w:topLinePunct/>
        <w:spacing w:line="412" w:lineRule="exact"/>
        <w:ind w:firstLine="480"/>
        <w:rPr>
          <w:sz w:val="24"/>
          <w:szCs w:val="24"/>
        </w:rPr>
      </w:pPr>
      <w:r>
        <w:rPr>
          <w:sz w:val="24"/>
          <w:szCs w:val="24"/>
        </w:rPr>
        <w:t>（三）未将卫生用农药与其他商品分柜销售；</w:t>
      </w:r>
    </w:p>
    <w:p>
      <w:pPr>
        <w:pStyle w:val="3"/>
        <w:topLinePunct/>
        <w:spacing w:line="412" w:lineRule="exact"/>
        <w:ind w:firstLine="480"/>
        <w:rPr>
          <w:sz w:val="24"/>
          <w:szCs w:val="24"/>
        </w:rPr>
      </w:pPr>
      <w:r>
        <w:rPr>
          <w:sz w:val="24"/>
          <w:szCs w:val="24"/>
        </w:rPr>
        <w:t>（四）不履行农药废弃物回收义务。</w:t>
      </w:r>
    </w:p>
    <w:p>
      <w:pPr>
        <w:pStyle w:val="3"/>
        <w:topLinePunct/>
        <w:spacing w:line="412" w:lineRule="exact"/>
        <w:ind w:firstLine="482"/>
        <w:rPr>
          <w:sz w:val="24"/>
          <w:szCs w:val="24"/>
        </w:rPr>
      </w:pPr>
      <w:r>
        <w:rPr>
          <w:b/>
          <w:sz w:val="24"/>
          <w:szCs w:val="24"/>
        </w:rPr>
        <w:t>第五十九条</w:t>
      </w:r>
      <w:r>
        <w:rPr>
          <w:rFonts w:asciiTheme="minorEastAsia" w:hAnsiTheme="minorEastAsia" w:eastAsiaTheme="minorEastAsia"/>
          <w:sz w:val="24"/>
          <w:szCs w:val="24"/>
        </w:rPr>
        <w:t xml:space="preserve">  </w:t>
      </w:r>
      <w:r>
        <w:rPr>
          <w:sz w:val="24"/>
          <w:szCs w:val="24"/>
        </w:rPr>
        <w:t>境外企业直接在中国销售农药的，由县级以上地方人民政府农业主管部门责令停止销售，没收违法所得、违法经营的农药和用于违法经营的工具、设备等，违法经营的农药货值金额不足5万元的，并处5万元以上50万元以下罚款，货值金额5万元以上的，并处货值金额10倍以上20倍以下罚款，由发证机关吊销农药登记证。</w:t>
      </w:r>
    </w:p>
    <w:p>
      <w:pPr>
        <w:pStyle w:val="3"/>
        <w:topLinePunct/>
        <w:spacing w:line="412" w:lineRule="exact"/>
        <w:ind w:firstLine="480"/>
        <w:rPr>
          <w:sz w:val="24"/>
          <w:szCs w:val="24"/>
        </w:rPr>
      </w:pPr>
      <w:r>
        <w:rPr>
          <w:sz w:val="24"/>
          <w:szCs w:val="24"/>
        </w:rPr>
        <w:t>取得农药登记证的境外企业向中国出口劣质农药情节严重或者出口假农药的，由国务院农业主管部门吊销相应的农药登记证。</w:t>
      </w:r>
    </w:p>
    <w:p>
      <w:pPr>
        <w:pStyle w:val="3"/>
        <w:topLinePunct/>
        <w:spacing w:line="412" w:lineRule="exact"/>
        <w:ind w:firstLine="482"/>
        <w:rPr>
          <w:sz w:val="24"/>
          <w:szCs w:val="24"/>
        </w:rPr>
      </w:pPr>
      <w:r>
        <w:rPr>
          <w:b/>
          <w:sz w:val="24"/>
          <w:szCs w:val="24"/>
        </w:rPr>
        <w:t>第六十条</w:t>
      </w:r>
      <w:r>
        <w:rPr>
          <w:rFonts w:asciiTheme="minorEastAsia" w:hAnsiTheme="minorEastAsia" w:eastAsiaTheme="minorEastAsia"/>
          <w:sz w:val="24"/>
          <w:szCs w:val="24"/>
        </w:rPr>
        <w:t xml:space="preserve">  </w:t>
      </w:r>
      <w:r>
        <w:rPr>
          <w:sz w:val="24"/>
          <w:szCs w:val="24"/>
        </w:rPr>
        <w:t>农药使用者有下列行为之一的，由县级人民政府农业主管部门责令改正，农药使用者为农产品生产企业、食品和食用农产品仓储企业、专业化病虫害防治服务组织和从事农产品生产的农民专业合作社等单位的，处5万元以上10万元以下罚款，农药使用者为个人的，处1万元以下罚款；构成犯罪的，依法追究刑事责任：</w:t>
      </w:r>
    </w:p>
    <w:p>
      <w:pPr>
        <w:pStyle w:val="3"/>
        <w:topLinePunct/>
        <w:spacing w:line="412" w:lineRule="exact"/>
        <w:ind w:firstLine="480"/>
        <w:rPr>
          <w:sz w:val="24"/>
          <w:szCs w:val="24"/>
        </w:rPr>
      </w:pPr>
      <w:r>
        <w:rPr>
          <w:sz w:val="24"/>
          <w:szCs w:val="24"/>
        </w:rPr>
        <w:t>（一）不按照农药的标签标注的使用范围、使用方法和剂量、使用技术要求和注意事项、安全间隔期使用农药；</w:t>
      </w:r>
    </w:p>
    <w:p>
      <w:pPr>
        <w:pStyle w:val="3"/>
        <w:topLinePunct/>
        <w:spacing w:line="412" w:lineRule="exact"/>
        <w:ind w:firstLine="480"/>
        <w:rPr>
          <w:sz w:val="24"/>
          <w:szCs w:val="24"/>
        </w:rPr>
      </w:pPr>
      <w:r>
        <w:rPr>
          <w:sz w:val="24"/>
          <w:szCs w:val="24"/>
        </w:rPr>
        <w:t>（二）使用禁用的农药；</w:t>
      </w:r>
    </w:p>
    <w:p>
      <w:pPr>
        <w:pStyle w:val="3"/>
        <w:topLinePunct/>
        <w:spacing w:line="412" w:lineRule="exact"/>
        <w:ind w:firstLine="480"/>
        <w:rPr>
          <w:sz w:val="24"/>
          <w:szCs w:val="24"/>
        </w:rPr>
      </w:pPr>
      <w:r>
        <w:rPr>
          <w:sz w:val="24"/>
          <w:szCs w:val="24"/>
        </w:rPr>
        <w:t>（三）将剧毒、高毒农药用于防治卫生害虫，用于蔬菜、瓜果、茶叶、菌类、中草药材生产或者用于水生植物的病虫害防治；</w:t>
      </w:r>
    </w:p>
    <w:p>
      <w:pPr>
        <w:pStyle w:val="3"/>
        <w:topLinePunct/>
        <w:spacing w:line="412" w:lineRule="exact"/>
        <w:ind w:firstLine="480"/>
        <w:rPr>
          <w:sz w:val="24"/>
          <w:szCs w:val="24"/>
        </w:rPr>
      </w:pPr>
      <w:r>
        <w:rPr>
          <w:sz w:val="24"/>
          <w:szCs w:val="24"/>
        </w:rPr>
        <w:t>（四）在饮用水水源保护区内使用农药；</w:t>
      </w:r>
    </w:p>
    <w:p>
      <w:pPr>
        <w:pStyle w:val="3"/>
        <w:topLinePunct/>
        <w:spacing w:line="412" w:lineRule="exact"/>
        <w:ind w:firstLine="480"/>
        <w:rPr>
          <w:sz w:val="24"/>
          <w:szCs w:val="24"/>
        </w:rPr>
      </w:pPr>
      <w:r>
        <w:rPr>
          <w:sz w:val="24"/>
          <w:szCs w:val="24"/>
        </w:rPr>
        <w:t>（五）使用农药毒鱼、虾、鸟、兽等；</w:t>
      </w:r>
    </w:p>
    <w:p>
      <w:pPr>
        <w:pStyle w:val="3"/>
        <w:topLinePunct/>
        <w:spacing w:line="412" w:lineRule="exact"/>
        <w:ind w:firstLine="480"/>
        <w:rPr>
          <w:sz w:val="24"/>
          <w:szCs w:val="24"/>
        </w:rPr>
      </w:pPr>
      <w:r>
        <w:rPr>
          <w:sz w:val="24"/>
          <w:szCs w:val="24"/>
        </w:rPr>
        <w:t>（六）在饮用水水源保护区、河道内丢弃农药、农药包装物或者清洗施药器械。</w:t>
      </w:r>
    </w:p>
    <w:p>
      <w:pPr>
        <w:pStyle w:val="3"/>
        <w:topLinePunct/>
        <w:spacing w:line="412" w:lineRule="exact"/>
        <w:ind w:firstLine="480"/>
        <w:rPr>
          <w:sz w:val="24"/>
          <w:szCs w:val="24"/>
        </w:rPr>
      </w:pPr>
      <w:r>
        <w:rPr>
          <w:sz w:val="24"/>
          <w:szCs w:val="24"/>
        </w:rPr>
        <w:t>有前款第二项规定的行为的，县级人民政府农业主管部门还应当没收禁用的农药。</w:t>
      </w:r>
    </w:p>
    <w:p>
      <w:pPr>
        <w:pStyle w:val="3"/>
        <w:topLinePunct/>
        <w:spacing w:line="412" w:lineRule="exact"/>
        <w:ind w:firstLine="482"/>
        <w:rPr>
          <w:sz w:val="24"/>
          <w:szCs w:val="24"/>
        </w:rPr>
      </w:pPr>
      <w:r>
        <w:rPr>
          <w:b/>
          <w:sz w:val="24"/>
          <w:szCs w:val="24"/>
        </w:rPr>
        <w:t>第六十一条</w:t>
      </w:r>
      <w:r>
        <w:rPr>
          <w:rFonts w:asciiTheme="minorEastAsia" w:hAnsiTheme="minorEastAsia" w:eastAsiaTheme="minorEastAsia"/>
          <w:sz w:val="24"/>
          <w:szCs w:val="24"/>
        </w:rPr>
        <w:t xml:space="preserve">  </w:t>
      </w:r>
      <w:r>
        <w:rPr>
          <w:sz w:val="24"/>
          <w:szCs w:val="24"/>
        </w:rPr>
        <w:t>农产品生产企业、食品和食用农产品仓储企业、专业化病虫害防治服务组织和从事农产品生产的农民专业合作社等不执行农药使用记录制度的，由县级人民政府农业主管部门责令改正；拒不改正或者情节严重的，处2000元以上2万元以下罚款。</w:t>
      </w:r>
    </w:p>
    <w:p>
      <w:pPr>
        <w:pStyle w:val="3"/>
        <w:topLinePunct/>
        <w:spacing w:line="412" w:lineRule="exact"/>
        <w:ind w:firstLine="482"/>
        <w:rPr>
          <w:sz w:val="24"/>
          <w:szCs w:val="24"/>
        </w:rPr>
      </w:pPr>
      <w:r>
        <w:rPr>
          <w:b/>
          <w:sz w:val="24"/>
          <w:szCs w:val="24"/>
        </w:rPr>
        <w:t>第六十二条</w:t>
      </w:r>
      <w:r>
        <w:rPr>
          <w:rFonts w:asciiTheme="minorEastAsia" w:hAnsiTheme="minorEastAsia" w:eastAsiaTheme="minorEastAsia"/>
          <w:sz w:val="24"/>
          <w:szCs w:val="24"/>
        </w:rPr>
        <w:t xml:space="preserve">  </w:t>
      </w:r>
      <w:r>
        <w:rPr>
          <w:sz w:val="24"/>
          <w:szCs w:val="24"/>
        </w:rPr>
        <w:t>伪造、变造、转让、出租、出借农药登记证、农药生产许可证、农药经营许可证等许可证明文件的，由发证机关收缴或者予以吊销，没收违法所得，并处1万元以上5万元以下罚款；构成犯罪的，依法追究刑事责任。</w:t>
      </w:r>
    </w:p>
    <w:p>
      <w:pPr>
        <w:pStyle w:val="3"/>
        <w:topLinePunct/>
        <w:spacing w:line="412" w:lineRule="exact"/>
        <w:ind w:firstLine="482"/>
        <w:rPr>
          <w:sz w:val="24"/>
          <w:szCs w:val="24"/>
        </w:rPr>
      </w:pPr>
      <w:r>
        <w:rPr>
          <w:b/>
          <w:sz w:val="24"/>
          <w:szCs w:val="24"/>
        </w:rPr>
        <w:t>第六十三条</w:t>
      </w:r>
      <w:r>
        <w:rPr>
          <w:rFonts w:asciiTheme="minorEastAsia" w:hAnsiTheme="minorEastAsia" w:eastAsiaTheme="minorEastAsia"/>
          <w:sz w:val="24"/>
          <w:szCs w:val="24"/>
        </w:rPr>
        <w:t xml:space="preserve">  </w:t>
      </w:r>
      <w:r>
        <w:rPr>
          <w:sz w:val="24"/>
          <w:szCs w:val="24"/>
        </w:rPr>
        <w:t>未取得农药生产许可证生产农药，未取得农药经营许可证经营农药，或者被吊销农药登记证、农药生产许可证、农药经营许可证的，其直接负责的主管人员10年内不得从事农药生产、经营活动。</w:t>
      </w:r>
    </w:p>
    <w:p>
      <w:pPr>
        <w:pStyle w:val="3"/>
        <w:topLinePunct/>
        <w:spacing w:line="412" w:lineRule="exact"/>
        <w:ind w:firstLine="480"/>
        <w:rPr>
          <w:sz w:val="24"/>
          <w:szCs w:val="24"/>
        </w:rPr>
      </w:pPr>
      <w:r>
        <w:rPr>
          <w:sz w:val="24"/>
          <w:szCs w:val="24"/>
        </w:rPr>
        <w:t>农药生产企业、农药经营者招用前款规定的人员从事农药生产、经营活动的，由发证机关吊销农药生产许可证、农药经营许可证。</w:t>
      </w:r>
    </w:p>
    <w:p>
      <w:pPr>
        <w:pStyle w:val="3"/>
        <w:topLinePunct/>
        <w:spacing w:line="412" w:lineRule="exact"/>
        <w:ind w:firstLine="480"/>
        <w:rPr>
          <w:sz w:val="24"/>
          <w:szCs w:val="24"/>
        </w:rPr>
      </w:pPr>
      <w:r>
        <w:rPr>
          <w:sz w:val="24"/>
          <w:szCs w:val="24"/>
        </w:rPr>
        <w:t>被吊销农药登记证的，国务院农业主管部门5年内不再受理其农药登记申请。</w:t>
      </w:r>
    </w:p>
    <w:p>
      <w:pPr>
        <w:pStyle w:val="3"/>
        <w:topLinePunct/>
        <w:spacing w:line="412" w:lineRule="exact"/>
        <w:ind w:firstLine="482"/>
        <w:rPr>
          <w:sz w:val="24"/>
          <w:szCs w:val="24"/>
        </w:rPr>
      </w:pPr>
      <w:r>
        <w:rPr>
          <w:b/>
          <w:sz w:val="24"/>
          <w:szCs w:val="24"/>
        </w:rPr>
        <w:t>第六十四条</w:t>
      </w:r>
      <w:r>
        <w:rPr>
          <w:rFonts w:asciiTheme="minorEastAsia" w:hAnsiTheme="minorEastAsia" w:eastAsiaTheme="minorEastAsia"/>
          <w:sz w:val="24"/>
          <w:szCs w:val="24"/>
        </w:rPr>
        <w:t xml:space="preserve">  </w:t>
      </w:r>
      <w:r>
        <w:rPr>
          <w:sz w:val="24"/>
          <w:szCs w:val="24"/>
        </w:rPr>
        <w:t>生产、经营的农药造成农药使用者人身、财产损害的，农药使用者可以向农药生产企业要求赔偿，也可以向农药经营者要求赔偿。属于农药生产企业责任的，农药经营者赔偿后有权向农药生产企业追偿；属于农药经营者责任的，农药生产企业赔偿后有权向农药经营者追偿。</w:t>
      </w:r>
    </w:p>
    <w:p>
      <w:pPr>
        <w:pStyle w:val="63"/>
        <w:spacing w:before="218" w:after="218" w:line="412" w:lineRule="exact"/>
      </w:pPr>
      <w:r>
        <w:t>第八章  附</w:t>
      </w:r>
      <w:r>
        <w:rPr>
          <w:rFonts w:hint="eastAsia"/>
        </w:rPr>
        <w:t xml:space="preserve">  </w:t>
      </w:r>
      <w:r>
        <w:t>则</w:t>
      </w:r>
    </w:p>
    <w:p>
      <w:pPr>
        <w:pStyle w:val="3"/>
        <w:topLinePunct/>
        <w:spacing w:line="412" w:lineRule="exact"/>
        <w:ind w:firstLine="482"/>
        <w:rPr>
          <w:sz w:val="24"/>
          <w:szCs w:val="24"/>
        </w:rPr>
      </w:pPr>
      <w:r>
        <w:rPr>
          <w:b/>
          <w:sz w:val="24"/>
          <w:szCs w:val="24"/>
        </w:rPr>
        <w:t>第六十五条</w:t>
      </w:r>
      <w:r>
        <w:rPr>
          <w:rFonts w:asciiTheme="minorEastAsia" w:hAnsiTheme="minorEastAsia" w:eastAsiaTheme="minorEastAsia"/>
          <w:sz w:val="24"/>
          <w:szCs w:val="24"/>
        </w:rPr>
        <w:t xml:space="preserve">  </w:t>
      </w:r>
      <w:r>
        <w:rPr>
          <w:sz w:val="24"/>
          <w:szCs w:val="24"/>
        </w:rPr>
        <w:t>申请农药登记的，申请人应当按照自愿有偿的原则，与登记试验单位协商确定登记试验费用。</w:t>
      </w:r>
    </w:p>
    <w:p>
      <w:pPr>
        <w:pStyle w:val="3"/>
        <w:topLinePunct/>
        <w:spacing w:line="412" w:lineRule="exact"/>
        <w:ind w:firstLine="482"/>
      </w:pPr>
      <w:r>
        <w:rPr>
          <w:b/>
          <w:sz w:val="24"/>
          <w:szCs w:val="24"/>
        </w:rPr>
        <w:t>第六十六条</w:t>
      </w:r>
      <w:r>
        <w:rPr>
          <w:rFonts w:asciiTheme="minorEastAsia" w:hAnsiTheme="minorEastAsia" w:eastAsiaTheme="minorEastAsia"/>
          <w:sz w:val="24"/>
          <w:szCs w:val="24"/>
        </w:rPr>
        <w:t xml:space="preserve">  </w:t>
      </w:r>
      <w:r>
        <w:rPr>
          <w:sz w:val="24"/>
          <w:szCs w:val="24"/>
        </w:rPr>
        <w:t>本条例自2017年6月1日起施行。</w:t>
      </w:r>
    </w:p>
    <w:p>
      <w:pPr>
        <w:widowControl/>
        <w:spacing w:before="156" w:after="156"/>
        <w:ind w:firstLine="240"/>
        <w:rPr>
          <w:rFonts w:asciiTheme="minorEastAsia" w:hAnsiTheme="minorEastAsia"/>
          <w:sz w:val="24"/>
          <w:szCs w:val="24"/>
        </w:rPr>
      </w:pPr>
    </w:p>
    <w:p>
      <w:pPr>
        <w:widowControl/>
        <w:spacing w:before="156" w:after="156"/>
        <w:ind w:firstLine="240"/>
        <w:rPr>
          <w:rFonts w:asciiTheme="minorEastAsia" w:hAnsiTheme="minorEastAsia"/>
          <w:sz w:val="24"/>
          <w:szCs w:val="24"/>
        </w:rPr>
      </w:pPr>
    </w:p>
    <w:p>
      <w:pPr>
        <w:widowControl/>
        <w:spacing w:before="156" w:after="156"/>
        <w:ind w:firstLine="240"/>
        <w:rPr>
          <w:rFonts w:asciiTheme="minorEastAsia" w:hAnsiTheme="minorEastAsia"/>
          <w:sz w:val="24"/>
          <w:szCs w:val="24"/>
        </w:rPr>
      </w:pPr>
    </w:p>
    <w:p>
      <w:pPr>
        <w:widowControl/>
        <w:spacing w:before="156" w:after="156"/>
        <w:ind w:firstLine="240"/>
        <w:rPr>
          <w:rFonts w:asciiTheme="minorEastAsia" w:hAnsiTheme="minorEastAsia"/>
          <w:sz w:val="24"/>
          <w:szCs w:val="24"/>
        </w:rPr>
      </w:pPr>
    </w:p>
    <w:p>
      <w:pPr>
        <w:widowControl/>
        <w:spacing w:before="156" w:after="156"/>
        <w:ind w:firstLine="240"/>
        <w:rPr>
          <w:rFonts w:cs="Times New Roman" w:asciiTheme="minorEastAsia" w:hAnsiTheme="minorEastAsia"/>
          <w:b/>
          <w:bCs/>
          <w:kern w:val="0"/>
          <w:sz w:val="24"/>
          <w:szCs w:val="24"/>
        </w:rPr>
      </w:pPr>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176" w:name="_Toc28250980"/>
      <w:bookmarkStart w:id="1177" w:name="_Toc26348030"/>
      <w:bookmarkStart w:id="1178" w:name="_Toc25653772"/>
      <w:bookmarkStart w:id="1179" w:name="_Toc28252258"/>
      <w:bookmarkStart w:id="1180" w:name="_Toc25648276"/>
      <w:bookmarkStart w:id="1181" w:name="_Toc28157052"/>
      <w:r>
        <w:t>农药登记管理办法</w:t>
      </w:r>
      <w:bookmarkEnd w:id="1164"/>
      <w:bookmarkEnd w:id="1165"/>
      <w:bookmarkEnd w:id="1176"/>
      <w:bookmarkEnd w:id="1177"/>
      <w:bookmarkEnd w:id="1178"/>
      <w:bookmarkEnd w:id="1179"/>
      <w:bookmarkEnd w:id="1180"/>
      <w:bookmarkEnd w:id="1181"/>
    </w:p>
    <w:p>
      <w:pPr>
        <w:pStyle w:val="62"/>
      </w:pPr>
      <w:r>
        <w:t>（2017年6月21日农业部令第3号公布，根据2018年12月6日农业农村部令第2号修订）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为了规范农药登记行为，加强农药登记管理，保证农药的安全性、有效性，根据《农药管理条例》,制定本办法。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在中华人民共和国境内生产、经营、使用的农药，应当取得农药登记。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未依法取得农药登记证的农药，按照假农药处理。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农业部负责全国农药登记管理工作，组织成立农药登记评审委员会，制定农药登记评审规则。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农业部所属的负责农药检定工作的机构负责全国农药登记具体工作。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省级人民政府农业主管部门（以下简称省级农业部门）负责受理本行政区域内的农药登记申请，对申请资料进行审查，提出初审意见。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省级农业部门负责农药检定工作的机构（以下简称省级农药检定机构）协助做好农药登记具体工作。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农药登记应当遵循科学、公平、公正、高效和便民的原则。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鼓励和支持登记安全、高效、经济的农药，加快淘汰对农业、林业、人畜安全、农产品质量安全和生态环境等风险高的农药。</w:t>
      </w:r>
    </w:p>
    <w:p>
      <w:pPr>
        <w:pStyle w:val="63"/>
        <w:spacing w:before="218" w:after="218" w:line="412" w:lineRule="exact"/>
        <w:rPr>
          <w:b/>
        </w:rPr>
      </w:pPr>
      <w:r>
        <w:t xml:space="preserve">第二章 </w:t>
      </w:r>
      <w:r>
        <w:rPr>
          <w:rFonts w:hint="eastAsia"/>
        </w:rPr>
        <w:t xml:space="preserve"> </w:t>
      </w:r>
      <w:r>
        <w:t>基本要求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农药名称应当使用农药的中文通用名称或者简化中文通用名称，植物源农药名称可以用植物名称加提取物表示。直接使用的卫生用农药的名称用功能描述词语加剂型表示。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农药有效成分含量、剂型的设定应当符合提高质量、保护环境和促进农业可持续发展的原则。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制剂产品的配方应当科学、合理、方便使用。相同有效成分和剂型的单制剂产品，含量梯度不超过三个。混配制剂的有效成分不超过两种，除草剂、种子处理剂、信息素等有效成分不超过三种。有效成分和剂型相同的混配制剂，配比不超过三个，相同配比的总含量梯度不超过三个。不经稀释或者分散直接使用的低有效成分含量农药单独分类。有关具体要求，由农业部另行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农业部根据农药助剂的毒性和危害性，适时公布和调整禁用、限用助剂名单及限量。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使用时需要添加指定助剂的，申请农药登记时，应当提交相应的试验资料。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农药产品的稀释倍数或者使用浓度,应当与施药技术相匹配。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申请人提供的相关数据或者资料，应当能够满足风险评估的需要，产品与已登记产品在安全性、有效性等方面相当或者具有明显优势。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对申请登记产品进行审查，需要参考已登记产品风险评估结果时，遵循最大风险原则。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申请人应当按规定提交相关材料，并对所提供资料的真实性、合法性负责。</w:t>
      </w:r>
    </w:p>
    <w:p>
      <w:pPr>
        <w:pStyle w:val="63"/>
        <w:spacing w:before="218" w:after="218" w:line="412" w:lineRule="exact"/>
        <w:rPr>
          <w:b/>
        </w:rPr>
      </w:pPr>
      <w:r>
        <w:t xml:space="preserve">第三章 </w:t>
      </w:r>
      <w:r>
        <w:rPr>
          <w:rFonts w:hint="eastAsia"/>
        </w:rPr>
        <w:t xml:space="preserve"> </w:t>
      </w:r>
      <w:r>
        <w:t>申请与受理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申请人应当是农药生产企业、向中国出口农药的企业或者新农药研制者。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药生产企业，是指已经取得农药生产许可证的境内企业。向中国出口农药的企业（以下简称境外企业），是指将在境外生产的农药向中国出口的企业。新农药研制者，是指在我国境内研制开发新农药的中国公民、法人或者其他组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多个主体联合研制的新农药，应当明确其中一个主体作为申请人，并说明其他合作研制机构，以及相关试验样品同质性的证明材料。其他主体不得重复申请。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境内申请人向所在地省级农业部门提出农药登记申请。境外企业向农业部提出农药登记申请。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申请人应当提交产品化学、毒理学、药效、残留、环境影响等试验报告、风险评估报告、标签或者说明书样张、产品安全数据单、相关文献资料、申请表、申请人资质证明、资料真实性声明等申请资料。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农药登记申请资料应当真实、规范、完整、有效，具体要求由农业部另行制定。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登记试验报告应当由农业部认定的登记试验单位出具，也可以由与中国政府有关部门签署互认协定的境外相关实验室出具；但药效、残留、环境影响等与环境条件密切相关的试验以及中国特有生物物种的登记试验应当在中国境内完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申请新农药登记的，应当同时提交新农药原药和新农药制剂登记申请，并提供农药标准品。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自新农药登记之日起六年内，其他申请人提交其自己所取得的或者新农药登记证持有人授权同意的数据申请登记的，按照新农药登记申请。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农药登记证持有人独立拥有的符合登记资料要求的完整登记资料，可以授权其他申请人使用。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按照《农药管理条例》第十四条规定转让农药登记资料的，由受让方凭双方的转让合同及符合登记资料要求的登记资料申请农药登记。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农业部或者省级农业部门对申请人提交的申请资料，应当根据下列情况分别作出处理：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（一）不需要农药登记的，即时告知申请者不予受理；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（二）申请资料存在错误的，允许申请者当场更正；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（三）申请资料不齐全或者不符合法定形式的，应当当场或者在五个工作日内一次告知申请者需要补正的全部内容，逾期不告知的，自收到申请资料之日起即为受理；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（四）申请资料齐全、符合法定形式，或者申请者按照要求提交全部补正资料的，予以受理。</w:t>
      </w:r>
    </w:p>
    <w:p>
      <w:pPr>
        <w:pStyle w:val="63"/>
        <w:spacing w:before="218" w:after="218" w:line="412" w:lineRule="exact"/>
        <w:rPr>
          <w:b/>
        </w:rPr>
      </w:pPr>
      <w:r>
        <w:t xml:space="preserve">第四章 </w:t>
      </w:r>
      <w:r>
        <w:rPr>
          <w:rFonts w:hint="eastAsia"/>
        </w:rPr>
        <w:t xml:space="preserve"> </w:t>
      </w:r>
      <w:r>
        <w:t>审查与决定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省级农业部门应当自受理申请之日起二十个工作日内对申请人提交的资料进行初审，提出初审意见，并报送农业部。初审不通过的，可以根据申请人意愿，书面通知申请人并说明理由。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业部自受理申请或者收到省级农业部门报送的申请资料和初审意见后，应当在九个月内完成产品化学、毒理学、药效、残留、环境影响、标签样张等的技术审查工作，并将审查意见提交农药登记评审委员会评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农药登记评审委员会在收到技术审查意见后，按照农药登记评审规则提出评审意见。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农药登记申请受理后，申请人可以撤回登记申请，并在补充完善相关资料后重新申请。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农业部根据农药登记评审委员会意见，可以要求申请人补充资料。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在登记审查和评审期间，申请人提交的登记申请的种类以及其所依照的技术要求和审批程序，不因为其他申请人在此期间取得农药登记证而发生变化。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新农药获得批准后，已经受理的其他申请人的新农药登记申请，可以继续按照新农药登记审批程序予以审查和评审。其他申请人也可以撤回该申请，重新提出登记申请。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农业部自收到评审意见之日起二十个工作日内作出审批决定。符合条件的，核发农药登记证；不符合条件的，书面通知申请人并说明理由。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农药登记证由农业部统一印制。</w:t>
      </w:r>
    </w:p>
    <w:p>
      <w:pPr>
        <w:pStyle w:val="63"/>
        <w:spacing w:before="218" w:after="218" w:line="412" w:lineRule="exact"/>
        <w:rPr>
          <w:b/>
        </w:rPr>
      </w:pPr>
      <w:r>
        <w:t>第五章</w:t>
      </w:r>
      <w:r>
        <w:rPr>
          <w:rFonts w:hint="eastAsia"/>
        </w:rPr>
        <w:t xml:space="preserve"> </w:t>
      </w:r>
      <w:r>
        <w:t xml:space="preserve"> 变更与延续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农药登记证有效期为五年。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农药登记证有效期内有下列情形之一的，农药登记证持有人应当向农业部申请变更：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（一）改变农药使用范围、使用方法或者使用剂量的；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（二）改变农药有效成分以外组成成分的；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（三）改变产品毒性级别的；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（四）原药产品有效成分含量发生改变的；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（五）产品质量标准发生变化的;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（六）农业部规定的其他情形。</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变更农药登记证持有人的，应当提交相关证明材料，向农业部申请换发农药登记证。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有效期届满，需要继续生产农药或者向中国出口农药的，应当在有效期届满九十日前申请延续。逾期未申请延续的，应当重新申请登记。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申请变更或者延续的，由农药登记证持有人向农业部提出，填写申请表并提交相关资料。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农业部应当在六个月内完成登记变更审查，形成审查意见，提交农药登记评审委员会评审，并自收到评审意见之日起二十个工作日内作出审批决定。符合条件的，准予登记变更，登记证号及有效期不变；不符合条件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农业部对登记延续申请资料进行审查，在有效期届满前作出是否延续的决定。审查中发现安全性、有效性出现隐患或者风险的，提交农药登记评审委员会评审。</w:t>
      </w:r>
    </w:p>
    <w:p>
      <w:pPr>
        <w:pStyle w:val="63"/>
        <w:spacing w:before="218" w:after="218" w:line="412" w:lineRule="exact"/>
        <w:rPr>
          <w:b/>
        </w:rPr>
      </w:pPr>
      <w:r>
        <w:t xml:space="preserve">第六章 </w:t>
      </w:r>
      <w:r>
        <w:rPr>
          <w:rFonts w:hint="eastAsia"/>
        </w:rPr>
        <w:t xml:space="preserve"> </w:t>
      </w:r>
      <w:r>
        <w:t>风险监测与评价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省级以上农业部门应当建立农药安全风险监测制度，组织农药检定机构、植保机构对已登记农药的安全性和有效性进行监测、评价。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监测内容包括农药对农业、林业、人畜安全、农产品质量安全、生态环境等的影响。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有下列情形之一的，应当组织开展评价：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（一）发生多起农作物药害事故的；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（二）靶标生物抗性大幅升高的；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（三）农产品农药残留多次超标的；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（四）出现多起对蜜蜂、鸟、鱼、蚕、虾、蟹等非靶标生物、天敌生物危害事件的；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（五）对地下水、地表水和土壤等产生不利影响的；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（六）对农药使用者或者接触人群、畜禽等产生健康危害的。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省级农业部门应当及时将监测、评价结果报告农业部。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农药登记证持有人应当收集分析农药产品的安全性、有效性变化和产品召回、生产使用过程中事故发生等情况。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对登记十五年以上的农药品种，农业部根据生产使用和产业政策变化情况，组织开展周期性评价。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发现已登记农药对农业、林业、人畜安全、农产品质量安全、生态环境等有严重危害或者较大风险的，农业部应当组织农药登记评审委员会进行评审，根据评审结果撤销或者变更相应农药登记证，必要时决定禁用或者限制使用并予以公告。</w:t>
      </w:r>
    </w:p>
    <w:p>
      <w:pPr>
        <w:pStyle w:val="63"/>
        <w:spacing w:before="218" w:after="218" w:line="412" w:lineRule="exact"/>
        <w:rPr>
          <w:b/>
        </w:rPr>
      </w:pPr>
      <w:r>
        <w:t xml:space="preserve">第七章 </w:t>
      </w:r>
      <w:r>
        <w:rPr>
          <w:rFonts w:hint="eastAsia"/>
        </w:rPr>
        <w:t xml:space="preserve"> </w:t>
      </w:r>
      <w:r>
        <w:t>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有下列情形之一的，农业部或者省级农业部门不予受理农药登记申请；已经受理的，不予批准：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（一）申请资料的真实性、完整性或者规范性不符合要求；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（二）申请人不符合本办法第十三条规定的资格要求；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（三）申请人被列入国家有关部门规定的严重失信单位名单并限制其取得行政许可；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（四）申请登记农药属于国家有关部门明令禁止生产、经营、使用或者农业部依法不再新增登记的农药；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（五）登记试验不符合《农药管理条例》第九条第三款、第十条规定;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（六）应当不予受理或者批准的其他情形。</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申请人隐瞒有关情况或者提交虚假农药登记资料和试验样品的，一年内不受理其申请；已批准登记的，撤销农药登记证，三年内不受理其申请。被吊销农药登记证的，五年内不受理其申请。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对提交虚假资料和试验样品的，农业部将申请人的违法信息列入诚信档案，并予以公布。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有下列情形之一的，农业部注销农药登记证，并予以公布：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（一）有效期届满未延续的；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（二）农药登记证持有人依法终止或者不具备农药登记申请人资格的；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（三）农药登记资料已经依法转让的；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（四）应当注销农药登记证的其他情形。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农业部推进农药登记信息平台建设，逐步实行网上办理登记申请和受理，通过农业部网站或者发布农药登记公告，公布农药登记证核发、延续、变更、撤销、注销情况以及有关的农药产品质量标准号、残留限量规定、检验方法、经核准的标签等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农药登记评审委员会组成人员在农药登记评审中谋取不正当利益的，农业部将其从农药登记评审委员会除名；属于国家工作人员的，提请有关部门依法予以处分；构成犯罪的，依法追究刑事责任。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农业部、省级农业部门及其负责农药登记工作人员，应当依法履行职责，科学、客观、公正地提出审查和评审意见，对申请人提交的登记资料和尚未公开的审查、评审结果、意见负有保密义务；与申请人或者其产品（资料）具有利害关系的，应当回避；不得参与农药生产、经营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农药登记工作人员不依法履行职责，滥用职权、徇私舞弊，索取、收受他人财物，或者谋取其他利益的，依法给予处分；自处分决定作出之日起，五年内不得从事农药登记工作。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任何单位和个人发现有违反本办法规定情形的，有权向农业部或者省级农业部门举报。农业部或者省级农业部门应当及时核实、处理，并为举报人保密。经查证属实，并对生产安全起到积极作用或者挽回损失较大的，按照国家有关规定予以表彰或者奖励。</w:t>
      </w:r>
    </w:p>
    <w:p>
      <w:pPr>
        <w:pStyle w:val="63"/>
        <w:spacing w:before="218" w:after="218" w:line="412" w:lineRule="exact"/>
        <w:rPr>
          <w:b/>
        </w:rPr>
      </w:pPr>
      <w:r>
        <w:t xml:space="preserve">第八章 </w:t>
      </w:r>
      <w:r>
        <w:rPr>
          <w:rFonts w:hint="eastAsia"/>
        </w:rPr>
        <w:t xml:space="preserve"> </w:t>
      </w:r>
      <w:r>
        <w:t>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用于特色小宗作物的农药登记，实行群组化扩大使用范围登记管理，特色小宗作物的范围由农业部规定。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尚无登记农药可用的特色小宗作物或者新的有害生物，省级农业部门可以根据当地实际情况，在确保风险可控的前提下，采取临时用药措施，并报农业部备案。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本办法下列用语的含义是：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（一）新农药，是指含有的有效成分尚未在中国批准登记的农药，包括新农药原药（母药）和新农药制剂。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（二）原药，是指在生产过程中得到的由有效成分及有关杂质组成的产品，必要时可加入少量的添加剂。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（三）母药，是指在生产过程中得到的由有效成分及有关杂质组成的产品，可含有少量必需的添加剂和适当的稀释剂。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（四）制剂，是指由农药原药（母药）和适宜的助剂加工成的，或者由生物发酵、植物提取等方法加工而成的状态稳定的农药产品。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（五）助剂，是指除有效成分以外，任何被添加在农药产品中，本身不具有农药活性和有效成分功能，但能够或者有助于提高、改善农药产品理化性能的单一组分或者多个组分的物质。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仅供境外使用农药的登记管理由农业部另行规定。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本办法自2017年8月1日起施行。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2017年6月1日之前，已经取得的农药临时登记证到期不予延续；已经受理尚未作出审批决定的农药登记申请，按照《农药管理条例》有关规定办理。</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182" w:name="_Toc25648277"/>
      <w:bookmarkStart w:id="1183" w:name="_Toc28157053"/>
      <w:bookmarkStart w:id="1184" w:name="_Toc25653773"/>
      <w:bookmarkStart w:id="1185" w:name="_Toc28250981"/>
      <w:bookmarkStart w:id="1186" w:name="_Toc28252259"/>
      <w:bookmarkStart w:id="1187" w:name="_Toc26348031"/>
      <w:bookmarkStart w:id="1188" w:name="_Toc18916782"/>
      <w:bookmarkStart w:id="1189" w:name="_Toc19349"/>
      <w:r>
        <w:t>农药生产许可管理办法</w:t>
      </w:r>
      <w:bookmarkEnd w:id="1182"/>
      <w:bookmarkEnd w:id="1183"/>
      <w:bookmarkEnd w:id="1184"/>
      <w:bookmarkEnd w:id="1185"/>
      <w:bookmarkEnd w:id="1186"/>
      <w:bookmarkEnd w:id="1187"/>
      <w:bookmarkEnd w:id="1188"/>
      <w:bookmarkEnd w:id="1189"/>
    </w:p>
    <w:p>
      <w:pPr>
        <w:pStyle w:val="62"/>
      </w:pPr>
      <w:r>
        <w:t>（2017年6月21日农业部令第4号公布，根据2018年12月6日农业农村部令第2号修订）</w:t>
      </w:r>
    </w:p>
    <w:p>
      <w:pPr>
        <w:pStyle w:val="63"/>
        <w:spacing w:before="218" w:after="218" w:line="412" w:lineRule="exact"/>
        <w:rPr>
          <w:b/>
        </w:rPr>
      </w:pPr>
      <w:r>
        <w:t xml:space="preserve">第一章 </w:t>
      </w:r>
      <w:r>
        <w:rPr>
          <w:rFonts w:hint="eastAsia"/>
        </w:rPr>
        <w:t xml:space="preserve"> </w:t>
      </w:r>
      <w:r>
        <w:t>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为了规范农药生产行为，加强农药生产管理，保证农药产品质量，根据《农药管理条例》,制定本办法。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本办法所称农药生产，包括农药原药（母药）生产、制剂加工或者分装。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农药生产许可的申请、审查、核发和监督管理，适用本办法。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农业部负责监督指导全国农药生产许可管理工作，制定生产条件要求和审查细则。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省级人民政府农业主管部门（以下简称省级农业部门）负责受理申请、审查并核发农药生产许可证。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县级以上地方农业部门应当加强本行政区域内的农药生产监督管理工作。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农药生产许可实行一企一证管理，一个农药生产企业只核发一个农药生产许可证。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农药生产应当符合国家产业政策，不得生产国家淘汰的产品，不得采用国家淘汰的工艺、装置、原材料从事农药生产，不得新增国家限制生产的产品或者国家限制的工艺、装置、原材料从事农药生产。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各级农业部门应当加强农药生产许可信息化建设。农业部加快建设全国统一的农药管理信息平台，逐步实现农药生产许可证的申请、受理、审核、核发和打印在农药管理信息平台统一进行。地方农业部门应当及时上传、更新农药生产许可、监督管理等信息。</w:t>
      </w:r>
    </w:p>
    <w:p>
      <w:pPr>
        <w:pStyle w:val="63"/>
        <w:spacing w:before="218" w:after="218" w:line="412" w:lineRule="exact"/>
        <w:rPr>
          <w:b/>
        </w:rPr>
      </w:pPr>
      <w:r>
        <w:t xml:space="preserve">第二章 </w:t>
      </w:r>
      <w:r>
        <w:rPr>
          <w:rFonts w:hint="eastAsia"/>
        </w:rPr>
        <w:t xml:space="preserve"> </w:t>
      </w:r>
      <w:r>
        <w:t>申请与审查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从事农药生产的企业，应当具备下列条件：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（一）符合国家产业政策；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（二）有符合生产工艺要求的管理、技术、操作、检验等人员；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（三）有固定的生产厂址；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布局合理的厂房，新设立化学农药生产企业或者非化学农药生产企业新增化学农药生产范围的，应当在省级以上化工园区内建厂；新设立非化学农药生产企业、家用卫生杀虫剂企业或者化学农药生产企业新增原药（母药）生产范围的，应当进入地市级以上化工园区或者工业园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（五）有与生产农药相适应的自动化生产设备、设施，有利用产品可追溯电子信息码从事生产、销售的设施；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（六）有专门的质量检验机构，齐全的质量检验仪器和设备，完整的质量保证体系和技术标准；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（七）有完备的管理制度，包括原材料采购、工艺设备、质量控制、产品销售、产品召回、产品储存与运输、安全生产、职业卫生、环境保护、农药废弃物回收与处置、人员培训、文件与记录等管理制度；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（八）农业部规定的其他条件。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安全生产、环境保护等法律、法规对企业生产条件有其他规定的，农药生产企业还应当遵守其规定，并主动接受相关管理部门监管。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申请农药生产许可证的，应当向生产所在地省级农业部门提交以下材料：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（一）农药生产许可证申请书；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（二）企业营业执照复印件；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（三）法定代表人（负责人）身份证明及基本情况；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（四）主要管理人员、技术人员、检验人员简介及资质证件复印件，以及从事农药生产相关人员基本情况；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（五）生产厂址所在区域的说明及生产布局平面图、土地使用权证或者租赁证明；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所申请生产农药原药（母药）或者制剂剂型的生产装置工艺流程图、生产装置平面布置图、生产工艺流程图和工艺说明，以及相对应的主要厂房、设备、设施和保障正常运转的辅助设施等名称、数量、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（七）所申请生产农药原药（母药）或者制剂剂型的产品质量标准及主要检验仪器设备清单；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（八）产品质量保证体系文件和管理制度；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（九）按照产品质量保证体系文件和管理制度要求，所申请农药的三批次试生产运行原始记录；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（十）申请材料真实性、合法性声明；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（十一）农业部规定的其他材料。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省</w:t>
      </w:r>
      <w:r>
        <w:rPr>
          <w:rFonts w:asciiTheme="minorEastAsia" w:hAnsiTheme="minorEastAsia" w:eastAsiaTheme="minorEastAsia"/>
          <w:spacing w:val="-4"/>
          <w:sz w:val="24"/>
          <w:szCs w:val="24"/>
        </w:rPr>
        <w:t>级农业部门对申请人提交的申请材料，应当根据下列情况分别作出处理：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（一）不需要取得农药生产许可的，即时告知申请者不予受理；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（二）申请材料存在错误的，允许申请者当场更正；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（三）申请材料不齐全或者不符合法定形式的，应当当场或者在五个工作日内一次告知申请者需要补正的全部内容，逾期不告知的，自收到申请材料之日起即为受理；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（四）申请材料齐全、符合法定形式，或者申请者按照要求提交全部补正材料的，予以受理。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省级农业部门应当对申请材料书面审查和技术评审，必要时应当进行实地核查，自受理申请之日起二十个工作日内作出是否核发生产许可证的决定。符合条件的，核发农药生产许可证；不符合条件的，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技术评审可以组织农药管理、生产、质量控制等方面的专业人员进行，所需时间不计算许可期限内，不得超过九十日。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农药生产许可证式样及相关表格格式由农业部统一制定。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农药生产许可证应当载明许可证编号、生产企业名称、统一社会信用代码、住所、法定代表人（负责人）、生产范围、生产地址、有效期等事项。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农药生产许可证编号规则为：农药生许+省份简称+顺序号（四位数）。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农药生产许可证的生产范围按照下列规定进行标注：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（一）原药（母药）品种；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（二）制剂剂型，同时区分化学农药或者非化学农药。</w:t>
      </w:r>
    </w:p>
    <w:p>
      <w:pPr>
        <w:pStyle w:val="63"/>
        <w:spacing w:before="218" w:after="218" w:line="412" w:lineRule="exact"/>
        <w:rPr>
          <w:b/>
        </w:rPr>
      </w:pPr>
      <w:r>
        <w:t xml:space="preserve">第三章 </w:t>
      </w:r>
      <w:r>
        <w:rPr>
          <w:rFonts w:hint="eastAsia"/>
        </w:rPr>
        <w:t xml:space="preserve"> </w:t>
      </w:r>
      <w:r>
        <w:t>变更与延续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药生产许可证有效期为五年。农药生产许可证有效期内，企业名称、住所、法定代表人（负责人）发生变化或者缩小生产范围的，应当自发生变化之日起三十日内向省级农业部门提出变更申请，并提交变更申请表和相关证明等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省级农业部门应当自受理申请之日起二十个工作日内作出审批决定。符合条件的，予以变更；不符合条件的，书面通知申请人并说明理由。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农药生产企业扩大生产范围或者改变生产地址的,应当按照本办法的规定重新申请农药生产许可证。化学农药生产企业改变生产地址的，还应当进入市级以上化工园区或者工业园区。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新增生产地址的，按新设立农药生产企业要求办理。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农药生产许可证有效期届满，需要继续生产农药的，农药生产企业应当在有效期届满九十日前向省级农业部门申请延续。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申请农药生产许可证延续的，应当提交申请书、生产情况报告等材料。省级农业部门对申请材料进行审查，未在规定期限内提交申请或者不符合农药生产企业条件要求的，不予延续。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农药生产许可证遗失、损坏的，应当说明原因并提供相关证明材料，及时向所在地省级农业部门申请补发。</w:t>
      </w:r>
    </w:p>
    <w:p>
      <w:pPr>
        <w:pStyle w:val="63"/>
        <w:spacing w:before="218" w:after="218" w:line="412" w:lineRule="exact"/>
        <w:rPr>
          <w:b/>
        </w:rPr>
      </w:pPr>
      <w:r>
        <w:t xml:space="preserve">第四章 </w:t>
      </w:r>
      <w:r>
        <w:rPr>
          <w:rFonts w:hint="eastAsia"/>
        </w:rPr>
        <w:t xml:space="preserve"> </w:t>
      </w:r>
      <w:r>
        <w:t>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农药生产企业应当按照产品质量标准和生产许可证的规定组织生产，确保农药产品与登记农药一致，对农药产品质量负责。</w:t>
      </w:r>
    </w:p>
    <w:p>
      <w:pPr>
        <w:pStyle w:val="3"/>
        <w:topLinePunct/>
        <w:spacing w:line="404"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农药生产企业在其农药生产许可范围内，依据《农药管理条例》第十九条的规定，可以接受新农药研制者和其他农药生产企业的委托，加工或者分装农药；也可以接受向中国出口农药的企业委托，分装农药。</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农药生产企业应当在每季度结束之日起十五日内，将上季度生产销售数据上传至农业部规定的农药管理信息平台。委托加工、分装农药的，由委托方报送。</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县级以上地方农业部门应当加强对农药生产企业的监督检查，定期调查统计农药生产情况，建立农药生产诚信档案并予以公布。</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有下列情形之一的，由省级农业部门依法吊销农药生产许可证：</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（一）生产假农药的；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（二）生产劣质农药情节严重的；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（三）不再符合农药生产许可条件继续生产农药且逾期拒不整改或者整改后仍不符合要求的；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（四）违反《农药管理条例》第五十三条、五十四条规定情形的；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（五）转让、出租、出借农药生产许可证的；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（六）招用《农药管理条例》第六十三条第一款规定人员从事农药生产活动的；</w:t>
      </w:r>
    </w:p>
    <w:p>
      <w:pPr>
        <w:pStyle w:val="3"/>
        <w:topLinePunct/>
        <w:spacing w:line="404"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（七）依法应当吊销农药生产许可证的其他情形。</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有下列情形之一的，由省级农业部门依法撤销农药生产许可证：</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（一）发证机关工作人员滥用职权、玩忽职守作出准予农药生产许可决定的；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（二）发证机关违反法定程序作出准予农药生产许可决定的；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（三）发证机关对不具备申请资格或者不符合法定条件的申请人准予农药生产许可的；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（四）申请人以欺骗、贿赂等不正当手段取得农药生产许可的；</w:t>
      </w:r>
    </w:p>
    <w:p>
      <w:pPr>
        <w:pStyle w:val="3"/>
        <w:topLinePunct/>
        <w:spacing w:line="404"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（五）依法应当撤销农药生产许可的其他情形。</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有下列情形之一的，由省级农业部门依法注销农药生产许可证：</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（一）企业申请注销的；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（二）企业主体资格依法终止的；</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（三）农药生产许可有效期届满未申请延续的；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（四）农药生产许可依法被撤回、撤销、吊销的；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（五）依法应当注销的其他情形。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有下列情形之一的，按未取得农药生产许可证处理：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（一）超过农药生产许可证有效期继续生产农药的；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（二）超过农药生产许可范围生产农药的；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（三）未经批准擅自改变生产地址生产农药的；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（四）委托已取得农药生产许可证的企业超过农药生产许可范围加工或者分装农药的；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（五）应当按照未取得农药生产许可证处理的其他情形。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农业部加强对省级农业部门实施农药生产许可的监督检查，及时纠正农药生产许可审批中的违规行为。发现有关工作人员有违规行为的，应当责令改正；依法应当给予处分的，向其任免机关或者监察机关提出处分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县级以上农业部门及其工作人员有下列行为之一的，责令改正；对负有责任的领导人员和直接责任人员调查处理；依法给予处分；构成犯罪的，依法追究刑事责任：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（一）不履行农药生产监督管理职责，所辖行政区域的违法农药生产活动造成重大损失或者恶劣社会影响；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（二）对不符合条件的申请人准予生产许可或者对符合条件的申请人拒不准予生产许可；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（三）参与农药生产、经营活动；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（四）有其他徇私舞弊、滥用职权、玩忽职守行为。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任何单位和个人发现违法从事农药生产活动的，有权向农业部门举报，农业部门应当及时核实、处理，严格为举报人保密。经查证属实，并对生产安全起到积极作用或者挽回损失较大的，按照国家有关规定予以表彰或者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农药生产企业违法从事农药生产活动的，按照《农药管理条例》的规定处罚；构成犯罪的，依法追究刑事责任。</w:t>
      </w:r>
    </w:p>
    <w:p>
      <w:pPr>
        <w:pStyle w:val="63"/>
        <w:spacing w:before="218" w:after="218" w:line="412" w:lineRule="exact"/>
        <w:rPr>
          <w:b/>
        </w:rPr>
      </w:pPr>
      <w:r>
        <w:t xml:space="preserve">第五章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本办法中化学农药是指利用化学物质人工合成的农药。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本办法自2017年8月1日起实施。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本办法实施前已取得农药生产批准证书或者农药生产许可证的农药生产企业，可以在有效期内继续生产相应的农药产品。有效期届满，需要继续生产农药的，农药生产企业应当在有效期届满九十日前，按照本办法的规定，向省级农业部门申请农药生产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在本办法实施前已取得农药登记证但未取得农药生产批准证书或者农药生产许可证，需要继续生产农药的，应当在本办法实施之日起两年内取得农药生产许可证。</w:t>
      </w:r>
    </w:p>
    <w:p>
      <w:pPr>
        <w:pStyle w:val="3"/>
        <w:topLinePunct/>
        <w:spacing w:line="416" w:lineRule="exact"/>
        <w:ind w:firstLine="480"/>
        <w:rPr>
          <w:rFonts w:asciiTheme="minorEastAsia" w:hAnsiTheme="minorEastAsia" w:eastAsiaTheme="minorEastAsia"/>
          <w:sz w:val="24"/>
          <w:szCs w:val="24"/>
        </w:rPr>
      </w:pPr>
    </w:p>
    <w:p>
      <w:pPr>
        <w:pStyle w:val="61"/>
      </w:pPr>
      <w:bookmarkStart w:id="1190" w:name="_Toc26348032"/>
      <w:bookmarkStart w:id="1191" w:name="_Toc16915"/>
      <w:bookmarkStart w:id="1192" w:name="_Toc28157054"/>
      <w:bookmarkStart w:id="1193" w:name="_Toc18916783"/>
      <w:bookmarkStart w:id="1194" w:name="_Toc25653774"/>
      <w:bookmarkStart w:id="1195" w:name="_Toc28252260"/>
      <w:bookmarkStart w:id="1196" w:name="_Toc28250982"/>
      <w:bookmarkStart w:id="1197" w:name="_Toc25648278"/>
      <w:r>
        <w:t>农药经营许可管理办法</w:t>
      </w:r>
      <w:bookmarkEnd w:id="1190"/>
      <w:bookmarkEnd w:id="1191"/>
      <w:bookmarkEnd w:id="1192"/>
      <w:bookmarkEnd w:id="1193"/>
      <w:bookmarkEnd w:id="1194"/>
      <w:bookmarkEnd w:id="1195"/>
      <w:bookmarkEnd w:id="1196"/>
      <w:bookmarkEnd w:id="1197"/>
    </w:p>
    <w:p>
      <w:pPr>
        <w:pStyle w:val="62"/>
      </w:pPr>
      <w:r>
        <w:t>（2017年6月21日农业部令第5号公布，根据2018年12月6日农业农村部令第2号修订）</w:t>
      </w:r>
    </w:p>
    <w:p>
      <w:pPr>
        <w:pStyle w:val="63"/>
        <w:spacing w:before="218" w:after="218" w:line="412" w:lineRule="exact"/>
        <w:rPr>
          <w:b/>
        </w:rPr>
      </w:pPr>
      <w:r>
        <w:t>第一章  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为了规范农药经营行为，加强农药经营许可管理，根据《农药管理条例》，制定本办法。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农药经营许可的申请、审查、核发和监督管理，适用本办法。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在中华人民共和国境内销售农药的，应当取得农药经营许可证。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农业部负责监督指导全国农药经营许可管理工作。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限制使用农药经营许可由省级人民政府农业主管部门（以下简称省级农业部门）核发；其他农药经营许可由县级以上地方人民政府农业主管部门（以下简称县级以上地方农业部门）根据农药经营者的申请分别核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农药经营许可实行一企一证管理，一个农药经营者只核发一个农药经营许可证。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县级以上地方农业部门应当加强农药经营许可信息化管理，及时将农药经营许可、监督管理等信息上传至农业部规定的农药管理信息平台。</w:t>
      </w:r>
    </w:p>
    <w:p>
      <w:pPr>
        <w:pStyle w:val="63"/>
        <w:spacing w:before="218" w:after="218" w:line="412" w:lineRule="exact"/>
        <w:rPr>
          <w:b/>
        </w:rPr>
      </w:pPr>
      <w:r>
        <w:t>第二章  申请与受理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农药经营者应当具备下列条件：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（一）有农学、植保、农药等相关专业中专以上学历或者专业教育培训机构五十六学时以上的学习经历，熟悉农药管理规定，掌握农药和病虫害防治专业知识，能够指导安全合理使用农药的经营人员；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（二）有不少于三十平方米的营业场所、不少于五十平方米的仓储场所，并与其他商品、生活区域、饮用水源有效隔离；兼营其他农业投入品的，应当具有相对独立的农药经营区域；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（三）营业场所和仓储场所应当配备通风、消防、预防中毒等设施，有与所经营农药品种、类别相适应的货架、柜台等展示、陈列的设施设备；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（四）有可追溯电子信息码扫描识别设备和用于记载农药购进、储存、销售等电子台账的计算机管理系统；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（五）有进货查验、台账记录、安全管理、安全防护、应急处置、仓储管理、农药废弃物回收与处置、使用指导等管理制度和岗位操作规程；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（六）农业部规定的其他条件。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经营限制使用农药的，还应当具备下列条件：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（一）有熟悉限制使用农药相关专业知识和病虫害防治的专业技术人员，并有两年以上从事农学、植保、农药相关工作的经历；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（二）有明显标识的销售专柜、仓储场所及其配套的安全保障设施、设备；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（三）符合省级农业部门制定的限制使用农药的定点经营布局。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农药经营者的分支机构也应当符合本条第一款、第二款的相关规定。限制使用农药经营者的分支机构经营限制使用农药的，应当符合限制使用农药定点经营规定。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申请农药经营许可证的，应当向县级以上地方农业部门提交以下材料：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（一）农药经营许可证申请表；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（二）法定代表人（负责人）身份证明复印件；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（三）经营人员的学历或者培训证明；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（四）营业场所和仓储场所地址、面积、平面图等说明材料及照片；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（五）计算机管理系统、可追溯电子信息码扫描设备、安全防护、仓储设施等清单及照片；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（六）有关管理制度目录及文本；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（七）申请材料真实性、合法性声明；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（八）农业部规定的其他材料。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县级以上地方农业部门对申请人提交的申请材料，应当根据下列情况分别作出处理：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（一）不需要农药经营许可的，即时告知申请者不予受理；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（二）申请材料存在错误的，允许申请者当场更正；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（三）申请材料不齐全或者不符合法定形式的，应当当场或者在五个工作日内一次告知申请者需要补正的全部内容，逾期不告知的，自收到申请材料之日起即为受理；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（四）申请材料齐全、符合法定形式，或者申请者按照要求提交全部补正材料的，予以受理。</w:t>
      </w:r>
    </w:p>
    <w:p>
      <w:pPr>
        <w:pStyle w:val="63"/>
        <w:spacing w:before="218" w:after="218" w:line="412" w:lineRule="exact"/>
        <w:rPr>
          <w:b/>
        </w:rPr>
      </w:pPr>
      <w:r>
        <w:t>第三章  审查与决定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县级以上地方农业部门应当对农药经营许可申请材料进行审查，必要时进行实地核查或者委托下级农业主管部门进行实地核查。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县级以上地方农业部门应当自受理之日起二十个工作日内作出审批决定。符合条件的，核发农药经营许可证；不符合条件的，书面通知申请人并说明理由。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农药经营许可证应当载明许可证编号、经营者名称、住所、营业场所、仓储场所、经营范围、有效期、法定代表人（负责人）、统一社会信用代码等事项。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经营者设立分支机构的，还应当注明分支机构的营业场所和仓储场所地址等事项。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农药经营许可证编号规则为：农药经许+省份简称+发证机关代码+经营范围代码+顺序号（四位数）。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经营范围按照农药、农药（限制使用农药除外）分别标注。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农药经营许可证式样由农业部统一制定。</w:t>
      </w:r>
    </w:p>
    <w:p>
      <w:pPr>
        <w:pStyle w:val="63"/>
        <w:spacing w:before="218" w:after="218" w:line="412" w:lineRule="exact"/>
        <w:rPr>
          <w:b/>
        </w:rPr>
      </w:pPr>
      <w:r>
        <w:t>第四章  变更与延续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药经营许可证有效期为五年。农药经营许可证有效期内，改变农药经营者名称、法定代表人（负责人）、住所、调整分支机构，或者减少经营范围的，应当自发生变化之日起三十日内向原发证机关提出变更申请，并提交变更申请表和相关证明等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原发证机关应当自受理变更申请之日起二十个工作日内办理。符合条件的，重新核发农药经营许可证；不符合条件的，书面通知申请人并说明理由。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经营范围增加限制使用农药或者营业场所、仓储场所地址发生变更的,应当按照本办法的规定重新申请农药经营许可证。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农药经营许可证有效期届满，需要继续经营农药的，农药经营者应当在有效期届满九十日前向原发证机关申请延续。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申请农药经营许可证延续的，应当向原发证机关提交申请表、农药经营情况综合报告等材料。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原发证机关对申请材料进行审查，未在规定期限内提交申请或者不符合农药经营条件要求的，不予延续。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农药经营许可证遗失、损坏的，应当说明原因并提供相关证明材料，及时向原发证机关申请补发。</w:t>
      </w:r>
    </w:p>
    <w:p>
      <w:pPr>
        <w:pStyle w:val="63"/>
        <w:spacing w:before="218" w:after="218" w:line="412" w:lineRule="exact"/>
        <w:rPr>
          <w:b/>
        </w:rPr>
      </w:pPr>
      <w:r>
        <w:t>第五章  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有下列情形之一的，不需要取得农药经营许可证：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（一）专门经营卫生用农药的；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（二）农药经营者在发证机关管辖的行政区域内设立分支机构的；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（三）农药生产企业在其生产场所范围内销售本企业生产的农药，或者向农药经营者直接销售本企业生产农药的。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农药经营者应当将农药经营许可证置于营业场所的醒目位置，并按照《农药管理条例》规定，建立采购、销售台账，向购买人询问病虫害发生情况，必要时应当实地查看病虫害发生情况,科学推荐农药,正确说明农药的使用范围、使用方法和剂量、使用技术要求和注意事项，不得误导购买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限制使用农药的经营者应当为农药使用者提供用药指导，并逐步提供统一用药服务。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限制使用农药不得利用互联网经营。利用互联网经营其他农药的，应当取得农药经营许可证。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超出经营范围经营限制使用农药，或者利用互联网经营限制使用农药的，按照未取得农药经营许可证处理。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农药经营者应当在每季度结束之日起十五日内，将上季度农药经营数据上传至农业部规定的农药管理信息平台或者通过其他形式报发证机关备案。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农药经营者设立分支机构的，应当在农药经营许可证变更后三十日内，向分支机构所在地县级农业部门备案。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县级以上地方农业部门应当对农药经营情况进行监督检查，定期调查统计农药销售情况，建立农药经营诚信档案并予以公布。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县级以上地方农业部门发现农药经营者不再符合规定条件的，应当责令其限期整改；逾期拒不整改或者整改后仍不符合规定条件的，发证机关吊销其农药经营许可证。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有下列情形之一的，发证机关依法注销农药经营许可证：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（一）农药经营者申请注销的；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（二）主体资格依法终止的；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（三）农药经营许可有效期届满未申请延续的；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（四）农药经营许可依法被撤回、撤销、吊销的；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（五）依法应当注销的其他情形。</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县级以上地方农业部门及其工作人员应当依法履行农药经营许可管理职责，自觉接受农药经营者和社会监督。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上级农业部门应当加强对下级农业部门农药经营许可管理工作的监督，发现有关工作人员有违规行为的，应当责令改正；依法应当给予处分的，向其任免机关或者监察机关提出处分建议。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县级以上农业部门及其工作人员有下列行为之一的，责令改正；对负有责任的领导人员和直接责任人员调查处理；依法给予处分；构成犯罪的，依法追究刑事责任：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（一）不履行农药经营监督管理职责，所辖行政区域的违法农药经营活动造成重大损失或者恶劣社会影响；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（二）对不符合条件的申请人准予经营许可或者对符合条件的申请人拒不准予经营许可；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（三）参与农药生产、经营活动；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（四）有其他徇私舞弊、滥用职权、玩忽职守行为。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任何单位和个人发现违法从事农药经营活动的，有权向农业部门举报，农业部门应当及时核实、处理，严格为举报人保密。经查证属实，并对生产安全起到积极作用或者挽回损失较大的，按照国家有关规定予以表彰或者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农药经营者违法从事农药经营活动的，按照《农药管理条例》的规定处罚；构成犯罪的，依法追究刑事责任。</w:t>
      </w:r>
    </w:p>
    <w:p>
      <w:pPr>
        <w:pStyle w:val="63"/>
        <w:spacing w:before="218" w:after="218" w:line="412" w:lineRule="exact"/>
        <w:rPr>
          <w:b/>
        </w:rPr>
      </w:pPr>
      <w:r>
        <w:t>第六章  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本办法自2017年8月1日起施行。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2017年6月1日前已从事农药经营活动的，应当自本办法施行之日起一年内达到本办法规定的条件，并依法申领农药经营许可证。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本办法施行前已按有关规定取得农药经营许可证的，可以在有效期内继续从事农药经营活动，但经营限制使用农药的应当重新申请农药经营许可证；有效期届满，需要继续经营农药的，应当在有效期届满九十日前，按本办法的规定，重新申请农药经营许可证。</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198" w:name="_Toc28157055"/>
      <w:bookmarkStart w:id="1199" w:name="_Toc28250983"/>
      <w:bookmarkStart w:id="1200" w:name="_Toc10763"/>
      <w:bookmarkStart w:id="1201" w:name="_Toc18916784"/>
      <w:bookmarkStart w:id="1202" w:name="_Toc25653775"/>
      <w:bookmarkStart w:id="1203" w:name="_Toc25648279"/>
      <w:bookmarkStart w:id="1204" w:name="_Toc28252261"/>
      <w:bookmarkStart w:id="1205" w:name="_Toc26348033"/>
      <w:r>
        <w:t>农药登记试验管理办法</w:t>
      </w:r>
      <w:bookmarkEnd w:id="1198"/>
      <w:bookmarkEnd w:id="1199"/>
      <w:bookmarkEnd w:id="1200"/>
      <w:bookmarkEnd w:id="1201"/>
      <w:bookmarkEnd w:id="1202"/>
      <w:bookmarkEnd w:id="1203"/>
      <w:bookmarkEnd w:id="1204"/>
      <w:bookmarkEnd w:id="1205"/>
    </w:p>
    <w:p>
      <w:pPr>
        <w:pStyle w:val="62"/>
      </w:pPr>
      <w:r>
        <w:t>（2017年6月21日农业部令第6号公布，根据2018年12月6日农业农村部令第2号修订）</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为了保证农药登记试验数据的完整性、可靠性和真实性，加强农药登记试验管理，根据《农药管理条例》，制定本办法。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申请农药登记的，应当按照本办法进行登记试验。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开展农药登记试验的，申请人应当报试验所在地省级人民政府农业主管部门（以下简称省级农业部门）备案；新农药的登记试验，还应当经农业部审查批准。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农业部负责新农药登记试验审批、农药登记试验单位认定及登记试验的监督管理，具体工作由农业部所属的负责农药检定工作的机构承担。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省级农业部门负责本行政区域的农药登记试验备案及相关监督管理工作，具体工作由省级农业部门所属的负责农药检定工作的机构承担。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省级农业部门应当加强农药登记试验监督管理信息化建设，及时将登记试验备案及登记试验监督管理信息上传至农业部规定的农药管理信息平台。</w:t>
      </w:r>
    </w:p>
    <w:p>
      <w:pPr>
        <w:pStyle w:val="63"/>
        <w:spacing w:before="218" w:after="218" w:line="412" w:lineRule="exact"/>
        <w:rPr>
          <w:b/>
        </w:rPr>
      </w:pPr>
      <w:r>
        <w:t>第二章  试验单位认定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申请承担农药登记试验的机构，应当具备下列条件：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（一）具有独立的法人资格，或者经法人授权同意申请并承诺承担相应法律责任；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（二）具有与申请承担登记试验范围相匹配的试验场所、环境设施条件、试验设施和仪器设备、样品及档案保存设施等；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（三）具有与其确立了合法劳动或者录用关系，且与其所申请承担登记试验范围相适应的专业技术和管理人员；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（四）建立完善的组织管理体系，配备机构负责人、质量保证部门负责人、试验项目负责人、档案管理员、样品管理员和相应的试验与工作人员等；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（五）符合农药登记试验质量管理规范，并制定了相应的标准操作规程；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（六）有完成申请试验范围相关的试验经历，并按照农药登记试验质量管理规范运行六个月以上；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（七）农业部规定的其他条件。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申请承担农药登记试验的机构应当向农业部提交以下资料：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（一）农药登记试验单位考核认定申请书；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（二）法人资格证明复印件，或者法人授权书；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（三）组织机构设置与职责；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（四）试验机构质量管理体系文件（标准操作规程）清单；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（五）试验场所、试验设施、实验室等证明材料以及仪器设备清单；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（六）专业技术和管理人员名单及相关证明材料；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（七）按照农药登记试验质量管理规范要求运行情况的说明，典型试验报告及其相关原始记录复印件。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部对申请人提交的资料进行审查，材料不齐全或者不符合法定形式的，应当当场或者在五个工作日内一次告知申请者需要补正的全部内容；申请资料齐全、符合法定形式，或者按照要求提交全部补正资料的，予以受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农业部对申请资料进行技术评审，所需时间不计算审批期限内，不得超过六个月。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技术评审包括资料审查和现场检查。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资料审查主要审查申请人组织机构、试验条件与能力匹配性、质量管理体系及相关材料的完整性、真实性和适宜性。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现场检查主要对申请人质量管理体系运行情况、试验设施设备条件、试验能力等情况进行符合性检查。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具体评审规则由农业部另行制定。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农业部根据评审结果在二十个工作日内作出审批决定，符合条件的，颁发农药登记试验单位证书；不符合条件的，书面通知申请人并说明理由。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农药登记试验单位证书有效期为五年，应当载明试验单位名称、法定代表人（负责人）、住所、实验室地址、试验范围、证书编号、有效期等事项。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药登记试验单位证书有效期内，农药登记试验单位名称、法定代表人（负责人）名称或者住所发生变更的，应当向农业部提出变更申请，并提交变更申请表和相关证明等材料。农业部应当自受理变更申请之日起二十个工作日内作出变更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农药登记试验单位证书有效期内，有下列情形之一的，应当向农业部重新申请：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（一）试验单位机构分设或者合并的；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（二）实验室地址发生变化或者设施条件发生重大变化的；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（三）试验范围增加的；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（四）其他事项。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农药登记试验单位证书有效期届满，需要继续从事农药登记试验的，应当在有效期届满六个月前，向农业部重新申请。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农药登记试验单位证书遗失、损坏的，应当说明原因并提供相关证明材料，及时向农业部申请补发。</w:t>
      </w:r>
    </w:p>
    <w:p>
      <w:pPr>
        <w:pStyle w:val="63"/>
        <w:spacing w:before="218" w:after="218" w:line="412" w:lineRule="exact"/>
        <w:rPr>
          <w:b/>
        </w:rPr>
      </w:pPr>
      <w:r>
        <w:t>第三章  试验备案与审批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开展农药登记试验之前，申请人应当向登记试验所在地省级农业部门备案。备案信息包括备案人、产品概述、试验项目、试验地点、试验单位、试验时间、安全防范措施等。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开展新农药登记试验的，应当向农业部提出申请，并提交以下资料：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（一）新农药登记试验申请表；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（二）境内外研发及境外登记情况；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（三）试验范围、试验地点（试验区域）及相关说明；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（四）产品化学信息及产品质量符合性检验报告；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（五）毒理学信息；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（六）作物安全性信息；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（七）环境安全信息；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（八）试验过程中存在或者可能存在的安全隐患；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（九）试验过程需要采取的安全性防范措施；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（十）申请人身份证明文件。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农业部对申请人提交的申请资料，应当根据下列情况分别作出处理：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（一）农药登记试验不需要批准的，即时告知申请者不予受理；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（二）申请资料存在错误的，允许申请者当场更正；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（三）申请资料不齐全或者不符合法定形式的，应当当场或者在五个工作日内一次告知申请者需要补正的全部内容，逾期不告知的，自收到申请资料之日起即为受理；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（四）申请资料齐全、符合法定形式，或者申请者按照要求提交全部补正资料的，予以受理。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农业部应当自受理之日起四十个工作日内对试验安全风险及其防范措施进行审查，作出审批决定。符合条件的，准予登记试验，颁发新农药登记试验批准证书；不符合条件的，书面通知申请人并说明理由。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新农药登记试验批准证书应当载明试验申请人、农药名称、剂型、有效成分及含量、试验范围，试验证书编号及有效期等事项。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新农药登记试验批准证书式样由农业部制定。证书编号规则为“SY+年号+顺序号”，年号为证书核发年份，用四位阿拉伯数字表示；顺序号用三位阿拉伯数字表示。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新农药登记试验批准证书有效期五年。五年之内未开展试验的，应当重新申请。</w:t>
      </w:r>
    </w:p>
    <w:p>
      <w:pPr>
        <w:pStyle w:val="63"/>
        <w:spacing w:before="218" w:after="218" w:line="412" w:lineRule="exact"/>
        <w:rPr>
          <w:b/>
        </w:rPr>
      </w:pPr>
      <w:r>
        <w:t>第四章  登记试验基本要求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农药登记试验样品应当是成熟定型的产品，具有产品鉴别方法、质量控制指标和检测方法。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申请人应当对试验样品的真实性和一致性负责。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申请人应当将试验样品提交所在地省级农药检定机构进行封样，提供农药名称、有效成分及其含量、剂型、样品生产日期、规格与数量、储存条件、质量保证期等信息，并附具产品质量符合性检验报告及相关谱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所封试验样品由省级农药检定机构和申请人各留存一份，保存期限不少于两年，其余样品由申请人送至登记试验单位开展试验。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封存试验样品不足以满足试验需求或者试验样品已超过保存期限，仍需要进行试验的，申请人应当按本办法规定重新封存样品。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申请人应当向农药登记试验单位提供试验样品的农药名称、含量、剂型、生产日期、储存条件、质量保证期等信息及安全风险防范措施。属于新农药的，还应当提供新农药登记试验批准证书复印件。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农药登记试验单位应当查验封样完整性、样品信息符合性。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农药登记试验单位接受申请人委托开展登记试验的，应当与申请人签订协议，明确双方权利与义务。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农药登记试验应当按照法定农药登记试验技术准则和方法进行。尚无法定技术准则和方法的，由申请人和登记试验单位协商确定，且应当保证试验的科学性和准确性。</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农药登记试验过程出现重大安全风险时，试验单位应当立即停止试验，采取相应措施防止风险进一步扩大，并报告试验所在地省级农业部门，通知申请人。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试验结束后，农药登记试验单位应当按照协议约定，向申请人出具规范的试验报告。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农药登记试验单位应当将试验计划、原始数据、标本、留样被试物和对照物、试验报告及与试验有关的文字材料保存至试验结束后至少七年，期满后可移交申请人保存。申请人应当保存至农药退市后至少五年。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质量容易变化的标本、被试物和对照物留样样品等，其保存期应以能够进行有效评价为期限。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试验单位应当长期保存组织机构、人员、质量保证部门检查记录、主计划表、标准操作规程等试验机构运行与质量管理记录。</w:t>
      </w:r>
    </w:p>
    <w:p>
      <w:pPr>
        <w:pStyle w:val="63"/>
        <w:spacing w:before="218" w:after="218" w:line="412" w:lineRule="exact"/>
        <w:rPr>
          <w:b/>
        </w:rPr>
      </w:pPr>
      <w:r>
        <w:t>第五章  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省级农业部门、农业部对农药登记试验单位和登记试验过程进行监督检查，重点检查以下内容：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（一）试验单位资质条件变化情况；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（二）重要试验设备、设施情况；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（三）试验地点、试验项目等备案信息是否相符；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（四）试验过程是否遵循法定的技术准则和方法；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（五）登记试验安全风险及其防范措施的落实情况；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（六）其他不符合农药登记试验质量管理规范要求或者影响登记试验质量的情况。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发现试验过程存在难以控制安全风险的，应当及时责令停止试验或者终止试验，并及时报告农业部。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发现试验单位不再符合规定条件的，应当责令改进或者限期整改，逾期拒不整改或者整改后仍达不到规定条件的，由农业部撤销其试验单位证书。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农药登记试验单位应当每年向农业部报送本年度执行农药登记试验质量管理规范的报告。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省级以上农业部门应当组织对农药登记试验所封存的农药试验样品的符合性和一致性进行监督检查，并及时将监督检查发现的问题报告农业部。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农药登记试验单位出具虚假登记试验报告的，依照《农药管理条例》第五十一条的规定处罚。</w:t>
      </w:r>
    </w:p>
    <w:p>
      <w:pPr>
        <w:pStyle w:val="63"/>
        <w:spacing w:before="218" w:after="218" w:line="412" w:lineRule="exact"/>
        <w:rPr>
          <w:b/>
        </w:rPr>
      </w:pPr>
      <w:r>
        <w:t>第六章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现有农药登记试验单位无法承担的试验项目，由农业部指定的单位承担。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本办法自2017年8月1日起施行。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在本办法施行前农业部公布的农药登记试验单位，在有效期内可继续从事农药登记试验；有效期届满，需要继续从事登记试验的，应当按照本办法的规定申请试验单位认定。</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206" w:name="_Toc15159"/>
      <w:bookmarkStart w:id="1207" w:name="_Toc18916785"/>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208" w:name="_Toc28157056"/>
      <w:bookmarkStart w:id="1209" w:name="_Toc26348034"/>
      <w:bookmarkStart w:id="1210" w:name="_Toc25648280"/>
      <w:bookmarkStart w:id="1211" w:name="_Toc28250984"/>
      <w:bookmarkStart w:id="1212" w:name="_Toc28252262"/>
      <w:bookmarkStart w:id="1213" w:name="_Toc25653776"/>
      <w:r>
        <w:t>农药标签和说明书管理办法</w:t>
      </w:r>
      <w:bookmarkEnd w:id="1206"/>
      <w:bookmarkEnd w:id="1207"/>
      <w:bookmarkEnd w:id="1208"/>
      <w:bookmarkEnd w:id="1209"/>
      <w:bookmarkEnd w:id="1210"/>
      <w:bookmarkEnd w:id="1211"/>
      <w:bookmarkEnd w:id="1212"/>
      <w:bookmarkEnd w:id="1213"/>
    </w:p>
    <w:p>
      <w:pPr>
        <w:pStyle w:val="62"/>
        <w:topLinePunct w:val="0"/>
        <w:ind w:firstLine="0" w:firstLineChars="0"/>
        <w:jc w:val="center"/>
      </w:pPr>
      <w:r>
        <w:t>（2017年6月21日</w:t>
      </w:r>
      <w:r>
        <w:rPr>
          <w:shd w:val="clear" w:color="auto" w:fill="FFFFFF"/>
        </w:rPr>
        <w:t>农业部</w:t>
      </w:r>
      <w:r>
        <w:t>令第7号公布）</w:t>
      </w:r>
    </w:p>
    <w:p>
      <w:pPr>
        <w:pStyle w:val="63"/>
        <w:spacing w:before="218" w:after="218" w:line="412" w:lineRule="exact"/>
        <w:rPr>
          <w:b/>
        </w:rPr>
      </w:pPr>
      <w:r>
        <w:t>第一章  总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为了规范农药标签和说明书的管理，保证农药使用的安全，根据《农药管理条例》，制定本办法。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在中国境内经营、使用的农药产品应当在包装物表面印制或者贴有标签。产品包装尺寸过小、标签无法标注本办法规定内容的，应当附具相应的说明书。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本办法所称标签和说明书，是指农药包装物上或者附于农药包装物的，以文字、图形、符号说明农药内容的一切说明物。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农药登记申请人应当在申请农药登记时提交农药标签样张及电子文档。附具说明书的农药，应当同时提交说明书样张及电子文档。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农药标签和说明书由农业部核准。农业部在批准农药登记时公布经核准的农药标签和说明书的内容、核准日期。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标签和说明书的内容应当真实、规范、准确，其文字、符号、图形应当易于辨认和阅读，不得擅自以粘贴、剪切、涂改等方式进行修改或者补充。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标签和说明书应当使用国家公布的规范化汉字，可以同时使用汉语拼音或者其他文字。其他文字表述的含义应当与汉字一致。</w:t>
      </w:r>
    </w:p>
    <w:p>
      <w:pPr>
        <w:pStyle w:val="63"/>
        <w:spacing w:before="218" w:after="218" w:line="412" w:lineRule="exact"/>
      </w:pPr>
      <w:r>
        <w:t>第二章  标注内容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asciiTheme="minorEastAsia" w:hAnsiTheme="minorEastAsia" w:eastAsiaTheme="minorEastAsia"/>
          <w:sz w:val="24"/>
          <w:szCs w:val="24"/>
        </w:rPr>
        <w:t xml:space="preserve">  农药标签应当标注下列内容：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（一）农药名称、剂型、有效成分及其含量；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（二）农药登记证号、产品质量标准号以及农药生产许可证号；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（三）农药类别及其颜色标志带、产品性能、毒性及其标识；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（四）使用范围、使用方法、剂量、使用技术要求和注意事项；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（五）中毒急救措施；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（六）储存和运输方法；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（七）生产日期、产品批号、质量保证期、净含量；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（八）农药登记证持有人名称及其联系方式；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（九）可追溯电子信息码；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（十）像形图；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（十一）农业部要求标注的其他内容。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除第八条规定内容外，下列农药标签标注内容还应当符合相应要求：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（一）原药（母药）产品应当注明“本品是农药制剂加工的原材料，不得用于农作物或者其他场所。”且不标注使用技术和使用方法。但是，经登记批准允许直接使用的除外；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（二）限制使用农药应当标注“限制使用”字样，并注明对使用的特别限制和特殊要求；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（三）用于食用农产品的农药应当标注安全间隔期，但属于第十八条第三款所列情形的除外；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（四）杀鼠剂产品应当标注规定的杀鼠剂图形；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（五）直接使用的卫生用农药可以不标注特征颜色标志带；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（六）委托加工或者分装农药的标签还应当注明受托人的农药生产许可证号、受托人名称及其联系方式和加工、分装日期；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（七）向中国出口的农药可以不标注农药生产许可证号，应当标注其境外生产地，以及在中国设立的办事机构或者代理机构的名称及联系方式。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农药标签过小，无法标注规定全部内容的，应当至少标注农药名称、有效成分含量、剂型、农药登记证号、净含量、生产日期、质量保证期等内容，同时附具说明书。说明书应当标注规定的全部内容。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登记的使用范围较多，在标签中无法全部标注的，可以根据需要，在标签中标注部分使用范围，但应当附具说明书并标注全部使用范围。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农药名称应当与农药登记证的农药名称一致。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联系方式包括农药登记证持有人、企业或者机构的住所和生产地的地址、邮政编码、联系电话、传真等。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生产日期应当按照年、月、日的顺序标注，年份用四位数字表示，月、日分别用两位数表示。产品批号包含生产日期的，可以与生产日期合并表示。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质量保证期应当规定在正常条件下的质量保证期限，质量保证期也可以用有效日期或者失效日期表示。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净含量应当使用国家法定计量单位表示。特殊农药产品，可根据其特性以适当方式表示。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产品性能主要包括产品的基本性质、主要功能、作用特点等。对农药产品性能的描述应当与农药登记批准的使用范围、使用方法相符。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asciiTheme="minorEastAsia" w:hAnsiTheme="minorEastAsia" w:eastAsiaTheme="minorEastAsia"/>
          <w:sz w:val="24"/>
          <w:szCs w:val="24"/>
        </w:rPr>
        <w:t xml:space="preserve">  使用范围主要包括适用作物或者场所、防治对象。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使用方法是指施用方式。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使用剂量以每亩使用该产品的制剂量或者稀释倍数表示。种子处理剂的使用剂量采用每100公斤种子使用该产品的制剂量表示。特殊用途的农药，使用剂量的表述应当与农药登记批准的内容一致。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使用技术要求主要包括施用条件、施药时期、次数、最多使用次数，对当茬作物、后茬作物的影响及预防措施，以及后茬仅能种植的作物或者后茬不能种植的作物、间隔时间等。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限制使用农药，应当在标签上注明施药后设立警示标志，并明确人畜允许进入的间隔时间。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安全间隔期及农作物每个生产周期的最多使用次数的标注应当符合农业生产、农药使用实际。下列农药标签可以不标注安全间隔期：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（一）用于非食用作物的农药；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（二）拌种、包衣、浸种等用于种子处理的农药；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（三）用于非耕地（牧场除外）的农药；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（四）用于苗前土壤处理剂的农药；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（五）仅在农作物苗期使用一次的农药；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（六）非全面撒施使用的杀鼠剂；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（七）卫生用农药；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（八）其他特殊情形。</w:t>
      </w:r>
    </w:p>
    <w:p>
      <w:pPr>
        <w:pStyle w:val="3"/>
        <w:topLinePunct/>
        <w:spacing w:line="412" w:lineRule="exact"/>
        <w:ind w:firstLine="482"/>
        <w:textAlignment w:val="center"/>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毒性分为剧毒、高毒、中等毒、低毒、微毒五个级别，分别用“</w:t>
      </w:r>
      <w:r>
        <w:rPr>
          <w:rFonts w:asciiTheme="minorEastAsia" w:hAnsiTheme="minorEastAsia" w:eastAsiaTheme="minorEastAsia"/>
          <w:sz w:val="24"/>
          <w:szCs w:val="24"/>
        </w:rPr>
        <w:drawing>
          <wp:inline distT="0" distB="0" distL="0" distR="0">
            <wp:extent cx="304800" cy="2730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6"/>
                    <a:srcRect/>
                    <a:stretch>
                      <a:fillRect/>
                    </a:stretch>
                  </pic:blipFill>
                  <pic:spPr>
                    <a:xfrm>
                      <a:off x="0" y="0"/>
                      <a:ext cx="304800" cy="273050"/>
                    </a:xfrm>
                    <a:prstGeom prst="rect">
                      <a:avLst/>
                    </a:prstGeom>
                    <a:noFill/>
                    <a:ln w="9525">
                      <a:noFill/>
                      <a:miter lim="800000"/>
                      <a:headEnd/>
                      <a:tailEnd/>
                    </a:ln>
                  </pic:spPr>
                </pic:pic>
              </a:graphicData>
            </a:graphic>
          </wp:inline>
        </w:drawing>
      </w:r>
      <w:r>
        <w:rPr>
          <w:rFonts w:asciiTheme="minorEastAsia" w:hAnsiTheme="minorEastAsia" w:eastAsiaTheme="minorEastAsia"/>
          <w:sz w:val="24"/>
          <w:szCs w:val="24"/>
        </w:rPr>
        <w:t>”标识和“剧毒”字样、“</w:t>
      </w:r>
      <w:r>
        <w:rPr>
          <w:rFonts w:asciiTheme="minorEastAsia" w:hAnsiTheme="minorEastAsia" w:eastAsiaTheme="minorEastAsia"/>
          <w:sz w:val="24"/>
          <w:szCs w:val="24"/>
        </w:rPr>
        <w:drawing>
          <wp:inline distT="0" distB="0" distL="0" distR="0">
            <wp:extent cx="304800" cy="2730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6"/>
                    <a:srcRect/>
                    <a:stretch>
                      <a:fillRect/>
                    </a:stretch>
                  </pic:blipFill>
                  <pic:spPr>
                    <a:xfrm>
                      <a:off x="0" y="0"/>
                      <a:ext cx="304800" cy="273050"/>
                    </a:xfrm>
                    <a:prstGeom prst="rect">
                      <a:avLst/>
                    </a:prstGeom>
                    <a:noFill/>
                    <a:ln w="9525">
                      <a:noFill/>
                      <a:miter lim="800000"/>
                      <a:headEnd/>
                      <a:tailEnd/>
                    </a:ln>
                  </pic:spPr>
                </pic:pic>
              </a:graphicData>
            </a:graphic>
          </wp:inline>
        </w:drawing>
      </w:r>
      <w:r>
        <w:rPr>
          <w:rFonts w:asciiTheme="minorEastAsia" w:hAnsiTheme="minorEastAsia" w:eastAsiaTheme="minorEastAsia"/>
          <w:sz w:val="24"/>
          <w:szCs w:val="24"/>
        </w:rPr>
        <w:t>”标识和“高毒”字样、“</w:t>
      </w:r>
      <w:r>
        <w:rPr>
          <w:rFonts w:asciiTheme="minorEastAsia" w:hAnsiTheme="minorEastAsia" w:eastAsiaTheme="minorEastAsia"/>
          <w:sz w:val="24"/>
          <w:szCs w:val="24"/>
        </w:rPr>
        <w:drawing>
          <wp:inline distT="0" distB="0" distL="0" distR="0">
            <wp:extent cx="336550" cy="349250"/>
            <wp:effectExtent l="19050" t="0" r="635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67"/>
                    <a:srcRect/>
                    <a:stretch>
                      <a:fillRect/>
                    </a:stretch>
                  </pic:blipFill>
                  <pic:spPr>
                    <a:xfrm>
                      <a:off x="0" y="0"/>
                      <a:ext cx="336550" cy="349250"/>
                    </a:xfrm>
                    <a:prstGeom prst="rect">
                      <a:avLst/>
                    </a:prstGeom>
                    <a:noFill/>
                    <a:ln w="9525">
                      <a:noFill/>
                      <a:miter lim="800000"/>
                      <a:headEnd/>
                      <a:tailEnd/>
                    </a:ln>
                  </pic:spPr>
                </pic:pic>
              </a:graphicData>
            </a:graphic>
          </wp:inline>
        </w:drawing>
      </w:r>
      <w:r>
        <w:rPr>
          <w:rFonts w:asciiTheme="minorEastAsia" w:hAnsiTheme="minorEastAsia" w:eastAsiaTheme="minorEastAsia"/>
          <w:sz w:val="24"/>
          <w:szCs w:val="24"/>
        </w:rPr>
        <w:t>”标识和“中等毒”字样、“</w:t>
      </w:r>
      <w:r>
        <w:rPr>
          <w:rFonts w:asciiTheme="minorEastAsia" w:hAnsiTheme="minorEastAsia" w:eastAsiaTheme="minorEastAsia"/>
          <w:sz w:val="24"/>
          <w:szCs w:val="24"/>
        </w:rPr>
        <w:drawing>
          <wp:inline distT="0" distB="0" distL="0" distR="0">
            <wp:extent cx="387350" cy="374650"/>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68"/>
                    <a:srcRect/>
                    <a:stretch>
                      <a:fillRect/>
                    </a:stretch>
                  </pic:blipFill>
                  <pic:spPr>
                    <a:xfrm>
                      <a:off x="0" y="0"/>
                      <a:ext cx="387350" cy="374650"/>
                    </a:xfrm>
                    <a:prstGeom prst="rect">
                      <a:avLst/>
                    </a:prstGeom>
                    <a:noFill/>
                    <a:ln w="9525">
                      <a:noFill/>
                      <a:miter lim="800000"/>
                      <a:headEnd/>
                      <a:tailEnd/>
                    </a:ln>
                  </pic:spPr>
                </pic:pic>
              </a:graphicData>
            </a:graphic>
          </wp:inline>
        </w:drawing>
      </w:r>
      <w:r>
        <w:rPr>
          <w:rFonts w:asciiTheme="minorEastAsia" w:hAnsiTheme="minorEastAsia" w:eastAsiaTheme="minorEastAsia"/>
          <w:sz w:val="24"/>
          <w:szCs w:val="24"/>
        </w:rPr>
        <w:t>”标识、“微毒”字样标注。标识应当为黑色，描述文字应当为红色。。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由剧毒、高毒农药原药加工的制剂产品，其毒性级别与原药的最高毒性级别不一致时，应当同时以括号标明其所使用的原药的最高毒性级别。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注意事项应当标注以下内容：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（一）对农作物容易产生药害，或者对病虫容易产生抗性的，应当标明主要原因和预防方法；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（二）对人畜、周边作物或者植物、有益生物（如蜜蜂、鸟、蚕、蚯蚓、天敌及鱼、水蚤等水生生物）和环境容易产生不利影响的，应当明确说明，并标注使用时的预防措施、施用器械的清洗要求；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（三）已知与其他农药等物质不能混合使用的，应当标明；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（四）开启包装物时容易出现药剂撒漏或者人身伤害的，应当标明正确的开启方法；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（五）施用时应当采取的安全防护措施；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（六）国家规定禁止的使用范围或者使用方法等。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asciiTheme="minorEastAsia" w:hAnsiTheme="minorEastAsia" w:eastAsiaTheme="minorEastAsia"/>
          <w:sz w:val="24"/>
          <w:szCs w:val="24"/>
        </w:rPr>
        <w:t xml:space="preserve">  中毒急救措施应当包括中毒症状及误食、吸入、眼睛溅入、皮肤沾附农药后的急救和治疗措施等内容。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有专用解毒剂的，应当标明，并标注医疗建议。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剧毒、高毒农药应当标明中毒急救咨询电话。</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asciiTheme="minorEastAsia" w:hAnsiTheme="minorEastAsia" w:eastAsiaTheme="minorEastAsia"/>
          <w:sz w:val="24"/>
          <w:szCs w:val="24"/>
        </w:rPr>
        <w:t xml:space="preserve">  储存和运输方法应当包括储存时的光照、温度、湿度、通风等环境条件要求及装卸、运输时的注意事项，并标明“置于儿童接触不到的地方”、“不能与食品、饮料、粮食、饲料等混合储存”等警示内容。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asciiTheme="minorEastAsia" w:hAnsiTheme="minorEastAsia" w:eastAsiaTheme="minorEastAsia"/>
          <w:sz w:val="24"/>
          <w:szCs w:val="24"/>
        </w:rPr>
        <w:t xml:space="preserve">  农药类别应当采用相应的文字和特征颜色标志带表示。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不同类别的农药采用在标签底部加一条与底边平行的、不褪色的特征颜色标志带表示。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除草剂用“除草剂”字样和绿色带表示；杀虫（螨、软体动物）剂用“杀虫剂”或者“杀螨剂”、“杀软体动物剂”字样和红色带表示；杀菌（线虫）剂用“杀菌剂”或者“杀线虫剂”字样和黑色带表示；植物生长调节剂用“植物生长调节剂”字样和深黄色带表示；杀鼠剂用“杀鼠剂”字样和蓝色带表示；杀虫/杀菌剂用“杀虫/杀菌剂”字样、红色和黑色带表示。农药类别的描述文字应当镶嵌在标志带上，颜色与其形成明显反差。其他农药可以不标注特征颜色标志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可追溯电子信息码应当以二维码等形式标注，能够扫描识别农药名称、农药登记证持有人名称等信息。信息码不得含有违反本办法规定的文字、符号、图形。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可追溯电子信息码格式及生成要求由农业部另行制定。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asciiTheme="minorEastAsia" w:hAnsiTheme="minorEastAsia" w:eastAsiaTheme="minorEastAsia"/>
          <w:sz w:val="24"/>
          <w:szCs w:val="24"/>
        </w:rPr>
        <w:t xml:space="preserve">  像形图包括储存像形图、操作像形图、忠告像形图、警告像形图。像形图应当根据产品安全使用措施的需要选择，并按照产品实际使用的操作要求和顺序排列，但不得代替标签中必要的文字说明。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asciiTheme="minorEastAsia" w:hAnsiTheme="minorEastAsia" w:eastAsiaTheme="minorEastAsia"/>
          <w:sz w:val="24"/>
          <w:szCs w:val="24"/>
        </w:rPr>
        <w:t xml:space="preserve">  标签和说明书不得标注任何带有宣传、广告色彩的文字、符号、图形，不得标注企业获奖和荣誉称号。法律、法规或者规章另有规定的，从其规定。</w:t>
      </w:r>
    </w:p>
    <w:p>
      <w:pPr>
        <w:pStyle w:val="63"/>
        <w:spacing w:before="218" w:after="218" w:line="412" w:lineRule="exact"/>
      </w:pPr>
      <w:r>
        <w:t>第三章  制作、使用和管理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asciiTheme="minorEastAsia" w:hAnsiTheme="minorEastAsia" w:eastAsiaTheme="minorEastAsia"/>
          <w:sz w:val="24"/>
          <w:szCs w:val="24"/>
        </w:rPr>
        <w:t xml:space="preserve">  每个农药最小包装应当印制或者贴有独立标签，不得与其他农药共用标签或者使用同一标签。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asciiTheme="minorEastAsia" w:hAnsiTheme="minorEastAsia" w:eastAsiaTheme="minorEastAsia"/>
          <w:sz w:val="24"/>
          <w:szCs w:val="24"/>
        </w:rPr>
        <w:t xml:space="preserve">  标签上汉字的字体高度不得小于1.8毫米。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asciiTheme="minorEastAsia" w:hAnsiTheme="minorEastAsia" w:eastAsiaTheme="minorEastAsia"/>
          <w:sz w:val="24"/>
          <w:szCs w:val="24"/>
        </w:rPr>
        <w:t xml:space="preserve">  农药名称应当显著、突出，字体、字号、颜色应当一致，并符合以下要求：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（一）对于横版标签，应当在标签上部三分之一范围内中间位置显著标出；对于竖版标签，应当在标签右部三分之一范围内中间位置显著标出；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（二）不得使用草书、篆书等不易识别的字体，不得使用斜体、中空、阴影等形式对字体进行修饰；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（三）字体颜色应当与背景颜色形成强烈反差；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（四）除因包装尺寸的限制无法同行书写外，不得分行书写。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除“限制使用”字样外，标签其他文字内容的字号不得超过农药名称的字号。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有效成分及其含量和剂型应当醒目标注在农药名称的正下方（横版标签）或者正左方（竖版标签）相邻位置（直接使用的卫生用农药可以不再标注剂型名称），字体高度不得小于农药名称的二分之一。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混配制剂应当标注总有效成分含量以及各有效成分的中文通用名称和含量。各有效成分的中文通用名称及含量应当醒目标注在农药名称的正下方（横版标签）或者正左方（竖版标签），字体、字号、颜色应当一致，字体高度不得小于农药名称的二分之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asciiTheme="minorEastAsia" w:hAnsiTheme="minorEastAsia" w:eastAsiaTheme="minorEastAsia"/>
          <w:sz w:val="24"/>
          <w:szCs w:val="24"/>
        </w:rPr>
        <w:t xml:space="preserve">  农药标签和说明书不得使用未经注册的商标。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标签使用注册商标的，应当标注在标签的四角，所占面积不得超过标签面积的九分之一，其文字部分的字号不得大于农药名称的字号。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毒性及其标识应当标注在有效成分含量和剂型的正下方（横版标签）或者正左方（竖版标签），并与背景颜色形成强烈反差。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像形图应当用黑白两种颜色印刷，一般位于标签底部，其尺寸应当与标签的尺寸相协调。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安全</w:t>
      </w:r>
      <w:r>
        <w:rPr>
          <w:rFonts w:asciiTheme="minorEastAsia" w:hAnsiTheme="minorEastAsia" w:eastAsiaTheme="minorEastAsia"/>
          <w:spacing w:val="-4"/>
          <w:sz w:val="24"/>
          <w:szCs w:val="24"/>
        </w:rPr>
        <w:t>间隔期及施药次数应当醒目标注，字号大于使用技术要求其他文字的字号。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“限制使用”字样，应当以红色标注在农药标签正面右上角或者左上角，并与背景颜色形成强烈反差，其字号不得小于农药名称的字号。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asciiTheme="minorEastAsia" w:hAnsiTheme="minorEastAsia" w:eastAsiaTheme="minorEastAsia"/>
          <w:sz w:val="24"/>
          <w:szCs w:val="24"/>
        </w:rPr>
        <w:t xml:space="preserve">  标签中不得含有虚假、误导使用者的内容，有下列情形之一的，属于虚假、误导使用者的内容：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（一）误导使用者扩大使用范围、加大用药剂量或者改变使用方法的；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（二）卫生用农药标注适用于儿童、孕妇、过敏者等特殊人群的文字、符号、图形等；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（三）夸大产品性能及效果、虚假宣传、贬低其他产品或者与其他产品相比较，容易给使用者造成误解或者混淆的；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（四）利用任何单位或者个人的名义、形象作证明或者推荐的；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（五）含有保证高产、增产、铲除、根除等断言或者保证，含有速效等绝对化语言和表示的；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（六）含有保险公司保险、无效退款等承诺性语言的；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（七）其他虚假、误导使用者的内容。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asciiTheme="minorEastAsia" w:hAnsiTheme="minorEastAsia" w:eastAsiaTheme="minorEastAsia"/>
          <w:sz w:val="24"/>
          <w:szCs w:val="24"/>
        </w:rPr>
        <w:t xml:space="preserve">  标签和说明书上不得出现未经登记批准的使用范围或者使用方法的文字、图形、符号。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第三十六条</w:t>
      </w:r>
      <w:r>
        <w:rPr>
          <w:rFonts w:asciiTheme="minorEastAsia" w:hAnsiTheme="minorEastAsia" w:eastAsiaTheme="minorEastAsia"/>
          <w:sz w:val="24"/>
          <w:szCs w:val="24"/>
        </w:rPr>
        <w:t xml:space="preserve">  除本办法规定应当标注的农药登记证持有人、企业或者机构名称及其联系方式之外，标签不得标注其他任何企业或者机构的名称及其联系方式。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产品毒性、注意事项、技术要求等与农药产品安全性、有效性有关的标注内容经核准后不得擅自改变，许可证书编号、生产日期、企业联系方式等产品证明性、企业相关性信息由企业自主标注，并对真实性负责。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asciiTheme="minorEastAsia" w:hAnsiTheme="minorEastAsia" w:eastAsiaTheme="minorEastAsia"/>
          <w:sz w:val="24"/>
          <w:szCs w:val="24"/>
        </w:rPr>
        <w:t xml:space="preserve">  农药登记证持有人变更标签或者说明书有关产品安全性和有效性内容的，应当向农业部申请重新核准。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农业部应当在三个月内作出核准决定。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农业部根据监测与评价结果等信息，可以要求农药登记证持有人修改标签和说明书，并重新核准。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农药登记证载明事项发生变化的，农业部在作出准予农药登记变更决定的同时，对其农药标签予以重新核准。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第四十条</w:t>
      </w:r>
      <w:r>
        <w:rPr>
          <w:rFonts w:asciiTheme="minorEastAsia" w:hAnsiTheme="minorEastAsia" w:eastAsiaTheme="minorEastAsia"/>
          <w:sz w:val="24"/>
          <w:szCs w:val="24"/>
        </w:rPr>
        <w:t xml:space="preserve">  标签和说明书重新核准三个月后，不得继续使用原标签和说明书。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违反本办法的，依照《农药管理条例》有关规定处罚。</w:t>
      </w:r>
    </w:p>
    <w:p>
      <w:pPr>
        <w:pStyle w:val="63"/>
        <w:spacing w:before="218" w:after="218" w:line="412" w:lineRule="exact"/>
      </w:pPr>
      <w:r>
        <w:t>第四章  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第四十二条</w:t>
      </w:r>
      <w:r>
        <w:rPr>
          <w:rFonts w:asciiTheme="minorEastAsia" w:hAnsiTheme="minorEastAsia" w:eastAsiaTheme="minorEastAsia"/>
          <w:sz w:val="24"/>
          <w:szCs w:val="24"/>
        </w:rPr>
        <w:t xml:space="preserve">  本办法自2017年8月1日起施行。2007年12月8日农业部公布的《农药标签和说明书管理办法》同时废止。</w:t>
      </w:r>
    </w:p>
    <w:p>
      <w:pPr>
        <w:pStyle w:val="3"/>
        <w:topLinePunct/>
        <w:spacing w:line="412" w:lineRule="exact"/>
        <w:ind w:firstLine="480"/>
        <w:rPr>
          <w:rFonts w:asciiTheme="minorEastAsia" w:hAnsiTheme="minorEastAsia"/>
          <w:b/>
          <w:bCs/>
          <w:kern w:val="0"/>
          <w:sz w:val="24"/>
          <w:szCs w:val="24"/>
        </w:rPr>
      </w:pPr>
      <w:r>
        <w:rPr>
          <w:rFonts w:asciiTheme="minorEastAsia" w:hAnsiTheme="minorEastAsia" w:eastAsiaTheme="minorEastAsia"/>
          <w:sz w:val="24"/>
          <w:szCs w:val="24"/>
        </w:rPr>
        <w:t>现有产品标签或者说明书与本办法不符的，应当自2018年1月1日起使用符合本办法规定的标签和说明书。</w:t>
      </w:r>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1214" w:name="_Toc466579959"/>
      <w:bookmarkStart w:id="1215" w:name="_Toc26396"/>
      <w:bookmarkStart w:id="1216" w:name="_Toc18916792"/>
    </w:p>
    <w:p>
      <w:pPr>
        <w:pStyle w:val="61"/>
      </w:pPr>
      <w:bookmarkStart w:id="1217" w:name="_Toc25653777"/>
      <w:bookmarkStart w:id="1218" w:name="_Toc28157057"/>
      <w:bookmarkStart w:id="1219" w:name="_Toc28252263"/>
      <w:bookmarkStart w:id="1220" w:name="_Toc26348035"/>
      <w:bookmarkStart w:id="1221" w:name="_Toc28250985"/>
      <w:bookmarkStart w:id="1222" w:name="_Toc25648281"/>
      <w:r>
        <w:t>肥料登记管理办法</w:t>
      </w:r>
      <w:bookmarkEnd w:id="1214"/>
      <w:bookmarkEnd w:id="1215"/>
      <w:bookmarkEnd w:id="1216"/>
      <w:bookmarkEnd w:id="1217"/>
      <w:bookmarkEnd w:id="1218"/>
      <w:bookmarkEnd w:id="1219"/>
      <w:bookmarkEnd w:id="1220"/>
      <w:bookmarkEnd w:id="1221"/>
      <w:bookmarkEnd w:id="1222"/>
    </w:p>
    <w:p>
      <w:pPr>
        <w:pStyle w:val="62"/>
      </w:pPr>
      <w:r>
        <w:t>（2000年6月23日农业部令第32号公布，根据2004年7月1日农业部令第38号发布施行的《农业部关于修订农业行政许可规章和规范性文件的决定》第一次修订，根据2017年11月30日中华人民共和国农业部令第8号公布的、自公布之日起施行《农业部关于修改和废止部分规章、规范性文件的决定》第二次修订）</w:t>
      </w:r>
    </w:p>
    <w:p>
      <w:pPr>
        <w:pStyle w:val="63"/>
        <w:spacing w:before="218" w:after="218" w:line="412" w:lineRule="exact"/>
        <w:rPr>
          <w:b/>
          <w:kern w:val="0"/>
        </w:rPr>
      </w:pPr>
      <w:r>
        <w:rPr>
          <w:kern w:val="0"/>
        </w:rPr>
        <w:t xml:space="preserve">第一章 </w:t>
      </w:r>
      <w:r>
        <w:rPr>
          <w:rFonts w:hint="eastAsia"/>
          <w:kern w:val="0"/>
        </w:rPr>
        <w:t xml:space="preserve"> </w:t>
      </w:r>
      <w:r>
        <w:rPr>
          <w:kern w:val="0"/>
        </w:rPr>
        <w:t>总</w:t>
      </w:r>
      <w:r>
        <w:rPr>
          <w:rFonts w:hint="eastAsia"/>
          <w:kern w:val="0"/>
        </w:rPr>
        <w:t xml:space="preserve">  </w:t>
      </w:r>
      <w:r>
        <w:rPr>
          <w:kern w:val="0"/>
        </w:rPr>
        <w:t>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第一条  </w:t>
      </w:r>
      <w:r>
        <w:rPr>
          <w:rFonts w:asciiTheme="minorEastAsia" w:hAnsiTheme="minorEastAsia" w:eastAsiaTheme="minorEastAsia"/>
          <w:kern w:val="0"/>
          <w:sz w:val="24"/>
          <w:szCs w:val="24"/>
        </w:rPr>
        <w:t>为了加强肥料管理，保护生态环境，保障人畜安全，促进农业生产，根据《中华人民共和国农业法》等法律、法规，制定本办法。</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第二条  </w:t>
      </w:r>
      <w:r>
        <w:rPr>
          <w:rFonts w:asciiTheme="minorEastAsia" w:hAnsiTheme="minorEastAsia" w:eastAsiaTheme="minorEastAsia"/>
          <w:kern w:val="0"/>
          <w:sz w:val="24"/>
          <w:szCs w:val="24"/>
        </w:rPr>
        <w:t>在中华人民共和国境内生产、经营、使用和宣传肥料产品，应当遵守本办法。</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第三条  </w:t>
      </w:r>
      <w:r>
        <w:rPr>
          <w:rFonts w:asciiTheme="minorEastAsia" w:hAnsiTheme="minorEastAsia" w:eastAsiaTheme="minorEastAsia"/>
          <w:kern w:val="0"/>
          <w:sz w:val="24"/>
          <w:szCs w:val="24"/>
        </w:rPr>
        <w:t>本办法所称肥料，是指用于提供、保持或改善植物营养和土壤物理、化学性能以及生物活性，能提高农产品产量，或改善农产品品质，或增强植物抗逆性的有机、无机、微生物及其混合物料。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第四条  </w:t>
      </w:r>
      <w:r>
        <w:rPr>
          <w:rFonts w:asciiTheme="minorEastAsia" w:hAnsiTheme="minorEastAsia" w:eastAsiaTheme="minorEastAsia"/>
          <w:kern w:val="0"/>
          <w:sz w:val="24"/>
          <w:szCs w:val="24"/>
        </w:rPr>
        <w:t>国家鼓励研制、生产和使用安全、高效、经济的肥料产品。</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第五条  </w:t>
      </w:r>
      <w:r>
        <w:rPr>
          <w:rFonts w:asciiTheme="minorEastAsia" w:hAnsiTheme="minorEastAsia" w:eastAsiaTheme="minorEastAsia"/>
          <w:kern w:val="0"/>
          <w:sz w:val="24"/>
          <w:szCs w:val="24"/>
        </w:rPr>
        <w:t>实行肥料产品登记管理制度，未经登记的肥料产品不得进口、生产、销售和使用，不得进行广告宣传。</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第六条  </w:t>
      </w:r>
      <w:r>
        <w:rPr>
          <w:rFonts w:asciiTheme="minorEastAsia" w:hAnsiTheme="minorEastAsia" w:eastAsiaTheme="minorEastAsia"/>
          <w:kern w:val="0"/>
          <w:sz w:val="24"/>
          <w:szCs w:val="24"/>
        </w:rPr>
        <w:t>农业部负责全国肥料登记和监督管理工作。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省、自治区、直辖市人民政府农业行政主管部门协助农业部做好本行政区域内的肥料登记工作。</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县级以上地方人民政府农业行政主管部门负责本行政区域内的肥料监督管理工作。</w:t>
      </w:r>
    </w:p>
    <w:p>
      <w:pPr>
        <w:pStyle w:val="63"/>
        <w:spacing w:before="218" w:after="218" w:line="412" w:lineRule="exact"/>
        <w:rPr>
          <w:kern w:val="0"/>
        </w:rPr>
      </w:pPr>
      <w:r>
        <w:rPr>
          <w:kern w:val="0"/>
        </w:rPr>
        <w:t xml:space="preserve">第二章 </w:t>
      </w:r>
      <w:r>
        <w:rPr>
          <w:rFonts w:hint="eastAsia"/>
          <w:kern w:val="0"/>
        </w:rPr>
        <w:t xml:space="preserve"> </w:t>
      </w:r>
      <w:r>
        <w:rPr>
          <w:kern w:val="0"/>
        </w:rPr>
        <w:t>登记申请</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第七条  </w:t>
      </w:r>
      <w:r>
        <w:rPr>
          <w:rFonts w:asciiTheme="minorEastAsia" w:hAnsiTheme="minorEastAsia" w:eastAsiaTheme="minorEastAsia"/>
          <w:kern w:val="0"/>
          <w:sz w:val="24"/>
          <w:szCs w:val="24"/>
        </w:rPr>
        <w:t>凡经工商注册，具有独立法人资格的肥料生产者均可提出肥料登记申请。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第八条  </w:t>
      </w:r>
      <w:r>
        <w:rPr>
          <w:rFonts w:asciiTheme="minorEastAsia" w:hAnsiTheme="minorEastAsia" w:eastAsiaTheme="minorEastAsia"/>
          <w:kern w:val="0"/>
          <w:sz w:val="24"/>
          <w:szCs w:val="24"/>
        </w:rPr>
        <w:t>农业部制定并发布《肥料登记资料要求》。</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肥料生产者申请肥料登记，应按照《肥料登记资料要求》提供产品化学、肥效、安全性、标签等方面资料和有代表性的肥料样品。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第九条  </w:t>
      </w:r>
      <w:r>
        <w:rPr>
          <w:rFonts w:asciiTheme="minorEastAsia" w:hAnsiTheme="minorEastAsia" w:eastAsiaTheme="minorEastAsia"/>
          <w:kern w:val="0"/>
          <w:sz w:val="24"/>
          <w:szCs w:val="24"/>
        </w:rPr>
        <w:t>农业部负责办理肥料登记受理手续，并审查登记申请资料是否齐全。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境内生产者申请肥料登记，其申请登记资料应经其所在地省级农业行政主管部门初审后，向农业部提出申请。</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第十条  </w:t>
      </w:r>
      <w:r>
        <w:rPr>
          <w:rFonts w:asciiTheme="minorEastAsia" w:hAnsiTheme="minorEastAsia" w:eastAsiaTheme="minorEastAsia"/>
          <w:kern w:val="0"/>
          <w:sz w:val="24"/>
          <w:szCs w:val="24"/>
        </w:rPr>
        <w:t>生产者申请肥料登记前，须在中国境内进行规范的田间试验。</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对有国家标准或行业标准，或肥料登记评审委员会建议经农业部认定的产品类型，可相应减免田间试验。</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第十一条  </w:t>
      </w:r>
      <w:r>
        <w:rPr>
          <w:rFonts w:asciiTheme="minorEastAsia" w:hAnsiTheme="minorEastAsia" w:eastAsiaTheme="minorEastAsia"/>
          <w:kern w:val="0"/>
          <w:sz w:val="24"/>
          <w:szCs w:val="24"/>
        </w:rPr>
        <w:t>生产者可按要求自行开展肥料田间试验，也可委托有关单位开展，生产者和试验单位对所出具的试验报告的真实性承担法律责任。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第十二条  </w:t>
      </w:r>
      <w:r>
        <w:rPr>
          <w:rFonts w:asciiTheme="minorEastAsia" w:hAnsiTheme="minorEastAsia" w:eastAsiaTheme="minorEastAsia"/>
          <w:kern w:val="0"/>
          <w:sz w:val="24"/>
          <w:szCs w:val="24"/>
        </w:rPr>
        <w:t>有下列情形的肥料产品，登记申请不予受理：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（一）没有生产国使用证明（登记注册）的国外产品；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（二）不符合国家产业政策的产品；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（三）知识产权有争议的产品；</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（四）不符合国家有关安全、卫生、环保等国家或行业标准要求的产品。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第十三条  </w:t>
      </w:r>
      <w:r>
        <w:rPr>
          <w:rFonts w:asciiTheme="minorEastAsia" w:hAnsiTheme="minorEastAsia" w:eastAsiaTheme="minorEastAsia"/>
          <w:kern w:val="0"/>
          <w:sz w:val="24"/>
          <w:szCs w:val="24"/>
        </w:rPr>
        <w:t>对经农田长期使用，有国家或行业标准的下列产品免予登记：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硫酸铵，尿素，硝酸铵，氰氨化钙，磷酸铵（磷酸一铵、二铵），硝酸磷肥，过磷酸钙，氯化钾，硫酸钾，硝酸钾，氯化铵，碳酸氢铵，钙镁磷肥，磷酸二氢钾，单一微量元素肥，高浓度复合肥。</w:t>
      </w:r>
    </w:p>
    <w:p>
      <w:pPr>
        <w:pStyle w:val="63"/>
        <w:spacing w:before="218" w:after="218" w:line="412" w:lineRule="exact"/>
        <w:rPr>
          <w:kern w:val="0"/>
        </w:rPr>
      </w:pPr>
      <w:r>
        <w:rPr>
          <w:kern w:val="0"/>
        </w:rPr>
        <w:t>第三章</w:t>
      </w:r>
      <w:r>
        <w:rPr>
          <w:rFonts w:hint="eastAsia"/>
          <w:kern w:val="0"/>
        </w:rPr>
        <w:t xml:space="preserve">  </w:t>
      </w:r>
      <w:r>
        <w:rPr>
          <w:kern w:val="0"/>
        </w:rPr>
        <w:t>登记审批</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第十四条  </w:t>
      </w:r>
      <w:r>
        <w:rPr>
          <w:rFonts w:asciiTheme="minorEastAsia" w:hAnsiTheme="minorEastAsia" w:eastAsiaTheme="minorEastAsia"/>
          <w:kern w:val="0"/>
          <w:sz w:val="24"/>
          <w:szCs w:val="24"/>
        </w:rPr>
        <w:t>农业部负责全国肥料的登记审批、登记证发放和公告工作。</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第十五条  </w:t>
      </w:r>
      <w:r>
        <w:rPr>
          <w:rFonts w:asciiTheme="minorEastAsia" w:hAnsiTheme="minorEastAsia" w:eastAsiaTheme="minorEastAsia"/>
          <w:kern w:val="0"/>
          <w:sz w:val="24"/>
          <w:szCs w:val="24"/>
        </w:rPr>
        <w:t>农业部聘请技术专家和管理专家组织成立肥料登记评审委员会，负责对申请登记肥料产品的产品化学、肥效和安全性等资料进行综合评审。</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第十六条  </w:t>
      </w:r>
      <w:r>
        <w:rPr>
          <w:rFonts w:asciiTheme="minorEastAsia" w:hAnsiTheme="minorEastAsia" w:eastAsiaTheme="minorEastAsia"/>
          <w:kern w:val="0"/>
          <w:sz w:val="24"/>
          <w:szCs w:val="24"/>
        </w:rPr>
        <w:t>农业部根据肥料登记评审委员会的综合评审意见，在评审结束后20日内作出是否颁发肥料登记证的决定。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肥料登记证使用《中华人民共和国农业部肥料审批专用章》。</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第十七条  </w:t>
      </w:r>
      <w:r>
        <w:rPr>
          <w:rFonts w:asciiTheme="minorEastAsia" w:hAnsiTheme="minorEastAsia" w:eastAsiaTheme="minorEastAsia"/>
          <w:kern w:val="0"/>
          <w:sz w:val="24"/>
          <w:szCs w:val="24"/>
        </w:rPr>
        <w:t>农业部对符合下列条件的产品直接审批、发放肥料登记证：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（一）有国家或行业标准，经检验质量合格的产品；</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（二）经肥料登记评审委员会建议并由农业部认定的产品类型，申请登记资料齐全，经检验质量合格的产品。</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第十八条  </w:t>
      </w:r>
      <w:r>
        <w:rPr>
          <w:rFonts w:asciiTheme="minorEastAsia" w:hAnsiTheme="minorEastAsia" w:eastAsiaTheme="minorEastAsia"/>
          <w:kern w:val="0"/>
          <w:sz w:val="24"/>
          <w:szCs w:val="24"/>
        </w:rPr>
        <w:t>农业部根据具体情况决定召开肥料登记评审委员会全体会议。</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第十九条  </w:t>
      </w:r>
      <w:r>
        <w:rPr>
          <w:rFonts w:asciiTheme="minorEastAsia" w:hAnsiTheme="minorEastAsia" w:eastAsiaTheme="minorEastAsia"/>
          <w:kern w:val="0"/>
          <w:sz w:val="24"/>
          <w:szCs w:val="24"/>
        </w:rPr>
        <w:t>肥料商品名称的命名应规范，不得有误导作用。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第二十条  </w:t>
      </w:r>
      <w:r>
        <w:rPr>
          <w:rFonts w:asciiTheme="minorEastAsia" w:hAnsiTheme="minorEastAsia" w:eastAsiaTheme="minorEastAsia"/>
          <w:kern w:val="0"/>
          <w:sz w:val="24"/>
          <w:szCs w:val="24"/>
        </w:rPr>
        <w:t>肥料正式登记证有效期为五年。肥料正式登记证有效期满，需要继续生产、销售该产品的，应当在有效期满六个月前提出续展登记申请，符合条件的经农业部批准续展登记。续展有效期为五年。</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登记证有效期满没有提出续展登记申请的，视为自动撤销登记。登记证有效期满后提出续展登记申请的，应重新办理登记。</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第二十一条  </w:t>
      </w:r>
      <w:r>
        <w:rPr>
          <w:rFonts w:asciiTheme="minorEastAsia" w:hAnsiTheme="minorEastAsia" w:eastAsiaTheme="minorEastAsia"/>
          <w:kern w:val="0"/>
          <w:sz w:val="24"/>
          <w:szCs w:val="24"/>
        </w:rPr>
        <w:t>经登记的肥料产品，在登记有效期内改变使用范围、商品名称、企业名称的，应申请变更登记；改变成分、剂型的，应重新申请登记。</w:t>
      </w:r>
    </w:p>
    <w:p>
      <w:pPr>
        <w:pStyle w:val="63"/>
        <w:spacing w:before="218" w:after="218" w:line="412" w:lineRule="exact"/>
        <w:rPr>
          <w:kern w:val="0"/>
        </w:rPr>
      </w:pPr>
      <w:r>
        <w:rPr>
          <w:kern w:val="0"/>
        </w:rPr>
        <w:t>第四章</w:t>
      </w:r>
      <w:r>
        <w:rPr>
          <w:rFonts w:hint="eastAsia"/>
          <w:kern w:val="0"/>
        </w:rPr>
        <w:t xml:space="preserve">  </w:t>
      </w:r>
      <w:r>
        <w:rPr>
          <w:kern w:val="0"/>
        </w:rPr>
        <w:t>登记管理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第二十二条  </w:t>
      </w:r>
      <w:r>
        <w:rPr>
          <w:rFonts w:asciiTheme="minorEastAsia" w:hAnsiTheme="minorEastAsia" w:eastAsiaTheme="minorEastAsia"/>
          <w:kern w:val="0"/>
          <w:sz w:val="24"/>
          <w:szCs w:val="24"/>
        </w:rPr>
        <w:t>肥料产品包装应有标签、说明书和产品质量检验合格证。标签和使用说明书应当使用中文，并符合下列要求：</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（一）标明产品名称、生产企业名称和地址；</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（二）标明肥料登记证号、产品标准号、有效成分名称和含量、净重、生产日期及质量保证期；</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（三）标明产品适用作物、适用区域、使用方法和注意事项；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（四）产品名称和推荐适用作物、区域应与登记批准的一致。</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禁止擅自修改经过登记批准的标签内容。</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第二十三条  </w:t>
      </w:r>
      <w:r>
        <w:rPr>
          <w:rFonts w:asciiTheme="minorEastAsia" w:hAnsiTheme="minorEastAsia" w:eastAsiaTheme="minorEastAsia"/>
          <w:kern w:val="0"/>
          <w:sz w:val="24"/>
          <w:szCs w:val="24"/>
        </w:rPr>
        <w:t>取得登记证的肥料产品，在登记有效期内证实对人、畜、作物有害，经肥料登记评审委员会审议，由农业部宣布限制使用或禁止使用。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第二十四条  </w:t>
      </w:r>
      <w:r>
        <w:rPr>
          <w:rFonts w:asciiTheme="minorEastAsia" w:hAnsiTheme="minorEastAsia" w:eastAsiaTheme="minorEastAsia"/>
          <w:kern w:val="0"/>
          <w:sz w:val="24"/>
          <w:szCs w:val="24"/>
        </w:rPr>
        <w:t>农业行政主管部门应当按照规定对辖区内的肥料生产、经营和使用单位的肥料进行定期或不定期监督、检查，必要时按照规定抽取样品和索取有关资料，有关单位不得拒绝和隐瞒。对质量不合格的产品，要限期改进。对质量连续不合格的产品，肥料登记证有效期满后不予续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第二十五条  </w:t>
      </w:r>
      <w:r>
        <w:rPr>
          <w:rFonts w:asciiTheme="minorEastAsia" w:hAnsiTheme="minorEastAsia" w:eastAsiaTheme="minorEastAsia"/>
          <w:kern w:val="0"/>
          <w:sz w:val="24"/>
          <w:szCs w:val="24"/>
        </w:rPr>
        <w:t>肥料登记受理和审批单位及有关人员应为生产者提供的资料和样品保守技术秘密。</w:t>
      </w:r>
    </w:p>
    <w:p>
      <w:pPr>
        <w:pStyle w:val="63"/>
        <w:spacing w:before="218" w:after="218" w:line="412" w:lineRule="exact"/>
        <w:rPr>
          <w:kern w:val="0"/>
        </w:rPr>
      </w:pPr>
      <w:r>
        <w:rPr>
          <w:kern w:val="0"/>
        </w:rPr>
        <w:t xml:space="preserve">第五章 </w:t>
      </w:r>
      <w:r>
        <w:rPr>
          <w:rFonts w:hint="eastAsia"/>
          <w:kern w:val="0"/>
        </w:rPr>
        <w:t xml:space="preserve"> </w:t>
      </w:r>
      <w:r>
        <w:rPr>
          <w:kern w:val="0"/>
        </w:rPr>
        <w:t>罚</w:t>
      </w:r>
      <w:r>
        <w:rPr>
          <w:rFonts w:hint="eastAsia"/>
          <w:kern w:val="0"/>
        </w:rPr>
        <w:t xml:space="preserve">  </w:t>
      </w:r>
      <w:r>
        <w:rPr>
          <w:kern w:val="0"/>
        </w:rP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第二十六条  </w:t>
      </w:r>
      <w:r>
        <w:rPr>
          <w:rFonts w:asciiTheme="minorEastAsia" w:hAnsiTheme="minorEastAsia" w:eastAsiaTheme="minorEastAsia"/>
          <w:kern w:val="0"/>
          <w:sz w:val="24"/>
          <w:szCs w:val="24"/>
        </w:rPr>
        <w:t>有下列情形之一的，由县级以上农业行政主管部门给予警告，并处违法所得3倍以下罚款，但最高不得超过30000元；没有违法所得的，处10000元以下罚款：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（一）生产、销售未取得登记证的肥料产品；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（二）假冒、伪造肥料登记证、登记证号的；</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（三）生产、销售的肥料产品有效成分或含量与登记批准的内容不符的。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第二十七条  </w:t>
      </w:r>
      <w:r>
        <w:rPr>
          <w:rFonts w:asciiTheme="minorEastAsia" w:hAnsiTheme="minorEastAsia" w:eastAsiaTheme="minorEastAsia"/>
          <w:kern w:val="0"/>
          <w:sz w:val="24"/>
          <w:szCs w:val="24"/>
        </w:rPr>
        <w:t>有下列情形之一的，由县级以上农业行政主管部门给予警告，并处违法所得3倍以下罚款，但最高不得超过20000元；没有违法所得的，处10000元以下罚款：</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（一）转让肥料登记证或登记证号的；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（二）登记证有效期满未经批准续展登记而继续生产该肥料产品的；</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（三）生产、销售包装上未附标签、标签残缺不清或者擅自修改标签内容的。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第二十八条  </w:t>
      </w:r>
      <w:r>
        <w:rPr>
          <w:rFonts w:asciiTheme="minorEastAsia" w:hAnsiTheme="minorEastAsia" w:eastAsiaTheme="minorEastAsia"/>
          <w:kern w:val="0"/>
          <w:sz w:val="24"/>
          <w:szCs w:val="24"/>
        </w:rPr>
        <w:t>肥料登记管理工作人员滥用职权、玩忽职守、徇私舞弊、索贿受贿，构成犯罪的，依法追究刑事责任；尚不构成犯罪的，依法给予行政处分。</w:t>
      </w:r>
    </w:p>
    <w:p>
      <w:pPr>
        <w:pStyle w:val="63"/>
        <w:spacing w:before="218" w:after="218" w:line="412" w:lineRule="exact"/>
        <w:rPr>
          <w:kern w:val="0"/>
        </w:rPr>
      </w:pPr>
      <w:r>
        <w:rPr>
          <w:kern w:val="0"/>
        </w:rPr>
        <w:t>第六章</w:t>
      </w:r>
      <w:r>
        <w:rPr>
          <w:rFonts w:hint="eastAsia"/>
          <w:kern w:val="0"/>
        </w:rPr>
        <w:t xml:space="preserve"> </w:t>
      </w:r>
      <w:r>
        <w:rPr>
          <w:kern w:val="0"/>
        </w:rPr>
        <w:t xml:space="preserve"> 附</w:t>
      </w:r>
      <w:r>
        <w:rPr>
          <w:rFonts w:hint="eastAsia"/>
          <w:kern w:val="0"/>
        </w:rPr>
        <w:t xml:space="preserve">  </w:t>
      </w:r>
      <w:r>
        <w:rPr>
          <w:kern w:val="0"/>
        </w:rPr>
        <w:t>则</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第二十九条  </w:t>
      </w:r>
      <w:r>
        <w:rPr>
          <w:rFonts w:asciiTheme="minorEastAsia" w:hAnsiTheme="minorEastAsia" w:eastAsiaTheme="minorEastAsia"/>
          <w:kern w:val="0"/>
          <w:sz w:val="24"/>
          <w:szCs w:val="24"/>
        </w:rPr>
        <w:t>生产者进行田间试验，应按规定提供有代表性的试验样品。试验样品须经法定质量检测机构检测确认样品有效成分及其含量与标明值相符，方可进行试验。</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第三十条  </w:t>
      </w:r>
      <w:r>
        <w:rPr>
          <w:rFonts w:asciiTheme="minorEastAsia" w:hAnsiTheme="minorEastAsia" w:eastAsiaTheme="minorEastAsia"/>
          <w:kern w:val="0"/>
          <w:sz w:val="24"/>
          <w:szCs w:val="24"/>
        </w:rPr>
        <w:t>省、自治区、直辖市人民政府农业行政主管部门负责本行政区域内的复混肥、配方肥（不含叶面肥）、精制有机肥、床土调酸剂的登记审批、登记证发放和公告工作。省、自治区、直辖市人民政府农业行政主管部门不得越权审批登记。</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省、自治区、直辖市人民政府农业行政主管部门参照本办法制定有关复混肥、配方肥（不含叶面肥）、精制有机肥、床土调酸剂的具体登记管理办法，并报农业部备案。</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省、自治区、直辖市人民政府农业行政主管部门可委托所属的土肥机构承担本行政区域内的具体肥料登记工作。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第三十一条  </w:t>
      </w:r>
      <w:r>
        <w:rPr>
          <w:rFonts w:asciiTheme="minorEastAsia" w:hAnsiTheme="minorEastAsia" w:eastAsiaTheme="minorEastAsia"/>
          <w:kern w:val="0"/>
          <w:sz w:val="24"/>
          <w:szCs w:val="24"/>
        </w:rPr>
        <w:t>下列产品适用本办法：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（一）在生产、积造有机肥料过程中，添加的用于分解、熟化有机物的生物和化学制剂；</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（二）来源于天然物质，经物理或生物发酵过程加工提炼的，具有特定效应的有机或有机无机混合制品，这种效应不仅包括土壤、环境及植物营养元素的供应，还包括对植物生长的促进作用。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第三十二条  </w:t>
      </w:r>
      <w:r>
        <w:rPr>
          <w:rFonts w:asciiTheme="minorEastAsia" w:hAnsiTheme="minorEastAsia" w:eastAsiaTheme="minorEastAsia"/>
          <w:kern w:val="0"/>
          <w:sz w:val="24"/>
          <w:szCs w:val="24"/>
        </w:rPr>
        <w:t>下列产品不适用本办法：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（一）肥料和农药的混合物；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（二）农民自制自用的有机肥料。</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（三）植物生长调节剂。</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第三十三条  </w:t>
      </w:r>
      <w:r>
        <w:rPr>
          <w:rFonts w:asciiTheme="minorEastAsia" w:hAnsiTheme="minorEastAsia" w:eastAsiaTheme="minorEastAsia"/>
          <w:kern w:val="0"/>
          <w:sz w:val="24"/>
          <w:szCs w:val="24"/>
        </w:rPr>
        <w:t>本办法下列用语定义为：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配方肥是指利用测土配方技术，根据不同作物的营养需要、土壤养分含量及供肥特点，以各种单质化肥为原料，有针对性地添加适量中、微量元素或特定有机肥料，采用掺混或造粒工艺加工而成的，具有很强的针对性和地域性的专用肥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（二）叶面肥是指施于植物叶片并能被其吸收利用的肥料；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（三）床土调酸剂是指在农作物育苗期，用于调节育苗床土酸度（或pH值）的制剂；</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（四）微生物肥料是指应用于农业生产中，能够获得特定肥料效应的含有特定微生物活体的制品，这种效应不仅包括了土壤、环境及植物营养元素的供应，还包括了其所产生的代谢产物对植物的有益作用；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（五）有机肥料是指来源于植物和/或动物，经发酵、腐熟后，施于土壤以提供植物养分为其主要功效的含碳物料；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（六）精制有机肥是指经工厂化生产的，不含特定肥料效应微生物的，商品化的有机肥料；</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（七）复混肥是指氮、磷、钾三种养分中，至少有两种养分标明量的肥料，由化学方法和/或物理加工制成。</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（八）复合肥是指仅由化学方法制成的复混肥。</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第三十四条  </w:t>
      </w:r>
      <w:r>
        <w:rPr>
          <w:rFonts w:asciiTheme="minorEastAsia" w:hAnsiTheme="minorEastAsia" w:eastAsiaTheme="minorEastAsia"/>
          <w:kern w:val="0"/>
          <w:sz w:val="24"/>
          <w:szCs w:val="24"/>
        </w:rPr>
        <w:t>本办法所称“违法所得”是指违法生产、经营肥料的销售收入。</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第三十五条  </w:t>
      </w:r>
      <w:r>
        <w:rPr>
          <w:rFonts w:asciiTheme="minorEastAsia" w:hAnsiTheme="minorEastAsia" w:eastAsiaTheme="minorEastAsia"/>
          <w:kern w:val="0"/>
          <w:sz w:val="24"/>
          <w:szCs w:val="24"/>
        </w:rPr>
        <w:t>本办法由农业部负责解释。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第三十六条  </w:t>
      </w:r>
      <w:r>
        <w:rPr>
          <w:rFonts w:asciiTheme="minorEastAsia" w:hAnsiTheme="minorEastAsia" w:eastAsiaTheme="minorEastAsia"/>
          <w:kern w:val="0"/>
          <w:sz w:val="24"/>
          <w:szCs w:val="24"/>
        </w:rPr>
        <w:t>本办法自发布之日起施行。农业部1989年发布、1997年修订的《中华人民共和国农业部关于肥料、土壤调理剂及植物生长调节剂检验登记的暂行规定》同时废止</w:t>
      </w:r>
    </w:p>
    <w:p>
      <w:pPr>
        <w:widowControl/>
        <w:spacing w:before="156" w:after="156"/>
        <w:ind w:firstLine="24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sectPr>
          <w:headerReference r:id="rId39" w:type="default"/>
          <w:footerReference r:id="rId41" w:type="default"/>
          <w:headerReference r:id="rId40" w:type="even"/>
          <w:footerReference r:id="rId42" w:type="even"/>
          <w:pgSz w:w="12247" w:h="17180"/>
          <w:pgMar w:top="1814" w:right="1701" w:bottom="1701" w:left="1701" w:header="851" w:footer="1134" w:gutter="0"/>
          <w:cols w:space="425" w:num="1"/>
          <w:docGrid w:type="lines" w:linePitch="312" w:charSpace="0"/>
        </w:sect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bookmarkStart w:id="1223" w:name="_Toc13028"/>
      <w:bookmarkStart w:id="1224" w:name="_Toc21450039"/>
      <w:bookmarkStart w:id="1225" w:name="_Toc200461313"/>
      <w:bookmarkStart w:id="1226" w:name="_Toc466579832"/>
      <w:bookmarkStart w:id="1227" w:name="_Toc374975201"/>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1228" w:name="_Toc25653778"/>
      <w:bookmarkStart w:id="1229" w:name="_Toc25648282"/>
      <w:bookmarkStart w:id="1230" w:name="_Toc28252264"/>
      <w:r>
        <w:t>十、动植物检疫和防疫</w:t>
      </w:r>
      <w:bookmarkEnd w:id="1228"/>
      <w:bookmarkEnd w:id="1229"/>
      <w:bookmarkEnd w:id="1230"/>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231" w:name="_Toc28157058"/>
      <w:bookmarkStart w:id="1232" w:name="_Toc25653779"/>
      <w:bookmarkStart w:id="1233" w:name="_Toc28250986"/>
      <w:bookmarkStart w:id="1234" w:name="_Toc28252265"/>
      <w:bookmarkStart w:id="1235" w:name="_Toc26348036"/>
      <w:bookmarkStart w:id="1236" w:name="_Toc25648283"/>
      <w:r>
        <w:t>中华人民共和国动物防疫法</w:t>
      </w:r>
      <w:bookmarkEnd w:id="1223"/>
      <w:bookmarkEnd w:id="1224"/>
      <w:bookmarkEnd w:id="1225"/>
      <w:bookmarkEnd w:id="1226"/>
      <w:bookmarkEnd w:id="1227"/>
      <w:bookmarkEnd w:id="1231"/>
      <w:bookmarkEnd w:id="1232"/>
      <w:bookmarkEnd w:id="1233"/>
      <w:bookmarkEnd w:id="1234"/>
      <w:bookmarkEnd w:id="1235"/>
      <w:bookmarkEnd w:id="1236"/>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《中华人民共和国动物防疫法》已由中华人民共和国第十三届全国人民代表大会常务委员会第二十五次会议于2021年1月22日修订通过，现予公布，自2021年5月1日起施行。</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目　　录</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第一章　总则</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第二章　动物疫病的预防</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第三章　动物疫情的报告、通报和公布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第四章　动物疫病的控制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第五章　动物和动物产品的检疫</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第六章　病死动物和病害动物产品的无害化处理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第七章　动物诊疗</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第八章　兽医管理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第九章　监督管理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第十章　保障措施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第十一章　法律责任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第十二章　附则</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第一章　总则</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第一条　为了加强对动物防疫活动的管理，预防、控制、净化、消灭动物疫病，促进养殖业发展，防控人畜共患传染病，保障公共卫生安全和人体健康，制定本法。</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第二条　本法适用于在中华人民共和国领域内的动物防疫及其监督管理活动。</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进出境动物、动物产品的检疫，适用《中华人民共和国进出境动植物检疫法》。</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第三条　本法所称动物，是指家畜家禽和人工饲养、捕获的其他动物。</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本法所称动物产品，是指动物的肉、生皮、原毛、绒、脏器、脂、血液、精液、卵、胚胎、骨、蹄、头、角、筋以及可能传播动物疫病的奶、蛋等。</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本法所称动物疫病，是指动物传染病，包括寄生虫病。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本法所称动物防疫，是指动物疫病的预防、控制、诊疗、净化、消灭和动物、动物产品的检疫，以及病死动物、病害动物产品的无害化处理。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第四条　根据动物疫病对养殖业生产和人体健康的危害程度，本法规定的动物疫病分为下列三类：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(一)一类疫病，是指口蹄疫、非洲猪瘟、高致病性禽流感等对人、动物构成特别严重危害，可能造成重大经济损失和社会影响，需要采取紧急、严厉的强制预防、控制等措施的;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(二)二类疫病，是指狂犬病、布鲁氏菌病、草鱼出血病等对人、动物构成严重危害，可能造成较大经济损失和社会影响，需要采取严格预防、控制等措施的;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(三)三类疫病，是指大肠杆菌病、禽结核病、鳖腮腺炎病等常见多发，对人、动物构成危害，可能造成一定程度的经济损失和社会影响，需要及时预防、控制的。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前款一、二、三类动物疫病具体病种名录由国务院农业农村主管部门制定并公布。国务院农业农村主管部门应当根据动物疫病发生、流行情况和危害程度，及时增加、减少或者调整一、二、三类动物疫病具体病种并予以公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人畜共患传染病名录由国务院农业农村主管部门会同国务院卫生健康、野生动物保护等主管部门制定并公布。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第五条　动物防疫实行预防为主，预防与控制、净化、消灭相结合的方针。</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第六条　国家鼓励社会力量参与动物防疫工作。各级人民政府采取措施，支持单位和个人参与动物防疫的宣传</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"https://www.66law.cn/topic2010/jyf/" \o "教育"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教育</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、疫情报告、志愿服务和捐赠等活动。</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第七条　从事动物饲养、屠宰、经营、隔离、运输以及动物产品生产、经营、加工、贮藏等活动的单位和个人，依照本法和国务院农业农村主管部门的规定，做好免疫、消毒、检测、隔离、净化、消灭、无害化处理等动物防疫工作，承担动物防疫相关责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第八条　县级以上人民政府对动物防疫工作实行统一领导，采取有效措施稳定基层机构队伍，加强动物防疫队伍建设，建立健全动物防疫体系，制定并组织实施动物疫病防治规划。</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乡级人民政府、街道</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"https://www.66law.cn/zhinan/" \o "办事"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办事</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处组织群众做好本辖区的动物疫病预防与控制工作，村民委员会、居民委员会予以协助。</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第九条　国务院农业农村主管部门主管全国的动物防疫工作。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县级以上地方人民政府农业农村主管部门主管本行政区域的动物防疫工作。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县级以上人民政府其他有关部门在各自职责范围内做好动物防疫工作。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军队动物卫生监督职能部门负责军队现役动物和饲养自用动物的防疫工作。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第十条　县级以上人民政府卫生健康主管部门和本级人民政府农业农村、野生动物保护等主管部门应当建立人畜共患传染病防治的协作机制。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国务院农业农村主管部门和海关总署等部门应当建立防止境外动物疫病输入的协作机制。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第十一条　县级以上地方人民政府的动物卫生监督机构依照本法规定，负责动物、动物产品的检疫工作。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第十二条　县级以上人民政府按照国务院的规定，根据统筹规划、合理布局、综合设置的原则建立动物疫病预防控制机构。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动物疫病预防控制机构承担动物疫病的监测、检测、诊断、流行病学调查、疫情报告以及其他预防、控制等技术工作;承担动物疫病净化、消灭的技术工作。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第十三条　国家鼓励和支持开展动物疫病的科学研究以及国际合作与交流，推广先进适用的科学研究成果，提高动物疫病防治的科学技术水平。</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各级人民政府和有关部门、新闻媒体，应当加强对动物防疫</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"https://www.66law.cn/tiaoli/" \o "法律法规"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法律法规</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和动物防疫知识的宣传。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第十四条　对在动物防疫工作、相关科学研究、动物疫情扑灭中做出贡献的单位和个人，各级人民政府和有关部门按照国家有关规定给予表彰、奖励。</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有关单位应当依法为动物防疫人员缴纳</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"https://www.66law.cn/special/gongshang/" \o "工伤"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工伤</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保险费。对因参与动物防疫工作致病、致残、死亡的人员，按照国家有关规定给予补助或者抚恤。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第二章　动物疫病的预防</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第十五条　国家建立动物疫病风险评估制度。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根据国内外动物疫情以及保护养殖业生产和人体健康的需要，及时会同国务院卫生健康等有关部门对动物疫病进行风险评估，并制定、公布动物疫病预防、控制、净化、消灭措施和技术规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省、自治区、</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"https://www.66law.cn/hlzzq/" \o "直辖市"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直辖市</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人民政府农业农村主管部门会同本级人民政府卫生健康等有关部门开展本行政区域的动物疫病风险评估，并落实动物疫病预防、控制、净化、消灭措施。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第十六条　国家对严重危害养殖业生产和人体健康的动物疫病实施强制免疫。</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国务院农业农村主管部门确定强制免疫的动物疫病病种和区域。</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省、自治区、直辖市人民政府农业农村主管部门制定本行政区域的强制免疫计划;根据本行政区域动物疫病流行情况增加实施强制免疫的动物疫病病种和区域，报本级人民政府批准后执行，并报国务院农业农村主管部门备案。</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第十七条　饲养动物的单位和个人应当履行动物疫病强制免疫义务，按照强制免疫计划和技术规范，对动物实施免疫接种，并按照国家有关规定建立免疫档案、加施畜禽标识，保证可追溯。</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实施强制免疫接种的动物未达到免疫质量要求，实施补充免疫接种后仍不符合免疫质量要求的，有关单位和个人应当按照国家有关规定处理。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用于预防接种的疫苗应当符合国家质量标准。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第十八条　县级以上地方人民政府农业农村主管部门负责组织实施动物疫病强制免疫计划，并对饲养动物的单位和个人履行强制免疫义务的情况进行监督检查。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乡级人民政府、街道办事处组织本辖区饲养动物的单位和个人做好强制免疫，协助做好监督检查;村民委员会、居民委员会协助做好相关工作。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县级以上地方人民政府农业农村主管部门应当定期对本行政区域的强制免疫计划实施情况和效果进行评估，并向社会公布评估结果。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第十九条　国家实行动物疫病监测和疫情预警制度。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县级以上人民政府建立健全动物疫病监测网络，加强动物疫病监测。</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国务院农业农村主管部门会同国务院有关部门制定国家动物疫病监测计划。省、自治区、直辖市人民政府农业农村主管部门根据国家动物疫病监测计划，制定本行政区域的动物疫病监测计划。</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疫病预防控制机构按照国务院农业农村主管部门的规定和动物疫病监测计划，对动物疫病的发生、流行等情况进行监测;从事动物饲养、屠宰、经营、隔离、运输以及动物产品生产、经营、加工、贮藏、无害化处理等活动的单位和个人不得拒绝或者阻碍。</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和省、自治区、直辖市人民政府农业农村主管部门根据对动物疫病发生、流行趋势的预测，及时发出动物疫情预警。地方各级人民政府接到动物疫情预警后，应当及时采取预防、控制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第二十条　陆路边境省、自治区人民政府根据动物疫病防控需要，合理设置动物疫病监测站点，健全监测工作机制，防范境外动物疫病传入。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科技、海关等部门按照本法和有关法律法规的规定做好动物疫病监测预警工作，并定期与农业农村主管部门互通情况，紧急情况及时通报。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人民政府应当完善野生动物疫源疫病监测体系和工作机制，根据需要合理布局监测站点;野生动物保护、农业农村主管部门按照职责分工做好野生动物疫源疫病监测等工作，并定期互通情况，紧急情况及时通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第二十一条　国家支持地方建立无规定动物疫病区，鼓励动物饲养场建设无规定动物疫病生物安全隔离区。对符合国务院农业农村主管部门规定标准的无规定动物疫病区和无规定动物疫病生物安全隔离区，国务院农业农村主管部门验收合格予以公布，并对其维持情况进行监督检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省、自治区、直辖市人民政府制定并组织实施本行政区域的无规定动物疫病区建设方案。国务院农业农村主管部门指导跨省、自治区、直辖市无规定动物疫病区建设。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国务院农业农村主管部门根据行政区划、养殖屠宰产业布局、风险评估情况等对动物疫病实施分区防控，可以采取禁止或者限制特定动物、动物产品跨区域调运等措施。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第二十二条　国务院农业农村主管部门制定并组织实施动物疫病净化、消灭规划。</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县级以上地方人民政府根据动物疫病净化、消灭规划，制定并组织实施本行政区域的动物疫病净化、消灭计划。</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动物疫病预防控制机构按照动物疫病净化、消灭规划、计划，开展动物疫病净化技术指导、培训，对动物疫病净化效果进行监测、评估。</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国家推进动物疫病净化，鼓励和支持饲养动物的单位和个人开展动物疫病净化。饲养动物的单位和个人达到国务院农业农村主管部门规定的净化标准的，由省级以上人民政府农业农村主管部门予以公布。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第二十三条　种用、乳用动物应当符合国务院农业农村主管部门规定的健康标准。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饲养种用、乳用动物的单位和个人，应当按照国务院农业农村主管部门的要求，定期开展动物疫病检测;检测不合格的，应当按照国家有关规定处理。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第二十四条　动物饲养场和隔离场所、动物屠宰加工场所以及动物和动物产品无害化处理场所，应当符合下列动物防疫条件：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(一)场所的位置与居民生活区、生活饮用水水源地、学校、医院等公共场所的距离符合国务院农业农村主管部门的规定;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(二)生产经营区域封闭隔离，工程设计和有关流程符合动物防疫要求;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(三)有与其规模相适应的污水、污物处理设施，病死动物、病害动物产品无害化处理设施设备或者冷藏冷冻设施设备，以及清洗消毒设施设备;</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(四)有与其规模相适应的执业兽医或者动物防疫技术人员;</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(五)有完善的隔离消毒、购销台账、日常巡查等动物防疫制度;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(六)具备国务院农业农村主管部门规定的其他动物防疫条件。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动物和动物产品无害化处理场所除应当符合前款规定的条件外，还应当具有病原检测设备、检测能力和符合动物防疫要求的专用运输车辆。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第二十五条　国家实行动物防疫条件审查制度。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开办动物饲养场和隔离场所、动物屠宰加工场所以及动物和动物产品无害化处理场所，应当向县级以上地方人民政府农业农村主管部门提出申请，并附具相关材料。受理申请的农业农村主管部门应当依照本法和《中华人民共和国</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"https://www.66law.cn/tiaoli/59.aspx" \o "行政许可法"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行政许可法</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》的规定进行审查。经审查合格的，发给动物防疫条件合格证;不合格的，应当通知申请人并说明理由。</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动物防疫条件合格证应当载明申请人的名称(姓名)、场(厂)址、动物(动物产品)种类等事项。</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第二十六条　经营动物、动物产品的集贸市场应当具备国务院农业农村主管部门规定的动物防疫条件，并接受农业农村主管部门的监督检查。具体办法由国务院农业农村主管部门制定。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县级以上地方人民政府应当根据本地情况，决定在城市特定区域禁止家畜家禽活体交易。</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第二十七条　动物、动物产品的运载工具、垫料、包装物、容器等应当符合国务院农业农村主管部门规定的动物防疫要求。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染疫动物及其排泄物、染疫动物产品，运载工具中的动物排泄物以及垫料、包装物、容器等被污染的物品，应当按照国家有关规定处理，不得随意处置。</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第二十八条　采集、保存、运输动物病料或者病原微生物以及从事病原微生物研究、教学、检测、诊断等活动，应当遵守国家有关病原微生物实验室管理的规定。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第二十九条　禁止屠宰、经营、运输下列动物和生产、经营、加工、贮藏、运输下列动物产品：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(一)封锁疫区内与所发生动物疫病有关的;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(二)疫区内易感染的;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(三)依法应当检疫而未经检疫或者检疫不合格的;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(四)染疫或者疑似染疫的;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(五)病死或者死因不明的;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(六)其他不符合国务院农业农村主管部门有关动物防疫规定的。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因实施集中无害化处理需要暂存、运输动物和动物产品并按照规定采取防疫措施的，不适用前款规定。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第三十条　单位和个人饲养犬只，应当按照规定定期免疫接种狂犬病疫苗，凭动物诊疗机构出具的免疫证明向所在地养犬登记机关申请登记。</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携带犬只出户的，应当按照规定佩戴犬牌并采取系犬绳等措施，防止犬只伤人、疫病传播。</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街道办事处、乡级人民政府组织协调居民委员会、村民委员会，做好本辖区流浪犬、猫的控制和处置，防止疫病传播。</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县级人民政府和乡级人民政府、街道办事处应当结合本地实际，做好农村地区饲养犬只的防疫管理工作。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饲养犬只防疫管理的具体办法，由省、自治区、直辖市制定。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第三章　动物疫情的报告、通报和公布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第三十一条　从事动物疫病监测、检测、检验检疫、研究、诊疗以及动物饲养、屠宰、经营、隔离、运输等活动的单位和个人，发现动物染疫或者疑似染疫的，应当立即向所在地农业农村主管部门或者动物疫病预防控制机构报告，并迅速采取隔离等控制措施，防止动物疫情扩散。其他单位和个人发现动物染疫或者疑似染疫的，应当及时报告。</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接到动物疫情报告的单位，应当及时采取临时隔离控制等必要措施，防止延误防控时机，并及时按照国家规定的程序上报。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第三十二条　动物疫情由县级以上人民政府农业农村主管部门认定;其中重大动物疫情由省、自治区、直辖市人民政府农业农村主管部门认定，必要时报国务院农业农村主管部门认定。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本法所称重大动物疫情，是指一、二、三类动物疫病突然发生，迅速传播，给养殖业生产安全造成严重威胁、危害，以及可能对公众身体健康与生命安全造成危害的情形。</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在重大动物疫情报告期间，必要时，所在地县级以上地方人民政府可以作出封锁决定并采取扑杀、销毁等措施。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第三十三条　国家实行动物疫情通报制度。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国务院农业农村主管部门应当及时向国务院卫生健康等有关部门和军队有关部门以及省、自治区、直辖市人民政府农业农村主管部门通报重大动物疫情的发生和处置情况。</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海关发现进出境动物和动物产品染疫或者疑似染疫的，应当及时处置并向农业农村主管部门通报。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县级以上地方人民政府野生动物保护主管部门发现野生动物染疫或者疑似染疫的，应当及时处置并向本级人民政府农业农村主管部门通报。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国务院农业农村主管部门应当依照我国缔结或者参加的条约、协定，及时向有关国际组织或者贸易方通报重大动物疫情的发生和处置情况。</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第三十四条　发生人畜共患传染病疫情时，县级以上人民政府农业农村主管部门与本级人民政府卫生健康、野生动物保护等主管部门应当及时相互通报。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发生人畜共患传染病时，卫生健康主管部门应当对疫区易感染的人群进行监测，并应当依照《中华人民共和国传染病防治法》的规定及时公布疫情，采取相应的预防、控制措施。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第三十五条　患有人畜共患传染病的人员不得直接从事动物疫病监测、检测、检验检疫、诊疗以及易感染动物的饲养、屠宰、经营、隔离、运输等活动。</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第三十六条　国务院农业农村主管部门向社会及时公布全国动物疫情，也可以根据需要授权省、自治区、直辖市人民政府农业农村主管部门公布本行政区域的动物疫情。其他单位和个人不得发布动物疫情。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第三十七条　任何单位和个人不得瞒报、谎报、迟报、漏报动物疫情，不得授意他人瞒报、谎报、迟报动物疫情，不得阻碍他人报告动物疫情。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第四章　动物疫病的控制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第三十八条　发生一类动物疫病时，应当采取下列控制措施：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所在地县级以上地方人民政府农业农村主管部门应当立即派人到现场，划定疫点、疫区、受威胁区，调查疫源，及时报请本级人民政府对疫区实行封锁。疫区范围涉及两个以上行政区域的，由有关行政区域共同的上一级人民政府对疫区实行封锁，或者由各有关行政区域的上一级人民政府共同对疫区实行封锁。必要时，上级人民政府可以责成下级人民政府对疫区实行封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(二)县级以上地方人民政府应当立即组织有关部门和单位采取封锁、隔离、扑杀、销毁、消毒、无害化处理、紧急免疫接种等强制性措施;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(三)在封锁期间，禁止染疫、疑似染疫和易感染的动物、动物产品流出疫区，禁止非疫区的易感染动物进入疫区，并根据需要对出入疫区的人员、运输工具及有关物品采取消毒和其他限制性措施。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第三十九条　发生二类动物疫病时，应当采取下列控制措施：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(一)所在地县级以上地方人民政府农业农村主管部门应当划定疫点、疫区、受威胁区;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(二)县级以上地方人民政府根据需要组织有关部门和单位采取隔离、扑杀、销毁、消毒、无害化处理、紧急免疫接种、限制易感染的动物和动物产品及有关物品出入等措施。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第四十条　疫点、疫区、受威胁区的撤销和疫区封锁的解除，按照国务院农业农村主管部门规定的标准和程序评估后，由原决定机关决定并宣布。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第四十一条　发生三类动物疫病时，所在地县级、乡级人民政府应当按照国务院农业农村主管部门的规定组织防治。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第四十二条　二、三类动物疫病呈暴发性流行时，按照一类动物疫病处理。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第四十三条　疫区内有关单位和个人，应当遵守县级以上人民政府及其农业农村主管部门依法作出的有关控制动物疫病的规定。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任何单位和个人不得藏匿、转移、盗掘已被依法隔离、封存、处理的动物和动物产品。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第四十四条　发生动物疫情时，航空、铁路、道路、水路运输企业应当优先组织运送防疫人员和物资。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第四十五条　国务院农业农村主管部门根据动物疫病的性质、特点和可能造成的社会危害，制定国家重大动物疫情应急预案报国务院批准，并按照不同动物疫病病种、流行特点和危害程度，分别制定实施方案。</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地方人民政府根据上级重大动物疫情应急预案和本地区的实际情况，制定本行政区域的重大动物疫情应急预案，报上一级人民政府农业农村主管部门备案，并抄送上一级人民政府应急管理部门。县级以上地方人民政府农业农村主管部门按照不同动物疫病病种、流行特点和危害程度，分别制定实施方案。</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重大动物疫情应急预案和实施方案根据疫情状况及时调整。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第四十六条　发生重大动物疫情时，国务院农业农村主管部门负责划定动物疫病风险区，禁止或者限制特定动物、动物产品由高风险区向低风险区调运。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第四十七条　发生重大动物疫情时，依照法律和国务院的规定以及应急预案采取应急处置措施。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第五章　动物和动物产品的检疫</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第四十八条　动物卫生监督机构依照本法和国务院农业农村主管部门的规定对动物、动物产品实施检疫。</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动物卫生监督机构的官方兽医具体实施动物、动物产品检疫。</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第四十九条　屠宰、出售或者运输动物以及出售或者运输动物产品前，货主应当按照国务院农业农村主管部门的规定向所在地动物卫生监督机构申报检疫。</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卫生监督机构接到检疫申报后，应当及时指派官方兽医对动物、动物产品实施检疫;检疫合格的，出具检疫证明、加施检疫标志。实施检疫的官方兽医应当在检疫证明、检疫标志上签字或者盖章，并对检疫结论负责。</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动物饲养场、屠宰企业的执业兽医或者动物防疫技术人员，应当协助官方兽医实施检疫。</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第五十条　因科研、药用、展示等特殊情形需要非食用性利用的野生动物，应当按照国家有关规定报动物卫生监督机构检疫，检疫合格的，方可利用。</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人工捕获的野生动物，应当按照国家有关规定报捕获地动物卫生监督机构检疫，检疫合格的，方可饲养、经营和运输。</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国务院农业农村主管部门会同国务院野生动物保护主管部门制定野生动物检疫办法。</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第五十一条　屠宰、经营、运输的动物，以及用于科研、展示、演出和比赛等非食用性利用的动物，应当附有检疫证明;经营和运输的动物产品，应当附有检疫证明、检疫标志。</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第五十二条　经航空、铁路、道路、水路运输动物和动物产品的，托运人托运时应当提供检疫证明;没有检疫证明的，承运人不得承运。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进出口动物和动物产品，承运人凭进口报关单证或者海关签发的检疫单证运递。</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从事动物运输的单位、个人以及车辆，应当向所在地县级人民政府农业农村主管部门备案，妥善保存行程路线和托运人提供的动物名称、检疫证明编号、数量等信息。具体办法由国务院农业农村主管部门制定。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运载工具在装载前和卸载后应当及时清洗、消毒。</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第五十三条　省、自治区、直辖市人民政府确定并公布道路运输的动物进入本行政区域的指定通道，设置引导标志。跨省、自治区、直辖市通过道路运输动物的，应当经省、自治区、直辖市人民政府设立的指定通道入省境或者过省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第五十四条　输入到无规定动物疫病区的动物、动物产品，货主应当按照国务院农业农村主管部门的规定向无规定动物疫病区所在地动物卫生监督机构申报检疫，经检疫合格的，方可进入。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第五十五条　跨省、自治区、直辖市引进的种用、乳用动物到达输入地后，货主应当按照国务院农业农村主管部门的规定对引进的种用、乳用动物进行隔离观察。</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第五十六条　经检疫不合格的动物、动物产品，货主应当在农业农村主管部门的监督下按照国家有关规定处理，处理费用由货主承担。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第六章　病死动物和病害动物产品的无害化处理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第五十七条　从事动物饲养、屠宰、经营、隔离以及动物产品生产、经营、加工、贮藏等活动的单位和个人，应当按照国家有关规定做好病死动物、病害动物产品的无害化处理，或者委托动物和动物产品无害化处理场所处理。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从事动物、动物产品运输的单位和个人，应当配合做好病死动物和病害动物产品的无害化处理，不得在途中擅自弃置和处理有关动物和动物产品。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任何单位和个人不得买卖、加工、随意弃置病死动物和病害动物产品。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i w:val="0"/>
          <w:caps w:val="0"/>
          <w:color w:val="000000" w:themeColor="text1"/>
          <w:spacing w:val="0"/>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动物和动物产品无害化处理管理办法由国务院农业农村、野生动物保护主管部门按照职责制定。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第五十八条　在江河、湖泊、水库等水域发现的死亡畜禽，由所在地县级人民政府组织收集、处理并溯源。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在城市公共场所和乡村发现的死亡畜禽，由所在地街道办事处、乡级人民政府组织收集、处理并溯源。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在野外环境发现的死亡野生动物，由所在地野生动物保护主管部门收集、处理。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第五十九条　省、自治区、直辖市人民政府制定动物和动物产品集中无害化处理场所建设规划，建立政府主导、市场运作的无害化处理机制。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第六十条　各级财政对病死动物无害化处理提供补助。具体补助标准和办法由县级以上人民政府财政部门会同本级人民政府农业农村、野生动物保护等有关部门制定。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第七章　动物诊疗</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第六十一条　从事动物诊疗活动的机构，应当具备下列条件：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(一)有与动物诊疗活动相适应并符合动物防疫条件的场所;</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(二)有与动物诊疗活动相适应的执业兽医;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(三)有与动物诊疗活动相适应的兽医器械和设备;</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(四)有完善的管理制度。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动物诊疗机构包括动物医院、动物诊所以及其他提供动物诊疗服务的机构。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第六十二条　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第六十三条　动物诊疗许可证应当载明诊疗机构名称、诊疗活动范围、从业地点和法定代表人(负责人)等事项。</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动物诊疗许可证载明事项变更的，应当申请变更或者换发动物诊疗许可证。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第六十四条　动物诊疗机构应当按照国务院农业农村主管部门的规定，做好诊疗活动中的卫生安全防护、消毒、隔离和诊疗废弃物处置等工作。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第六十五条　从事动物诊疗活动，应当遵守有关动物诊疗的操作技术规范，使用符合规定的兽药和兽医器械。</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兽药和兽医器械的管理办法由国务院规定。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第八章　兽医管理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第六十六条　国家实行官方兽医任命制度。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官方兽医应当具备国务院农业农村主管部门规定的条件，由省、自治区、直辖市人民政府农业农村主管部门按照程序确认，由所在地县级以上人民政府农业农村主管部门任命。具体办法由国务院农业农村主管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海关的官方兽医应当具备规定的条件，由海关总署任命。具体办法由海关总署会同国务院农业农村主管部门制定。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第六十七条　官方兽医依法履行动物、动物产品检疫职责，任何单位和个人不得拒绝或者阻碍。</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第六十八条　县级以上人民政府农业农村主管部门制定官方兽医培训计划，提供培训条件，定期对官方兽医进行培训和考核。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第六十九条　国家实行执业兽医资格考试制度。具有兽医相关专业大学专科以上学历的人员或者符合条件的乡村兽医，通过执业兽医资格考试的，由省、自治区、直辖市人民政府农业农村主管部门颁发执业兽医资格证书;从事动物诊疗等经营活动的，还应当向所在地县级人民政府农业农村主管部门备案。</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执业兽医资格考试办法由国务院农业农村主管部门商国务院人力资源主管部门制定。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第七十条　执业兽医开具兽医处方应当亲自诊断，并对诊断结论负责。</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国家鼓励执业兽医接受</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"https://www.66law.cn/laws/525276.aspx" \o "继续教育"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继续教育</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。执业兽医所在机构应当支持执业兽医参加继续教育。</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第七十一条　乡村兽医可以在乡村从事动物诊疗活动。具体管理办法由国务院农业农村主管部门制定。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第七十二条　执业兽医、乡村兽医应当按照所在地人民政府和农业农村主管部门的要求，参加动物疫病预防、控制和动物疫情扑灭等活动。</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第七十三条　兽医行业协会提供兽医信息、技术、培训等服务，维护成员合法权益，按照章程建立健全行业规范和奖惩机制，加强行业自律，推动行业诚信建设，宣传动物防疫和兽医知识。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第九章　监督管理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第七十四条　县级以上地方人民政府农业农村主管部门依照本法规定，对动物饲养、屠宰、经营、隔离、运输以及动物产品生产、经营、加工、贮藏、运输等活动中的动物防疫实施监督管理。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第七十五条　为控制动物疫病，县级人民政府农业农村主管部门应当派人在所在地依法设立的现有检查站执行监督检查任务;必要时，经省、自治区、直辖市人民政府批准，可以设立临时性的动物防疫检查站，执行监督检查任务。</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第七十六条　县级以上地方人民政府农业农村主管部门执行监督检查任务，可以采取下列措施，有关单位和个人不得拒绝或者阻碍：</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(一)对动物、动物产品按照规定采样、留验、抽检;</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(二)对染疫或者疑似染疫的动物、动物产品及相关物品进行隔离、查封、扣押和处理;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(三)对依法应当检疫而未经检疫的动物和动物产品，具备补检条件的实施补检，不具备补检条件的予以收缴销毁;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(四)查验检疫证明、检疫标志和畜禽标识;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(五)进入有关场所调查取证，查阅、复制与动物防疫有关的资料。</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县级以上地方人民政府农业农村主管部门根据动物疫病预防、控制需要，经所在地县级以上地方人民政府批准，可以在车站、港口、机场等相关场所派驻官方兽医或者工作人员。</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第七十七条　执法人员执行动物防疫监督检查任务，应当出示行政执法证件，佩带统一标志。</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县级以上人民政府农业农村主管部门及其工作人员不得从事与动物防疫有关的经营性活动，进行监督检查不得收取任何费用。</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第七十八条　禁止转让、伪造或者变造检疫证明、检疫标志或者畜禽标识。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禁止持有、使用伪造或者变造的检疫证明、检疫标志或者畜禽标识。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检疫证明、检疫标志的管理办法由国务院农业农村主管部门制定。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第十章　保障措施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第七十九条　县级以上人民政府应当将动物防疫工作纳入本级国民经济和社会发展规划及年度计划。</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第八十条　国家鼓励和支持动物防疫领域新技术、新设备、新产品等科学技术研究开发。</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第八十一条　县级人民政府应当为动物卫生监督机构配备与动物、动物产品检疫工作相适应的官方兽医，保障检疫工作条件。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县级人民政府农业农村主管部门可以根据动物防疫工作需要，向乡、镇或者特定区域派驻兽医机构或者工作人员。</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第八十二条　国家鼓励和支持执业兽医、乡村兽医和动物诊疗机构开展动物防疫和疫病诊疗活动;鼓励养殖企业、兽药及饲料生产企业组建动物防疫服务团队，提供防疫服务。地方人民政府组织村级防疫员参加动物疫病防治工作的，应当保障村级防疫员合理劳务报酬。</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第八十三条　县级以上人民政府按照本级政府职责，将动物疫病的监测、预防、控制、净化、消灭，动物、动物产品的检疫和病死动物的无害化处理，以及监督管理所需经费纳入本级预算。</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第八十四条　县级以上人民政府应当储备动物疫情应急处置所需的防疫物资。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第八十五条　对在动物疫病预防、控制、净化、消灭过程中强制扑杀的动物、销毁的动物产品和相关物品，县级以上人民政府给予补偿。具体补偿标准和办法由国务院财政部门会同有关部门制定。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第八十六条　对从事动物疫病预防、检疫、监督检查、现场处理疫情以及在工作中接触动物疫病病原体的人员，有关单位按照国家规定，采取有效的卫生防护、医疗保健措施，给予畜牧兽医医疗卫生津贴等相关待遇。</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第十一章　法律责任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第八十七条　地方各级人民政府及其工作人员未依照本法规定履行职责的，对直接负责的主管人员和其他直接责任人员依法给予处分。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第八十八条　县级以上人民政府农业农村主管部门及其工作人员违反本法规定，有下列行为之一的，由本级人民政府责令改正，通报批评;对直接负责的主管人员和其他直接责任人员依法给予处分：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(一)未及时采取预防、控制、扑灭等措施的;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(二)对不符合条件的颁发动物防疫条件合格证、动物诊疗许可证，或者对符合条件的拒不颁发动物防疫条件合格证、动物诊疗许可证的;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(三)从事与动物防疫有关的经营性活动，或者违法收取费用的;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(四)其他未依照本法规定履行职责的行为。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第八十九条　动物卫生监督机构及其工作人员违反本法规定，有下列行为之一的，由本级人民政府或者农业农村主管部门责令改正，通报批评;对直接负责的主管人员和其他直接责任人员依法给予处分：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(一)对未经检疫或者检疫不合格的动物、动物产品出具检疫证明、加施检疫标志，或者对检疫合格的动物、动物产品拒不出具检疫证明、加施检疫标志的;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(二)对附有检疫证明、检疫标志的动物、动物产品重复检疫的;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(三)从事与动物防疫有关的经营性活动，或者违法收取费用的;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(四)其他未依照本法规定履行职责的行为。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第九十条　动物疫病预防控制机构及其工作人员违反本法规定，有下列行为之一的，由本级人民政府或者农业农村主管部门责令改正，通报批评;对直接负责的主管人员和其他直接责任人员依法给予处分：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(一)未履行动物疫病监测、检测、评估职责或者伪造监测、检测、评估结果的;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(二)发生动物疫情时未及时进行诊断、调查的;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(三)接到染疫或者疑似染疫报告后，未及时按照国家规定采取措施、上报的;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(四)其他未依照本法规定履行职责的行为。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第九十一条　地方各级人民政府、有关部门及其工作人员瞒报、谎报、迟报、漏报或者授意他人瞒报、谎报、迟报动物疫情，或者阻碍他人报告动物疫情的，由上级人民政府或者有关部门责令改正，通报批评;对直接负责的主管人员和其他直接责任人员依法给予处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第九十二条　违反本法规定，有下列行为之一的，由县级以上地方人民政府农业农村主管部门责令限期改正，可以处一千元以下罚款;逾期不改正的，处一千元以上五千元以下罚款，由县级以上地方人民政府农业农村主管部门委托动物诊疗机构、无害化处理场所等代为处理，所需费用由违法行为人承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(一)对饲养的动物未按照动物疫病强制免疫计划或者免疫技术规范实施免疫接种的;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(二)对饲养的种用、乳用动物未按照国务院农业农村主管部门的要求定期开展疫病检测，或者经检测不合格而未按照规定处理的;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(三)对饲养的犬只未按照规定定期进行狂犬病免疫接种的;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(四)动物、动物产品的运载工具在装载前和卸载后未按照规定及时清洗、消毒的。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第九十三条　违反本法规定，对经强制免疫的动物未按照规定建立免疫档案，或者未按照规定加施畜禽标识的，依照《中华人民共和国畜牧法》的有关规定处罚。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第九十四条　违反本法规定，动物、动物产品的运载工具、垫料、包装物、容器等不符合国务院农业农村主管部门规定的动物防疫要求的，由县级以上地方人民政府农业农村主管部门责令改正，可以处五千元以下罚款;情节严重的，处五千元以上五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第九十五条　违反本法规定，对染疫动物及其排泄物、染疫动物产品或者被染疫动物、动物产品污染的运载工具、垫料、包装物、容器等未按照规定处置的，由县级以上地方人民政府农业农村主管部门责令限期处理;逾期不处理的，由县级以上地方人民政府农业农村主管部门委托有关单位代为处理，所需费用由违法行为人承担，处五千元以上五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造成环境污染或者生态破坏的，依照</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"https://www.66law.cn/zhuanti/hjbhy/" \o "环境保护"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环境保护</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有关法律法规进行处罚。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第九十六条　违反本法规定，患有人畜共患传染病的人员，直接从事动物疫病监测、检测、检验检疫，动物诊疗以及易感染动物的饲养、屠宰、经营、隔离、运输等活动的，由县级以上地方人民政府农业农村或者野生动物保护主管部门责令改正;拒不改正的，处一千元以上一万元以下罚款;情节严重的，处一万元以上五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第九十七条　违反本法第二十九条规定，屠宰、经营、运输动物或者生产、经营、加工、贮藏、运输动物产品的，由县级以上地方人民政府农业农村主管部门责令改正、采取补救措施，没收违法所得、动物和动物产品，并处同类检疫合格动物、动物产品货值金额十五倍以上三十倍以下罚款;同类检疫合格动物、动物产品货值金额不足一万元的，并处五万元以上十五万元以下罚款;其中依法应当检疫而未检疫的，依照本法第一百条的规定处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前款规定的违法行为人及其法定代表人(负责人)、直接负责的主管人员和其他直接责任人员，自处罚决定作出之日起五年内不得从事相关活动;构成犯罪的，终身不得从事屠宰、经营、运输动物或者生产、经营、加工、贮藏、运输动物产品等相关活动。</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第九十八条　违反本法规定，有下列行为之一的，由县级以上地方人民政府农业农村主管部门责令改正，处三千元以上三万元以下罚款;情节严重的，责令停业整顿，并处三万元以上十万元以下罚款：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(一)开办动物饲养场和隔离场所、动物屠宰加工场所以及动物和动物产品无害化处理场所，未取得动物防疫条件合格证的;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(二)经营动物、动物产品的集贸市场不具备国务院农业农村主管部门规定的防疫条件的;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(三)未经备案从事动物运输的;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(四)未按照规定保存行程路线和托运人提供的动物名称、检疫证明编号、数量等信息的;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(五)未经检疫合格，向无规定动物疫病区输入动物、动物产品的;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(六)跨省、自治区、直辖市引进种用、乳用动物到达输入地后未按照规定进行隔离观察的;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(七)未按照规定处理或者随意弃置病死动物、病害动物产品的。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第九十九条　动物饲养场和隔离场所、动物屠宰加工场所以及动物和动物产品无害化处理场所，生产经营条件发生变化，不再符合本法第二十四条规定的动物防疫条件继续从事相关活动的，由县级以上地方人民政府农业农村主管部门给予警告，责令限期改正;逾期仍达不到规定条件的，吊销动物防疫条件合格证，并通报市场监督管理部门依法处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第一百条　违反本法规定，屠宰、经营、运输的动物未附有检疫证明，经营和运输的动物产品未附有检疫证明、检疫标志的，由县级以上地方人民政府农业农村主管部门责令改正，处同类检疫合格动物、动物产品货值金额一倍以下罚款;对货主以外的承运人处运输费用三倍以上五倍以下罚款，情节严重的，处五倍以上十倍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违反本法规定，用于科研、展示、演出和比赛等非食用性利用的动物未附有检疫证明的，由县级以上地方人民政府农业农村主管部门责令改正，处三千元以上一万元以下罚款。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第一百零一条　违反本法规定，将禁止或者限制调运的特定动物、动物产品由动物疫病高风险区调入低风险区的，由县级以上地方人民政府农业农村主管部门没收运输费用、违法运输的动物和动物产品，并处运输费用一倍以上五倍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第一百零二条　违反本法规定，通过道路跨省、自治区、直辖市运输动物，未经省、自治区、直辖市人民政府设立的指定通道入省境或者过省境的，由县级以上地方人民政府农业农村主管部门对运输人处五千元以上一万元以下罚款;情节严重的，处一万元以上五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第一百零三条　违反本法规定，转让、伪造或者变造检疫证明、检疫标志或者畜禽标识的，由县级以上地方人民政府农业农村主管部门没收违法所得和检疫证明、检疫标志、畜禽标识，并处五千元以上五万元以下罚款。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持有、使用伪造或者变造的检疫证明、检疫标志或者畜禽标识的，由县级以上人民政府农业农村主管部门没收检疫证明、检疫标志、畜禽标识和对应的动物、动物产品，并处三千元以上三万元以下罚款。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第一百零四条　违反本法规定，有下列行为之一的，由县级以上地方人民政府农业农村主管部门责令改正，处三千元以上三万元以下罚款：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(一)擅自发布动物疫情的;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(二)不遵守县级以上人民政府及其农业农村主管部门依法作出的有关控制动物疫病规定的;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(三)藏匿、转移、盗掘已被依法隔离、封存、处理的动物和动物产品的。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第一百零五条　违反本法规定，未取得动物诊疗许可证从事动物诊疗活动的，由县级以上地方人民政府农业农村主管部门责令停止诊疗活动，没收违法所得，并处违法所得一倍以上三倍以下罚款;违法所得不足三万元的，并处三千元以上三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动物诊疗机构违反本法规定，未按照规定实施卫生安全防护、消毒、隔离和处置诊疗废弃物的，由县级以上地方人民政府农业农村主管部门责令改正，处一千元以上一万元以下罚款;造成动物疫病扩散的，处一万元以上五万元以下罚款;情节严重的，吊销动物诊疗许可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第一百零六条　违反本法规定，未经执业兽医备案从事经营性动物诊疗活动的，由县级以上地方人民政府农业农村主管部门责令停止动物诊疗活动，没收违法所得，并处三千元以上三万元以下罚款;对其所在的动物诊疗机构处一万元以上五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执业兽医有下列行为之一的，由县级以上地方人民政府农业农村主管部门给予警告，责令暂停六个月以上一年以下动物诊疗活动;情节严重的，吊销执业兽医资格证书：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(一)违反有关动物诊疗的操作技术规范，造成或者可能造成动物疫病传播、流行的;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(二)使用不符合规定的兽药和兽医器械的;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(三)未按照当地人民政府或者农业农村主管部门要求参加动物疫病预防、控制和动物疫情扑灭活动的。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第一百零七条　违反本法规定，生产经营兽医器械，产品质量不符合要求的，由县级以上地方人民政府农业农村主管部门责令限期整改;情节严重的，责令停业整顿，并处二万元以上十万元以下罚款。</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第一百零八条　违反本法规定，从事动物疫病研究、诊疗和动物饲养、屠宰、经营、隔离、运输，以及动物产品生产、经营、加工、贮藏、无害化处理等活动的单位和个人，有下列行为之一的，由县级以上地方人民政府农业农村主管部门责令改正，可以处一万元以下罚款;拒不改正的，处一万元以上五万元以下罚款，并可以责令停业整顿：</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(一)发现动物染疫、疑似染疫未报告，或者未采取隔离等控制措施的;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(二)不如实提供与动物防疫有关的资料的;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(三)拒绝或者阻碍农业农村主管部门进行监督检查的;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(四)拒绝或者阻碍动物疫病预防控制机构进行动物疫病监测、检测、评估的;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(五)拒绝或者阻碍官方兽医依法履行职责的。</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第一百零九条　违反本法规定，造成人畜共患传染病传播、流行的，依法从重给予处分、处罚。</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违反本法规定，构成违反治安管理行为的，依法给予</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"https://www.66law.cn/special/zaglcff/" \o "治安管理处罚"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治安管理处罚</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;构成犯罪的，依法追究刑事责任。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违反本法规定，给他人人身、财产造成损害的，依法承担</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begin"/>
      </w:r>
      <w:r>
        <w:rPr>
          <w:rFonts w:hint="eastAsia" w:asciiTheme="minorEastAsia" w:hAnsiTheme="minorEastAsia" w:eastAsiaTheme="minorEastAsia" w:cstheme="minorEastAsia"/>
          <w:b w:val="0"/>
          <w:bCs w:val="0"/>
          <w:i w:val="0"/>
          <w:caps w:val="0"/>
          <w:color w:val="000000" w:themeColor="text1"/>
          <w:spacing w:val="0"/>
          <w:sz w:val="24"/>
          <w:szCs w:val="24"/>
          <w:u w:val="none"/>
        </w:rPr>
        <w:instrText xml:space="preserve"> HYPERLINK "https://www.66law.cn/special/mszr/" \o "民事责任" \t "https://www.66law.cn/tiaoli/_blank" </w:instrTex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separate"/>
      </w:r>
      <w:r>
        <w:rPr>
          <w:rStyle w:val="32"/>
          <w:rFonts w:hint="eastAsia" w:asciiTheme="minorEastAsia" w:hAnsiTheme="minorEastAsia" w:eastAsiaTheme="minorEastAsia" w:cstheme="minorEastAsia"/>
          <w:b w:val="0"/>
          <w:bCs w:val="0"/>
          <w:i w:val="0"/>
          <w:caps w:val="0"/>
          <w:color w:val="000000" w:themeColor="text1"/>
          <w:spacing w:val="0"/>
          <w:sz w:val="24"/>
          <w:szCs w:val="24"/>
          <w:u w:val="none"/>
        </w:rPr>
        <w:t>民事责任</w:t>
      </w:r>
      <w:r>
        <w:rPr>
          <w:rFonts w:hint="eastAsia" w:asciiTheme="minorEastAsia" w:hAnsiTheme="minorEastAsia" w:eastAsiaTheme="minorEastAsia" w:cstheme="minorEastAsia"/>
          <w:b w:val="0"/>
          <w:bCs w:val="0"/>
          <w:i w:val="0"/>
          <w:caps w:val="0"/>
          <w:color w:val="000000" w:themeColor="text1"/>
          <w:spacing w:val="0"/>
          <w:sz w:val="24"/>
          <w:szCs w:val="24"/>
          <w:u w:val="none"/>
        </w:rPr>
        <w:fldChar w:fldCharType="end"/>
      </w:r>
      <w:r>
        <w:rPr>
          <w:rFonts w:hint="eastAsia" w:asciiTheme="minorEastAsia" w:hAnsiTheme="minorEastAsia" w:eastAsiaTheme="minorEastAsia" w:cstheme="minorEastAsia"/>
          <w:b w:val="0"/>
          <w:bCs w:val="0"/>
          <w:i w:val="0"/>
          <w:caps w:val="0"/>
          <w:color w:val="000000" w:themeColor="text1"/>
          <w:spacing w:val="0"/>
          <w:sz w:val="24"/>
          <w:szCs w:val="24"/>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第十二章　附则</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第一百一十条　本法下列用语的含义：</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(一)无规定动物疫病区，是指具有天然屏障或者采取人工措施，在一定期限内没有发生规定的一种或者几种动物疫病，并经验收合格的区域;</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(二)无规定动物疫病生物安全隔离区，是指处于同一生物安全管理体系下，在一定期限内没有发生规定的一种或者几种动物疫病的若干动物饲养场及其辅助生产场所构成的，并经验收合格的特定小型区域;</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(三)病死动物，是指染疫死亡、因病死亡、死因不明或者经检验检疫可能危害人体或者动物健康的死亡动物;</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(四)病害动物产品，是指来源于病死动物的产品，或者经检验检疫可能危害人体或者动物健康的动物产品。</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第一百一十一条　境外无规定动物疫病区和无规定动物疫病生物安全隔离区的无疫等效性评估，参照本法有关规定执行。</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20"/>
        <w:jc w:val="both"/>
        <w:textAlignment w:val="auto"/>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第一百一十二条　实验动物防疫有特殊要求的，按照实验动物管理的有关规定执行。</w:t>
      </w:r>
    </w:p>
    <w:p>
      <w:pPr>
        <w:pStyle w:val="2"/>
        <w:keepNext w:val="0"/>
        <w:keepLines w:val="0"/>
        <w:topLinePunct/>
        <w:spacing w:line="416" w:lineRule="exact"/>
        <w:ind w:firstLine="480" w:firstLineChars="200"/>
        <w:jc w:val="both"/>
        <w:rPr>
          <w:rFonts w:hint="eastAsia" w:asciiTheme="minorEastAsia" w:hAnsiTheme="minorEastAsia" w:eastAsiaTheme="minorEastAsia" w:cstheme="minorEastAsia"/>
          <w:b w:val="0"/>
          <w:bCs w:val="0"/>
          <w:color w:val="000000" w:themeColor="text1"/>
          <w:sz w:val="24"/>
          <w:szCs w:val="24"/>
        </w:rPr>
      </w:pPr>
      <w:r>
        <w:rPr>
          <w:rFonts w:hint="eastAsia" w:asciiTheme="minorEastAsia" w:hAnsiTheme="minorEastAsia" w:eastAsiaTheme="minorEastAsia" w:cstheme="minorEastAsia"/>
          <w:b w:val="0"/>
          <w:bCs w:val="0"/>
          <w:i w:val="0"/>
          <w:caps w:val="0"/>
          <w:color w:val="000000" w:themeColor="text1"/>
          <w:spacing w:val="0"/>
          <w:sz w:val="24"/>
          <w:szCs w:val="24"/>
        </w:rPr>
        <w:t>第一百一十三条　本法自2021年5月1日起施行。</w:t>
      </w:r>
      <w:r>
        <w:rPr>
          <w:rFonts w:hint="eastAsia" w:asciiTheme="minorEastAsia" w:hAnsiTheme="minorEastAsia" w:eastAsiaTheme="minorEastAsia" w:cstheme="minorEastAsia"/>
          <w:b w:val="0"/>
          <w:bCs w:val="0"/>
          <w:color w:val="000000" w:themeColor="text1"/>
          <w:sz w:val="24"/>
          <w:szCs w:val="24"/>
        </w:rPr>
        <w:br w:type="page"/>
      </w:r>
      <w:bookmarkStart w:id="1237" w:name="_Toc21450040"/>
      <w:bookmarkStart w:id="1238" w:name="_Toc27320"/>
      <w:bookmarkStart w:id="1239" w:name="_Toc466579834"/>
    </w:p>
    <w:p>
      <w:pPr>
        <w:pStyle w:val="2"/>
        <w:keepNext w:val="0"/>
        <w:keepLines w:val="0"/>
        <w:topLinePunct/>
        <w:spacing w:line="416" w:lineRule="exact"/>
        <w:ind w:firstLine="480" w:firstLineChars="200"/>
        <w:jc w:val="both"/>
        <w:rPr>
          <w:rFonts w:hint="eastAsia" w:asciiTheme="minorEastAsia" w:hAnsiTheme="minorEastAsia" w:eastAsiaTheme="minorEastAsia" w:cstheme="minorEastAsia"/>
          <w:b w:val="0"/>
          <w:bCs w:val="0"/>
          <w:color w:val="000000" w:themeColor="text1"/>
          <w:sz w:val="24"/>
          <w:szCs w:val="24"/>
        </w:rPr>
      </w:pPr>
    </w:p>
    <w:p>
      <w:pPr>
        <w:pStyle w:val="61"/>
      </w:pPr>
      <w:bookmarkStart w:id="1240" w:name="_Toc28252266"/>
      <w:bookmarkStart w:id="1241" w:name="_Toc25653780"/>
      <w:bookmarkStart w:id="1242" w:name="_Toc26348037"/>
      <w:bookmarkStart w:id="1243" w:name="_Toc25648284"/>
      <w:bookmarkStart w:id="1244" w:name="_Toc28250987"/>
      <w:bookmarkStart w:id="1245" w:name="_Toc28157059"/>
      <w:r>
        <w:t>北京市动物防疫条例</w:t>
      </w:r>
      <w:bookmarkEnd w:id="1237"/>
      <w:bookmarkEnd w:id="1238"/>
      <w:bookmarkEnd w:id="1239"/>
      <w:bookmarkEnd w:id="1240"/>
      <w:bookmarkEnd w:id="1241"/>
      <w:bookmarkEnd w:id="1242"/>
      <w:bookmarkEnd w:id="1243"/>
      <w:bookmarkEnd w:id="1244"/>
      <w:bookmarkEnd w:id="1245"/>
    </w:p>
    <w:p>
      <w:pPr>
        <w:pStyle w:val="62"/>
      </w:pPr>
      <w:r>
        <w:t>（</w:t>
      </w:r>
      <w:r>
        <w:rPr>
          <w:kern w:val="32"/>
          <w:lang w:bidi="he-IL"/>
        </w:rPr>
        <w:t>2014年5月23日北京市第十四届人民代表大会常务委员会第十一次会议通过</w:t>
      </w:r>
      <w:r>
        <w:rPr>
          <w:rFonts w:hint="eastAsia"/>
          <w:kern w:val="32"/>
          <w:lang w:bidi="he-IL"/>
        </w:rPr>
        <w:t>，</w:t>
      </w:r>
      <w:r>
        <w:rPr>
          <w:kern w:val="32"/>
          <w:lang w:bidi="he-IL"/>
        </w:rPr>
        <w:t>根据2019年7月26日北京市第十五届人民代表大会常务委员会第十四次会议通过的《关于修改〈北京市河湖保护管理条例〉〈北京市农业机械化促进条例〉等十一部地方性法规的决定》修订</w:t>
      </w:r>
      <w:r>
        <w:t>）</w:t>
      </w:r>
    </w:p>
    <w:p>
      <w:pPr>
        <w:pStyle w:val="63"/>
        <w:spacing w:before="218" w:after="218" w:line="412" w:lineRule="exact"/>
        <w:rPr>
          <w:kern w:val="32"/>
          <w:lang w:bidi="he-IL"/>
        </w:rPr>
      </w:pPr>
      <w:r>
        <w:rPr>
          <w:kern w:val="32"/>
          <w:lang w:bidi="he-IL"/>
        </w:rPr>
        <w:t>第一章  总</w:t>
      </w:r>
      <w:r>
        <w:rPr>
          <w:kern w:val="0"/>
          <w:lang w:bidi="he-IL"/>
        </w:rPr>
        <w:t xml:space="preserve">  </w:t>
      </w:r>
      <w:r>
        <w:rPr>
          <w:kern w:val="32"/>
          <w:lang w:bidi="he-IL"/>
        </w:rPr>
        <w:t>则</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第一条  </w:t>
      </w:r>
      <w:r>
        <w:rPr>
          <w:rFonts w:asciiTheme="minorEastAsia" w:hAnsiTheme="minorEastAsia" w:eastAsiaTheme="minorEastAsia"/>
          <w:kern w:val="32"/>
          <w:sz w:val="24"/>
          <w:szCs w:val="24"/>
          <w:lang w:bidi="he-IL"/>
        </w:rPr>
        <w:t>为了加强对动物防疫活动的管理，预防、控制和扑灭动物疫病，促进养殖业发展，保护人体健康，维护公共卫生安全，根据《中华人民共和国动物防疫法》等有关法律、法规的规定，结合本市实际，制定本条例。</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第二条  </w:t>
      </w:r>
      <w:r>
        <w:rPr>
          <w:rFonts w:asciiTheme="minorEastAsia" w:hAnsiTheme="minorEastAsia" w:eastAsiaTheme="minorEastAsia"/>
          <w:kern w:val="32"/>
          <w:sz w:val="24"/>
          <w:szCs w:val="24"/>
          <w:lang w:bidi="he-IL"/>
        </w:rPr>
        <w:t>本条例适用于本市行政区域内的动物防疫及其监督管理活动。</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进出境动物、动物产品的检疫以及实验动物的预防免疫，适用其他有关法律、法规的规定。</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第三条  </w:t>
      </w:r>
      <w:r>
        <w:rPr>
          <w:rFonts w:asciiTheme="minorEastAsia" w:hAnsiTheme="minorEastAsia" w:eastAsiaTheme="minorEastAsia"/>
          <w:kern w:val="32"/>
          <w:sz w:val="24"/>
          <w:szCs w:val="24"/>
          <w:lang w:bidi="he-IL"/>
        </w:rPr>
        <w:t>本市动物防疫工作坚持预防为主、综合防治、全程监管、重点控制的原则，建立政府监管与服务、企业主责、行业自律和社会参与的共同治理工作机制。</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第四条  </w:t>
      </w:r>
      <w:r>
        <w:rPr>
          <w:rFonts w:asciiTheme="minorEastAsia" w:hAnsiTheme="minorEastAsia" w:eastAsiaTheme="minorEastAsia"/>
          <w:kern w:val="32"/>
          <w:sz w:val="24"/>
          <w:szCs w:val="24"/>
          <w:lang w:bidi="he-IL"/>
        </w:rPr>
        <w:t>市和区人民政府应当加强对动物防疫工作的统一领导，将动物防疫工作纳入国民经济和社会发展规划和计划，建立健全动物防疫体系，按照职责将动物疫病的预防、监测、控制、检疫、监督管理以及动物疫情应急处理所需经费纳入本级财政预算。</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乡镇人民政府、街道办事处应当建立动物防疫责任制度，明确专门人员，协助做好本辖区内的动物防疫知识宣传、动物饲养情况调查、动物疫病监测、重大动物疫情控制和扑灭等工作。</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村民委员会、居民委员会应当配合做好本辖区内的动物防疫工作，督促和引导村民、居民依法履行动物防疫义务。</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第五条  </w:t>
      </w:r>
      <w:r>
        <w:rPr>
          <w:rFonts w:asciiTheme="minorEastAsia" w:hAnsiTheme="minorEastAsia" w:eastAsiaTheme="minorEastAsia"/>
          <w:kern w:val="32"/>
          <w:sz w:val="24"/>
          <w:szCs w:val="24"/>
          <w:lang w:bidi="he-IL"/>
        </w:rPr>
        <w:t>市和区兽医主管部门主管本行政区域内的动物防疫工作。</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区兽医主管部门根据动物防疫工作需要，在乡镇或者特定区域派驻基层兽医机构，在村、社区可以设置村级动物防疫员、社区动物防疫协管员。村级动物防疫员、社区动物防疫协管员应当协助做好动物防疫知识宣传、强制免疫接种、动物饲养情况调查、疫情观察报告和调查处置、违法行为报告和制止等动物防疫工作。</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卫生健康、园林绿化、水务、生态环境、城市管理、市场监督管理、公安等部门和海关，按照各自职责做好动物防疫相关工作。与动物防疫相关、一时难以定性且涉及多部门的事项，由兽医主管部门先行处理并负责协调。</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第六条  </w:t>
      </w:r>
      <w:r>
        <w:rPr>
          <w:rFonts w:asciiTheme="minorEastAsia" w:hAnsiTheme="minorEastAsia" w:eastAsiaTheme="minorEastAsia"/>
          <w:kern w:val="32"/>
          <w:sz w:val="24"/>
          <w:szCs w:val="24"/>
          <w:lang w:bidi="he-IL"/>
        </w:rPr>
        <w:t>市和区人民政府设立的动物卫生监督机构负责动物、动物产品的检疫工作和其他有关动物防疫的监督管理执法工作。</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第七条  </w:t>
      </w:r>
      <w:r>
        <w:rPr>
          <w:rFonts w:asciiTheme="minorEastAsia" w:hAnsiTheme="minorEastAsia" w:eastAsiaTheme="minorEastAsia"/>
          <w:kern w:val="32"/>
          <w:sz w:val="24"/>
          <w:szCs w:val="24"/>
          <w:lang w:bidi="he-IL"/>
        </w:rPr>
        <w:t>市和区人民政府设立的动物疫病预防控制机构，承担动物疫病的监测、检测、诊断、流行病学调查、疫情报告、动物防疫知识宣传以及其他预防、控制等技术工作。未设立动物疫病预防控制机构的区，区兽医主管部门可以委托其他专业机构承担动物疫病预防、控制等技术工作。</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第八条  </w:t>
      </w:r>
      <w:r>
        <w:rPr>
          <w:rFonts w:asciiTheme="minorEastAsia" w:hAnsiTheme="minorEastAsia" w:eastAsiaTheme="minorEastAsia"/>
          <w:kern w:val="32"/>
          <w:sz w:val="24"/>
          <w:szCs w:val="24"/>
          <w:lang w:bidi="he-IL"/>
        </w:rPr>
        <w:t>从事动物饲养、屠宰、经营、隔离、运输、诊疗以及动物产品生产、经营、加工、贮藏等活动的单位和个人，应当遵守动物防疫法律、法规、规章和标准的规定，做好动物疫病的预防、报告、控制等工作，降低动物疫病发生风险，防止疫情扩散。</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第九条  </w:t>
      </w:r>
      <w:r>
        <w:rPr>
          <w:rFonts w:asciiTheme="minorEastAsia" w:hAnsiTheme="minorEastAsia" w:eastAsiaTheme="minorEastAsia"/>
          <w:kern w:val="32"/>
          <w:sz w:val="24"/>
          <w:szCs w:val="24"/>
          <w:lang w:bidi="he-IL"/>
        </w:rPr>
        <w:t>市和区人民政府有关部门应当加强对动物防疫相关行业协会的支持、指导和服务，并可以委托符合条件的行业协会承担部分动物防疫相关事项。</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动物防疫相关行业协会应当承担行业自律责任，根据章程指导、规范和监督会员依法从事动物、动物产品生产经营等活动，推进行业诚信建设；为会员提供信息、技术、营销、培训等服务，参与制定、修订生产和服务标准，向兽医主管部门提出改进工作的意见和建议，维护会员合法权益；开展动物防疫知识宣传。</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第十条  </w:t>
      </w:r>
      <w:r>
        <w:rPr>
          <w:rFonts w:asciiTheme="minorEastAsia" w:hAnsiTheme="minorEastAsia" w:eastAsiaTheme="minorEastAsia"/>
          <w:kern w:val="32"/>
          <w:sz w:val="24"/>
          <w:szCs w:val="24"/>
          <w:lang w:bidi="he-IL"/>
        </w:rPr>
        <w:t>市和区人民政府应当采取措施支持保险机构开发动物疫病保险产品，逐步扩大承保的动物疫病种类和范围，鼓励动物养殖者参加动物疫病保险。</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第十一条  </w:t>
      </w:r>
      <w:r>
        <w:rPr>
          <w:rFonts w:asciiTheme="minorEastAsia" w:hAnsiTheme="minorEastAsia" w:eastAsiaTheme="minorEastAsia"/>
          <w:kern w:val="32"/>
          <w:sz w:val="24"/>
          <w:szCs w:val="24"/>
          <w:lang w:bidi="he-IL"/>
        </w:rPr>
        <w:t>市和区人民政府对在动物防疫工作、动物防疫科学研究中作出突出成绩和贡献的单位和个人按照规定给予表彰和奖励。</w:t>
      </w:r>
    </w:p>
    <w:p>
      <w:pPr>
        <w:pStyle w:val="63"/>
        <w:spacing w:before="218" w:after="218" w:line="412" w:lineRule="exact"/>
        <w:rPr>
          <w:kern w:val="32"/>
          <w:lang w:bidi="he-IL"/>
        </w:rPr>
      </w:pPr>
      <w:r>
        <w:rPr>
          <w:kern w:val="32"/>
          <w:lang w:bidi="he-IL"/>
        </w:rPr>
        <w:t>第二章  动物疫病的预防和控制</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第十二条  </w:t>
      </w:r>
      <w:r>
        <w:rPr>
          <w:rFonts w:asciiTheme="minorEastAsia" w:hAnsiTheme="minorEastAsia" w:eastAsiaTheme="minorEastAsia"/>
          <w:kern w:val="32"/>
          <w:sz w:val="24"/>
          <w:szCs w:val="24"/>
          <w:lang w:bidi="he-IL"/>
        </w:rPr>
        <w:t>市和区人民政府应当组织兽医主管部门和卫生健康、园林绿化、水务等部门以及海关建立健全统一的动物疫情监测网络，加强动物疫情监测，及时互相通报信息。</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市和区兽医主管部门应当会同卫生健康、园林绿化等部门和海关建立健全协调机制，加强人畜共患传染病防治、野生动物疫源疫病监测、外来动物疫病防范等方面的合作。</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第十三条  </w:t>
      </w:r>
      <w:r>
        <w:rPr>
          <w:rFonts w:asciiTheme="minorEastAsia" w:hAnsiTheme="minorEastAsia" w:eastAsiaTheme="minorEastAsia"/>
          <w:kern w:val="32"/>
          <w:sz w:val="24"/>
          <w:szCs w:val="24"/>
          <w:lang w:bidi="he-IL"/>
        </w:rPr>
        <w:t>市兽医主管部门应当制定动物疫病监测计划，组织动物疫病预防控制机构开展动物疫病监测和流行病学调查。</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因开展动物疫病监测和流行病学调查需要采集样品的，应当按照规定标准给予动物养殖者动物应激损失补偿。</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第十四条  </w:t>
      </w:r>
      <w:r>
        <w:rPr>
          <w:rFonts w:asciiTheme="minorEastAsia" w:hAnsiTheme="minorEastAsia" w:eastAsiaTheme="minorEastAsia"/>
          <w:kern w:val="32"/>
          <w:sz w:val="24"/>
          <w:szCs w:val="24"/>
          <w:lang w:bidi="he-IL"/>
        </w:rPr>
        <w:t>本市建立动物疫病状况风险评估制度。</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市和区兽医主管部门应当组织有关部门和专家，根据国内外动物疫病发生规律、流行趋势和动物疫病监测结果，开展动物疫病状况风险评估。评估结果应当及时向有关部门通报。</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第十五条  </w:t>
      </w:r>
      <w:r>
        <w:rPr>
          <w:rFonts w:asciiTheme="minorEastAsia" w:hAnsiTheme="minorEastAsia" w:eastAsiaTheme="minorEastAsia"/>
          <w:kern w:val="32"/>
          <w:sz w:val="24"/>
          <w:szCs w:val="24"/>
          <w:lang w:bidi="he-IL"/>
        </w:rPr>
        <w:t>动物疫病状况风险评估结果表明具有较高程度动物疫病发生风险的，市兽医主管部门应当及时发出动物疫病风险警示，制定相应的预防、控制措施，并及时向社会公布。</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动物疫病状况风险评估结果表明情况紧急、可能引发重大动物疫情的，市兽医主管部门应当根据需要实施隔离、紧急免疫接种等临时控制措施。必要时，经市人民政府批准，可以实施责令暂停销售和购进相关动物及动物产品、限制相关动物及动物产品移动等临时控制措施。重大动物疫情风险消除后，应当及时解除临时控制措施。</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第十六条  </w:t>
      </w:r>
      <w:r>
        <w:rPr>
          <w:rFonts w:asciiTheme="minorEastAsia" w:hAnsiTheme="minorEastAsia" w:eastAsiaTheme="minorEastAsia"/>
          <w:kern w:val="32"/>
          <w:sz w:val="24"/>
          <w:szCs w:val="24"/>
          <w:lang w:bidi="he-IL"/>
        </w:rPr>
        <w:t>市和区人民政府应当制定本行政区域的重大动物疫情应急预案，按照规定分别报国务院兽医主管部门和市兽医主管部门备案。</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市和区兽医主管部门应当按照不同动物疫病病种及其流行特点和危害程度，分别制定重大动物疫情应急预案的实施方案。</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市和区人民政府应当根据重大动物疫情防控需要，适时启动重大动物疫情应急预案。</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第十七条  </w:t>
      </w:r>
      <w:r>
        <w:rPr>
          <w:rFonts w:asciiTheme="minorEastAsia" w:hAnsiTheme="minorEastAsia" w:eastAsiaTheme="minorEastAsia"/>
          <w:kern w:val="32"/>
          <w:sz w:val="24"/>
          <w:szCs w:val="24"/>
          <w:lang w:bidi="he-IL"/>
        </w:rPr>
        <w:t>市和区人民政府应当制定并组织实施动物疫病防治规划，分级分类、有计划地控制和净化严重危害养殖业生产和人体健康的重点动物疫病和人畜共患传染病。</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市兽医主管部门根据动物疫病防治规划制定本市动物疫病净化计划，建立动物免疫退出和动物疫病传播阻断制度，支持企业通过开展生物安全隔离区、无特定动物病原场群建设，实施对动物疫病的区域化管理，控制和净化重点动物疫病和人畜共患传染病。</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动物饲养者应当遵守本市动物免疫退出和动物疫病传播阻断制度的有关规定。</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第十八条  </w:t>
      </w:r>
      <w:r>
        <w:rPr>
          <w:rFonts w:asciiTheme="minorEastAsia" w:hAnsiTheme="minorEastAsia" w:eastAsiaTheme="minorEastAsia"/>
          <w:kern w:val="32"/>
          <w:sz w:val="24"/>
          <w:szCs w:val="24"/>
          <w:lang w:bidi="he-IL"/>
        </w:rPr>
        <w:t>市和区兽医主管部门应当加强对动物养殖场、养殖小区以外的养殖场所动物防疫的指导服务和监督管理。动物养殖场、养殖小区以外的养殖场所应当在基层兽医机构指导下做好动物防疫相关工作。</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第十九条  </w:t>
      </w:r>
      <w:r>
        <w:rPr>
          <w:rFonts w:asciiTheme="minorEastAsia" w:hAnsiTheme="minorEastAsia" w:eastAsiaTheme="minorEastAsia"/>
          <w:kern w:val="32"/>
          <w:sz w:val="24"/>
          <w:szCs w:val="24"/>
          <w:lang w:bidi="he-IL"/>
        </w:rPr>
        <w:t>市兽医主管部门制定本市动物疫病强制免疫计划，区兽医主管部门根据本市动物疫病强制免疫计划，制定并组织实施本行政区域的动物疫病强制免疫实施方案。</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乡镇人民政府、街道办事处应当组织本辖区内的动物饲养者做好动物疫病强制免疫工作。</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第二十条  </w:t>
      </w:r>
      <w:r>
        <w:rPr>
          <w:rFonts w:asciiTheme="minorEastAsia" w:hAnsiTheme="minorEastAsia" w:eastAsiaTheme="minorEastAsia"/>
          <w:kern w:val="32"/>
          <w:sz w:val="24"/>
          <w:szCs w:val="24"/>
          <w:lang w:bidi="he-IL"/>
        </w:rPr>
        <w:t>动物饲养者应当依法履行动物疫病强制免疫义务。</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动物养殖场、养殖小区应当配备动物防疫技术人员，实施免疫接种，做好免疫记录，建立免疫档案；不具备自行实施免疫接种条件的单位和个人，应当向区兽医主管部门设立的基层兽医机构申请强制免疫接种服务。</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第二十一条  </w:t>
      </w:r>
      <w:r>
        <w:rPr>
          <w:rFonts w:asciiTheme="minorEastAsia" w:hAnsiTheme="minorEastAsia" w:eastAsiaTheme="minorEastAsia"/>
          <w:kern w:val="32"/>
          <w:sz w:val="24"/>
          <w:szCs w:val="24"/>
          <w:lang w:bidi="he-IL"/>
        </w:rPr>
        <w:t>市和区兽医主管部门应当加强对强制免疫和动物疫病净化相关疫苗采购、储存、分发和使用的监督管理，开展免疫效果监测和免疫质量评估。</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第二十二条  </w:t>
      </w:r>
      <w:r>
        <w:rPr>
          <w:rFonts w:asciiTheme="minorEastAsia" w:hAnsiTheme="minorEastAsia" w:eastAsiaTheme="minorEastAsia"/>
          <w:kern w:val="32"/>
          <w:sz w:val="24"/>
          <w:szCs w:val="24"/>
          <w:lang w:bidi="he-IL"/>
        </w:rPr>
        <w:t>本市对犬只实施狂犬病强制免疫。</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犬只养殖场配备的动物防疫技术人员应当为饲养的犬只实施免疫接种。其他犬只饲养者应当到区兽医主管部门认定的狂犬病免疫点对犬只进行免疫接种，并支付免疫费用，本市地方性法规另有规定的除外。</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犬只接受狂犬病强制免疫接种的，取得狂犬病免疫证明、标识。狂犬病免疫标识由市兽医主管部门监制。</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犬只饲养者携带犬只在户外活动，应当为犬只佩戴狂犬病免疫标识；犬只饲养者不得携带未佩戴狂犬病免疫标识的犬只在户外活动。</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第二十三条  </w:t>
      </w:r>
      <w:r>
        <w:rPr>
          <w:rFonts w:asciiTheme="minorEastAsia" w:hAnsiTheme="minorEastAsia" w:eastAsiaTheme="minorEastAsia"/>
          <w:kern w:val="32"/>
          <w:sz w:val="24"/>
          <w:szCs w:val="24"/>
          <w:lang w:bidi="he-IL"/>
        </w:rPr>
        <w:t>禁止在有形市场现场销售活畜禽。</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禁止携带活畜禽乘坐公共电汽车、轨道交通车辆、道路客运车辆等公共交通工具，法律、法规另有规定的除外。</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携带训练合格的导盲犬等工作犬乘坐公共交通工具不受本条第二款规定的限制。</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第二十四条  </w:t>
      </w:r>
      <w:r>
        <w:rPr>
          <w:rFonts w:asciiTheme="minorEastAsia" w:hAnsiTheme="minorEastAsia" w:eastAsiaTheme="minorEastAsia"/>
          <w:kern w:val="32"/>
          <w:sz w:val="24"/>
          <w:szCs w:val="24"/>
          <w:lang w:bidi="he-IL"/>
        </w:rPr>
        <w:t>下列动物、动物产品应当按照规定进行无害化处理，任何单位和个人不得随意处置：</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（一）动物饲养活动中死亡的动物；</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（二）动物诊疗、教学科研活动中死亡的动物和产生的病理组织；</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（三）染疫的动物和动物产品；</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（四）经检验对人体健康有危害的动物和动物产品；</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（五）其他可能造成动物疫病传播的动物和动物产品。</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第二十五条  </w:t>
      </w:r>
      <w:r>
        <w:rPr>
          <w:rFonts w:asciiTheme="minorEastAsia" w:hAnsiTheme="minorEastAsia" w:eastAsiaTheme="minorEastAsia"/>
          <w:kern w:val="32"/>
          <w:sz w:val="24"/>
          <w:szCs w:val="24"/>
          <w:lang w:bidi="he-IL"/>
        </w:rPr>
        <w:t>动物、动物产品无害化处理公共设施是公益性城市基础设施。</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市兽医主管部门会同发展改革、财政、规划自然资源、生态环境等部门编制动物、动物产品无害化处理公共设施建设实施方案，报市人民政府同意后组织实施。区人民政府应当按照实施方案的要求建设动物、动物产品无害化处理公共设施。</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本市鼓励和支持单位和个人投资建设动物、动物产品无害化处理设施，向社会提供无害化处理服务。</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第二十六条  </w:t>
      </w:r>
      <w:r>
        <w:rPr>
          <w:rFonts w:asciiTheme="minorEastAsia" w:hAnsiTheme="minorEastAsia" w:eastAsiaTheme="minorEastAsia"/>
          <w:kern w:val="32"/>
          <w:sz w:val="24"/>
          <w:szCs w:val="24"/>
          <w:lang w:bidi="he-IL"/>
        </w:rPr>
        <w:t>对本条例第二十四条所列举的动物、动物产品的收集、运输、处理以及无害化处理公共设施的运行维护、财政支持等办法，由市兽医主管部门会同财政、城市管理、生态环境、水务、园林绿化等部门制定，并向社会公布。</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第二十七条  </w:t>
      </w:r>
      <w:r>
        <w:rPr>
          <w:rFonts w:asciiTheme="minorEastAsia" w:hAnsiTheme="minorEastAsia" w:eastAsiaTheme="minorEastAsia"/>
          <w:kern w:val="32"/>
          <w:sz w:val="24"/>
          <w:szCs w:val="24"/>
          <w:lang w:bidi="he-IL"/>
        </w:rPr>
        <w:t>动物屠宰加工场所、动物养殖场、养殖小区、动物隔离场所应当具备符合规定的无害化处理设施设备，并保证无害化处理设施设备正常运转。已经委托他人进行无害化处理的，可以不自行建设无害化处理设施设备。</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本条第一款规定以外的动物饲养者不能实施无害化处理的，应当将需要进行无害化处理的动物、动物产品及时送交无害化处理设施运营单位实施无害化处理，或者及时告知兽医主管部门指定的收集单位，由收集单位送交无害化处理设施运营单位实施无害化处理。</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区兽医主管部门应当会同有关部门根据需要在交通不便的农村地区设置小型无害化处理设施设备。</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第二十八条  </w:t>
      </w:r>
      <w:r>
        <w:rPr>
          <w:rFonts w:asciiTheme="minorEastAsia" w:hAnsiTheme="minorEastAsia" w:eastAsiaTheme="minorEastAsia"/>
          <w:kern w:val="32"/>
          <w:sz w:val="24"/>
          <w:szCs w:val="24"/>
          <w:lang w:bidi="he-IL"/>
        </w:rPr>
        <w:t>动物、动物产品无害化处理设施的选址，应当避让饮用水水源保护地、风景名胜区、居住区等区域。</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第二十九条  </w:t>
      </w:r>
      <w:r>
        <w:rPr>
          <w:rFonts w:asciiTheme="minorEastAsia" w:hAnsiTheme="minorEastAsia" w:eastAsiaTheme="minorEastAsia"/>
          <w:kern w:val="32"/>
          <w:sz w:val="24"/>
          <w:szCs w:val="24"/>
          <w:lang w:bidi="he-IL"/>
        </w:rPr>
        <w:t>市和区兽医主管部门应当会同科技、生态环境部门制定政策措施，支持和鼓励无害化处理先进技术、设施设备的研究开发和成果示范推广。</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市兽医主管部门应当组织制定动物、动物产品无害化处理技术通则，为动物、动物产品的无害化处理提供技术指导。</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第三十条  </w:t>
      </w:r>
      <w:r>
        <w:rPr>
          <w:rFonts w:asciiTheme="minorEastAsia" w:hAnsiTheme="minorEastAsia" w:eastAsiaTheme="minorEastAsia"/>
          <w:kern w:val="32"/>
          <w:sz w:val="24"/>
          <w:szCs w:val="24"/>
          <w:lang w:bidi="he-IL"/>
        </w:rPr>
        <w:t>动物饲养者应当遵守下列规定：</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（一）为动物提供适宜的环境；</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（二）保证动物达到国家规定的健康标准；</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（三）对患病动物进行必要的治疗；</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（四）不遗弃、虐待饲养的动物。</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市公安机关依法设立犬类留检所，负责收容处理犬只饲养者放弃饲养的犬只、被没收的犬只和无主犬只。动物卫生监督机构根据需要自行设立或者委托有条件的社会组织设立犬只以外的动物收容场所或者暂存场所，实施犬只以外动物的收容。</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第三十一条  </w:t>
      </w:r>
      <w:r>
        <w:rPr>
          <w:rFonts w:asciiTheme="minorEastAsia" w:hAnsiTheme="minorEastAsia" w:eastAsiaTheme="minorEastAsia"/>
          <w:kern w:val="32"/>
          <w:sz w:val="24"/>
          <w:szCs w:val="24"/>
          <w:lang w:bidi="he-IL"/>
        </w:rPr>
        <w:t>因依法实施强制免疫造成动物应激死亡，以及在动物疫病预防和控制、扑灭过程中强制扑杀的动物、销毁的动物产品和相关物品，市和区人民政府应当依据国家规定给予补偿。</w:t>
      </w:r>
    </w:p>
    <w:p>
      <w:pPr>
        <w:pStyle w:val="63"/>
        <w:spacing w:before="218" w:after="218" w:line="412" w:lineRule="exact"/>
        <w:rPr>
          <w:kern w:val="32"/>
          <w:lang w:bidi="he-IL"/>
        </w:rPr>
      </w:pPr>
      <w:r>
        <w:rPr>
          <w:kern w:val="32"/>
          <w:lang w:bidi="he-IL"/>
        </w:rPr>
        <w:t>第三章  动物和动物产品的检疫</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第三十二条  </w:t>
      </w:r>
      <w:r>
        <w:rPr>
          <w:rFonts w:asciiTheme="minorEastAsia" w:hAnsiTheme="minorEastAsia" w:eastAsiaTheme="minorEastAsia"/>
          <w:kern w:val="32"/>
          <w:sz w:val="24"/>
          <w:szCs w:val="24"/>
          <w:lang w:bidi="he-IL"/>
        </w:rPr>
        <w:t>动物卫生监督机构可以根据工作需要，在特定区域或者场所设立官方兽医室，派驻官方兽医。</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动物卫生监督机构可以根据工作需要，指定兽医专业人员，或者聘用兽医专业人员作为签约兽医，协助官方兽医实施动物检疫技术工作。</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官方兽医出具检疫证明，并对检疫结论负责。</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第三十三条  </w:t>
      </w:r>
      <w:r>
        <w:rPr>
          <w:rFonts w:asciiTheme="minorEastAsia" w:hAnsiTheme="minorEastAsia" w:eastAsiaTheme="minorEastAsia"/>
          <w:kern w:val="32"/>
          <w:sz w:val="24"/>
          <w:szCs w:val="24"/>
          <w:lang w:bidi="he-IL"/>
        </w:rPr>
        <w:t>本市对猪、牛、羊、鸡、鸭实行定点屠宰，集中检疫，农村地区自宰自食的除外。</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猪、牛、羊、鸡、鸭定点屠宰加工场所应当符合行业发展规划和动物防疫条件；牛、羊、鸡、鸭的定点屠宰场所应当取得市兽医主管部门核发的定点屠宰证，生猪定点屠宰证的核发按照生猪屠宰管理条例执行。</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本条第一款规定以外的动物的屠宰加工场所，应当符合动物防疫条件，并在屠宰前向区动物卫生监督机构申报检疫。</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屠宰加工场所的经营管理者应当如实记录动物来源、动物产品流向、检疫证明编号等可追溯信息，记录应当至少保存2年。</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第三十四条  </w:t>
      </w:r>
      <w:r>
        <w:rPr>
          <w:rFonts w:asciiTheme="minorEastAsia" w:hAnsiTheme="minorEastAsia" w:eastAsiaTheme="minorEastAsia"/>
          <w:kern w:val="32"/>
          <w:sz w:val="24"/>
          <w:szCs w:val="24"/>
          <w:lang w:bidi="he-IL"/>
        </w:rPr>
        <w:t>动物屠宰加工场所应当按照规定进行致病性微生物、兽药残留、违禁药物和非法添加物检测，并如实记录检测结果。检测结果记录应当至少保存2年。</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第三十五条  </w:t>
      </w:r>
      <w:r>
        <w:rPr>
          <w:rFonts w:asciiTheme="minorEastAsia" w:hAnsiTheme="minorEastAsia" w:eastAsiaTheme="minorEastAsia"/>
          <w:kern w:val="32"/>
          <w:sz w:val="24"/>
          <w:szCs w:val="24"/>
          <w:lang w:bidi="he-IL"/>
        </w:rPr>
        <w:t>从事动物收购、销售、运输的单位和个人，应当向所在区动物卫生监督机构备案。</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从事动物产品经营的单位和个人，应当记录动物产品的产地、生产者、检疫证明编号、购入日期和数量等事项。记录应当至少保存2年。</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第三十六条  </w:t>
      </w:r>
      <w:r>
        <w:rPr>
          <w:rFonts w:asciiTheme="minorEastAsia" w:hAnsiTheme="minorEastAsia" w:eastAsiaTheme="minorEastAsia"/>
          <w:kern w:val="32"/>
          <w:sz w:val="24"/>
          <w:szCs w:val="24"/>
          <w:lang w:bidi="he-IL"/>
        </w:rPr>
        <w:t>集中交易市场或者庙会、游园会、展销会等场所内有动物、动物产品经营的，或者提供出租柜台供经营者从事动物、动物产品经营的，市场开办者、活动主办者或者柜台出租者应当遵守下列规定：</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（一）配备专职人员，指导并督促入场经营者落实动物防疫责任；</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（二）建立场内动物、动物产品经营者档案，记录经营者的基本情况、主要进货渠道、经营品种、品牌和供货商等信息；</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（三）对入场销售的动物、动物产品实施查证、验章、验物；</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（四）根据需要配备动物产品检验、冷藏冷冻等设施设备。</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动物、动物产品经营者应当公示动物、动物产品的检疫信息、产地信息。</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第三十七条  </w:t>
      </w:r>
      <w:r>
        <w:rPr>
          <w:rFonts w:asciiTheme="minorEastAsia" w:hAnsiTheme="minorEastAsia" w:eastAsiaTheme="minorEastAsia"/>
          <w:kern w:val="32"/>
          <w:sz w:val="24"/>
          <w:szCs w:val="24"/>
          <w:lang w:bidi="he-IL"/>
        </w:rPr>
        <w:t>冷库经营者在动物产品入库时应当查验、留存检疫证明，记录动物产品的产地、生产者、检疫证明编号、入库日期和数量等信息。</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动物产品出库时，动物产品经营者应当向动物卫生监督机构申请换发检疫证明；动物产品出库后，冷库经营者应当保存原检疫证明和相关记录至少2年。</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第三十八条  </w:t>
      </w:r>
      <w:r>
        <w:rPr>
          <w:rFonts w:asciiTheme="minorEastAsia" w:hAnsiTheme="minorEastAsia" w:eastAsiaTheme="minorEastAsia"/>
          <w:kern w:val="32"/>
          <w:sz w:val="24"/>
          <w:szCs w:val="24"/>
          <w:lang w:bidi="he-IL"/>
        </w:rPr>
        <w:t>动物产品销售者应当为消费者提供动物产品可追溯信息凭据。</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餐饮经营者和单位食堂购买动物产品，应当保存检疫证明或者可追溯信息凭据，并至少保存2年。</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第三十九条  </w:t>
      </w:r>
      <w:r>
        <w:rPr>
          <w:rFonts w:asciiTheme="minorEastAsia" w:hAnsiTheme="minorEastAsia" w:eastAsiaTheme="minorEastAsia"/>
          <w:kern w:val="32"/>
          <w:sz w:val="24"/>
          <w:szCs w:val="24"/>
          <w:lang w:bidi="he-IL"/>
        </w:rPr>
        <w:t>动物展览、演出和比赛等活动的主办者，应当在活动举办60日前向活动举办地的区动物卫生监督机构报告。区动物卫生监督机构给予防疫指导，实施监督检查。</w:t>
      </w:r>
    </w:p>
    <w:p>
      <w:pPr>
        <w:pStyle w:val="63"/>
        <w:spacing w:before="218" w:after="218" w:line="412" w:lineRule="exact"/>
        <w:rPr>
          <w:kern w:val="32"/>
          <w:lang w:bidi="he-IL"/>
        </w:rPr>
      </w:pPr>
      <w:r>
        <w:rPr>
          <w:kern w:val="32"/>
          <w:lang w:bidi="he-IL"/>
        </w:rPr>
        <w:t>第四章  动物诊疗</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第四十条  </w:t>
      </w:r>
      <w:r>
        <w:rPr>
          <w:rFonts w:asciiTheme="minorEastAsia" w:hAnsiTheme="minorEastAsia" w:eastAsiaTheme="minorEastAsia"/>
          <w:kern w:val="32"/>
          <w:sz w:val="24"/>
          <w:szCs w:val="24"/>
          <w:lang w:bidi="he-IL"/>
        </w:rPr>
        <w:t>动物诊疗机构应当遵守下列规定：</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（一）公示动物诊疗许可证和执业兽医资格证书、监督电话；</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（二）建立符合规定的病历、处方、药品、手术、住院等诊疗管理制度；</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（三）保存动物诊疗病历、处方、检验报告、手术及麻醉记录等资料至少3年；</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（四）执行有关防止动物疫病医源性感染或者扩散的技术规范和操作规程；</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（五）按照规定对动物诊疗活动中产生的医疗废物进行处理；</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（六）聘用注册或者备案的执业兽医从事动物诊疗活动。</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动物诊疗机构兼营动物用品、动物美容等项目的区域与诊疗区域应当经过物理分隔、独立设置。</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第四十一条  </w:t>
      </w:r>
      <w:r>
        <w:rPr>
          <w:rFonts w:asciiTheme="minorEastAsia" w:hAnsiTheme="minorEastAsia" w:eastAsiaTheme="minorEastAsia"/>
          <w:kern w:val="32"/>
          <w:sz w:val="24"/>
          <w:szCs w:val="24"/>
          <w:lang w:bidi="he-IL"/>
        </w:rPr>
        <w:t>动物诊疗机构应当确定专门部门或者人员承担诊疗活动中与动物疫病医源性感染有关的危险因素的监测、安全防护、消毒、隔离、动物疫情报告和医疗废物处置等工作。</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第四十二条  </w:t>
      </w:r>
      <w:r>
        <w:rPr>
          <w:rFonts w:asciiTheme="minorEastAsia" w:hAnsiTheme="minorEastAsia" w:eastAsiaTheme="minorEastAsia"/>
          <w:kern w:val="32"/>
          <w:sz w:val="24"/>
          <w:szCs w:val="24"/>
          <w:lang w:bidi="he-IL"/>
        </w:rPr>
        <w:t>动物诊疗机构不得在动物诊疗场所从事动物交易、寄养活动。</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第四十三条  </w:t>
      </w:r>
      <w:r>
        <w:rPr>
          <w:rFonts w:asciiTheme="minorEastAsia" w:hAnsiTheme="minorEastAsia" w:eastAsiaTheme="minorEastAsia"/>
          <w:kern w:val="32"/>
          <w:sz w:val="24"/>
          <w:szCs w:val="24"/>
          <w:lang w:bidi="he-IL"/>
        </w:rPr>
        <w:t>从事动物寄养活动应当符合下列条件：</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（一）有兽医专业技术人员；</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（二）有相应的消毒、废物处理或者暂存设施设备；</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（三）有与其服务规模相适应的隔离饲养器具和动物活动空间；</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（四）有完善的动物防疫管理制度。</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第四十四条  </w:t>
      </w:r>
      <w:r>
        <w:rPr>
          <w:rFonts w:asciiTheme="minorEastAsia" w:hAnsiTheme="minorEastAsia" w:eastAsiaTheme="minorEastAsia"/>
          <w:kern w:val="32"/>
          <w:sz w:val="24"/>
          <w:szCs w:val="24"/>
          <w:lang w:bidi="he-IL"/>
        </w:rPr>
        <w:t>执业兽医从事动物诊疗活动，应当佩戴载有本人姓名、照片、执业地点、执业等级等内容的标牌。</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第四十五条  </w:t>
      </w:r>
      <w:r>
        <w:rPr>
          <w:rFonts w:asciiTheme="minorEastAsia" w:hAnsiTheme="minorEastAsia" w:eastAsiaTheme="minorEastAsia"/>
          <w:kern w:val="32"/>
          <w:sz w:val="24"/>
          <w:szCs w:val="24"/>
          <w:lang w:bidi="he-IL"/>
        </w:rPr>
        <w:t>市兽医</w:t>
      </w:r>
      <w:r>
        <w:rPr>
          <w:rFonts w:asciiTheme="minorEastAsia" w:hAnsiTheme="minorEastAsia" w:eastAsiaTheme="minorEastAsia"/>
          <w:spacing w:val="-4"/>
          <w:kern w:val="32"/>
          <w:sz w:val="24"/>
          <w:szCs w:val="24"/>
          <w:lang w:bidi="he-IL"/>
        </w:rPr>
        <w:t>主管部门应当制定执业兽医考核和培训计划，对执业兽医的业务水平、工作成绩和职业道德状况进行定期考核，为执业兽医接受继续教育提供条件。</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市兽医主管部门可以委托相关机构或者组织承担执业兽医考核、培训和继续教育等工作。</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聘用执业兽医的单位和个人应当保证所聘用的执业兽医接受培训和继续教育的时间。</w:t>
      </w:r>
    </w:p>
    <w:p>
      <w:pPr>
        <w:pStyle w:val="63"/>
        <w:spacing w:before="218" w:after="218" w:line="412" w:lineRule="exact"/>
        <w:rPr>
          <w:kern w:val="32"/>
          <w:lang w:bidi="he-IL"/>
        </w:rPr>
      </w:pPr>
      <w:r>
        <w:rPr>
          <w:kern w:val="32"/>
          <w:lang w:bidi="he-IL"/>
        </w:rPr>
        <w:t>第五章  监督管理</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第四十六条  </w:t>
      </w:r>
      <w:r>
        <w:rPr>
          <w:rFonts w:asciiTheme="minorEastAsia" w:hAnsiTheme="minorEastAsia" w:eastAsiaTheme="minorEastAsia"/>
          <w:kern w:val="32"/>
          <w:sz w:val="24"/>
          <w:szCs w:val="24"/>
          <w:lang w:bidi="he-IL"/>
        </w:rPr>
        <w:t>市和区人民政府应当采取有效措施，建立健全动物防疫队伍，加强动物防疫基础设施建设，提高动物防疫和监督管理水平。</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第四十七条  </w:t>
      </w:r>
      <w:r>
        <w:rPr>
          <w:rFonts w:asciiTheme="minorEastAsia" w:hAnsiTheme="minorEastAsia" w:eastAsiaTheme="minorEastAsia"/>
          <w:kern w:val="32"/>
          <w:sz w:val="24"/>
          <w:szCs w:val="24"/>
          <w:lang w:bidi="he-IL"/>
        </w:rPr>
        <w:t>动物卫生监督机构的官方兽医开展动物防疫监督执法，应当统一着装、佩戴统一标志，出示行政执法证件。</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第四十八条  </w:t>
      </w:r>
      <w:r>
        <w:rPr>
          <w:rFonts w:asciiTheme="minorEastAsia" w:hAnsiTheme="minorEastAsia" w:eastAsiaTheme="minorEastAsia"/>
          <w:kern w:val="32"/>
          <w:sz w:val="24"/>
          <w:szCs w:val="24"/>
          <w:lang w:bidi="he-IL"/>
        </w:rPr>
        <w:t>市兽医主管部门应当与其他省、自治区、直辖市的兽医主管部门建立协作机制，开展信息共享、全程追溯、技术协作等合作，并根据需要对进京动物、动物产品的外埠供应基地提供动物防疫方面的技术支持和服务。</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第四十九条  </w:t>
      </w:r>
      <w:r>
        <w:rPr>
          <w:rFonts w:asciiTheme="minorEastAsia" w:hAnsiTheme="minorEastAsia" w:eastAsiaTheme="minorEastAsia"/>
          <w:kern w:val="32"/>
          <w:sz w:val="24"/>
          <w:szCs w:val="24"/>
          <w:lang w:bidi="he-IL"/>
        </w:rPr>
        <w:t>市和区人民政府鼓励和支持本市食品和食用农产品批发市场、超市等企业在外埠建立稳定的动物、动物产品供应基地，保障输入本市的动物、动物产品安全。</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第五十条  </w:t>
      </w:r>
      <w:r>
        <w:rPr>
          <w:rFonts w:asciiTheme="minorEastAsia" w:hAnsiTheme="minorEastAsia" w:eastAsiaTheme="minorEastAsia"/>
          <w:kern w:val="32"/>
          <w:sz w:val="24"/>
          <w:szCs w:val="24"/>
          <w:lang w:bidi="he-IL"/>
        </w:rPr>
        <w:t>经公路运输动物、动物产品进入本市的，承运人应当在市人民政府确定并公布的检疫通道向动物卫生监督机构报验；经铁路、航空运输动物、动物产品进入本市的，承运人应当提前向动物卫生监督机构报告。</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动物卫生监督机构按照规定实施查证、验物和车辆消毒，在动物检疫合格证明上加盖监督检查专用章。任何单位、个人不得接收未取得动物卫生监督机构监督检查专用章的动物、动物产品。</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市兽医主管部门在本市检疫通道以外的乡级以上公路的市界道口设立动物、动物产品运输禁行标志的，按照本市公路管理有关规定执行。</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第五十一条  </w:t>
      </w:r>
      <w:r>
        <w:rPr>
          <w:rFonts w:asciiTheme="minorEastAsia" w:hAnsiTheme="minorEastAsia" w:eastAsiaTheme="minorEastAsia"/>
          <w:kern w:val="32"/>
          <w:sz w:val="24"/>
          <w:szCs w:val="24"/>
          <w:lang w:bidi="he-IL"/>
        </w:rPr>
        <w:t>有下列情形之一的，动物卫生监督机构应当监督货主对动物、动物产品进行无害化处理：</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（一）发现检疫不合格的动物、动物产品；</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（二）发现运输过程中病死或者死因不明的动物。</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情况紧急，需要对前款规定的动物、动物产品立即处理的，由动物卫生监督机构组织进行无害化处理，所需费用由货主承担。</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第五十二条  </w:t>
      </w:r>
      <w:r>
        <w:rPr>
          <w:rFonts w:asciiTheme="minorEastAsia" w:hAnsiTheme="minorEastAsia" w:eastAsiaTheme="minorEastAsia"/>
          <w:kern w:val="32"/>
          <w:sz w:val="24"/>
          <w:szCs w:val="24"/>
          <w:lang w:bidi="he-IL"/>
        </w:rPr>
        <w:t>本市</w:t>
      </w:r>
      <w:r>
        <w:rPr>
          <w:rFonts w:asciiTheme="minorEastAsia" w:hAnsiTheme="minorEastAsia" w:eastAsiaTheme="minorEastAsia"/>
          <w:spacing w:val="4"/>
          <w:kern w:val="32"/>
          <w:sz w:val="24"/>
          <w:szCs w:val="24"/>
          <w:lang w:bidi="he-IL"/>
        </w:rPr>
        <w:t>建立动物防疫信息平台，统一归集、公布从事动物饲养、屠宰、经营、隔离、运输、诊疗，以及动物产品生产、经营、加工、运输、贮藏等活动的单位和个人的信用信息；涉及食品安全的，纳入本市统一的食品安全追溯信息系统。</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第五十三条  </w:t>
      </w:r>
      <w:r>
        <w:rPr>
          <w:rFonts w:asciiTheme="minorEastAsia" w:hAnsiTheme="minorEastAsia" w:eastAsiaTheme="minorEastAsia"/>
          <w:kern w:val="32"/>
          <w:sz w:val="24"/>
          <w:szCs w:val="24"/>
          <w:lang w:bidi="he-IL"/>
        </w:rPr>
        <w:t>禁止转让、伪造或者变造检疫证、章、标志或者畜禽标识。</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禁止持有、使用伪造或者变造的检疫证、章、标志或者畜禽标识；使用伪造或者变造的检疫证、章、标志或者畜禽标识的，视同未经检疫。</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第五十四条  </w:t>
      </w:r>
      <w:r>
        <w:rPr>
          <w:rFonts w:asciiTheme="minorEastAsia" w:hAnsiTheme="minorEastAsia" w:eastAsiaTheme="minorEastAsia"/>
          <w:kern w:val="32"/>
          <w:sz w:val="24"/>
          <w:szCs w:val="24"/>
          <w:lang w:bidi="he-IL"/>
        </w:rPr>
        <w:t>本市鼓励组织或者个人举报动物防疫违法行为；市和区人民政府对为查处动物防疫重大违法案件提供关键线索或者证据的举报人给予奖励。</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动物卫生监督机构应当将举报方式向社会公布，对接到的举报应当及时处理。</w:t>
      </w:r>
    </w:p>
    <w:p>
      <w:pPr>
        <w:pStyle w:val="63"/>
        <w:spacing w:before="218" w:after="218" w:line="412" w:lineRule="exact"/>
        <w:rPr>
          <w:kern w:val="32"/>
          <w:lang w:bidi="he-IL"/>
        </w:rPr>
      </w:pPr>
      <w:r>
        <w:rPr>
          <w:kern w:val="32"/>
          <w:lang w:bidi="he-IL"/>
        </w:rPr>
        <w:t>第六章  法律责任</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第五十五条  </w:t>
      </w:r>
      <w:r>
        <w:rPr>
          <w:rFonts w:asciiTheme="minorEastAsia" w:hAnsiTheme="minorEastAsia" w:eastAsiaTheme="minorEastAsia"/>
          <w:kern w:val="32"/>
          <w:sz w:val="24"/>
          <w:szCs w:val="24"/>
          <w:lang w:bidi="he-IL"/>
        </w:rPr>
        <w:t>市和区人民政府及其有关部门、动物卫生监督机构、动物疫病预防控制机构和工作人员违反本条例规定，违法履行、不履行或者不当履行行政职责的，按照国家和本市有关规定对直接负责的主管人员和其他直接负责人员给予行政问责和行政处分；构成犯罪的，依法追究刑事责任。</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第五十六条  </w:t>
      </w:r>
      <w:r>
        <w:rPr>
          <w:rFonts w:asciiTheme="minorEastAsia" w:hAnsiTheme="minorEastAsia" w:eastAsiaTheme="minorEastAsia"/>
          <w:kern w:val="32"/>
          <w:sz w:val="24"/>
          <w:szCs w:val="24"/>
          <w:lang w:bidi="he-IL"/>
        </w:rPr>
        <w:t>违反本条例第十五条第二款规定，不执行隔离、紧急免疫接种、暂停销售和购进相关动物及动物产品、限制相关动物及动物产品移动等临时控制措施的，由动物卫生监督机构责令限期改正，给予警告；逾期不改的，由动物卫生监督机构代作处理，所需处理费用由违法行为人承担，并处1000元以上1万元以下罚款。</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第五十七条  </w:t>
      </w:r>
      <w:r>
        <w:rPr>
          <w:rFonts w:asciiTheme="minorEastAsia" w:hAnsiTheme="minorEastAsia" w:eastAsiaTheme="minorEastAsia"/>
          <w:kern w:val="32"/>
          <w:sz w:val="24"/>
          <w:szCs w:val="24"/>
          <w:lang w:bidi="he-IL"/>
        </w:rPr>
        <w:t>违反本条例第十七条第三款规定，不遵守动物免疫退出和动物疫病传播阻断制度的，由动物卫生监督机构给予警告，对单位处5000元以上5万元以下罚款，对个人处1000元以上1万元以下罚款。</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第五十八条  </w:t>
      </w:r>
      <w:r>
        <w:rPr>
          <w:rFonts w:asciiTheme="minorEastAsia" w:hAnsiTheme="minorEastAsia" w:eastAsiaTheme="minorEastAsia"/>
          <w:kern w:val="32"/>
          <w:sz w:val="24"/>
          <w:szCs w:val="24"/>
          <w:lang w:bidi="he-IL"/>
        </w:rPr>
        <w:t>违反本条例第二十二条第二款规定，未对犬只进行免疫接种的，由动物卫生监督机构责令限期改正，给予警告；逾期不改的，由动物卫生监督机构代作处理，所需费用由违法行为人承担，并处1000元以下罚款；犬只给他人造成人身伤害、财产损失的，饲养者依法承担相应的民事责任。</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第五十九条  </w:t>
      </w:r>
      <w:r>
        <w:rPr>
          <w:rFonts w:asciiTheme="minorEastAsia" w:hAnsiTheme="minorEastAsia" w:eastAsiaTheme="minorEastAsia"/>
          <w:kern w:val="32"/>
          <w:sz w:val="24"/>
          <w:szCs w:val="24"/>
          <w:lang w:bidi="he-IL"/>
        </w:rPr>
        <w:t>违反本条例第二十三条第一款规定，在有形市场现场销售活畜禽的，由市场监督管理部门责令改正，没收经营的活畜禽和器具，对销售者可以处1000元以上1万元以下罚款，对市场开办者处5000元以上5万元以下罚款。</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第六十条  </w:t>
      </w:r>
      <w:r>
        <w:rPr>
          <w:rFonts w:asciiTheme="minorEastAsia" w:hAnsiTheme="minorEastAsia" w:eastAsiaTheme="minorEastAsia"/>
          <w:kern w:val="32"/>
          <w:sz w:val="24"/>
          <w:szCs w:val="24"/>
          <w:lang w:bidi="he-IL"/>
        </w:rPr>
        <w:t>违反本条例第二十四条规定，未对动物、动物产品进行无害化处理的，由动物卫生监督机构责令限期改正，给予警告；逾期不改的，由动物卫生监督机构代作处理，所需处理费用由违法行为人承担，并处3000元以下罚款。</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第六十一条  </w:t>
      </w:r>
      <w:r>
        <w:rPr>
          <w:rFonts w:asciiTheme="minorEastAsia" w:hAnsiTheme="minorEastAsia" w:eastAsiaTheme="minorEastAsia"/>
          <w:kern w:val="32"/>
          <w:sz w:val="24"/>
          <w:szCs w:val="24"/>
          <w:lang w:bidi="he-IL"/>
        </w:rPr>
        <w:t>违反本条例第二十七条第一款规定，未按规定建设无害化处理设施设备或者自行建设的设施设备不符合规定，也未委托他人进行无害化处理的，由动物卫生监督机构或者生态环境部门责令停止生产、使用，可以处1万元以上10万元以下罚款。</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第六十二条  </w:t>
      </w:r>
      <w:r>
        <w:rPr>
          <w:rFonts w:asciiTheme="minorEastAsia" w:hAnsiTheme="minorEastAsia" w:eastAsiaTheme="minorEastAsia"/>
          <w:kern w:val="32"/>
          <w:sz w:val="24"/>
          <w:szCs w:val="24"/>
          <w:lang w:bidi="he-IL"/>
        </w:rPr>
        <w:t>违反本条例第三十三条第二款规定，未取得定点屠宰证擅自屠宰猪、牛、羊、鸡、鸭的，由动物卫生监督机构予以取缔，没收动物、动物产品、屠宰工具和设备以及违法所得，并处货值金额3倍以上5倍以下罚款；货值金额难以确定的，对单位处10万元以上20万元以下罚款，对个人处5000元以上1万元以下罚款。</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违反本条例第三十三条第三款规定，未在屠宰前申报检疫的，由动物卫生监督机构给予警告，处3000元以上3万元以下罚款。</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第六十三条  </w:t>
      </w:r>
      <w:r>
        <w:rPr>
          <w:rFonts w:asciiTheme="minorEastAsia" w:hAnsiTheme="minorEastAsia" w:eastAsiaTheme="minorEastAsia"/>
          <w:kern w:val="32"/>
          <w:sz w:val="24"/>
          <w:szCs w:val="24"/>
          <w:lang w:bidi="he-IL"/>
        </w:rPr>
        <w:t>有下列情形之一的，由动物卫生监督机构责令限期改正，给予警告；逾期不改的，可以处1000元以上1万元以下罚款；造成严重后果的，责令停产停业：</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（一）动物屠宰加工场所未按照本条例第三十四条规定进行致病性微生物、兽药残留、违禁药物和非法添加物检测的；</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（二）不具备本条例第四十三条规定的条件，从事动物寄养活动的。</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第六十四条  </w:t>
      </w:r>
      <w:r>
        <w:rPr>
          <w:rFonts w:asciiTheme="minorEastAsia" w:hAnsiTheme="minorEastAsia" w:eastAsiaTheme="minorEastAsia"/>
          <w:kern w:val="32"/>
          <w:sz w:val="24"/>
          <w:szCs w:val="24"/>
          <w:lang w:bidi="he-IL"/>
        </w:rPr>
        <w:t>违反本条例第三十五条第一款规定，从事动物收购、销售、运输的单位和个人未备案的，由动物卫生监督机构责令限期改正，给予警告，可以处1000元以上1万元以下罚款。</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第六十五条  </w:t>
      </w:r>
      <w:r>
        <w:rPr>
          <w:rFonts w:asciiTheme="minorEastAsia" w:hAnsiTheme="minorEastAsia" w:eastAsiaTheme="minorEastAsia"/>
          <w:kern w:val="32"/>
          <w:sz w:val="24"/>
          <w:szCs w:val="24"/>
          <w:lang w:bidi="he-IL"/>
        </w:rPr>
        <w:t>有下列情形之一的，由动物卫生监督机构责令限期改正，给予警告；逾期不改的，处3000元以上3万元以下罚款；涉及食品安全监督管理的，由市场监督管理部门依法处理：</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（一）违反本条例第三十三条第四款规定，屠宰加工场所的经营管理者未记录、保存相关可追溯信息的；</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（二）违反本条例第三十五条第二款规定，从事动物产品经营的单位和个人未记录、保存相关事项的；</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（三）违反本条例第三十七条规定，冷库经营者未查验、留存、保存相关证明和记录的；</w:t>
      </w:r>
    </w:p>
    <w:p>
      <w:pPr>
        <w:pStyle w:val="3"/>
        <w:topLinePunct/>
        <w:spacing w:line="412" w:lineRule="exact"/>
        <w:ind w:firstLine="480"/>
        <w:rPr>
          <w:rFonts w:asciiTheme="minorEastAsia" w:hAnsiTheme="minorEastAsia" w:eastAsiaTheme="minorEastAsia"/>
          <w:kern w:val="32"/>
          <w:sz w:val="24"/>
          <w:szCs w:val="24"/>
          <w:lang w:bidi="he-IL"/>
        </w:rPr>
      </w:pPr>
      <w:r>
        <w:rPr>
          <w:rFonts w:asciiTheme="minorEastAsia" w:hAnsiTheme="minorEastAsia" w:eastAsiaTheme="minorEastAsia"/>
          <w:kern w:val="32"/>
          <w:sz w:val="24"/>
          <w:szCs w:val="24"/>
          <w:lang w:bidi="he-IL"/>
        </w:rPr>
        <w:t>（四）违反本条例第三十八条第一款规定，动物产品销售者未提供动物产品可追溯信息凭据的；</w:t>
      </w:r>
    </w:p>
    <w:p>
      <w:pPr>
        <w:pStyle w:val="3"/>
        <w:topLinePunct/>
        <w:spacing w:line="412" w:lineRule="exact"/>
        <w:ind w:firstLine="480"/>
        <w:rPr>
          <w:rFonts w:asciiTheme="minorEastAsia" w:hAnsiTheme="minorEastAsia" w:eastAsiaTheme="minorEastAsia"/>
          <w:b/>
          <w:kern w:val="32"/>
          <w:sz w:val="24"/>
          <w:szCs w:val="24"/>
          <w:lang w:bidi="he-IL"/>
        </w:rPr>
      </w:pPr>
      <w:r>
        <w:rPr>
          <w:rFonts w:asciiTheme="minorEastAsia" w:hAnsiTheme="minorEastAsia" w:eastAsiaTheme="minorEastAsia"/>
          <w:kern w:val="32"/>
          <w:sz w:val="24"/>
          <w:szCs w:val="24"/>
          <w:lang w:bidi="he-IL"/>
        </w:rPr>
        <w:t>（五）违反本条例第三十八条第二款规定，餐饮经营者和单位食堂未保存动物检疫证明或者可追溯信息凭据的。</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第六十六条  </w:t>
      </w:r>
      <w:r>
        <w:rPr>
          <w:rFonts w:asciiTheme="minorEastAsia" w:hAnsiTheme="minorEastAsia" w:eastAsiaTheme="minorEastAsia"/>
          <w:kern w:val="32"/>
          <w:sz w:val="24"/>
          <w:szCs w:val="24"/>
          <w:lang w:bidi="he-IL"/>
        </w:rPr>
        <w:t>市场开办者、活动主办者或者柜台出租者违反本条例第三十六条规定的，由动物卫生监督机构责令限期改正，给予警告；逾期不改的，处5000元以上5万元以下罚款；涉及食品安全监督管理的，由市场监督管理部门依法处理。</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第六十七条  </w:t>
      </w:r>
      <w:r>
        <w:rPr>
          <w:rFonts w:asciiTheme="minorEastAsia" w:hAnsiTheme="minorEastAsia" w:eastAsiaTheme="minorEastAsia"/>
          <w:kern w:val="32"/>
          <w:sz w:val="24"/>
          <w:szCs w:val="24"/>
          <w:lang w:bidi="he-IL"/>
        </w:rPr>
        <w:t>违反本条例第三十九条规定，举办动物展览、演出和比赛等活动的主办者，未按规定报告并接受防疫指导和监督检查的，由动物卫生监督机构责令限期改正，给予警告；逾期不改的，责令停止举办活动；活动已经结束的，处1000元以上1万元以下罚款。</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第六十八条  </w:t>
      </w:r>
      <w:r>
        <w:rPr>
          <w:rFonts w:asciiTheme="minorEastAsia" w:hAnsiTheme="minorEastAsia" w:eastAsiaTheme="minorEastAsia"/>
          <w:kern w:val="32"/>
          <w:sz w:val="24"/>
          <w:szCs w:val="24"/>
          <w:lang w:bidi="he-IL"/>
        </w:rPr>
        <w:t>违反本条例第四十条规定的，由动物卫生监督机构责令限期改正，给予警告；逾期不改的，责令停业，处5000元以上5万元以下罚款；情节严重的，由发证机关吊销动物诊疗许可证；给当事人造成损失的，由该动物诊疗机构承担赔偿责任。</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第六十九条  </w:t>
      </w:r>
      <w:r>
        <w:rPr>
          <w:rFonts w:asciiTheme="minorEastAsia" w:hAnsiTheme="minorEastAsia" w:eastAsiaTheme="minorEastAsia"/>
          <w:kern w:val="32"/>
          <w:sz w:val="24"/>
          <w:szCs w:val="24"/>
          <w:lang w:bidi="he-IL"/>
        </w:rPr>
        <w:t>违反本条例第四十二条规定，动物诊疗机构在动物诊疗场所从事动物交易、寄养活动的，由动物卫生监督机构责令限期改正，给予警告，没收违法所得，并处5000元以上5万元以下罚款；逾期不改的，责令停业；情节严重的，由发证机关吊销动物诊疗许可证。</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第七十条  </w:t>
      </w:r>
      <w:r>
        <w:rPr>
          <w:rFonts w:asciiTheme="minorEastAsia" w:hAnsiTheme="minorEastAsia" w:eastAsiaTheme="minorEastAsia"/>
          <w:kern w:val="32"/>
          <w:sz w:val="24"/>
          <w:szCs w:val="24"/>
          <w:lang w:bidi="he-IL"/>
        </w:rPr>
        <w:t>违反本条例第四十四条规定，执业兽医从事动物诊疗活动未佩戴标牌的，由动物卫生监督机构责令改正，给予警告；拒不改正的，处1000元以下罚款。</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第七十一条  </w:t>
      </w:r>
      <w:r>
        <w:rPr>
          <w:rFonts w:asciiTheme="minorEastAsia" w:hAnsiTheme="minorEastAsia" w:eastAsiaTheme="minorEastAsia"/>
          <w:kern w:val="32"/>
          <w:sz w:val="24"/>
          <w:szCs w:val="24"/>
          <w:lang w:bidi="he-IL"/>
        </w:rPr>
        <w:t>违反本条例第五十条第一款、第二款规定，未经检疫通道运输动物、动物产品进入本市，或者接收未取得动物卫生监督机构监督检查专用章的动物、动物产品的，由动物卫生监督机构对承运人、接收人处1000元以上1万元以下罚款。</w:t>
      </w:r>
    </w:p>
    <w:p>
      <w:pPr>
        <w:pStyle w:val="3"/>
        <w:topLinePunct/>
        <w:spacing w:line="412" w:lineRule="exact"/>
        <w:ind w:firstLine="482"/>
        <w:rPr>
          <w:rFonts w:asciiTheme="minorEastAsia" w:hAnsiTheme="minorEastAsia" w:eastAsiaTheme="minorEastAsia"/>
          <w:b/>
          <w:kern w:val="32"/>
          <w:sz w:val="24"/>
          <w:szCs w:val="24"/>
          <w:lang w:bidi="he-IL"/>
        </w:rPr>
      </w:pPr>
      <w:r>
        <w:rPr>
          <w:rFonts w:asciiTheme="minorEastAsia" w:hAnsiTheme="minorEastAsia" w:eastAsiaTheme="minorEastAsia"/>
          <w:b/>
          <w:kern w:val="32"/>
          <w:sz w:val="24"/>
          <w:szCs w:val="24"/>
          <w:lang w:bidi="he-IL"/>
        </w:rPr>
        <w:t xml:space="preserve">第七十二条  </w:t>
      </w:r>
      <w:r>
        <w:rPr>
          <w:rFonts w:asciiTheme="minorEastAsia" w:hAnsiTheme="minorEastAsia" w:eastAsiaTheme="minorEastAsia"/>
          <w:kern w:val="32"/>
          <w:sz w:val="24"/>
          <w:szCs w:val="24"/>
          <w:lang w:bidi="he-IL"/>
        </w:rPr>
        <w:t>违反本条例第五十三条第一款规定，转让、伪造或者变造检疫证、章、标志或者畜禽标识的，由动物卫生监督机构没收违法所得，收缴检疫证、章、标志或者畜禽标识，处3000元以上3万元以下罚款。</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第七十三条  </w:t>
      </w:r>
      <w:r>
        <w:rPr>
          <w:rFonts w:asciiTheme="minorEastAsia" w:hAnsiTheme="minorEastAsia" w:eastAsiaTheme="minorEastAsia"/>
          <w:kern w:val="32"/>
          <w:sz w:val="24"/>
          <w:szCs w:val="24"/>
          <w:lang w:bidi="he-IL"/>
        </w:rPr>
        <w:t>违反本条例规定，其他法律、法规规定有法律责任的，按照其他法律、法规规定执行。</w:t>
      </w:r>
    </w:p>
    <w:p>
      <w:pPr>
        <w:pStyle w:val="63"/>
        <w:spacing w:before="218" w:after="218" w:line="412" w:lineRule="exact"/>
        <w:rPr>
          <w:kern w:val="32"/>
          <w:lang w:bidi="he-IL"/>
        </w:rPr>
      </w:pPr>
      <w:r>
        <w:rPr>
          <w:kern w:val="32"/>
          <w:lang w:bidi="he-IL"/>
        </w:rPr>
        <w:t>第七章  附</w:t>
      </w:r>
      <w:r>
        <w:rPr>
          <w:kern w:val="0"/>
          <w:lang w:bidi="he-IL"/>
        </w:rPr>
        <w:t xml:space="preserve">  </w:t>
      </w:r>
      <w:r>
        <w:rPr>
          <w:kern w:val="32"/>
          <w:lang w:bidi="he-IL"/>
        </w:rPr>
        <w:t>则</w:t>
      </w:r>
    </w:p>
    <w:p>
      <w:pPr>
        <w:pStyle w:val="3"/>
        <w:topLinePunct/>
        <w:spacing w:line="412" w:lineRule="exact"/>
        <w:ind w:firstLine="482"/>
        <w:rPr>
          <w:rFonts w:asciiTheme="minorEastAsia" w:hAnsiTheme="minorEastAsia" w:eastAsiaTheme="minorEastAsia"/>
          <w:kern w:val="32"/>
          <w:sz w:val="24"/>
          <w:szCs w:val="24"/>
          <w:lang w:bidi="he-IL"/>
        </w:rPr>
      </w:pPr>
      <w:r>
        <w:rPr>
          <w:rFonts w:asciiTheme="minorEastAsia" w:hAnsiTheme="minorEastAsia" w:eastAsiaTheme="minorEastAsia"/>
          <w:b/>
          <w:kern w:val="32"/>
          <w:sz w:val="24"/>
          <w:szCs w:val="24"/>
          <w:lang w:bidi="he-IL"/>
        </w:rPr>
        <w:t xml:space="preserve">第七十四条  </w:t>
      </w:r>
      <w:r>
        <w:rPr>
          <w:rFonts w:asciiTheme="minorEastAsia" w:hAnsiTheme="minorEastAsia" w:eastAsiaTheme="minorEastAsia"/>
          <w:kern w:val="32"/>
          <w:sz w:val="24"/>
          <w:szCs w:val="24"/>
          <w:lang w:bidi="he-IL"/>
        </w:rPr>
        <w:t>本条例自2014年10月1日起施行。2004年10月22日北京市第十二届人民代表大会常务委员会第十五次会议通过的《北京市实施〈中华人民共和国动物防疫法〉办法》同时废止。</w:t>
      </w:r>
    </w:p>
    <w:p>
      <w:pPr>
        <w:overflowPunct w:val="0"/>
        <w:topLinePunct/>
        <w:spacing w:beforeLines="0" w:afterLines="0" w:line="416" w:lineRule="exact"/>
        <w:ind w:firstLine="480" w:firstLineChars="200"/>
        <w:rPr>
          <w:rFonts w:cs="Times New Roman" w:asciiTheme="minorEastAsia" w:hAnsiTheme="minorEastAsia"/>
          <w:kern w:val="32"/>
          <w:sz w:val="24"/>
          <w:szCs w:val="24"/>
          <w:lang w:bidi="he-IL"/>
        </w:rPr>
      </w:pP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246" w:name="_Toc466579833"/>
      <w:bookmarkStart w:id="1247" w:name="_Toc26802"/>
      <w:bookmarkStart w:id="1248" w:name="_Toc21450041"/>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249" w:name="_Toc25653781"/>
      <w:bookmarkStart w:id="1250" w:name="_Toc26348038"/>
      <w:bookmarkStart w:id="1251" w:name="_Toc28252267"/>
      <w:bookmarkStart w:id="1252" w:name="_Toc25648285"/>
      <w:bookmarkStart w:id="1253" w:name="_Toc28157060"/>
      <w:bookmarkStart w:id="1254" w:name="_Toc28250988"/>
      <w:r>
        <w:t>重大动物疫情应急条例</w:t>
      </w:r>
      <w:bookmarkEnd w:id="1246"/>
      <w:bookmarkEnd w:id="1247"/>
      <w:bookmarkEnd w:id="1248"/>
      <w:bookmarkEnd w:id="1249"/>
      <w:bookmarkEnd w:id="1250"/>
      <w:bookmarkEnd w:id="1251"/>
      <w:bookmarkEnd w:id="1252"/>
      <w:bookmarkEnd w:id="1253"/>
      <w:bookmarkEnd w:id="1254"/>
    </w:p>
    <w:p>
      <w:pPr>
        <w:pStyle w:val="62"/>
      </w:pPr>
      <w:r>
        <w:t>（</w:t>
      </w:r>
      <w:r>
        <w:rPr>
          <w:shd w:val="clear" w:color="auto" w:fill="FFFFFF"/>
        </w:rPr>
        <w:t>2005年11月18日国务院令第450号公布，根据2017年10月7日国务院令第687号《国务院关于修改部分行政法规的决定》修订</w:t>
      </w:r>
      <w:r>
        <w:t>）</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为了迅速控制、扑灭重大动物疫情，保障养殖业生产安全，保护公众身体健康与生命安全，维护正常的社会秩序，根据《中华人民共和国动物防疫法》，制定本条例。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条例所称重大动物疫情，是指高致病性禽流感等发病率或者死亡率高的动物疫病突然发生，迅速传播，给养殖业生产安全造成严重威胁、危害，以及可能对公众身体健康与生命安全造成危害的情形，包括特别重大动物疫情。</w:t>
      </w:r>
    </w:p>
    <w:p>
      <w:pPr>
        <w:pStyle w:val="3"/>
        <w:topLinePunct/>
        <w:spacing w:line="412" w:lineRule="exact"/>
        <w:ind w:firstLine="482"/>
        <w:rPr>
          <w:rFonts w:asciiTheme="minorEastAsia" w:hAnsiTheme="minorEastAsia" w:eastAsiaTheme="minorEastAsia"/>
          <w:b/>
          <w:spacing w:val="6"/>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重大</w:t>
      </w:r>
      <w:r>
        <w:rPr>
          <w:rFonts w:asciiTheme="minorEastAsia" w:hAnsiTheme="minorEastAsia" w:eastAsiaTheme="minorEastAsia"/>
          <w:spacing w:val="6"/>
          <w:sz w:val="24"/>
          <w:szCs w:val="24"/>
        </w:rPr>
        <w:t>动物疫情应急工作应当坚持加强领导、密切配合，依靠科学、依法防治，群防群控、果断处置的方针，及时发现，快速反应，严格处理，减少损失。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重大动物疫情应急工作按照属地管理的原则，实行政府统一领导、部门分工负责，逐级建立责任制。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县级以上人民政府兽医主管部门具体负责组织重大动物疫情的监测、调查、控制、扑灭等应急工作。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县级以上人民政府林业主管部门、兽医主管部门按照职责分工，加强对陆生野生动物疫源疫病的监测。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县级以上人民政府其他有关部门在各自的职责范围内，做好重大动物疫情的应急工作。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出入境检验检疫机关应当及时收集境外重大动物疫情信息，加强进出境动物及其产品的检验检疫工作，防止动物疫病传入和传出。兽医主管部门要及时向出入境检验检疫机关通报国内重大动物疫情。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国家鼓励、支持开展重大动物疫情监测、预防、应急处理等有关技术的科学研究和国际交流与合作。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县级以上人民政府应当对参加重大动物疫情应急处理的人员给予适当补助，对作出贡献的人员给予表彰和奖励。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对不履行或者不按照规定履行重大动物疫情应急处理职责的行为，任何单位和个人有权检举控告。</w:t>
      </w:r>
    </w:p>
    <w:p>
      <w:pPr>
        <w:pStyle w:val="63"/>
        <w:spacing w:before="218" w:after="218" w:line="412" w:lineRule="exact"/>
        <w:rPr>
          <w:b/>
        </w:rPr>
      </w:pPr>
      <w:r>
        <w:t>第二章  应急准备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国务院兽医主管部门应当制定全国重大动物疫情应急预案，报国务院批准，并按照不同动物疫病病种及其流行特点和危害程度，分别制定实施方案，报国务院备案。</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根据本地区的实际情况，制定本行政区域的重大动物疫情应急预案，报上一级人民政府兽医主管部门备案。县级以上地方人民政府兽医主管部门，应当按照不同动物疫病病种及其流行特点和危害程度，分别制定实施方案。</w:t>
      </w:r>
    </w:p>
    <w:p>
      <w:pPr>
        <w:pStyle w:val="3"/>
        <w:topLinePunct/>
        <w:spacing w:line="404"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重大动物疫情应急预案及其实施方案应当根据疫情的发展变化和实施情况，及时修改、完善。</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重大动物疫情应急预案主要包括下列内容：</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（一）应急指挥部的职责、组成以及成员单位的分工；</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（二）重大动物疫情的监测、信息收集、报告和通报；</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（三）动物疫病的确认、重大动物疫情的分级和相应的应急处理工作方案；</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（四）重大动物疫情疫源的追踪和流行病学调查分析；</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（五）预防</w:t>
      </w:r>
      <w:r>
        <w:rPr>
          <w:rFonts w:asciiTheme="minorEastAsia" w:hAnsiTheme="minorEastAsia" w:eastAsiaTheme="minorEastAsia"/>
          <w:spacing w:val="-4"/>
          <w:sz w:val="24"/>
          <w:szCs w:val="24"/>
        </w:rPr>
        <w:t>、控制、扑灭重大动物疫情所需资金的来源、物资和技术的储备与调度；</w:t>
      </w:r>
    </w:p>
    <w:p>
      <w:pPr>
        <w:pStyle w:val="3"/>
        <w:topLinePunct/>
        <w:spacing w:line="404"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（六）重大动物疫情应急处理设施和专业队伍建设。</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国务院有关部门和县级以上地方人民政府及其有关部门，应当根据重大动物疫情应急预案的要求，确保应急处理所需的疫苗、药品、设施设备和防护用品等物资的储备。</w:t>
      </w:r>
    </w:p>
    <w:p>
      <w:pPr>
        <w:pStyle w:val="3"/>
        <w:topLinePunct/>
        <w:spacing w:line="404"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县级以上人民政府应当建立和完善重大动物疫情监测网络和预防控制体系，加强动物防疫基础设施和乡镇动物防疫组织建设，并保证其正常运行，提高对重大动物疫情的应急处理能力。</w:t>
      </w:r>
    </w:p>
    <w:p>
      <w:pPr>
        <w:pStyle w:val="3"/>
        <w:topLinePunct/>
        <w:spacing w:line="404"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县级</w:t>
      </w:r>
      <w:r>
        <w:rPr>
          <w:rFonts w:asciiTheme="minorEastAsia" w:hAnsiTheme="minorEastAsia" w:eastAsiaTheme="minorEastAsia"/>
          <w:spacing w:val="-4"/>
          <w:sz w:val="24"/>
          <w:szCs w:val="24"/>
        </w:rPr>
        <w:t>以上地方人民政府根据重大动物疫情应急需要，可以成立应急预备队，在重大动物疫情应急指挥部的指挥下，具体承担疫情的控制和扑灭任务。</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应急预备队由当地兽医行政管理人员、动物防疫工作人员、有关专家、执业兽医等组成；必要时，可以组织动员社会上有一定专业知识的人员参加。公安机关、中国人民武装警察部队应当依法协助其执行任务。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应急预备队应当定期进行技术培训和应急演练。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县级以上人民政府及其兽医主管部门应当加强对重大动物疫情应急知识和重大动物疫病科普知识的宣传，增强全社会的重大动物疫情防范意识。</w:t>
      </w:r>
    </w:p>
    <w:p>
      <w:pPr>
        <w:pStyle w:val="63"/>
        <w:spacing w:before="218" w:after="218" w:line="412" w:lineRule="exact"/>
        <w:rPr>
          <w:b/>
        </w:rPr>
      </w:pPr>
      <w:r>
        <w:t>第三章  监测、报告和公布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动物防疫监督机构负责重大动物疫情的监测，饲养、经营动物和生产、经营动物产品的单位和个人应当配合，不得拒绝和阻碍。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从事动物隔离、疫情监测、疫病研究与诊疗、检验检疫以及动物饲养、屠宰加工、运输、经营等活动的有关单位和个人，发现动物出现群体发病或者死亡的，应当立即向所在地的县（市）动物防疫监督机构报告。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县（市）动物防疫监督机构接到报告后，应当立即赶赴现场调查核实。初步认为属于重大动物疫情的，应当在2小时内将情况逐级报省、自治区、直辖市动物防疫监督机构，并同时报所在地人民政府兽医主管部门；兽医主管部门应当及时通报同级卫生主管部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省、自治区、直辖市动物防疫监督机构应当在接到报告后1小时内，向省、自治区、直辖市人民政府兽医主管部门和国务院兽医主管部门所属的动物防疫监督机构报告。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省、自治区、直辖市人民政府兽医主管部门应当在接到报告后1小时内报本级人民政府和国务院兽医主管部门。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重大动物疫情发生后，省、自治区、直辖市人民政府和国务院兽医主管部门应当在4小时内向国务院报告。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重大动物疫情报告包括下列内容：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（一）疫情发生的时间、地点；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（二）染疫、疑似染疫动物种类和数量、同群动物数量、免疫情况、死亡数量、临床症状、病理变化、诊断情况；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（三）流行病学和疫源追踪情况；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（四）已采取的控制措施；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（五）疫情报告的单位、负责人、报告人及联系方式。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重大动物疫情由省、自治区、直辖市人民政府兽医主管部门认定；必要时，由国务院兽医主管部门认定。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重大动物疫情由国务院兽医主管部门按照国家规定的程序，及时准确公布；其他任何单位和个人不得公布重大动物疫情。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重大动物疫病应当由动物防疫监督机构采集病料。其他单位和个人采集病料的，应当具备以下条件：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（一）重大动物疫病病料采集目的、病原微生物的用途应当符合国务院兽医主管部门的规定；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（二）具有与采集病料相适应的动物病原微生物实验室条件；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（三）具有与采集病料所需要的生物安全防护水平相适应的设备，以及防止病原感染和扩散的有效措施。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从事重大动物疫病病原分离的，应当遵守国家有关生物安全管理规定，防止病原扩散。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国务院兽医主管部门应当及时向国务院有关部门和军队有关部门以及各省、自治区、直辖市人民政府兽医主管部门通报重大动物疫情的发生和处理情况。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发生重大动物疫情可能感染人群时，卫生主管部门应当对疫区内易受感染的人群进行监测，并采取相应的预防、控制措施。卫生主管部门和兽医主管部门应当及时相互通报情况。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有关单位和个人对重大动物疫情不得瞒报、谎报、迟报，不得授意他人瞒报、谎报、迟报，不得阻碍他人报告。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在重大动物疫情报告期间，有关动物防疫监督机构应当立即采取临时隔离控制措施；必要时，当地县级以上地方人民政府可以作出封锁决定并采取扑杀、销毁等措施。有关单位和个人应当执行。</w:t>
      </w:r>
    </w:p>
    <w:p>
      <w:pPr>
        <w:pStyle w:val="63"/>
        <w:spacing w:before="218" w:after="218" w:line="412" w:lineRule="exact"/>
        <w:rPr>
          <w:b/>
        </w:rPr>
      </w:pPr>
      <w:r>
        <w:t>第四章  应急处理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重大动物疫情发生后，国务院和有关地方人民政府设立的重大动物疫情应急指挥部统一领导、指挥重大动物疫情应急工作。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重大动物疫情发生后，县级以上地方人民政府兽医主管部门应当立即划定疫点、疫区和受威胁区，调查疫源，向本级人民政府提出启动重大动物疫情应急指挥系统、应急预案和对疫区实行封锁的建议，有关人民政府应当立即作出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疫点、疫区和受威胁区的范围应当按照不同动物疫病病种及其流行特点和危害程度划定，具体划定标准由国务院兽医主管部门制定。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国家对重大动物疫情应急处理实行分级管理，按照应急预案确定的疫情等级，由有关人民政府采取相应的应急控制措施。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对疫点应当采取下列措施：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（一）扑杀并销毁染疫动物和易感染的动物及其产品；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（二）对病死的动物、动物排泄物、被污染饲料、垫料、污水进行无害化处理；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（三）对被污染的物品、用具、动物圈舍、场地进行严格消毒。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对疫区应当采取下列措施：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（一）在疫区周围设置警示标志，在出入疫区的交通路口设置临时动物检疫消毒站，对出入的人员和车辆进行消毒；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（二）扑杀并销毁染疫和疑似染疫动物及其同群动物，销毁染疫和疑似染疫的动物产品，对其他易感染的动物实行圈养或者在指定地点放养，役用动物限制在疫区内使役；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（三）对易感染的动物进行监测，并按照国务院兽医主管部门的规定实施紧急免疫接种，必要时对易感染的动物进行扑杀；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（四）关闭动物及动物产品交易市场，禁止动物进出疫区和动物产品运出疫区；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（五）对动物圈舍、动物排泄物、垫料、污水和其他可能受污染的物品、场地，进行消毒或者无害化处理。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对受威胁区应当采取下列措施：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（一）对易感染的动物进行监测；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（二）对易感染的动物根据需要实施紧急免疫接种。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重大动物疫情应急处理中设置临时动物检疫消毒站以及采取隔离、扑杀</w:t>
      </w:r>
      <w:r>
        <w:rPr>
          <w:rFonts w:asciiTheme="minorEastAsia" w:hAnsiTheme="minorEastAsia" w:eastAsiaTheme="minorEastAsia"/>
          <w:spacing w:val="-4"/>
          <w:sz w:val="24"/>
          <w:szCs w:val="24"/>
        </w:rPr>
        <w:t>、销毁、消毒、紧急免疫接种等控制、扑灭措施的，由有关重大动物疫情应急指挥部决定，有关单位和个人必须服从；拒不服从的，由公安机关协助执行。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国家对疫区、受威胁区内易感染的动物免费实施紧急免疫接种；对因采取扑杀、销毁等措施给当事人造成的已经证实的损失，给予合理补偿。紧急免疫接种和补偿所需费用，由中央财政和地方财政分担。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重大动物疫情应急指挥部根据应急处理需要，有权紧急调集人员、物资、运输工具以及相关设施、设备。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单位和个人的物资、运输工具以及相关设施、设备被征集使用的，有关人民政府应当及时归还并给予合理补偿。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重大动物疫情发生后，县级以上人民政府兽医主管部门应当及时提出疫点、疫区、受威胁区的处理方案，加强疫情监测、流行病学调查、疫源追踪工作，对染疫和疑似染疫动物及其同群动物和其他易感染动物的扑杀、销毁进行技术指导，并组织实施检验检疫、消毒、无害化处理和紧急免疫接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重大动物疫情应急处理中，县级以上人民政府有关部门应当在各自的职责范围内，做好重大动物疫情应急所需的物资紧急调度和运输、应急经费安排、疫区群众救济、人的疫病防治、肉食品供应、动物及其产品市场监管、出入境检验检疫和社会治安维护等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中国人民解放军、中国人民武装警察部队应当支持配合驻地人民政府做好重大动物疫情的应急工作。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重大动物疫情应急处理中，乡镇人民政府、村民委员会、居民委员会应当组织力量，向村民、居民宣传动物疫病防治的相关知识，协助做好疫情信息的收集、报告和各项应急处理措施的落实工作。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重大动物疫情发生地的人民政府和毗邻地区的人民政府应当通力合作，相互配合，做好重大动物疫情的控制、扑灭工作。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有关人民政府及其有关部门对参加重大动物疫情应急处理的人员，应当采取必要的卫生防护和技术指导等措施。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自疫区内最后一头（只）发病动物及其同群动物处理完毕起，经过一个潜伏期以上的监测，未出现新的病例的，彻底消毒后，经上一级动物防疫监督机构验收合格，由原发布封锁令的人民政府宣布解除封锁，撤销疫区；由原批准机关撤销在该疫区设立的临时动物检疫消毒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县级以上人民政府应当将重大动物疫情确认、疫区封锁、扑杀及其补偿、消毒、无害化处理、疫源追踪、疫情监测以及应急物资储备等应急经费列入本级财政预算。</w:t>
      </w:r>
    </w:p>
    <w:p>
      <w:pPr>
        <w:pStyle w:val="63"/>
        <w:spacing w:before="218" w:after="218" w:line="412" w:lineRule="exact"/>
        <w:rPr>
          <w:b/>
        </w:rPr>
      </w:pPr>
      <w:r>
        <w:t>第五章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违反本条例规定，兽医主管部门及其所属的动物防疫监督机构有下列行为之</w:t>
      </w:r>
      <w:r>
        <w:rPr>
          <w:rFonts w:asciiTheme="minorEastAsia" w:hAnsiTheme="minorEastAsia" w:eastAsiaTheme="minorEastAsia"/>
          <w:spacing w:val="-4"/>
          <w:sz w:val="24"/>
          <w:szCs w:val="24"/>
        </w:rPr>
        <w:t>一的，由本级人民政府或者上级人民政府有关部门责令立即改正、通报批评、给予警告；对主要负责人、负有责任的主管人员和其他责任人员，依法给予记大过、降级、撤职直至开除的行政处分；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（一）不履行疫情报告职责，瞒报、谎报、迟报或者授意他人瞒报、谎报、迟报，阻碍他人报告重大动物疫情的；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（二）在重大动物疫情报告期间，不采取临时隔离控制措施，导致动物疫情扩散的；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（三）不及时划定疫点、疫区和受威胁区，不及时向本级人民政府提出应急处理建议，或者不按照规定对疫点、疫区和受威胁区采取预防、控制、扑灭措施的；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（四）不向本级人民政府提出启动应急指挥系统、应急预案和对疫区的封锁建议的；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（五）对动物扑杀、销毁不进行技术指导或者指导不力，或者不组织实施检验检疫、消毒、无害化处理和紧急免疫接种的；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（六）其他不履行本条例规定的职责，导致动物疫病传播、流行，或者对养殖业生产安全和公众身体健康与生命安全造成严重危害的。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违反本条例规定，县级以上人民政府有关部门不履行应急处理职责，不执行对疫点、疫区和受威胁区采取的措施，或者对上级人民政府有关部门的疫情调查不予配合或者阻碍、拒绝的，由本级人民政府或者上级人民政府有关部门责令立即改正、通报批评、给予警告；对主要负责人、负有责任的主管人员和其他责任人员，依法给予记大过、降级、撤职直至开除的行政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违反本条例规定，有关地方人民政府阻碍报告重大动物疫情，不履行应急处理职责，不按照规定对疫点、疫区和受威胁区采取预防、控制、扑灭措施，或者对上级人民政府有关部门的疫情调查不予配合或者阻碍、拒绝的，由上级人民政府责令立即改正、通报批评、给予警告；对政府主要领导人依法给予记大过、降级、撤职直至开除的行政处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截留、挪用重大动物疫情应急经费，或者侵占、挪用应急储备物资的，按照《财政违法行为处罚处分条例》的规定处理；构成犯罪的，依法追究刑事责任。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违反本条例规定，拒绝、阻碍动物防疫监督机构进行重大动物疫情监测，或者发现动物出现群体发病或者死亡，不向当地动物防疫监督机构报告的，由动物防疫监督机构给予警告，并处2000元以上5000元以下的罚款；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违反本条例规定，不符合相应条件采集重大动物疫病病料，或者在重大动物疫病病原分离时不遵守国家有关生物安全管理规定的，由动物防疫监督机构给予警告，并处5000元以下的罚款；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在重大动物疫情发生期间，哄抬物价、欺骗消费者，散布谣言、扰乱社会秩序和市场秩序的，由价格主管部门、工商行政管理部门或者公安机关依法给予行政处罚；构成犯罪的，依法追究刑事责任。</w:t>
      </w:r>
    </w:p>
    <w:p>
      <w:pPr>
        <w:pStyle w:val="63"/>
        <w:spacing w:before="218" w:after="218" w:line="412" w:lineRule="exact"/>
        <w:rPr>
          <w:b/>
        </w:rPr>
      </w:pPr>
      <w:r>
        <w:t>第六章  附则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本条例自公布之日起施行。</w:t>
      </w:r>
    </w:p>
    <w:p>
      <w:pPr>
        <w:widowControl/>
        <w:spacing w:before="156" w:after="156"/>
        <w:ind w:firstLine="240"/>
        <w:rPr>
          <w:rFonts w:cs="Times New Roman" w:asciiTheme="minorEastAsia" w:hAnsiTheme="minorEastAsia"/>
          <w:b/>
          <w:bCs/>
          <w:kern w:val="0"/>
          <w:sz w:val="24"/>
          <w:szCs w:val="24"/>
        </w:rPr>
      </w:pPr>
      <w:bookmarkStart w:id="1255" w:name="_Toc22725"/>
      <w:bookmarkStart w:id="1256" w:name="_Toc21450042"/>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257" w:name="_Toc25648286"/>
      <w:bookmarkStart w:id="1258" w:name="_Toc25653782"/>
      <w:bookmarkStart w:id="1259" w:name="_Toc28252268"/>
      <w:bookmarkStart w:id="1260" w:name="_Toc28157061"/>
      <w:bookmarkStart w:id="1261" w:name="_Toc26348039"/>
      <w:bookmarkStart w:id="1262" w:name="_Toc28250989"/>
      <w:r>
        <w:t>无规定动物疫病区评估管理办法</w:t>
      </w:r>
      <w:bookmarkEnd w:id="1255"/>
      <w:bookmarkEnd w:id="1256"/>
      <w:bookmarkEnd w:id="1257"/>
      <w:bookmarkEnd w:id="1258"/>
      <w:bookmarkEnd w:id="1259"/>
      <w:bookmarkEnd w:id="1260"/>
      <w:bookmarkEnd w:id="1261"/>
      <w:bookmarkEnd w:id="1262"/>
    </w:p>
    <w:p>
      <w:pPr>
        <w:pStyle w:val="62"/>
        <w:topLinePunct w:val="0"/>
        <w:ind w:firstLine="0" w:firstLineChars="0"/>
        <w:jc w:val="center"/>
      </w:pPr>
      <w:r>
        <w:t>（2017年5月27日</w:t>
      </w:r>
      <w:r>
        <w:rPr>
          <w:shd w:val="clear" w:color="auto" w:fill="FFFFFF"/>
        </w:rPr>
        <w:t>中华人民共和国</w:t>
      </w:r>
      <w:r>
        <w:t>农业部令第2号公布）</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为实施动物疫病区域化管理，规范无规定动物疫病区评估活动，有效控制和消灭动物疫病，提高动物卫生及动物产品安全水平，促进动物及动物产品贸易，根据《中华人民共和国动物防疫法》，制定本办法。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本办法适用于中华人民共和国境内无规定动物疫病区的评估管理。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本办法所称无规定动物疫病区，是指具有天然屏障或者采用人工措施，在一定期限内没有发生规定的一种或者几种动物疫病，并经评估验收合格的区域。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无规定动物疫病区的范围，可以是以下区域：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（一）省）自治区）直辖市的部分或全部地理区域；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（二）毗邻省份连片的地理区域。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无规定动物疫病区分为免疫无规定动物疫病区和非免疫无规定动物疫病区。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本办法所称无规定动物疫病区评估，是指按照《无规定动物疫病区管理技术规范》，对某一特定区域动物疫病状况及防控能力进行的综合评价。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农业部负责无规定动物疫病区评估管理工作，制定发布《无规定动物疫病区管理技术规范》和无规定动物疫病区评审细则。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农业部设立的全国动物卫生风险评估专家委员会，承担无规定动物疫病区评估工作。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无规定动物疫病区建设）评估应当符合有关国际组织确定的区域控制及风险评估的原则要求。</w:t>
      </w:r>
    </w:p>
    <w:p>
      <w:pPr>
        <w:pStyle w:val="63"/>
        <w:spacing w:before="218" w:after="218" w:line="412" w:lineRule="exact"/>
        <w:rPr>
          <w:b/>
        </w:rPr>
      </w:pPr>
      <w:r>
        <w:t xml:space="preserve">第二章 </w:t>
      </w:r>
      <w:r>
        <w:rPr>
          <w:rFonts w:hint="eastAsia"/>
        </w:rPr>
        <w:t xml:space="preserve"> </w:t>
      </w:r>
      <w:r>
        <w:t>申</w:t>
      </w:r>
      <w:r>
        <w:rPr>
          <w:rFonts w:hint="eastAsia"/>
        </w:rPr>
        <w:t xml:space="preserve"> </w:t>
      </w:r>
      <w:r>
        <w:t>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无规定动物疫病区建成并符合《无规定动物疫病区管理技术规范》要求的，由省级人民政府兽医主管部门向农业部申请评估。跨省的无规定动物疫病区，由区域涉及的省级人民政府兽医主管部门共同申请。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申请无规定动物疫病区评估应当提交申请书和自我评估报告。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申请书包括以下主要内容：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（一）无规定动物疫病区概况；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（二）兽医体系建设情况；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（三）动物疫情报告体系情况；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（四）动物疫病流行情况；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（五）控制）消灭策略和措施情况；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（六）免疫措施情况；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（七）规定动物疫病的监测情况；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（八）实验室建设情况；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（九）屏障及边界控制措施情况；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（十）应急体系建设及应急反应情况；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（十一）其他需要说明的事项。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自我评估报告包括以下主要内容：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（一）评估计划和评估专家组成情况；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（二）评估程序及主要内容，评估的组织和实施情况；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（三）评估结论。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农业部自收到申请之日起10个工作日内作出是否受理的决定，并书面通知申请单位和全国动物卫生风险评估专家委员会。</w:t>
      </w:r>
    </w:p>
    <w:p>
      <w:pPr>
        <w:pStyle w:val="63"/>
        <w:spacing w:before="218" w:after="218" w:line="412" w:lineRule="exact"/>
        <w:rPr>
          <w:b/>
        </w:rPr>
      </w:pPr>
      <w:r>
        <w:t xml:space="preserve">第三章 </w:t>
      </w:r>
      <w:r>
        <w:rPr>
          <w:rFonts w:hint="eastAsia"/>
        </w:rPr>
        <w:t xml:space="preserve"> </w:t>
      </w:r>
      <w:r>
        <w:t>评</w:t>
      </w:r>
      <w:r>
        <w:rPr>
          <w:rFonts w:hint="eastAsia"/>
        </w:rPr>
        <w:t xml:space="preserve">  </w:t>
      </w:r>
      <w:r>
        <w:t>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全国动物卫生风险评估专家委员会收到农业部通知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后，应当在5个工作日内成立评估专家组并指定组长。评估专家组由5人以上单数组成，实行组长负责制。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评估专家组按照《无规定动物疫病区管理技术规范》和评审细则等要求，开展评估工作。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无规定动物疫病区评估应当遵循科学）公平）公正的原则，采取书面评审和现场评审相结合的方式进行。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评估专家组应当在10个工作日内完成书面评审。书面评审包括以下内容：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（一）申请书和自我评估报告格式是否符合规定，有无缺项、漏项；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（二）申报材料内容是否符合《无规定动物疫病区管理技术规范》的相关要求。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书面评审不合格的，由全国动物卫生风险评估专家委员会报请农业部书面通知申请单位在规定期限内补充有关材料。逾期未报送的，按撤回申请处理。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书面评审合格的，评估专家组应当制定现场评审方案，并在15个工作日内完成现场评审。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现场评审应当包括下列内容：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（一）评估专家组组长主持召开会议，宣布现场评审方案和评估纪律等；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（二）听取申请单位关于无规定动物疫病区建设及管理情况的介绍；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（三）实地核查有关资料）档案和建设情况。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评估专家组组长可以根据评审需要，召集临时会议，对评审中发现的问题进行讨论。必要时可以要求申请单位陈述有关情况。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申请单位应当如实提供评估专家组所要求的有关资料，并配合专家组开展评估。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评估专家组应当根据评审细则确定的评审指标逐项核查，对核查结果进行综合评价，形成现场评审结果。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现场评审结果分为“建议通过”“建议整改后通过”“建议不予通过”。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现场评审结果为“建议通过”的，应当符合下列条件：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（一）现场评审指标中的关键项全部为“符合”，重点项没有“不符合”项；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（二）“符合”项占总项数80%以上（含）。其中：重点项中“基本符合”项数不超过重点项总项数的15%；普通项中“不符合”项总项数不超过普通项总项数的10%。</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现场评审结果为“建议整改后通过”的，应当符合下列条件：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（一）关键项中没有“不符合”项；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（二）“符合”项总项数达到60%以上（含）但不足80%；</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（三）通过限期整改可以达到“建议通过”条件。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有下列情形之一的，现场评审结果为“建议不予通过”：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（一）关键项中有“不符合”项；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（二）“符合”项总项数不足60%；</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（三）申请单位隐瞒有关情况或者有其他欺骗行为。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需要整改的，由全国动物卫生风险评估专家委员会办公室根据评估专家组建议，书面通知申请单位在规定期限内进行整改。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申请单位在规定期限内完成整改后，将整改报告及相关证明材料报评估专家组审核，必要时进行现场核查，形成评审结果。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申请单位未在规定期限内提交整改报告及相关证明材料的，按撤回申请处理。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评估专家组应当在现场评审或整改审核结束后20个工作日内向全国动物卫生风险评估专家委员会提交评估报告，全国动物卫生风险评估专家委员会组织召开全体委员会议或专题会议审核后报农业部。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评估专家组在评审过程中，应当遵守有关法律法规和工作制度，坚持原则，认真负责，廉洁自律，客观公正，对被评估单位提供的信息资料保密。评估专家组成员不得有下列行为：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（一）接受被评估单位或与被评估单位有关的中介机构或人员的馈赠；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（二）私下与上述单位或人员进行不当接触；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（三）评估结果未公布前，泄露评估结果及相关信息；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（四）其他可能影响公正评估的行为。</w:t>
      </w:r>
    </w:p>
    <w:p>
      <w:pPr>
        <w:pStyle w:val="63"/>
        <w:spacing w:before="218" w:after="218" w:line="412" w:lineRule="exact"/>
        <w:rPr>
          <w:b/>
        </w:rPr>
      </w:pPr>
      <w:r>
        <w:t xml:space="preserve">第四章 </w:t>
      </w:r>
      <w:r>
        <w:rPr>
          <w:rFonts w:hint="eastAsia"/>
        </w:rPr>
        <w:t xml:space="preserve"> </w:t>
      </w:r>
      <w:r>
        <w:t>公</w:t>
      </w:r>
      <w:r>
        <w:rPr>
          <w:rFonts w:hint="eastAsia"/>
        </w:rPr>
        <w:t xml:space="preserve">  </w:t>
      </w:r>
      <w:r>
        <w:t>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农业部自收到评估报告后22个工作日内完成审核，并作出无规定动物疫病区是否合格的决定。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农业部将审核合格的无规定动物疫病区列入国家无规定动物疫病区名录，并对外公布。不合格的，书面通知申请单位并说明理由。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农业部根据需要向有关国际组织）国家和地区通报评估情况，并根据无规定动物疫病区所在地省级人民政府兽医主管部门的意见，申请国际评估认可。</w:t>
      </w:r>
    </w:p>
    <w:p>
      <w:pPr>
        <w:pStyle w:val="63"/>
        <w:spacing w:before="218" w:after="218" w:line="412" w:lineRule="exact"/>
        <w:rPr>
          <w:b/>
        </w:rPr>
      </w:pPr>
      <w:r>
        <w:t xml:space="preserve">第五章 </w:t>
      </w:r>
      <w:r>
        <w:rPr>
          <w:rFonts w:hint="eastAsia"/>
        </w:rPr>
        <w:t xml:space="preserve"> </w:t>
      </w:r>
      <w:r>
        <w:t>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农业部对已公布无规定动物疫病区的建设维持情况开展监督检查，发现问题的，通知所在地省级人民政府兽医主管部门限期整改。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有下列情形之一的，农业部暂停无规定动物疫病区资格：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（一）在无规定动物疫病区内发生有限疫情，按照《无规定动物疫病区管理技术规范》在规定时间内可以建立感染控制区的；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（二）区域区划发生变化，且屏障体系不能满足区域管理要求的；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（三）兽医机构体系及财政保障能力发生重大变化，不能支持无规定动物疫病区管理）维持和运行的；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（四）监测证据不能证明规定动物疫病无疫状况的；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（五）其他不符合《无规定动物疫病区管理技术规范》要求，需要暂停的情形。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出现第二十六条第一项规定情形的，省级人民政府兽医主管部门应当在规定动物疫病发生后24小时内开始建设感染控制区。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限疫情控制后，感染控制区在规定动物疫病的2个潜伏期内未再发生规定动物疫病，且符合《无规定动物疫病区管理技术规范》要求的，全国动物卫生风险评估专家委员会根据省级人民政府兽医主管部门的申请，按照《无规定动物疫病区管理技术规范》对感染控制区建设情况组织开展评估。评估合格的，农业部对外宣布建成感染控制区，并恢复感染控制区外的无规定动物疫病区资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感染控</w:t>
      </w:r>
      <w:r>
        <w:rPr>
          <w:rFonts w:asciiTheme="minorEastAsia" w:hAnsiTheme="minorEastAsia" w:eastAsiaTheme="minorEastAsia"/>
          <w:spacing w:val="-4"/>
          <w:sz w:val="24"/>
          <w:szCs w:val="24"/>
        </w:rPr>
        <w:t>制区建成后，在规定时间内未发生规定动物疫病的，全国动物卫生风险评估专家委员会根据省级人民政府兽医主管部门的申请，按照《无规定动物疫病区管理技术规范》进行评估。评估合格的，农业部恢复其无规定动物疫病区资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出现第二十六条第二项至第五项规定情形的，省级人民政府兽医主管部门应当根据农业部要求限期整改，经全国动物卫生风险评估专家委员会对整改情况评估合格的，农业部恢复其无规定动物疫病区资格。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有下列情形之一的，农业部撤销无规定动物疫病区资格：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（一）发生规定动物疫病，且未在规定时间内建成感染控制区的；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（二）出现第二十六条第二项至第五项规定情形，且未能在规定时间内完成整改的；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（三）伪造）隐藏）毁灭有关证据或者提供虚假证明材料，妨碍无规定动物疫病区检查评估的；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（四）其他不符合《无规定动物疫病区管理技术规范》要求，需要撤销的情形。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被撤</w:t>
      </w:r>
      <w:r>
        <w:rPr>
          <w:rFonts w:asciiTheme="minorEastAsia" w:hAnsiTheme="minorEastAsia" w:eastAsiaTheme="minorEastAsia"/>
          <w:spacing w:val="-4"/>
          <w:sz w:val="24"/>
          <w:szCs w:val="24"/>
        </w:rPr>
        <w:t>销资格的无规定动物疫病区，重新达到《无规定动物疫病区管理技术规范》要求的，由所在地省级人民政府兽医主管部门提出申请，申请材料应包括与资格撤销原因有关的整改说明）规定动物疫病状况）疫病防控措施等。经全国动物卫生风险评估专家委员会评估通过的，农业部重新认定其无规定动物疫病。</w:t>
      </w:r>
    </w:p>
    <w:p>
      <w:pPr>
        <w:pStyle w:val="63"/>
        <w:spacing w:before="218" w:after="218" w:line="412" w:lineRule="exact"/>
        <w:rPr>
          <w:b/>
        </w:rPr>
      </w:pPr>
      <w:r>
        <w:t>第六章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境外无规定动物疫病区的无疫等效评估，参照本办法执行。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无规定动物疫病小区（无规定动物疫病生物安全隔离区）是指处于同一生物安全管理体系下的养殖场区在一定期限内没有发生一种或几种规定动物疫病的若干动物养殖和其他辅助生产单元所构成的特定小型区域。无规定动物疫病小区的评估原则、程序及要求由农业部另行制定发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本办法自2017年7月1日起施行。农业部2007年1月23日发布的《无规定动物疫病区评估管理办法》（农业部令第1号）同时废止。</w:t>
      </w:r>
    </w:p>
    <w:p>
      <w:pPr>
        <w:widowControl/>
        <w:spacing w:before="156" w:after="156"/>
        <w:ind w:firstLine="240"/>
        <w:rPr>
          <w:rFonts w:cs="Times New Roman" w:asciiTheme="minorEastAsia" w:hAnsiTheme="minorEastAsia"/>
          <w:b/>
          <w:bCs/>
          <w:kern w:val="0"/>
          <w:sz w:val="24"/>
          <w:szCs w:val="24"/>
        </w:rPr>
      </w:pPr>
      <w:bookmarkStart w:id="1263" w:name="_Toc21450043"/>
      <w:bookmarkStart w:id="1264" w:name="_Toc2975"/>
      <w:bookmarkStart w:id="1265" w:name="_Toc466579842"/>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266" w:name="_Toc28250990"/>
      <w:bookmarkStart w:id="1267" w:name="_Toc25653783"/>
      <w:bookmarkStart w:id="1268" w:name="_Toc28252269"/>
      <w:bookmarkStart w:id="1269" w:name="_Toc25648287"/>
      <w:bookmarkStart w:id="1270" w:name="_Toc26348040"/>
      <w:bookmarkStart w:id="1271" w:name="_Toc28157062"/>
      <w:r>
        <w:t>动物防疫条件审查办法</w:t>
      </w:r>
      <w:bookmarkEnd w:id="1263"/>
      <w:bookmarkEnd w:id="1264"/>
      <w:bookmarkEnd w:id="1265"/>
      <w:bookmarkEnd w:id="1266"/>
      <w:bookmarkEnd w:id="1267"/>
      <w:bookmarkEnd w:id="1268"/>
      <w:bookmarkEnd w:id="1269"/>
      <w:bookmarkEnd w:id="1270"/>
      <w:bookmarkEnd w:id="1271"/>
    </w:p>
    <w:p>
      <w:pPr>
        <w:pStyle w:val="62"/>
        <w:topLinePunct w:val="0"/>
        <w:ind w:firstLine="0" w:firstLineChars="0"/>
        <w:jc w:val="center"/>
      </w:pPr>
      <w:r>
        <w:t>（2010年1月21日中华人民共和国</w:t>
      </w:r>
      <w:r>
        <w:rPr>
          <w:shd w:val="clear" w:color="auto" w:fill="FFFFFF"/>
        </w:rPr>
        <w:t>农业部</w:t>
      </w:r>
      <w:r>
        <w:t>令第7号公布）</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为了规范动物防疫条件审查，有效预防控制动物疫病，维护公共卫生安全，根据《中华人民共和国动物防疫法》，制定本办法。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动物饲养场、养殖小区、动物隔离场所、动物屠宰加工场所以及动物和动物产品无害化处理场所，应当符合本办法规定的动物防疫条件，并取得《动物防疫条件合格证》。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经营动物和动物产品的集贸市场应当符合本办法规定的动物防疫条件。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农业部主管全国动物防疫条件审查和监督管理工作。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县级以上地方人民政府兽医主管部门主管本行政区域内的动物防疫条件审查和监督管理工作。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县级以上地方人民政府设立的动物卫生监督机构负责本行政区域内的动物防疫条件监督执法工作。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动物防疫条件审查应当遵循公开、公正、公平、便民的原则。</w:t>
      </w:r>
    </w:p>
    <w:p>
      <w:pPr>
        <w:pStyle w:val="63"/>
        <w:spacing w:before="218" w:after="218" w:line="412" w:lineRule="exact"/>
        <w:rPr>
          <w:b/>
        </w:rPr>
      </w:pPr>
      <w:r>
        <w:t xml:space="preserve">第二章 </w:t>
      </w:r>
      <w:r>
        <w:rPr>
          <w:rFonts w:hint="eastAsia"/>
        </w:rPr>
        <w:t xml:space="preserve"> </w:t>
      </w:r>
      <w:r>
        <w:t>饲养场、养殖小区动物防疫条件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动物饲养场、养殖小区选址应当符合下列条件：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（一）距离生活饮用水源地、动物屠宰加工场所、动物和动物产品集贸市场500米以上；距离种畜禽场1000米以上；距离动物诊疗场所200米以上；动物饲养场（养殖小区）之间距离不少于500米；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（二）距离动物隔离场所、无害化处理场所3000米以上；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（三）距离城镇居民区、文化教育科研等人口集中区域及公路、铁路等主要交通干线500米以上。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动物饲养场、养殖小区布局应当符合下列条件：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（一）场区周围建有围墙；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（二）场区出入口处设置与门同宽，长4米、深0.3米以上的消毒池；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（三）生产区与生活办公区分开，并有隔离设施；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（四）生产区入口处设置更衣消毒室，各养殖栋舍出入口设置消毒池或者消毒垫；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（五）生产区内清洁道、污染道分设；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（六）生产区内各养殖栋舍之间距离在5米以上或者有隔离设施。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禽类饲养场、养殖小区内的孵化间与养殖区之间应当设置隔离设施，并配备种蛋熏蒸消毒设施，孵化间的流程应当单向，不得交叉或者回流。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动物饲养场、养殖小区应当具有下列设施设备：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（一）场区入口处配置消毒设备；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（二）生产区有良好的采光、通风设施设备；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（三）圈舍地面和墙壁选用适宜材料，以便清洗消毒；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（四）配备疫苗冷冻（冷藏）设备、消毒和诊疗等防疫设备的兽医室，或者有兽医机构为其提供相应服务；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（五）有与生产规模相适应的无害化处理、污水污物处理设施设备；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（六）有相对独立的引入动物隔离舍和患病动物隔离舍。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动物饲养场、养殖小区应当有与其养殖规模相适应的执业兽医或者乡村兽医。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患有相关人畜共患传染病的人员不得从事动物饲养工作。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动物饲养场、养殖小区应当按规定建立免疫、用药、检疫申报、疫情报告、消毒、无害化处理、畜禽标识等制度及养殖档案。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种畜禽场除符合本办法第六条、第七条、第八条、第九条规定外，还应当符合下列条件：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（一）距离生活饮用水源地、动物饲养场、养殖小区和城镇居民区、文化教育科研等人口集中区域及公路、铁路等主要交通干线1000米以上；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（二）距离动物隔离场所、无害化处理场所、动物屠宰加工场所、动物和动物产品集贸市场、动物诊疗场所3000米以上；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（三）有必要的防鼠、防鸟、防虫设施或者措施；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（四）有国家规定的动物疫病的净化制度；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（五）根据需要，种畜场还应当设置单独的动物精液、卵、胚胎采集等区域。</w:t>
      </w:r>
    </w:p>
    <w:p>
      <w:pPr>
        <w:pStyle w:val="63"/>
        <w:spacing w:before="218" w:after="218" w:line="412" w:lineRule="exact"/>
        <w:rPr>
          <w:b/>
        </w:rPr>
      </w:pPr>
      <w:r>
        <w:t xml:space="preserve">第三章 </w:t>
      </w:r>
      <w:r>
        <w:rPr>
          <w:rFonts w:hint="eastAsia"/>
        </w:rPr>
        <w:t xml:space="preserve"> </w:t>
      </w:r>
      <w:r>
        <w:t>屠宰加工场所动物防疫条件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动物屠宰加工场所选址应当符合下列条件：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（一）距离生活饮用水源地、动物饲养场、养殖小区、动物集贸市场500米以上；距离种畜禽场3000米以上；距离动物诊疗场所200米以上；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（二）距离动物隔离场所、无害化处理场所3000米以上。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动物屠宰加工场所布局应当符合下列条件：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（一）场区周围建有围墙；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（二）运输动物车辆出入口设置与门同宽，长4米、深0.3米以上的消毒池；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（三）生产区与生活办公区分开，并有隔离设施；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（四）入场动物卸载区域有固定的车辆消毒场地，并配有车辆清洗、消毒设备。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（五）动物入场口和动物产品出场口应当分别设置；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（六）屠宰加工间入口设置人员更衣消毒室；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（七）有与屠宰规模相适应的独立检疫室、办公室和休息室；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（八）有待宰圈、患病动物隔离观察圈、急宰间；加工原毛、生皮、绒、骨、角的，还应当设置封闭式熏蒸消毒间。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动物屠宰加工场所应当具有下列设施设备：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（一）动物装卸台配备照度不小于300Lx的照明设备；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（二）生产区有良好的采光设备，地面、操作台、墙壁、天棚应当耐腐蚀、不吸潮、易清洗；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（三）屠宰间配备检疫操作台和照度不小于500Lx的照明设备；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（四）有与生产规模相适应的无害化处理、污水污物处理设施设备。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动物屠宰加工场所应当建立动物入场和动物产品出场登记、检疫申报、疫情报告、消毒、无害化处理等制度。</w:t>
      </w:r>
    </w:p>
    <w:p>
      <w:pPr>
        <w:pStyle w:val="63"/>
        <w:spacing w:before="218" w:after="218" w:line="412" w:lineRule="exact"/>
        <w:rPr>
          <w:b/>
        </w:rPr>
      </w:pPr>
      <w:r>
        <w:t xml:space="preserve">第四章 </w:t>
      </w:r>
      <w:r>
        <w:rPr>
          <w:rFonts w:hint="eastAsia"/>
        </w:rPr>
        <w:t xml:space="preserve"> </w:t>
      </w:r>
      <w:r>
        <w:t>隔离场所动物防疫条件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动物隔离场所选址应当符合下列条件：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（一）距离</w:t>
      </w:r>
      <w:r>
        <w:rPr>
          <w:rFonts w:asciiTheme="minorEastAsia" w:hAnsiTheme="minorEastAsia" w:eastAsiaTheme="minorEastAsia"/>
          <w:spacing w:val="-4"/>
          <w:sz w:val="24"/>
          <w:szCs w:val="24"/>
        </w:rPr>
        <w:t>动物饲养场、养殖小区、种畜禽场、动物屠宰加工场所、无害化处理场所、动物诊疗场所、动物和动物产品集贸市场以及其他动物隔离场3000米以上；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（二）距离城镇居民区、文化教育科研等人口集中区域及公路、铁路等主要交通干线、生活饮用水源地500米以上。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动物隔离场所布局应当符合下列条件：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（一）场区周围有围墙；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（二）场区出入口处设置与门同宽，长4米、深0.3米以上的消毒池；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（三）饲养区与生活办公区分开，并有隔离设施；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（四）有配备消毒、诊疗和检测等防疫设备的兽医室；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（五）饲养区内清洁道、污染道分设；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（六）饲养区入口设置人员更衣消毒室。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动物隔离场所应当具有下列设施设备：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（一）场区出入口处配置消毒设备；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（二）有无害化处理、污水污物处理设施设备。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动物隔离场所应当配备与其规模相适应的执业兽医。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患有相关人畜共患传染病的人员不得从事动物饲养工作。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动物隔离场所应当建立动物和动物产品进出登记、免疫、用药、消毒、疫情报告、无害化处理等制度。</w:t>
      </w:r>
    </w:p>
    <w:p>
      <w:pPr>
        <w:pStyle w:val="63"/>
        <w:spacing w:before="218" w:after="218" w:line="412" w:lineRule="exact"/>
        <w:rPr>
          <w:b/>
        </w:rPr>
      </w:pPr>
      <w:r>
        <w:t xml:space="preserve">第五章 </w:t>
      </w:r>
      <w:r>
        <w:rPr>
          <w:rFonts w:hint="eastAsia"/>
        </w:rPr>
        <w:t xml:space="preserve"> </w:t>
      </w:r>
      <w:r>
        <w:t>无害化处理场所动物防疫条件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动物和动物产品无害化处理场所选址应当符合下列条件：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（一）距离动物养殖场、养殖小区、种畜禽场、动物屠宰加工场所、动物隔离场所、动物诊疗场所、动物和动物产品集贸市场、生活饮用水源地3000米以上；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（二）距离城镇居民区、文化教育科研等人口集中区域及公路、铁路等主要交通干线500米以上。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动物和动物产品无害化处理场所布局应当符合下列条件：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（一）场区周围建有围墙；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（二）场区出入口处设置与门同宽，长4米、深0.3米以上的消毒池，并设有单独的人员消毒通道；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（三）无害化处理区与生活办公区分开，并有隔离设施；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（四）无害化处理区内设置染疫动物扑杀间、无害化处理间、冷库等；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（五）动物扑杀间、无害化处理间入口处设置人员更衣室，出口处设置消毒室。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动物和动物产品无害化处理场所应当具有下列设施设备：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（一）配置机动消毒设备；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（二）动物扑杀间、无害化处理间等配备相应规模的无害化处理、污水污物处理设施设备；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（三）有运输动物和动物产品的专用密闭车辆。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动物和动物产品无害化处理场所应当建立病害动物和动物产品入场登记、消毒、无害化处理后的物品流向登记、人员防护等制度。</w:t>
      </w:r>
    </w:p>
    <w:p>
      <w:pPr>
        <w:pStyle w:val="63"/>
        <w:spacing w:before="218" w:after="218" w:line="412" w:lineRule="exact"/>
        <w:rPr>
          <w:b/>
        </w:rPr>
      </w:pPr>
      <w:r>
        <w:t xml:space="preserve">第六章 </w:t>
      </w:r>
      <w:r>
        <w:rPr>
          <w:rFonts w:hint="eastAsia"/>
        </w:rPr>
        <w:t xml:space="preserve"> </w:t>
      </w:r>
      <w:r>
        <w:t>集贸市场动物防疫条件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专门经营动物的集贸市场应当符合下列条件：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（一）距离文化教育科研等人口集中区域、生活饮用水源地、动物饲养场和养殖小区、动物屠宰加工场所500米以上，距离种畜禽场、动物隔离场所、无害化处理场所3000米以上，距离动物诊疗场所200米以上；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（二）市场周围有围墙，场区出入口处设置与门同宽，长4米、深0.3米以上的消毒池；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（三）场内设管理区、交易区、废弃物处理区，各区相对独立；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（四）交易区内不同种类动物交易场所相对独立；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（五）有清洗、消毒和污水污物处理设施设备；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（六）有定期休市和消毒制度。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（七）有专门的兽医工作室。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兼营动物和动物产品的集贸市场应当符合下列动物防疫条件：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（一）距离动物饲养场和养殖小区500米以上，距离种畜禽场、动物隔离场所、无害化处理场所3000米以上，距离动物诊疗场所200米以上；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（二）动物和动物产品交易区与市场其他区域相对隔离；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（三）动物交易区与动物产品交易区相对隔离；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（四）不同种类动物交易区相对隔离；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（五）交易区地面、墙面（裙）和台面防水、易清洗；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（六）有消毒制度。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活禽交易市场除符合前款规定条件外，市场内的水禽与其他家禽还应当分开，宰杀间与活禽存放间应当隔离，宰杀间与出售场地应当分开，并有定期休市制度。</w:t>
      </w:r>
    </w:p>
    <w:p>
      <w:pPr>
        <w:pStyle w:val="63"/>
        <w:spacing w:before="218" w:after="218" w:line="412" w:lineRule="exact"/>
        <w:rPr>
          <w:b/>
        </w:rPr>
      </w:pPr>
      <w:r>
        <w:t xml:space="preserve">第七章 </w:t>
      </w:r>
      <w:r>
        <w:rPr>
          <w:rFonts w:hint="eastAsia"/>
        </w:rPr>
        <w:t xml:space="preserve"> </w:t>
      </w:r>
      <w:r>
        <w:t>审查发证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兴办动物饲养场、养殖小区、动物屠宰加工场所、动物隔离场所、动物和动物产品无害化处理场所，应当按照本办法规定进行选址、工程设计和施工。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本办法第二条第一款规定场所建设竣工后，应当向所在地县级地方人民政府兽医主管部门提出申请，并提交以下材料：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（一）《动物防疫条件审查申请表》；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（二）场所地理位置图、各功能区布局平面图；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（三）设施设备清单；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（四）管理制度文本；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（五）人员情况。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申请材料不齐全或者不符合规定条件的，县级地方人民政府兽医主管部门应当自收到申请材料之日起5个工作日内，一次告知申请人需补正的内容。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兴办动物饲养场、养殖小区和动物屠宰加工场所的，县级地方人民政府兽医主管部门应当自收到申请之日起20个工作日内完成材料和现场审查，审查合格的，颁发《动物防疫条件合格证》；审查不合格的，应当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兴办动物隔离场所、动物和动物产品无害化处理场所的，县级地方人民政府兽医主管部门应当自收到申请之日起5个工作日内完成材料初审，并将初审意见和有关材料报省、自治区、直辖市人民政府兽医主管部门。省、自治区、直辖市人民政府兽医主管部门自收到初审意见和有关材料之日起15个工作日内完成材料和现场审查，审查合格的，颁发《动物防疫条件合格证》；审查不合格的，应当书面通知申请人，并说明理由。</w:t>
      </w:r>
    </w:p>
    <w:p>
      <w:pPr>
        <w:pStyle w:val="63"/>
        <w:spacing w:before="218" w:after="218" w:line="412" w:lineRule="exact"/>
        <w:rPr>
          <w:b/>
        </w:rPr>
      </w:pPr>
      <w:r>
        <w:t xml:space="preserve">第八章 </w:t>
      </w:r>
      <w:r>
        <w:rPr>
          <w:rFonts w:hint="eastAsia"/>
        </w:rPr>
        <w:t xml:space="preserve"> </w:t>
      </w:r>
      <w:r>
        <w:t>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动物卫生监督机构依照《中华人民共和国动物防疫法》和有关法律、法规的规定，对动物饲养场、养殖小区、动物隔离场所、动物屠宰加工场所、动物和动物产品无害化处理场所、动物和动物产品集贸市场的动物防疫条件实施监督检查，有关单位和个人应当予以配合，不得拒绝和阻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本办法第二条第一款所列场所在取得《动物防疫条件合格证》后，变更场址或者经营范围的，应当重新申请办理《动物防疫条件合格证》，同时交回原《动物防疫条件合格证》，由原发证机关予以注销。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变更布局</w:t>
      </w:r>
      <w:r>
        <w:rPr>
          <w:rFonts w:asciiTheme="minorEastAsia" w:hAnsiTheme="minorEastAsia" w:eastAsiaTheme="minorEastAsia"/>
          <w:spacing w:val="-4"/>
          <w:sz w:val="24"/>
          <w:szCs w:val="24"/>
        </w:rPr>
        <w:t>、设施设备和制度，可能引起动物防疫条件发生变化的，应当提前30日向原发证机关报告。发证机关应当在20日内完成审查，并将审查结果通知申请人。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变更单位名称或者其负责人的，应当在变更后15日内持有效证明申请变更《动物防疫条件合格证》。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本办法第二条第一款所列场所停业的，应当于停业后30日内将《动物防疫条件合格证》交回原发证机关注销。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本办法第二条所列场所，应当在每年1月底前将上一年的动物防疫条件情况和防疫制度执行情况向发证机关报告。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禁止转让、伪造或者变造《动物防疫条件合格证》。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《动物防疫条件合格证》丢失或者损毁的，应当在15日内向发证机关申请补发。</w:t>
      </w:r>
    </w:p>
    <w:p>
      <w:pPr>
        <w:pStyle w:val="63"/>
        <w:spacing w:before="218" w:after="218" w:line="412" w:lineRule="exact"/>
        <w:rPr>
          <w:b/>
        </w:rPr>
      </w:pPr>
      <w:r>
        <w:t xml:space="preserve">第九章 </w:t>
      </w:r>
      <w:r>
        <w:rPr>
          <w:rFonts w:hint="eastAsia"/>
        </w:rPr>
        <w:t xml:space="preserve"> </w:t>
      </w:r>
      <w:r>
        <w:t>罚</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违反本办法第三十一条第一款规定，变更场所地址或者经营范围，未按规定重新申请《动物防疫条件合格证》的，按照《中华人民共和国动物防疫法》第七十七条规定予以处罚。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办法第三十一条第二款规定，未经审查擅自变更布局、设施设备和制度的，由动物卫生监督机构给予警告。对不符合动物防疫条件的，由动物卫生监督机构责令改正；拒不改正或者整改后仍不合格的，由发证机关收回并注销《动物防疫条件合格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违反本办法第二十四条和第二十五条规定，经营动物和动物产品的集贸市场不符合动物防疫条件的，由动物卫生监督机构责令改正；拒不改正的，由动物卫生监督机构处五千元以上两万元以下的罚款，并通报同级工商行政管理部门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违反本办法第三十四条规定，转让、伪造或者变造《动物防疫条件合格证》的，由动物卫生监督机构收缴《动物防疫条件合格证》，处两千元以上一万元以下的罚款。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使用转让、伪造或者变造《动物防疫条件合格证》的，由动物卫生监督机构按照《中华人民共和国动物防疫法》第七十七条规定予以处罚。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违反本办法规定，构成犯罪或者违反治安管理规定的，依法移送公安机关处理。</w:t>
      </w:r>
    </w:p>
    <w:p>
      <w:pPr>
        <w:pStyle w:val="63"/>
        <w:spacing w:before="218" w:after="218" w:line="412" w:lineRule="exact"/>
        <w:rPr>
          <w:b/>
        </w:rPr>
      </w:pPr>
      <w:r>
        <w:t xml:space="preserve">第十章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本办法所称动物饲养场、养殖小区是指《中华人民共和国畜牧法》第三十九条规定的畜禽养殖场、养殖小区。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饲养场、养殖小区内自用的隔离舍和屠宰加工场所内自用的患病动物隔离观察圈，饲养场、养殖小区、屠宰加工场所和动物隔离场内设置的自用无害化处理场所，不再另行办理《动物防疫条件合格证》。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本办法自2010年5月1日起施行。农业部2002年5月24日发布的《动物防疫条件审核管理办法》（农业部令第15号）同时废止。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办法施行前已发放的《动物防疫合格证》在有效期内继续有效，有效期不满1年的，可沿用到2011年5月1日止。本办法施行前未取得《动物防疫合格证》的各类场所，应当在2011年5月1日前达到本办法规定的条件，取得《动物防疫条件合格证》。</w:t>
      </w:r>
      <w:r>
        <w:rPr>
          <w:rFonts w:asciiTheme="minorEastAsia" w:hAnsiTheme="minorEastAsia" w:eastAsiaTheme="minorEastAsia"/>
          <w:sz w:val="24"/>
          <w:szCs w:val="24"/>
        </w:rPr>
        <w:br w:type="page"/>
      </w:r>
      <w:bookmarkStart w:id="1272" w:name="_Toc14690"/>
      <w:bookmarkStart w:id="1273" w:name="_Toc21450044"/>
      <w:bookmarkStart w:id="1274" w:name="_Toc466579841"/>
    </w:p>
    <w:p>
      <w:pPr>
        <w:pStyle w:val="2"/>
        <w:keepNext w:val="0"/>
        <w:keepLines w:val="0"/>
        <w:tabs>
          <w:tab w:val="left" w:pos="3200"/>
        </w:tabs>
        <w:topLinePunct/>
        <w:spacing w:line="416" w:lineRule="exact"/>
        <w:ind w:firstLine="482" w:firstLineChars="200"/>
        <w:jc w:val="both"/>
        <w:rPr>
          <w:rFonts w:asciiTheme="minorEastAsia" w:hAnsiTheme="minorEastAsia" w:eastAsiaTheme="minorEastAsia"/>
          <w:sz w:val="24"/>
          <w:szCs w:val="24"/>
        </w:rPr>
      </w:pPr>
    </w:p>
    <w:p>
      <w:pPr>
        <w:pStyle w:val="61"/>
      </w:pPr>
      <w:bookmarkStart w:id="1275" w:name="_Toc28250991"/>
      <w:bookmarkStart w:id="1276" w:name="_Toc28252270"/>
      <w:bookmarkStart w:id="1277" w:name="_Toc25648288"/>
      <w:bookmarkStart w:id="1278" w:name="_Toc28157063"/>
      <w:bookmarkStart w:id="1279" w:name="_Toc26348041"/>
      <w:bookmarkStart w:id="1280" w:name="_Toc25653784"/>
      <w:r>
        <w:t>动物检疫管理办法</w:t>
      </w:r>
      <w:bookmarkEnd w:id="1272"/>
      <w:bookmarkEnd w:id="1273"/>
      <w:bookmarkEnd w:id="1274"/>
      <w:bookmarkEnd w:id="1275"/>
      <w:bookmarkEnd w:id="1276"/>
      <w:bookmarkEnd w:id="1277"/>
      <w:bookmarkEnd w:id="1278"/>
      <w:bookmarkEnd w:id="1279"/>
      <w:bookmarkEnd w:id="1280"/>
    </w:p>
    <w:p>
      <w:pPr>
        <w:pStyle w:val="62"/>
      </w:pPr>
      <w:r>
        <w:t>（2010年1月21日中华人民共和国农业部令第6号公布，根据2019年4月25日农业农村部令第2号修订）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为加强动物检疫活动管理，预防、控制和扑灭动物疫病，保障动物及动物产品安全，保护人体健康，维护公共卫生安全，根据《中华人民共和国动物防疫法》（以下简称《动物防疫法》）,制定本办法。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本办法适用于中华人民共和国领域内的动物检疫活动。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农业部主管全国动物检疫工作。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县级以上地方人民政府兽医主管部门主管本行政区域内的动物检疫工作。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县级以上地方人民政府设立的动物卫生监督机构负责本行政区域内动物、动物产品的检疫及其监督管理工作。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动物检疫的范围、对象和规程由农业部制定、调整并公布。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动物卫生监督机构指派官方兽医按照《动物防疫法》和本办法的规定对动物、动物产品实施检疫，出具检疫证明，加施检疫标志。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动物卫生监督机构可以根据检疫工作需要，指定兽医专业人员协助官方兽医实施动物检疫。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动物检疫遵循过程监管、风险控制、区域化和可追溯管理相结合的原则。</w:t>
      </w:r>
    </w:p>
    <w:p>
      <w:pPr>
        <w:pStyle w:val="63"/>
        <w:spacing w:before="218" w:after="218" w:line="412" w:lineRule="exact"/>
        <w:rPr>
          <w:b/>
        </w:rPr>
      </w:pPr>
      <w:r>
        <w:t xml:space="preserve">第二章 </w:t>
      </w:r>
      <w:r>
        <w:rPr>
          <w:rFonts w:hint="eastAsia"/>
        </w:rPr>
        <w:t xml:space="preserve"> </w:t>
      </w:r>
      <w:r>
        <w:t>检疫申报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国家实行动物检疫申报制度。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动物卫生监督机构应当根据检疫工作需要，合理设置动物检疫申报点，并向社会公布动物检疫申报点、检疫范围和检疫对象。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县级以上人民政府兽医主管部门应当加强动物检疫申报点的建设和管理。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下列动物、动物产品在离开产地前，货主应当按规定时限向所在地动物卫生监督机构申报检疫：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（一）出售、运输动物产品和供屠宰、继续饲养的动物，应当提前3天申报检疫。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（二）出售、运输乳用动物、种用动物及其精液、卵、胚胎、种蛋，以及参加展览、演出和比赛的动物，应当提前15天申报检疫。</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（三）向无规定动物疫病区输入相关易感动物、易感动物产品的，货主除按规定向输出地动物卫生监督机构申报检疫外，还应当在起运3天前向输入地省级动物卫生监督机构申报检疫。</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合法捕获野生动物的，应当在捕获后3天内向捕获地县级动物卫生监督机构申报检疫。</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屠宰动物的，应当提前6小时向所在地动物卫生监督机构申报检疫；急宰动物的，可以随时申报。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报检疫的，应当提交检疫申报单；跨省、自治区、直辖市调运乳用动物、种用动物及其精液、胚胎、种蛋的，还应当同时提交输入地省、自治区、直辖市动物卫生监督机构批准的《跨省引进乳用种用动物检疫审批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申报检疫采取申报点填报、传真、电话等方式申报。采用电话申报的，需在现场补填检疫申报单。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动物卫生监督机构受理检疫申报后，应当派出官方兽医到现场或指定地点实施检疫；不予受理的，应当说明理由。</w:t>
      </w:r>
    </w:p>
    <w:p>
      <w:pPr>
        <w:pStyle w:val="63"/>
        <w:spacing w:before="218" w:after="218" w:line="412" w:lineRule="exact"/>
        <w:rPr>
          <w:b/>
        </w:rPr>
      </w:pPr>
      <w:r>
        <w:t xml:space="preserve">第三章 </w:t>
      </w:r>
      <w:r>
        <w:rPr>
          <w:rFonts w:hint="eastAsia"/>
        </w:rPr>
        <w:t xml:space="preserve"> </w:t>
      </w:r>
      <w:r>
        <w:t>产地检疫</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出售或者运输的动物、动物产品经所在地县级动物卫生监督机构的官方兽医检疫合格，并取得《动物检疫合格证明》后，方可离开产地。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出售或者运输的动物，经检疫符合下列条件，由官方兽医出具《动物检疫合格证明》：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（一）来自非封锁区或者未发生相关动物疫情的饲养场（户）；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（二）按照国家规定进行了强制免疫，并在有效保护期内；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（三）临床检查健康；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（四）农业部规定需要进行实验室疫病检测的，检测结果符合要求；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（五）养殖档案相关记录和畜禽标识符合农业部规定。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乳用、种用动物和宠物，还应当符合农业部规定的健康标准。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合法捕获的野生动物，经检疫符合下列条件，由官方兽医出具《动物检疫合格证明》后，方可饲养、经营和运输：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（一）来自非封锁区；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（二）临床检查健康；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（三）农业部规定需要进行实验室疫病检测的，检测结果符合要求。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出售、运输的种用动物精液、卵、胚胎、种蛋，经检疫符合下列条件，由官方兽医出具《动物检疫合格证明》：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（一）来自非封锁区，或者未发生相关动物疫情的种用动物饲养场；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（二）供体动物按照国家规定进行了强制免疫，并在有效保护期内；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（三）供体动物符合动物健康标准；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（四）农业部规定需要进行实验室疫病检测的，检测结果符合要求；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（五）供体动物的养殖档案相关记录和畜禽标识符合农业部规定。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出售、运输的骨、角、生皮、原毛、绒等产品，经检疫符合下列条件，由官方兽医出具《动物检疫合格证明》：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（一）来自非封锁区，或者未发生相关动物疫情的饲养场（户）；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（二）按有关规定消毒合格；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（三）农业部规定需要进行实验室疫病检测的，检测结果符合要求。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经检疫不合格的动物、动物产品，由官方兽医出具检疫处理通知单，并监督货主按照农业部规定的技术规范处理。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跨省、自治区、直辖市引进用于饲养的非乳用、非种用动物到达目的地后，货主或者承运人应当在24小时内向所在地县级动物卫生监督机构报告，并接受监督检查。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跨省、自治区、直辖市引进的乳用、种用动物到达输入地后，在所在地动物卫生监督机构的监督下，应当在隔离场或饲养场（养殖小区）内的隔离舍进行隔离观察，大中型动物隔离期为45天，小型动物隔离期为30天。经隔离观察合格的方可混群饲养；不合格的，按照有关规定进行处理。隔离观察合格后需继续在省内运输的，货主应当申请更换《动物检疫合格证明》。动物卫生监督机构更换《动物检疫合格证明》不得收费。</w:t>
      </w:r>
    </w:p>
    <w:p>
      <w:pPr>
        <w:pStyle w:val="63"/>
        <w:spacing w:before="218" w:after="218" w:line="412" w:lineRule="exact"/>
        <w:rPr>
          <w:b/>
        </w:rPr>
      </w:pPr>
      <w:r>
        <w:t>第四章</w:t>
      </w:r>
      <w:r>
        <w:rPr>
          <w:rFonts w:hint="eastAsia"/>
        </w:rPr>
        <w:t xml:space="preserve"> </w:t>
      </w:r>
      <w:r>
        <w:t xml:space="preserve"> 屠宰检疫</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县级动物卫生监督机构依法向屠宰场（厂、点）派驻（出）官方兽医实施检疫。屠宰场（厂、点）应当提供与屠宰规模相适应的官方兽医驻场检疫室和检疫操作台等设施。出场（厂、点）的动物产品应当经官方兽医检疫合格，加施检疫标志，并附有《动物检疫合格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进入屠宰场（厂、点）的动物应当附有《动物检疫合格证明》，并佩戴有农业部规定的畜禽标识。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官方兽医应当查验进场动物附具的《动物检疫合格证明》和佩戴的畜禽标识，检查待宰动物健康状况，对疑似染疫的动物进行隔离观察。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官方兽医应当按照农业部规定，在动物屠宰过程中实施全流程同步检疫和必要的实验室疫病检测。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经检疫符合下列条件的，由官方兽医出具《动物检疫合格证明》，对胴体及分割、包装的动物产品加盖检疫验讫印章或者加施其他检疫标志：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（一）无规定的传染病和寄生虫病；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（二）符合农业部规定的相关屠宰检疫规程要求；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（三）需要进行实验室疫病检测的，检测结果符合要求。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骨、角、生皮、原毛、绒的检疫还应当符合本办法第十七条有关规定。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经检疫不合格的动物、动物产品，由官方兽医出具检疫处理通知单，并监督屠宰场（厂、点）或者货主按照农业部规定的技术规范处理。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官方兽医应当回收进入屠宰场（厂、点）动物附具的《动物检疫合格证明》，填写屠宰检疫记录。回收的《动物检疫合格证明》应当保存十二个月以上。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经检疫合格的动物产品到达目的地后，需要直接在当地分销的，货主可以向输入地动物卫生监督机构申请换证，换证不得收费。换证应当符合下列条件：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（一）提供原始有效《动物检疫合格证明》，检疫标志完整，且证物相符；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（二）在有关国家标准规定的保质期内，且无腐败变质。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经检疫合格的动物产品到达目的地，贮藏后需继续调运或者分销的，货主可以向输入地动物卫生监督机构重新申报检疫。输入地县级以上动物卫生监督机构对符合下列条件的动物产品，出具《动物检疫合格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（一）提供原始有效《动物检疫合格证明》，检疫标志完整，且证物相符；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（二）在有关国家标准规定的保质期内，无腐败变质；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（三）有健全的出入库登记记录；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（四）农业部规定进行必要的实验室疫病检测的，检测结果符合要求。</w:t>
      </w:r>
    </w:p>
    <w:p>
      <w:pPr>
        <w:pStyle w:val="63"/>
        <w:spacing w:before="218" w:after="218" w:line="412" w:lineRule="exact"/>
        <w:rPr>
          <w:b/>
        </w:rPr>
      </w:pPr>
      <w:r>
        <w:t xml:space="preserve">第五章 </w:t>
      </w:r>
      <w:r>
        <w:rPr>
          <w:rFonts w:hint="eastAsia"/>
        </w:rPr>
        <w:t xml:space="preserve"> </w:t>
      </w:r>
      <w:r>
        <w:t>水产苗种产地检疫</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出售或者运输水生动物的亲本、稚体、幼体、受精卵、发眼卵及其他遗传育种材料等水产苗种的，货主应当提前20天向所在地县级动物卫生监督机构申报检疫；经检疫合格，并取得《动物检疫合格证明》后，方可离开产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养殖、出售或者运输合法捕获的野生水产苗种的，货主应当在捕获野生水产苗种后2天内向所在地县级动物卫生监督机构申报检疫；经检疫合格，并取得《动物检疫合格证明》后，方可投放养殖场所、出售或者运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合法捕获的野生水产苗种实施检疫前，货主应当将其隔离在符合下列条件的临时检疫场地：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（一）与其他养殖场所有物理隔离设施；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（二）具有独立的进排水和废水无害化处理设施以及专用渔具；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（三）农业部规定的其他防疫条件。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水</w:t>
      </w:r>
      <w:r>
        <w:rPr>
          <w:rFonts w:asciiTheme="minorEastAsia" w:hAnsiTheme="minorEastAsia" w:eastAsiaTheme="minorEastAsia"/>
          <w:spacing w:val="-4"/>
          <w:sz w:val="24"/>
          <w:szCs w:val="24"/>
        </w:rPr>
        <w:t>产苗种经检疫符合下列条件的，由官方兽医出具《动物检疫合格证明》：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（一）该苗种生产场近期未发生相关水生动物疫情；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（二）临床健康检查合格；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（三）农业部规定需要经水生动物疫病诊断实验室检验的，检验结果符合要求。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检疫不合格的，动物卫生监督机构应当监督货主按照农业部规定的技术规范处理。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跨省、自治区、直辖市引进水产苗种到达目的地后，货主或承运人应当在24小时内按照有关规定报告，并接受当地动物卫生监督机构的监督检查。</w:t>
      </w:r>
    </w:p>
    <w:p>
      <w:pPr>
        <w:pStyle w:val="63"/>
        <w:spacing w:before="218" w:after="218" w:line="412" w:lineRule="exact"/>
        <w:rPr>
          <w:b/>
        </w:rPr>
      </w:pPr>
      <w:r>
        <w:t>第六章</w:t>
      </w:r>
      <w:r>
        <w:rPr>
          <w:rFonts w:hint="eastAsia"/>
        </w:rPr>
        <w:t xml:space="preserve"> </w:t>
      </w:r>
      <w:r>
        <w:t xml:space="preserve"> 无规定动物疫病区动物检疫</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向无规定动物疫病区运输相关易感动物、动物产品的，除附有输出地动物卫生监督机构出具的《动物检疫合格证明》外，还应当向输入地省、自治区、直辖市动物卫生监督机构申报检疫，并按照本办法第三十三条、第三十四条规定取得输入地《动物检疫合格证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输入到无规定动物疫病区的相关易感动物，应当在输入地省、自治区、直辖市动物卫生监督机构指定的隔离场所，按照农业部规定的无规定动物疫病区有关检疫要求隔离检疫。大中型动物隔离检疫期为45天，小型动物隔离检疫期为30天。隔离检疫合格的，由输入地省、自治区、直辖市动物卫生监督机构的官方兽医出具《动物检疫合格证明》；不合格的，不准进入，并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输入到无规定动物疫病区的相关易感动物产品，应当在输入地省、自治区、直辖市动物卫生监督机构指定的地点，按照农业部规定的无规定动物疫病区有关检疫要求进行检疫。检疫合格的，由输入地省、自治区、直辖市动物卫生监督机构的官方兽医出具《动物检疫合格证明》；不合格的，不准进入，并依法处理。</w:t>
      </w:r>
    </w:p>
    <w:p>
      <w:pPr>
        <w:pStyle w:val="63"/>
        <w:spacing w:before="218" w:after="218" w:line="412" w:lineRule="exact"/>
        <w:rPr>
          <w:b/>
        </w:rPr>
      </w:pPr>
      <w:r>
        <w:t xml:space="preserve">第七章 </w:t>
      </w:r>
      <w:r>
        <w:rPr>
          <w:rFonts w:hint="eastAsia"/>
        </w:rPr>
        <w:t xml:space="preserve"> </w:t>
      </w:r>
      <w:r>
        <w:t>乳用种用动物检疫审批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跨省、自治区、直辖市引进乳用动物、种用动物及其精液、胚胎、种蛋的，货主应当填写《跨省引进乳用种用动物检疫审批表》，向输入地省、自治区、直辖市动物卫生监督机构申请办理审批手续。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输入地省、自治区、直辖市动物卫生监督机构应当自受理申请之日起10个工作日内，做出是否同意引进的决定。符合下列条件的，签发《跨省引进乳用种用动物检疫审批表》；不符合下列条件的，书面告知申请人，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（一）输出和输入饲养场、养殖小区取得《动物防疫条件合格证》；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（二）输入饲养场、养殖小区存栏的动物符合动物健康标准；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（三）输出的乳用、种用动物养殖档案相关记录符合农业部规定；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（四）输出的精液、胚胎、种蛋的供体符合动物健康标准。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货主凭输入地省、自治区、直辖市动物卫生监督机构签发的《跨省引进乳用种用动物检疫审批表》，按照本办法规定向输出地县级动物卫生监督机构申报检疫。输出地县级动物卫生监督机构应当按照本办法的规定实施检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跨省引进乳用种用动物应当在《跨省引进乳用种用动物检疫审批表》有效期内运输。逾期引进的，货主应当重新办理审批手续。</w:t>
      </w:r>
    </w:p>
    <w:p>
      <w:pPr>
        <w:pStyle w:val="63"/>
        <w:spacing w:before="218" w:after="218" w:line="412" w:lineRule="exact"/>
        <w:rPr>
          <w:b/>
        </w:rPr>
      </w:pPr>
      <w:r>
        <w:t>第八章</w:t>
      </w:r>
      <w:r>
        <w:rPr>
          <w:rFonts w:hint="eastAsia"/>
        </w:rPr>
        <w:t xml:space="preserve"> </w:t>
      </w:r>
      <w:r>
        <w:t xml:space="preserve"> 检疫监督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屠宰、经营、运输以及参加展览、演出和比赛的动物，应当附有《动物检疫合格证明》；经营、运输的动物产品应当附有《动物检疫合格证明》和检疫标志。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对符合前款规定的动物、动物产品，动物卫生监督机构可以查验检疫证明、检疫标志，对动物、动物产品进行采样、留验、抽检，但不得重复检疫收费。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依法应当检疫而未经检疫的动物，由动物卫生监督机构依照本条第二款规定补检，并依照《动物防疫法》处理处罚。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符合下列条件的，由动物卫生监督机构出具《动物检疫合格证明》；不符合的，按照农业部有关规定进行处理。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（一）畜禽标识符合农业部规定；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（二）临床检查健康；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（三）农业部规定需要进行实验室疫病检测的，检测结果符合要求。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依法应当检疫而未经检疫的骨、角、生皮、原毛、绒等产品，符合下列条件的，由动物卫生监督机构出具《动物检疫合格证明》；不符合的，予以没收销毁。同时，依照《动物防疫法》处理处罚。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（一）经外观检查无腐烂变质；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（二）按有关规定重新消毒；</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（三）农业部规定需要进行实验室疫病检测的，检测结果符合要求。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依法应当检疫而未经检疫的精液、胚胎、种蛋等，符合下列条件的，由动物卫生监督机构出具《动物检疫合格证明》；不符合的，予以没收销毁。同时，依照《动物防疫法》处理处罚。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（一）货主在5天内提供输出地动物卫生监督机构出具的来自非封锁区的证明和供体动物符合健康标准的证明；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（二）在规定的保质期内，并经外观检查无腐败变质；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（三）农业部规定需要进行实验室疫病检测的，检测结果符合要求。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依法应当检疫而未经检疫的肉、脏器、脂、头、蹄、血液、筋等，符合下列条件的，由动物卫生监督机构出具《动物检疫合格证明》，并依照《动物防疫法》第七十八条的规定进行处罚；不符合下列条件的，予以没收销毁，并依照《动物防疫法》第七十六条的规定进行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（一）货主在5天内提供输出地动物卫生监督机构出具的来自非封锁区的证明；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（二）经外观检查无病变、无腐败变质；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（三）农业部规定需要进行实验室疫病检测的，检测结果符合要求。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经铁路、公路、水路、航空运输依法应当检疫的动物、动物产品的，托运人托运时应当提供《动物检疫合格证明》。没有《动物检疫合格证明》的，承运人不得承运。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货主或者承运人应当在装载前和卸载后，对动物、动物产品的运载工具以及饲养用具、装载用具等，按照农业部规定的技术规范进行消毒，并对清除的垫料、粪便、污物等进行无害化处理。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封锁区内的商品蛋、生鲜奶的运输监管按照《重大动物疫情应急条例》实施。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经检疫合格的动物、动物产品应当在规定时间内到达目的地。经检疫合格的动物在运输途中发生疫情，应按有关规定报告并处置。</w:t>
      </w:r>
    </w:p>
    <w:p>
      <w:pPr>
        <w:pStyle w:val="63"/>
        <w:spacing w:before="218" w:after="218" w:line="412" w:lineRule="exact"/>
        <w:rPr>
          <w:b/>
        </w:rPr>
      </w:pPr>
      <w:r>
        <w:t>第九章</w:t>
      </w:r>
      <w:r>
        <w:rPr>
          <w:rFonts w:hint="eastAsia"/>
        </w:rPr>
        <w:t xml:space="preserve"> </w:t>
      </w:r>
      <w:r>
        <w:t xml:space="preserve"> 罚</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违反本办法第十九条、第三十一条规定，跨省、自治区、直辖市引进用于饲养的非乳用、非种用动物和水产苗种到达目的地后，未向所在地动物卫生监督机构报告的，由动物卫生监督机构处五百元以上二千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违反本办法第二十条规定，跨省、自治区、直辖市引进的乳用、种用动物到达输入地后，未按规定进行隔离观察的，由动物卫生监督机构责令改正，处二千元以上一万元以下罚款。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其他违反本办法规定的行为，依照《动物防疫法》有关规定予以处罚。</w:t>
      </w:r>
    </w:p>
    <w:p>
      <w:pPr>
        <w:pStyle w:val="63"/>
        <w:spacing w:before="218" w:after="218" w:line="412" w:lineRule="exact"/>
        <w:rPr>
          <w:b/>
        </w:rPr>
      </w:pPr>
      <w:r>
        <w:t xml:space="preserve">第十章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动物卫生监督证章标志格式或样式由农业部统一制定。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水产苗种产地检疫，由地方动物卫生监督机构委托同级渔业主管部门实施。水产苗种以外的其他水生动物及其产品不实施检疫。</w:t>
      </w:r>
    </w:p>
    <w:p>
      <w:pPr>
        <w:pStyle w:val="3"/>
        <w:topLinePunct/>
        <w:spacing w:line="412" w:lineRule="exact"/>
        <w:ind w:firstLine="482"/>
        <w:rPr>
          <w:rFonts w:asciiTheme="minorEastAsia" w:hAnsi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本办法自2010年3月1日起施行。农业部2002年5月24日发布的《动物检疫管理办法》（农业部令第14号）自本办法施行之日起废止。</w:t>
      </w:r>
      <w:r>
        <w:rPr>
          <w:rFonts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281" w:name="_Toc28157064"/>
      <w:bookmarkStart w:id="1282" w:name="_Toc25653005"/>
      <w:bookmarkStart w:id="1283" w:name="_Toc466579955"/>
      <w:bookmarkStart w:id="1284" w:name="_Toc28252271"/>
      <w:bookmarkStart w:id="1285" w:name="_Toc15589"/>
      <w:bookmarkStart w:id="1286" w:name="_Toc18916786"/>
      <w:bookmarkStart w:id="1287" w:name="_Toc25653785"/>
      <w:bookmarkStart w:id="1288" w:name="_Toc28250992"/>
      <w:bookmarkStart w:id="1289" w:name="_Toc26348042"/>
      <w:r>
        <w:t>植物检疫条例</w:t>
      </w:r>
      <w:bookmarkEnd w:id="1281"/>
      <w:bookmarkEnd w:id="1282"/>
      <w:bookmarkEnd w:id="1283"/>
      <w:bookmarkEnd w:id="1284"/>
      <w:bookmarkEnd w:id="1285"/>
      <w:bookmarkEnd w:id="1286"/>
      <w:bookmarkEnd w:id="1287"/>
      <w:bookmarkEnd w:id="1288"/>
      <w:bookmarkEnd w:id="1289"/>
    </w:p>
    <w:p>
      <w:pPr>
        <w:pStyle w:val="62"/>
      </w:pPr>
      <w:r>
        <w:t>（</w:t>
      </w:r>
      <w:bookmarkStart w:id="1290" w:name="OLE_LINK99"/>
      <w:r>
        <w:t>1983年1月3日国务院公布，根据1992年5月13日中</w:t>
      </w:r>
      <w:r>
        <w:rPr>
          <w:rFonts w:hint="eastAsia"/>
          <w:lang w:val="en-US" w:eastAsia="zh-CN"/>
        </w:rPr>
        <w:t>华</w:t>
      </w:r>
      <w:r>
        <w:t>人民共和国国务院令第98号公布、自公布之日起施行的《国务院关于修改〈植物检疫条例〉的决定》第一次修订，</w:t>
      </w:r>
      <w:bookmarkStart w:id="1291" w:name="OLE_LINK83"/>
      <w:r>
        <w:t>根据2017年10月7日中华人民共和国国务院令第687号公布、自公布之日起施行《国务院关于修改部分行政法规的决定》第二次修订</w:t>
      </w:r>
      <w:bookmarkEnd w:id="1290"/>
      <w:bookmarkEnd w:id="1291"/>
      <w:r>
        <w:t>）</w:t>
      </w:r>
    </w:p>
    <w:p>
      <w:pPr>
        <w:pStyle w:val="3"/>
        <w:topLinePunct/>
        <w:spacing w:line="412" w:lineRule="exact"/>
        <w:ind w:firstLine="482"/>
        <w:rPr>
          <w:rFonts w:asciiTheme="minorEastAsia" w:hAnsiTheme="minorEastAsia" w:eastAsiaTheme="minorEastAsia"/>
          <w:b/>
          <w:bCs/>
          <w:sz w:val="24"/>
          <w:szCs w:val="24"/>
        </w:rPr>
      </w:pP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bCs/>
          <w:sz w:val="24"/>
          <w:szCs w:val="24"/>
        </w:rPr>
        <w:t>第一条</w:t>
      </w:r>
      <w:r>
        <w:rPr>
          <w:rFonts w:asciiTheme="minorEastAsia" w:hAnsiTheme="minorEastAsia" w:eastAsiaTheme="minorEastAsia"/>
          <w:sz w:val="24"/>
          <w:szCs w:val="24"/>
        </w:rPr>
        <w:t xml:space="preserve">  为了防止为害植物的危险性病、虫、杂草传播蔓延，保护农业、林业生产安全，制定本条例。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国务院农业主管部门、林业主管部门主管全国的植物检疫工作，各省、自治区、直辖市农业主管部门、林业主管部门主管本地区的植物检疫工作。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县级以上地方各级农业主管部门、林业主管部门所属的植物检疫机构，负责执行国家的植物检疫任务。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植物检疫人员进入车站、机场、港口、仓库以及其他有关场所执行植物检疫任务，应穿着检疫制服和佩带检疫标志。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凡局部地区发生的危险性大、能随植物及其产品传播的病、虫、杂草，应定为植物检疫对象。农业、林业植物检疫对象和应施检疫的植物、植物产品名单，由国务院农业主管部门、林业主管部门制定。各省、自治区、直辖市农业主管部门、林业主管部门可以根据本地区的需要，制定本省、自治区、直辖市的补充名单，并报国务院农业主管部门、林业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局部地区发生植物检疫对象的，应划为疫区，采取封锁、消灭措施，防止植物检疫对象传出；发生地区已比较普遍的，则应将未发生地区划为保护区，防止植物检疫对象传入。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疫区应根据植物检疫对象的传播情况、当地的地理环境、交通状况以及采取封锁、消灭措施的需要来划定，其范围应严格控制。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在发生疫情的地区，植物检疫机构可以派人参加当地的道路联合检查站或者木材检查站；发生特大疫情时，经省、自治区、直辖市人民政府批准，可以设立植物检疫检查站，开展植物检疫工作。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疫区和保护区的划定，由省、自治区、直辖市农业主管部门、林业主管部门提出，报省、自治区、直辖市人民政府批准，并报国务院农业主管部门、林业主管部门备案。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疫区和保护区的范围涉及两省、自治区、直辖市以上的，由有关省、自治区、直辖市农业主管部门、林业主管部门共同提出，报国务院农业主管部门、林业主管部门批准后划定。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疫区、保护区的改变和撤销的程序，与划定时同。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调运植物和植物产品，属于下列情况的，必须经过检疫：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（一）列入应施检疫的植物、植物产品名单的，运出发生疫情的县级行政区域之前，必须经过检疫；</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（二）凡种子、苗木和其他繁殖材料，不论是否列入应施检疫的植物、植物产品名单和运往何地，在调运之前，都必须经过检疫。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asciiTheme="minorEastAsia" w:hAnsiTheme="minorEastAsia" w:eastAsiaTheme="minorEastAsia"/>
          <w:sz w:val="24"/>
          <w:szCs w:val="24"/>
        </w:rPr>
        <w:t xml:space="preserve">  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植物检疫证书的格式由国务院农业主管部门、林业主管部门制定。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对可能被植物检疫对象污染的包装材料、运载工具、场地、仓库等，也应实施检疫。如已被污染，托运人应按植物检疫机构的要求处理。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因实施检疫需要的车船停留、货物搬运、开拆、取样、储存、消毒处理等费用，由托运人负责。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按照本条例第七条的规定必须检疫的植物和植物产品，交通运输部门和邮政部门一律凭植物检疫证书承运或收寄。植物检疫证书应随货运寄。具体办法由国务院农业主管部门、林业主管部门会同铁道、交通、民航、邮政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省、自治区、直辖市间调运本条例第七条规定必须经过检疫的植物和植物产品的，调入单位必须事先征得所在地的省、自治区、直辖市植物检疫机构同意，并向调出单位提出检疫要求；调出单位必须根据该检疫要求向所在地的省、自治区、直辖市植物检疫机构申请检疫。对调入的植物和植物产品，调入单位所在地的省、自治区、直辖市的植物检疫机构应当查验检疫证书，必要时可以复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省、自治区、直辖市内调运植物和植物产品的检疫办法，由省、自治区、直辖市人民政府规定。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种子、苗木和其他繁殖材料的繁育单位，必须有计划地建立无植物检疫对象的种苗繁育基地、母树林基地。试验、推广的种子、苗木和其他繁殖材料，不得带有植物检疫对象。植物检疫机构应实施产地检疫。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从国外引进种子、苗木，引进单位应当向所在地的省、自治区、直辖市植物检疫机构提出申请，办理检疫审批手续。但是，国务院有关部门所属的在京单位从国外引进种子、苗木，应当向国务院农业主管部门、林业主管部门所属的植物检疫机构提出申请，办理检疫审批手续。具体办法由国务院农业主管部门、林业主管部门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从国外引进、可能潜伏有危险性病、虫的种子、苗木和其他繁殖材料，必须隔离试种，植物检疫机构应进行调查、观察和检疫，证明确实不带危险性病、虫的，方可分散种植。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农林院校和试验研究单位对植物检疫对象的研究，不得在检疫对象的非疫区进行。因教学、科研确需在非疫区进行时，应当遵守国务院农业主管部门、林业主管部门的规定。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植物检疫机构对于新发现的检疫对象和其他危险性病、虫、杂草，必须及时查清情况，立即报告省、自治区、直辖市农业主管部门、林业主管部门，采取措施，彻底消灭，并报告国务院农业主管部门、林业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疫情由国务院农业主管部门、林业主管部门发布。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按照本条例第五条第一款和第十四条的规定，进行疫情调查和采取消灭措施所需的紧急防治费和补助费，由省、自治区、直辖市在每年的植物保护费、森林保护费或者国营农场生产费中安排。特大疫情的防治费，国家酌情给予补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asciiTheme="minorEastAsia" w:hAnsiTheme="minorEastAsia" w:eastAsiaTheme="minorEastAsia"/>
          <w:sz w:val="24"/>
          <w:szCs w:val="24"/>
        </w:rPr>
        <w:t xml:space="preserve">  在植物检疫工作中作出显著成绩的单位和个人，由人民政府给予奖励。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asciiTheme="minorEastAsia" w:hAnsiTheme="minorEastAsia" w:eastAsiaTheme="minorEastAsia"/>
          <w:sz w:val="24"/>
          <w:szCs w:val="24"/>
        </w:rPr>
        <w:t xml:space="preserve">  有下列行为之一的，植物检疫机构应当责令纠正，可以处以罚款；造成损失的，应当负责赔偿；构成犯罪的，由司法机关依法追究刑事责任：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（一）未依照本条例规定办理植物检疫证书或者在报检过程中弄虚作假的；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（二）伪造、涂改、买卖、转让植物检疫单证、印章、标志、封识的；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（三）未依照本条例规定调运、隔离试种或者生产应施检疫的植物、植物产品的；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（四）违反本条例规定，擅自开拆植物、植物产品包装，调换植物、植物产品，或者擅自改变植物、植物产品的规定用途的；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（五）违反本条例规定，引起疫情扩散的。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有前款第（一）、（二）、（三）、（四）项所列情形之一，尚不构成犯罪的，植物检疫机构可以没收非法所得。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对违反本条例规定调运的植物和植物产品，植物检疫机构有权予以封存、没收、销毁或者责令改变用途。销毁所需费用由责任人承担。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植物检疫人员在植物检疫工作中，交通运输部门和邮政部门有关工作人员在植物、植物产品的运输、邮寄工作中，徇私舞弊、玩忽职守的，由其所在单位或者上级主管机关给予行政处分；构成犯罪的，由司法机关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当事人对植物检疫机构的行政处罚决定不服的，可以自接到处罚决定通知书之日起十五日内，向作出行政处罚决定的植物检疫机构的上级机构申请复议；对复议决定不服的，可以自接到复议决定书之日起十五日内向人民法院提起诉讼。当事人逾期不申请复议或者不起诉又不履行行政处罚决定的，植物检疫机构可以申请人民法院强制执行或者依法强制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asciiTheme="minorEastAsia" w:hAnsiTheme="minorEastAsia" w:eastAsiaTheme="minorEastAsia"/>
          <w:sz w:val="24"/>
          <w:szCs w:val="24"/>
        </w:rPr>
        <w:t xml:space="preserve">  植物检疫机构执行检疫任务可以收取检疫费，具体办法由国务院农业主管部门、林业主管部门制定。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asciiTheme="minorEastAsia" w:hAnsiTheme="minorEastAsia" w:eastAsiaTheme="minorEastAsia"/>
          <w:sz w:val="24"/>
          <w:szCs w:val="24"/>
        </w:rPr>
        <w:t xml:space="preserve">  进出口植物的检疫，按照《中华人民共和国进出境动植物检疫法》的规定执行。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asciiTheme="minorEastAsia" w:hAnsiTheme="minorEastAsia" w:eastAsiaTheme="minorEastAsia"/>
          <w:sz w:val="24"/>
          <w:szCs w:val="24"/>
        </w:rPr>
        <w:t xml:space="preserve">  本条例的实施细则由国务院农业主管部门、林业主管部门制定。各省、自治区、直辖市可根据本条例及其实施细则，结合当地具体情况，制定实施办法。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asciiTheme="minorEastAsia" w:hAnsiTheme="minorEastAsia" w:eastAsiaTheme="minorEastAsia"/>
          <w:sz w:val="24"/>
          <w:szCs w:val="24"/>
        </w:rPr>
        <w:t xml:space="preserve">  本条例自发布之日起施行。国务院批准，农业部一九五七年十二月四日发布的《国内植物检疫试行办法》同时废止。</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1292" w:name="_Toc21174"/>
      <w:bookmarkStart w:id="1293" w:name="_Toc18916787"/>
      <w:bookmarkStart w:id="1294" w:name="_Toc466579958"/>
      <w:bookmarkStart w:id="1295" w:name="_Toc20782"/>
      <w:bookmarkStart w:id="1296" w:name="_Toc466579956"/>
    </w:p>
    <w:p>
      <w:pPr>
        <w:pStyle w:val="61"/>
      </w:pPr>
      <w:bookmarkStart w:id="1297" w:name="_Toc25653786"/>
      <w:bookmarkStart w:id="1298" w:name="_Toc26348043"/>
      <w:bookmarkStart w:id="1299" w:name="_Toc25652576"/>
      <w:bookmarkStart w:id="1300" w:name="_Toc28157065"/>
      <w:bookmarkStart w:id="1301" w:name="_Toc28250993"/>
      <w:bookmarkStart w:id="1302" w:name="_Toc28252272"/>
      <w:r>
        <w:t>北京市农业植物检疫办法</w:t>
      </w:r>
      <w:bookmarkEnd w:id="1292"/>
      <w:bookmarkEnd w:id="1293"/>
      <w:bookmarkEnd w:id="1294"/>
      <w:bookmarkEnd w:id="1297"/>
      <w:bookmarkEnd w:id="1298"/>
      <w:bookmarkEnd w:id="1299"/>
      <w:bookmarkEnd w:id="1300"/>
      <w:bookmarkEnd w:id="1301"/>
      <w:bookmarkEnd w:id="1302"/>
    </w:p>
    <w:p>
      <w:pPr>
        <w:pStyle w:val="62"/>
        <w:topLinePunct w:val="0"/>
        <w:ind w:firstLine="0" w:firstLineChars="0"/>
        <w:jc w:val="center"/>
      </w:pPr>
      <w:r>
        <w:t>（</w:t>
      </w:r>
      <w:bookmarkStart w:id="1303" w:name="OLE_LINK102"/>
      <w:r>
        <w:t>2013年4月26日</w:t>
      </w:r>
      <w:bookmarkStart w:id="1304" w:name="OLE_LINK65"/>
      <w:r>
        <w:t>北京市人民政府令第246号公布</w:t>
      </w:r>
      <w:bookmarkEnd w:id="1303"/>
      <w:bookmarkEnd w:id="1304"/>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sz w:val="24"/>
          <w:szCs w:val="24"/>
        </w:rPr>
      </w:pPr>
      <w:r>
        <w:rPr>
          <w:b/>
          <w:sz w:val="24"/>
          <w:szCs w:val="24"/>
        </w:rPr>
        <w:t xml:space="preserve">第一条 </w:t>
      </w:r>
      <w:r>
        <w:rPr>
          <w:rFonts w:hint="eastAsia" w:asciiTheme="minorEastAsia" w:hAnsiTheme="minorEastAsia" w:eastAsiaTheme="minorEastAsia"/>
          <w:b/>
          <w:sz w:val="24"/>
          <w:szCs w:val="24"/>
        </w:rPr>
        <w:t xml:space="preserve"> </w:t>
      </w:r>
      <w:r>
        <w:rPr>
          <w:sz w:val="24"/>
          <w:szCs w:val="24"/>
        </w:rPr>
        <w:t>为防止危害农业植物的危险性病、虫、杂草的传播蔓延，保障农业生产安全、生态安全和人民身体健康，根据《植物检疫条例》，结合本市实际情况，制定本办法。</w:t>
      </w:r>
    </w:p>
    <w:p>
      <w:pPr>
        <w:pStyle w:val="3"/>
        <w:topLinePunct/>
        <w:spacing w:line="412" w:lineRule="exact"/>
        <w:ind w:firstLine="482"/>
        <w:rPr>
          <w:sz w:val="24"/>
          <w:szCs w:val="24"/>
        </w:rPr>
      </w:pPr>
      <w:r>
        <w:rPr>
          <w:b/>
          <w:sz w:val="24"/>
          <w:szCs w:val="24"/>
        </w:rPr>
        <w:t xml:space="preserve">第二条 </w:t>
      </w:r>
      <w:r>
        <w:rPr>
          <w:rFonts w:hint="eastAsia" w:asciiTheme="minorEastAsia" w:hAnsiTheme="minorEastAsia" w:eastAsiaTheme="minorEastAsia"/>
          <w:b/>
          <w:sz w:val="24"/>
          <w:szCs w:val="24"/>
        </w:rPr>
        <w:t xml:space="preserve"> </w:t>
      </w:r>
      <w:r>
        <w:rPr>
          <w:sz w:val="24"/>
          <w:szCs w:val="24"/>
        </w:rPr>
        <w:t>本市行政区域内农业植物检疫及其监督管理活动适用《植物检疫条例》和本办法。</w:t>
      </w:r>
    </w:p>
    <w:p>
      <w:pPr>
        <w:pStyle w:val="3"/>
        <w:topLinePunct/>
        <w:spacing w:line="412" w:lineRule="exact"/>
        <w:ind w:firstLine="482"/>
        <w:rPr>
          <w:sz w:val="24"/>
          <w:szCs w:val="24"/>
        </w:rPr>
      </w:pPr>
      <w:r>
        <w:rPr>
          <w:b/>
          <w:sz w:val="24"/>
          <w:szCs w:val="24"/>
        </w:rPr>
        <w:t xml:space="preserve">第三条 </w:t>
      </w:r>
      <w:r>
        <w:rPr>
          <w:rFonts w:hint="eastAsia" w:asciiTheme="minorEastAsia" w:hAnsiTheme="minorEastAsia" w:eastAsiaTheme="minorEastAsia"/>
          <w:b/>
          <w:sz w:val="24"/>
          <w:szCs w:val="24"/>
        </w:rPr>
        <w:t xml:space="preserve"> </w:t>
      </w:r>
      <w:r>
        <w:rPr>
          <w:sz w:val="24"/>
          <w:szCs w:val="24"/>
        </w:rPr>
        <w:t>市和区、县人民政府应当加强对农业植物检疫工作的领导，建立健全农业植物检疫队伍，加强农业植物检疫基础设施建设，将农业植物疫情监测、调查、控制、扑灭及其监督管理所需经费纳入同级财政预算。</w:t>
      </w:r>
    </w:p>
    <w:p>
      <w:pPr>
        <w:pStyle w:val="3"/>
        <w:topLinePunct/>
        <w:spacing w:line="412" w:lineRule="exact"/>
        <w:ind w:firstLine="480"/>
        <w:rPr>
          <w:sz w:val="24"/>
          <w:szCs w:val="24"/>
        </w:rPr>
      </w:pPr>
      <w:r>
        <w:rPr>
          <w:sz w:val="24"/>
          <w:szCs w:val="24"/>
        </w:rPr>
        <w:t>乡镇人民政府、街道办事处应当协助做好本辖区内农业植物疫情的控制和扑灭工作。</w:t>
      </w:r>
    </w:p>
    <w:p>
      <w:pPr>
        <w:pStyle w:val="3"/>
        <w:topLinePunct/>
        <w:spacing w:line="412" w:lineRule="exact"/>
        <w:ind w:firstLine="482"/>
        <w:rPr>
          <w:sz w:val="24"/>
          <w:szCs w:val="24"/>
        </w:rPr>
      </w:pPr>
      <w:r>
        <w:rPr>
          <w:b/>
          <w:sz w:val="24"/>
          <w:szCs w:val="24"/>
        </w:rPr>
        <w:t xml:space="preserve">第四条 </w:t>
      </w:r>
      <w:r>
        <w:rPr>
          <w:rFonts w:hint="eastAsia" w:asciiTheme="minorEastAsia" w:hAnsiTheme="minorEastAsia" w:eastAsiaTheme="minorEastAsia"/>
          <w:b/>
          <w:sz w:val="24"/>
          <w:szCs w:val="24"/>
        </w:rPr>
        <w:t xml:space="preserve"> </w:t>
      </w:r>
      <w:r>
        <w:rPr>
          <w:sz w:val="24"/>
          <w:szCs w:val="24"/>
        </w:rPr>
        <w:t>市和区、县农业行政部门主管本行政区域内农业植物检疫工作；市和区、县农业行政部门所属的农业植物检疫机构具体承担农业植物检疫工作。</w:t>
      </w:r>
    </w:p>
    <w:p>
      <w:pPr>
        <w:pStyle w:val="3"/>
        <w:topLinePunct/>
        <w:spacing w:line="412" w:lineRule="exact"/>
        <w:ind w:firstLine="480"/>
        <w:rPr>
          <w:sz w:val="24"/>
          <w:szCs w:val="24"/>
        </w:rPr>
      </w:pPr>
      <w:r>
        <w:rPr>
          <w:sz w:val="24"/>
          <w:szCs w:val="24"/>
        </w:rPr>
        <w:t>园林绿化、工商行政管理、交通运输、邮政等有关部门和出入境检验检疫机构在各自职责范围内做好农业植物检疫的相关工作。</w:t>
      </w:r>
    </w:p>
    <w:p>
      <w:pPr>
        <w:pStyle w:val="3"/>
        <w:topLinePunct/>
        <w:spacing w:line="412" w:lineRule="exact"/>
        <w:ind w:firstLine="480"/>
        <w:rPr>
          <w:sz w:val="24"/>
          <w:szCs w:val="24"/>
        </w:rPr>
      </w:pPr>
      <w:r>
        <w:rPr>
          <w:sz w:val="24"/>
          <w:szCs w:val="24"/>
        </w:rPr>
        <w:t>农业行政部门应当与园林绿化行政部门和出入境检验检疫机构建立健全工作沟通会商机制，定期交流工作情况，通报植物疫情信息，加强植物检疫工作方面的协作与配合。</w:t>
      </w:r>
    </w:p>
    <w:p>
      <w:pPr>
        <w:pStyle w:val="3"/>
        <w:topLinePunct/>
        <w:spacing w:line="412" w:lineRule="exact"/>
        <w:ind w:firstLine="482"/>
        <w:rPr>
          <w:sz w:val="24"/>
          <w:szCs w:val="24"/>
        </w:rPr>
      </w:pPr>
      <w:r>
        <w:rPr>
          <w:b/>
          <w:sz w:val="24"/>
          <w:szCs w:val="24"/>
        </w:rPr>
        <w:t xml:space="preserve">第五条 </w:t>
      </w:r>
      <w:r>
        <w:rPr>
          <w:rFonts w:hint="eastAsia" w:asciiTheme="minorEastAsia" w:hAnsiTheme="minorEastAsia" w:eastAsiaTheme="minorEastAsia"/>
          <w:b/>
          <w:sz w:val="24"/>
          <w:szCs w:val="24"/>
        </w:rPr>
        <w:t xml:space="preserve"> </w:t>
      </w:r>
      <w:r>
        <w:rPr>
          <w:sz w:val="24"/>
          <w:szCs w:val="24"/>
        </w:rPr>
        <w:t>市和区、县农业行政部门及其农业植物检疫机构应当加强农业植物检疫知识的宣传和普及，提高全社会农业植物疫情风险防范意识和能力。</w:t>
      </w:r>
    </w:p>
    <w:p>
      <w:pPr>
        <w:pStyle w:val="3"/>
        <w:topLinePunct/>
        <w:spacing w:line="412" w:lineRule="exact"/>
        <w:ind w:firstLine="482"/>
        <w:rPr>
          <w:sz w:val="24"/>
          <w:szCs w:val="24"/>
        </w:rPr>
      </w:pPr>
      <w:r>
        <w:rPr>
          <w:b/>
          <w:sz w:val="24"/>
          <w:szCs w:val="24"/>
        </w:rPr>
        <w:t xml:space="preserve">第六条 </w:t>
      </w:r>
      <w:r>
        <w:rPr>
          <w:rFonts w:hint="eastAsia" w:asciiTheme="minorEastAsia" w:hAnsiTheme="minorEastAsia" w:eastAsiaTheme="minorEastAsia"/>
          <w:b/>
          <w:sz w:val="24"/>
          <w:szCs w:val="24"/>
        </w:rPr>
        <w:t xml:space="preserve"> </w:t>
      </w:r>
      <w:r>
        <w:rPr>
          <w:sz w:val="24"/>
          <w:szCs w:val="24"/>
        </w:rPr>
        <w:t>农业植物检疫机构应当配备一定数量的专职农业植物检疫员，设立检疫检验实验室和必要的隔离种植场所，配备相应的农业植物检疫工作设备和除害处理设施，组织开展先进适用的农业植物检疫技术的研究和推广。</w:t>
      </w:r>
    </w:p>
    <w:p>
      <w:pPr>
        <w:pStyle w:val="3"/>
        <w:topLinePunct/>
        <w:spacing w:line="412" w:lineRule="exact"/>
        <w:ind w:firstLine="480"/>
        <w:rPr>
          <w:sz w:val="24"/>
          <w:szCs w:val="24"/>
        </w:rPr>
      </w:pPr>
      <w:r>
        <w:rPr>
          <w:sz w:val="24"/>
          <w:szCs w:val="24"/>
        </w:rPr>
        <w:t>根据工作需要，农业植物检疫机构可以按照规定聘请兼职检疫员协助开展农业植物检疫工作。</w:t>
      </w:r>
    </w:p>
    <w:p>
      <w:pPr>
        <w:pStyle w:val="3"/>
        <w:topLinePunct/>
        <w:spacing w:line="412" w:lineRule="exact"/>
        <w:ind w:firstLine="482"/>
        <w:rPr>
          <w:sz w:val="24"/>
          <w:szCs w:val="24"/>
        </w:rPr>
      </w:pPr>
      <w:r>
        <w:rPr>
          <w:b/>
          <w:sz w:val="24"/>
          <w:szCs w:val="24"/>
        </w:rPr>
        <w:t xml:space="preserve">第七条 </w:t>
      </w:r>
      <w:r>
        <w:rPr>
          <w:rFonts w:hint="eastAsia" w:asciiTheme="minorEastAsia" w:hAnsiTheme="minorEastAsia" w:eastAsiaTheme="minorEastAsia"/>
          <w:b/>
          <w:sz w:val="24"/>
          <w:szCs w:val="24"/>
        </w:rPr>
        <w:t xml:space="preserve"> </w:t>
      </w:r>
      <w:r>
        <w:rPr>
          <w:sz w:val="24"/>
          <w:szCs w:val="24"/>
        </w:rPr>
        <w:t>农业植物检疫机构应当按照国务院农业行政部门公布的农业植物检疫性有害生物名单和应施检疫的植物及植物产品名单以及本市公布的补充名单实施检疫。</w:t>
      </w:r>
    </w:p>
    <w:p>
      <w:pPr>
        <w:pStyle w:val="3"/>
        <w:topLinePunct/>
        <w:spacing w:line="412" w:lineRule="exact"/>
        <w:ind w:firstLine="480"/>
        <w:rPr>
          <w:sz w:val="24"/>
          <w:szCs w:val="24"/>
        </w:rPr>
      </w:pPr>
      <w:r>
        <w:rPr>
          <w:sz w:val="24"/>
          <w:szCs w:val="24"/>
        </w:rPr>
        <w:t>本市补充名单由市农业行政部门制定，报国务院农业行政部门备案。</w:t>
      </w:r>
    </w:p>
    <w:p>
      <w:pPr>
        <w:pStyle w:val="3"/>
        <w:topLinePunct/>
        <w:spacing w:line="412" w:lineRule="exact"/>
        <w:ind w:firstLine="482"/>
        <w:rPr>
          <w:sz w:val="24"/>
          <w:szCs w:val="24"/>
        </w:rPr>
      </w:pPr>
      <w:r>
        <w:rPr>
          <w:b/>
          <w:sz w:val="24"/>
          <w:szCs w:val="24"/>
        </w:rPr>
        <w:t xml:space="preserve">第八条 </w:t>
      </w:r>
      <w:r>
        <w:rPr>
          <w:rFonts w:hint="eastAsia" w:asciiTheme="minorEastAsia" w:hAnsiTheme="minorEastAsia" w:eastAsiaTheme="minorEastAsia"/>
          <w:b/>
          <w:sz w:val="24"/>
          <w:szCs w:val="24"/>
        </w:rPr>
        <w:t xml:space="preserve"> </w:t>
      </w:r>
      <w:r>
        <w:rPr>
          <w:sz w:val="24"/>
          <w:szCs w:val="24"/>
        </w:rPr>
        <w:t>对于在本市繁育的，用于试验、示范或者推广的农作物种子、苗木和其他繁殖材料，繁育单位或者个人应当到繁育基地所在区、县农业植物检疫机构申请产地检疫；检疫合格的，核发产地检疫证明。</w:t>
      </w:r>
    </w:p>
    <w:p>
      <w:pPr>
        <w:pStyle w:val="3"/>
        <w:topLinePunct/>
        <w:spacing w:line="412" w:lineRule="exact"/>
        <w:ind w:firstLine="480"/>
        <w:rPr>
          <w:sz w:val="24"/>
          <w:szCs w:val="24"/>
        </w:rPr>
      </w:pPr>
      <w:r>
        <w:rPr>
          <w:sz w:val="24"/>
          <w:szCs w:val="24"/>
        </w:rPr>
        <w:t>凭产地检疫证明，农作物种子、苗木和其他繁殖材料可以在本市行政区域内调运。</w:t>
      </w:r>
    </w:p>
    <w:p>
      <w:pPr>
        <w:pStyle w:val="3"/>
        <w:topLinePunct/>
        <w:spacing w:line="412" w:lineRule="exact"/>
        <w:ind w:firstLine="482"/>
        <w:rPr>
          <w:sz w:val="24"/>
          <w:szCs w:val="24"/>
        </w:rPr>
      </w:pPr>
      <w:r>
        <w:rPr>
          <w:b/>
          <w:sz w:val="24"/>
          <w:szCs w:val="24"/>
        </w:rPr>
        <w:t xml:space="preserve">第九条 </w:t>
      </w:r>
      <w:r>
        <w:rPr>
          <w:rFonts w:hint="eastAsia" w:asciiTheme="minorEastAsia" w:hAnsiTheme="minorEastAsia" w:eastAsiaTheme="minorEastAsia"/>
          <w:b/>
          <w:sz w:val="24"/>
          <w:szCs w:val="24"/>
        </w:rPr>
        <w:t xml:space="preserve"> </w:t>
      </w:r>
      <w:r>
        <w:rPr>
          <w:sz w:val="24"/>
          <w:szCs w:val="24"/>
        </w:rPr>
        <w:t>有下列情形之一的，调入单位或者个人调入的农业植物、植物产品应当经过检疫，并附具调运检疫证明：</w:t>
      </w:r>
    </w:p>
    <w:p>
      <w:pPr>
        <w:pStyle w:val="3"/>
        <w:topLinePunct/>
        <w:spacing w:line="412" w:lineRule="exact"/>
        <w:ind w:firstLine="480"/>
        <w:rPr>
          <w:sz w:val="24"/>
          <w:szCs w:val="24"/>
        </w:rPr>
      </w:pPr>
      <w:r>
        <w:rPr>
          <w:sz w:val="24"/>
          <w:szCs w:val="24"/>
        </w:rPr>
        <w:t>（一）本办法第七条规定的应施检疫的农业植物、植物产品从疫情发生地调入本市的；</w:t>
      </w:r>
    </w:p>
    <w:p>
      <w:pPr>
        <w:pStyle w:val="3"/>
        <w:topLinePunct/>
        <w:spacing w:line="412" w:lineRule="exact"/>
        <w:ind w:firstLine="480"/>
        <w:rPr>
          <w:sz w:val="24"/>
          <w:szCs w:val="24"/>
        </w:rPr>
      </w:pPr>
      <w:r>
        <w:rPr>
          <w:sz w:val="24"/>
          <w:szCs w:val="24"/>
        </w:rPr>
        <w:t>（二）农作物种子、苗木和其他繁殖材料调入本市的。</w:t>
      </w:r>
    </w:p>
    <w:p>
      <w:pPr>
        <w:pStyle w:val="3"/>
        <w:topLinePunct/>
        <w:spacing w:line="412" w:lineRule="exact"/>
        <w:ind w:firstLine="480"/>
        <w:rPr>
          <w:sz w:val="24"/>
          <w:szCs w:val="24"/>
        </w:rPr>
      </w:pPr>
      <w:r>
        <w:rPr>
          <w:sz w:val="24"/>
          <w:szCs w:val="24"/>
        </w:rPr>
        <w:t>凭调运检疫证明，农业植物、植物产品可以在本市行政区域内调运。</w:t>
      </w:r>
    </w:p>
    <w:p>
      <w:pPr>
        <w:pStyle w:val="3"/>
        <w:topLinePunct/>
        <w:spacing w:line="412" w:lineRule="exact"/>
        <w:ind w:firstLine="482"/>
        <w:rPr>
          <w:sz w:val="24"/>
          <w:szCs w:val="24"/>
        </w:rPr>
      </w:pPr>
      <w:r>
        <w:rPr>
          <w:b/>
          <w:sz w:val="24"/>
          <w:szCs w:val="24"/>
        </w:rPr>
        <w:t>第十条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对调入的农业植物、植物产品，农业植物检疫机构应当查验其调运检疫证明；对来自疫情发生地的应施检疫的农业植物、植物产品，或者其他可能带有检疫性有害生物的应施检疫的农业植物、植物产品，可以进行复检。</w:t>
      </w:r>
    </w:p>
    <w:p>
      <w:pPr>
        <w:pStyle w:val="3"/>
        <w:topLinePunct/>
        <w:spacing w:line="412" w:lineRule="exact"/>
        <w:ind w:firstLine="480"/>
        <w:rPr>
          <w:sz w:val="24"/>
          <w:szCs w:val="24"/>
        </w:rPr>
      </w:pPr>
      <w:r>
        <w:rPr>
          <w:sz w:val="24"/>
          <w:szCs w:val="24"/>
        </w:rPr>
        <w:t>调入的农业植物、植物产品经复检不合格的，农业植物检疫机构应当监督调入单位或者个人在指定地点对其进行除害处理，并通知核发该调运检疫证明的农业植物检疫机构。</w:t>
      </w:r>
    </w:p>
    <w:p>
      <w:pPr>
        <w:pStyle w:val="3"/>
        <w:topLinePunct/>
        <w:spacing w:line="412" w:lineRule="exact"/>
        <w:ind w:firstLine="482"/>
        <w:rPr>
          <w:sz w:val="24"/>
          <w:szCs w:val="24"/>
        </w:rPr>
      </w:pPr>
      <w:r>
        <w:rPr>
          <w:b/>
          <w:sz w:val="24"/>
          <w:szCs w:val="24"/>
        </w:rPr>
        <w:t>第十一条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有下列情形之一的，调出单位或者个人应当在调出前向农业植物、植物产品存放地所在区、县农业植物检疫机构申请调运检疫；存放地所在区、县未设立农业植物检疫机构的，向市农业植物检疫机构申请调运检疫：</w:t>
      </w:r>
    </w:p>
    <w:p>
      <w:pPr>
        <w:pStyle w:val="3"/>
        <w:topLinePunct/>
        <w:spacing w:line="412" w:lineRule="exact"/>
        <w:ind w:firstLine="480"/>
        <w:rPr>
          <w:sz w:val="24"/>
          <w:szCs w:val="24"/>
        </w:rPr>
      </w:pPr>
      <w:r>
        <w:rPr>
          <w:sz w:val="24"/>
          <w:szCs w:val="24"/>
        </w:rPr>
        <w:t>（一）国家规定的应施检疫的农业植物、植物产品从疫情发生地调出本市的；</w:t>
      </w:r>
    </w:p>
    <w:p>
      <w:pPr>
        <w:pStyle w:val="3"/>
        <w:topLinePunct/>
        <w:spacing w:line="412" w:lineRule="exact"/>
        <w:ind w:firstLine="480"/>
        <w:rPr>
          <w:sz w:val="24"/>
          <w:szCs w:val="24"/>
        </w:rPr>
      </w:pPr>
      <w:r>
        <w:rPr>
          <w:sz w:val="24"/>
          <w:szCs w:val="24"/>
        </w:rPr>
        <w:t>（二）调入地规定的应施检疫的农业植物、植物产品调出本市的；</w:t>
      </w:r>
    </w:p>
    <w:p>
      <w:pPr>
        <w:pStyle w:val="3"/>
        <w:topLinePunct/>
        <w:spacing w:line="412" w:lineRule="exact"/>
        <w:ind w:firstLine="480"/>
        <w:rPr>
          <w:sz w:val="24"/>
          <w:szCs w:val="24"/>
        </w:rPr>
      </w:pPr>
      <w:r>
        <w:rPr>
          <w:sz w:val="24"/>
          <w:szCs w:val="24"/>
        </w:rPr>
        <w:t>（三）农作物种子、苗木和其他繁殖材料调出本市的。</w:t>
      </w:r>
    </w:p>
    <w:p>
      <w:pPr>
        <w:pStyle w:val="3"/>
        <w:topLinePunct/>
        <w:spacing w:line="412" w:lineRule="exact"/>
        <w:ind w:firstLine="480"/>
        <w:rPr>
          <w:sz w:val="24"/>
          <w:szCs w:val="24"/>
        </w:rPr>
      </w:pPr>
      <w:r>
        <w:rPr>
          <w:sz w:val="24"/>
          <w:szCs w:val="24"/>
        </w:rPr>
        <w:t>农业植物、植物产品经检疫合格的，核发调运检疫证明；检疫不合格，但能进行除害处理的，调出单位或者个人应当按照农业植物检疫机构的要求，在指定地点对其进行除害处理，除害处理后合格的，核发调运检疫证明；无法进行除害处理的，应当停止调运。</w:t>
      </w:r>
    </w:p>
    <w:p>
      <w:pPr>
        <w:pStyle w:val="3"/>
        <w:topLinePunct/>
        <w:spacing w:line="412" w:lineRule="exact"/>
        <w:ind w:firstLine="480"/>
        <w:rPr>
          <w:sz w:val="24"/>
          <w:szCs w:val="24"/>
        </w:rPr>
      </w:pPr>
      <w:r>
        <w:rPr>
          <w:sz w:val="24"/>
          <w:szCs w:val="24"/>
        </w:rPr>
        <w:t>承运单位承运本条第一款规定的农业植物、植物产品，应当查验调运检疫证明。</w:t>
      </w:r>
    </w:p>
    <w:p>
      <w:pPr>
        <w:pStyle w:val="3"/>
        <w:topLinePunct/>
        <w:spacing w:line="412" w:lineRule="exact"/>
        <w:ind w:firstLine="482"/>
        <w:rPr>
          <w:sz w:val="24"/>
          <w:szCs w:val="24"/>
        </w:rPr>
      </w:pPr>
      <w:r>
        <w:rPr>
          <w:b/>
          <w:sz w:val="24"/>
          <w:szCs w:val="24"/>
        </w:rPr>
        <w:t xml:space="preserve">第十二条 </w:t>
      </w:r>
      <w:r>
        <w:rPr>
          <w:rFonts w:hint="eastAsia" w:asciiTheme="minorEastAsia" w:hAnsiTheme="minorEastAsia" w:eastAsiaTheme="minorEastAsia"/>
          <w:b/>
          <w:sz w:val="24"/>
          <w:szCs w:val="24"/>
        </w:rPr>
        <w:t xml:space="preserve"> </w:t>
      </w:r>
      <w:r>
        <w:rPr>
          <w:sz w:val="24"/>
          <w:szCs w:val="24"/>
        </w:rPr>
        <w:t>农业植物检疫机构应当按照检疫规程实施检疫；有关农业植物检疫的程序、办理时限等内容应当公示，接受社会监督。</w:t>
      </w:r>
    </w:p>
    <w:p>
      <w:pPr>
        <w:pStyle w:val="3"/>
        <w:topLinePunct/>
        <w:spacing w:line="412" w:lineRule="exact"/>
        <w:ind w:firstLine="482"/>
        <w:rPr>
          <w:sz w:val="24"/>
          <w:szCs w:val="24"/>
        </w:rPr>
      </w:pPr>
      <w:r>
        <w:rPr>
          <w:b/>
          <w:sz w:val="24"/>
          <w:szCs w:val="24"/>
        </w:rPr>
        <w:t xml:space="preserve">第十三条 </w:t>
      </w:r>
      <w:r>
        <w:rPr>
          <w:rFonts w:hint="eastAsia" w:asciiTheme="minorEastAsia" w:hAnsiTheme="minorEastAsia" w:eastAsiaTheme="minorEastAsia"/>
          <w:b/>
          <w:sz w:val="24"/>
          <w:szCs w:val="24"/>
        </w:rPr>
        <w:t xml:space="preserve"> </w:t>
      </w:r>
      <w:r>
        <w:rPr>
          <w:sz w:val="24"/>
          <w:szCs w:val="24"/>
        </w:rPr>
        <w:t>产地检疫和调运检疫证明的原件或者复印件应当至少保存2年。</w:t>
      </w:r>
    </w:p>
    <w:p>
      <w:pPr>
        <w:pStyle w:val="3"/>
        <w:topLinePunct/>
        <w:spacing w:line="412" w:lineRule="exact"/>
        <w:ind w:firstLine="482"/>
        <w:rPr>
          <w:sz w:val="24"/>
          <w:szCs w:val="24"/>
        </w:rPr>
      </w:pPr>
      <w:r>
        <w:rPr>
          <w:b/>
          <w:sz w:val="24"/>
          <w:szCs w:val="24"/>
        </w:rPr>
        <w:t xml:space="preserve">第十四条 </w:t>
      </w:r>
      <w:r>
        <w:rPr>
          <w:rFonts w:hint="eastAsia" w:asciiTheme="minorEastAsia" w:hAnsiTheme="minorEastAsia" w:eastAsiaTheme="minorEastAsia"/>
          <w:b/>
          <w:sz w:val="24"/>
          <w:szCs w:val="24"/>
        </w:rPr>
        <w:t xml:space="preserve"> </w:t>
      </w:r>
      <w:r>
        <w:rPr>
          <w:sz w:val="24"/>
          <w:szCs w:val="24"/>
        </w:rPr>
        <w:t>销售农作物种子、苗木和其他繁殖材料的单位或者个人，应当依法建立经营档案。经营档案至少应当包括下列内容：</w:t>
      </w:r>
    </w:p>
    <w:p>
      <w:pPr>
        <w:pStyle w:val="3"/>
        <w:topLinePunct/>
        <w:spacing w:line="412" w:lineRule="exact"/>
        <w:ind w:firstLine="480"/>
        <w:rPr>
          <w:sz w:val="24"/>
          <w:szCs w:val="24"/>
        </w:rPr>
      </w:pPr>
      <w:r>
        <w:rPr>
          <w:sz w:val="24"/>
          <w:szCs w:val="24"/>
        </w:rPr>
        <w:t>（一）产地检疫或者调运检疫证明的原件或者复印件；</w:t>
      </w:r>
    </w:p>
    <w:p>
      <w:pPr>
        <w:pStyle w:val="3"/>
        <w:topLinePunct/>
        <w:spacing w:line="412" w:lineRule="exact"/>
        <w:ind w:firstLine="480"/>
        <w:rPr>
          <w:sz w:val="24"/>
          <w:szCs w:val="24"/>
        </w:rPr>
      </w:pPr>
      <w:r>
        <w:rPr>
          <w:sz w:val="24"/>
          <w:szCs w:val="24"/>
        </w:rPr>
        <w:t>（二）农作物种子、苗木和其他繁殖材料的来源、销售去向、销售数量。</w:t>
      </w:r>
    </w:p>
    <w:p>
      <w:pPr>
        <w:pStyle w:val="3"/>
        <w:topLinePunct/>
        <w:spacing w:line="412" w:lineRule="exact"/>
        <w:ind w:firstLine="482"/>
        <w:rPr>
          <w:sz w:val="24"/>
          <w:szCs w:val="24"/>
        </w:rPr>
      </w:pPr>
      <w:r>
        <w:rPr>
          <w:b/>
          <w:sz w:val="24"/>
          <w:szCs w:val="24"/>
        </w:rPr>
        <w:t xml:space="preserve">第十五条 </w:t>
      </w:r>
      <w:r>
        <w:rPr>
          <w:rFonts w:hint="eastAsia" w:asciiTheme="minorEastAsia" w:hAnsiTheme="minorEastAsia" w:eastAsiaTheme="minorEastAsia"/>
          <w:b/>
          <w:sz w:val="24"/>
          <w:szCs w:val="24"/>
        </w:rPr>
        <w:t xml:space="preserve"> </w:t>
      </w:r>
      <w:r>
        <w:rPr>
          <w:sz w:val="24"/>
          <w:szCs w:val="24"/>
        </w:rPr>
        <w:t>农业植物检疫机构可以在农作物种子、苗木和其他繁殖材料交易市场或者会展现场派驻检疫人员，加强现场检查，办理检疫手续。</w:t>
      </w:r>
    </w:p>
    <w:p>
      <w:pPr>
        <w:pStyle w:val="3"/>
        <w:topLinePunct/>
        <w:spacing w:line="412" w:lineRule="exact"/>
        <w:ind w:firstLine="482"/>
        <w:rPr>
          <w:sz w:val="24"/>
          <w:szCs w:val="24"/>
        </w:rPr>
      </w:pPr>
      <w:r>
        <w:rPr>
          <w:b/>
          <w:sz w:val="24"/>
          <w:szCs w:val="24"/>
        </w:rPr>
        <w:t>第十六条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农业植物检疫机构应当建立健全监测网络，设置疫情监测点；根据农业植物检疫性有害生物发生规律，开展对农业植物检疫性有害生物的日常监测和定期调查。</w:t>
      </w:r>
    </w:p>
    <w:p>
      <w:pPr>
        <w:pStyle w:val="3"/>
        <w:topLinePunct/>
        <w:spacing w:line="412" w:lineRule="exact"/>
        <w:ind w:firstLine="480"/>
        <w:rPr>
          <w:sz w:val="24"/>
          <w:szCs w:val="24"/>
        </w:rPr>
      </w:pPr>
      <w:r>
        <w:rPr>
          <w:sz w:val="24"/>
          <w:szCs w:val="24"/>
        </w:rPr>
        <w:t>农业植物检疫性有害生物日常监测和定期调查方案由市农业植物检疫机构统一制定，报市农业行政部门备案。</w:t>
      </w:r>
    </w:p>
    <w:p>
      <w:pPr>
        <w:pStyle w:val="3"/>
        <w:topLinePunct/>
        <w:spacing w:line="412" w:lineRule="exact"/>
        <w:ind w:firstLine="482"/>
        <w:rPr>
          <w:sz w:val="24"/>
          <w:szCs w:val="24"/>
        </w:rPr>
      </w:pPr>
      <w:r>
        <w:rPr>
          <w:b/>
          <w:sz w:val="24"/>
          <w:szCs w:val="24"/>
        </w:rPr>
        <w:t xml:space="preserve">第十七条 </w:t>
      </w:r>
      <w:r>
        <w:rPr>
          <w:rFonts w:hint="eastAsia" w:asciiTheme="minorEastAsia" w:hAnsiTheme="minorEastAsia" w:eastAsiaTheme="minorEastAsia"/>
          <w:b/>
          <w:sz w:val="24"/>
          <w:szCs w:val="24"/>
        </w:rPr>
        <w:t xml:space="preserve"> </w:t>
      </w:r>
      <w:r>
        <w:rPr>
          <w:sz w:val="24"/>
          <w:szCs w:val="24"/>
        </w:rPr>
        <w:t>区、县农业植物检疫机构发现农业植物疫情的，应当立即向本级农业行政部门和市农业植物检疫机构报告，区、县农业行政部门接到报告后，应当及时采取必要的控制和扑灭措施；市农业植物检疫机构接到报告后，应当及时向市农业行政部门报告。</w:t>
      </w:r>
    </w:p>
    <w:p>
      <w:pPr>
        <w:pStyle w:val="3"/>
        <w:topLinePunct/>
        <w:spacing w:line="412" w:lineRule="exact"/>
        <w:ind w:firstLine="480"/>
        <w:rPr>
          <w:sz w:val="24"/>
          <w:szCs w:val="24"/>
        </w:rPr>
      </w:pPr>
      <w:r>
        <w:rPr>
          <w:sz w:val="24"/>
          <w:szCs w:val="24"/>
        </w:rPr>
        <w:t>市农业植物检疫机构发现农业植物疫情的，应当立即向市农业行政部门报告；市农业行政部门应当立即通知相关区、县农业行政部门，区、县农业行政部门应当及时采取必要的控制和扑灭措施。</w:t>
      </w:r>
    </w:p>
    <w:p>
      <w:pPr>
        <w:pStyle w:val="3"/>
        <w:topLinePunct/>
        <w:spacing w:line="412" w:lineRule="exact"/>
        <w:ind w:firstLine="480"/>
        <w:rPr>
          <w:sz w:val="24"/>
          <w:szCs w:val="24"/>
        </w:rPr>
      </w:pPr>
      <w:r>
        <w:rPr>
          <w:sz w:val="24"/>
          <w:szCs w:val="24"/>
        </w:rPr>
        <w:t>农业行政部门、农业植物检疫机构及其工作人员对农业植物疫情不得瞒报、谎报、迟报，不得授意他人瞒报、谎报、迟报，不得阻碍他人报告。</w:t>
      </w:r>
    </w:p>
    <w:p>
      <w:pPr>
        <w:pStyle w:val="3"/>
        <w:topLinePunct/>
        <w:spacing w:line="412" w:lineRule="exact"/>
        <w:ind w:firstLine="480"/>
        <w:rPr>
          <w:sz w:val="24"/>
          <w:szCs w:val="24"/>
        </w:rPr>
      </w:pPr>
      <w:r>
        <w:rPr>
          <w:sz w:val="24"/>
          <w:szCs w:val="24"/>
        </w:rPr>
        <w:t>其他单位和个人发现农业植物染疫或者疑似染疫的，应当及时向农业植物检疫机构报告。</w:t>
      </w:r>
    </w:p>
    <w:p>
      <w:pPr>
        <w:pStyle w:val="3"/>
        <w:topLinePunct/>
        <w:spacing w:line="412" w:lineRule="exact"/>
        <w:ind w:firstLine="482"/>
        <w:rPr>
          <w:sz w:val="24"/>
          <w:szCs w:val="24"/>
        </w:rPr>
      </w:pPr>
      <w:r>
        <w:rPr>
          <w:b/>
          <w:sz w:val="24"/>
          <w:szCs w:val="24"/>
        </w:rPr>
        <w:t xml:space="preserve">第十八条 </w:t>
      </w:r>
      <w:r>
        <w:rPr>
          <w:rFonts w:hint="eastAsia" w:asciiTheme="minorEastAsia" w:hAnsiTheme="minorEastAsia" w:eastAsiaTheme="minorEastAsia"/>
          <w:b/>
          <w:sz w:val="24"/>
          <w:szCs w:val="24"/>
        </w:rPr>
        <w:t xml:space="preserve"> </w:t>
      </w:r>
      <w:r>
        <w:rPr>
          <w:sz w:val="24"/>
          <w:szCs w:val="24"/>
        </w:rPr>
        <w:t>农业行政部门对染疫的农业植物、植物产品以及相关物品，可以采取高温消毒、药剂处理、填埋、焚烧等措施；对被污染的场地，可以进行高温消毒或者药剂处理。</w:t>
      </w:r>
    </w:p>
    <w:p>
      <w:pPr>
        <w:pStyle w:val="3"/>
        <w:topLinePunct/>
        <w:spacing w:line="412" w:lineRule="exact"/>
        <w:ind w:firstLine="480"/>
        <w:rPr>
          <w:sz w:val="24"/>
          <w:szCs w:val="24"/>
        </w:rPr>
      </w:pPr>
      <w:r>
        <w:rPr>
          <w:sz w:val="24"/>
          <w:szCs w:val="24"/>
        </w:rPr>
        <w:t>农业行政部门实施前款规定的措施，应当尽可能减少对土壤、大气、水体、植被等造成污染和破坏。</w:t>
      </w:r>
    </w:p>
    <w:p>
      <w:pPr>
        <w:pStyle w:val="3"/>
        <w:topLinePunct/>
        <w:spacing w:line="412" w:lineRule="exact"/>
        <w:ind w:firstLine="480"/>
        <w:rPr>
          <w:sz w:val="24"/>
          <w:szCs w:val="24"/>
        </w:rPr>
      </w:pPr>
      <w:r>
        <w:rPr>
          <w:sz w:val="24"/>
          <w:szCs w:val="24"/>
        </w:rPr>
        <w:t>农业行政部门实施本条第一款规定措施，发生疫情的单位或者个人应当服从和配合。</w:t>
      </w:r>
    </w:p>
    <w:p>
      <w:pPr>
        <w:pStyle w:val="3"/>
        <w:topLinePunct/>
        <w:spacing w:line="412" w:lineRule="exact"/>
        <w:ind w:firstLine="482"/>
        <w:rPr>
          <w:sz w:val="24"/>
          <w:szCs w:val="24"/>
        </w:rPr>
      </w:pPr>
      <w:r>
        <w:rPr>
          <w:b/>
          <w:sz w:val="24"/>
          <w:szCs w:val="24"/>
        </w:rPr>
        <w:t>第十九条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市农业行政部门应当对区、县农业植物疫情控制和扑灭工作进行协调、指导和监督；市农业植物检疫机构应当对疫情控制和扑灭工作提供技术指导和服务。</w:t>
      </w:r>
    </w:p>
    <w:p>
      <w:pPr>
        <w:pStyle w:val="3"/>
        <w:topLinePunct/>
        <w:spacing w:line="412" w:lineRule="exact"/>
        <w:ind w:firstLine="482"/>
        <w:rPr>
          <w:sz w:val="24"/>
          <w:szCs w:val="24"/>
        </w:rPr>
      </w:pPr>
      <w:r>
        <w:rPr>
          <w:b/>
          <w:sz w:val="24"/>
          <w:szCs w:val="24"/>
        </w:rPr>
        <w:t xml:space="preserve">第二十条 </w:t>
      </w:r>
      <w:r>
        <w:rPr>
          <w:rFonts w:hint="eastAsia" w:asciiTheme="minorEastAsia" w:hAnsiTheme="minorEastAsia" w:eastAsiaTheme="minorEastAsia"/>
          <w:b/>
          <w:sz w:val="24"/>
          <w:szCs w:val="24"/>
        </w:rPr>
        <w:t xml:space="preserve"> </w:t>
      </w:r>
      <w:r>
        <w:rPr>
          <w:sz w:val="24"/>
          <w:szCs w:val="24"/>
        </w:rPr>
        <w:t>发生重大农业植物疫情的，按照本市重大农业植物疫情应急预案的规定进行处置。</w:t>
      </w:r>
    </w:p>
    <w:p>
      <w:pPr>
        <w:pStyle w:val="3"/>
        <w:topLinePunct/>
        <w:spacing w:line="412" w:lineRule="exact"/>
        <w:ind w:firstLine="482"/>
        <w:rPr>
          <w:sz w:val="24"/>
          <w:szCs w:val="24"/>
        </w:rPr>
      </w:pPr>
      <w:r>
        <w:rPr>
          <w:b/>
          <w:sz w:val="24"/>
          <w:szCs w:val="24"/>
        </w:rPr>
        <w:t xml:space="preserve">第二十一条 </w:t>
      </w:r>
      <w:r>
        <w:rPr>
          <w:rFonts w:hint="eastAsia" w:asciiTheme="minorEastAsia" w:hAnsiTheme="minorEastAsia" w:eastAsiaTheme="minorEastAsia"/>
          <w:b/>
          <w:sz w:val="24"/>
          <w:szCs w:val="24"/>
        </w:rPr>
        <w:t xml:space="preserve"> </w:t>
      </w:r>
      <w:r>
        <w:rPr>
          <w:sz w:val="24"/>
          <w:szCs w:val="24"/>
        </w:rPr>
        <w:t>因控制和扑灭农业植物疫情给相关单位或者个人合法权益造成损失的，依法给予补偿。具体补偿办法和标准由市农业行政部门会同财政部门制定。</w:t>
      </w:r>
    </w:p>
    <w:p>
      <w:pPr>
        <w:pStyle w:val="3"/>
        <w:topLinePunct/>
        <w:spacing w:line="412" w:lineRule="exact"/>
        <w:ind w:firstLine="482"/>
        <w:rPr>
          <w:sz w:val="24"/>
          <w:szCs w:val="24"/>
        </w:rPr>
      </w:pPr>
      <w:r>
        <w:rPr>
          <w:b/>
          <w:sz w:val="24"/>
          <w:szCs w:val="24"/>
        </w:rPr>
        <w:t xml:space="preserve">第二十二条 </w:t>
      </w:r>
      <w:r>
        <w:rPr>
          <w:rFonts w:hint="eastAsia" w:asciiTheme="minorEastAsia" w:hAnsiTheme="minorEastAsia" w:eastAsiaTheme="minorEastAsia"/>
          <w:b/>
          <w:sz w:val="24"/>
          <w:szCs w:val="24"/>
        </w:rPr>
        <w:t xml:space="preserve"> </w:t>
      </w:r>
      <w:r>
        <w:rPr>
          <w:sz w:val="24"/>
          <w:szCs w:val="24"/>
        </w:rPr>
        <w:t>农业植物疫情处置后，疫情发生地所在区、县农业植物检疫机构应当加强监测；疫情发生地3年内未再次发现同种疫情的，由区、县农业行政部门提请市农业行政部门确认该疫情完全扑灭。</w:t>
      </w:r>
    </w:p>
    <w:p>
      <w:pPr>
        <w:pStyle w:val="3"/>
        <w:topLinePunct/>
        <w:spacing w:line="412" w:lineRule="exact"/>
        <w:ind w:firstLine="480"/>
        <w:rPr>
          <w:sz w:val="24"/>
          <w:szCs w:val="24"/>
        </w:rPr>
      </w:pPr>
      <w:r>
        <w:rPr>
          <w:sz w:val="24"/>
          <w:szCs w:val="24"/>
        </w:rPr>
        <w:t>在疫情被确认完全扑灭前，疫情发生地不得种植引发该疫情的有害生物的寄主植物；违反规定种植的，由区、县农业植物检疫机构责令改正。</w:t>
      </w:r>
    </w:p>
    <w:p>
      <w:pPr>
        <w:pStyle w:val="3"/>
        <w:topLinePunct/>
        <w:spacing w:line="412" w:lineRule="exact"/>
        <w:ind w:firstLine="482"/>
        <w:rPr>
          <w:sz w:val="24"/>
          <w:szCs w:val="24"/>
        </w:rPr>
      </w:pPr>
      <w:r>
        <w:rPr>
          <w:b/>
          <w:sz w:val="24"/>
          <w:szCs w:val="24"/>
        </w:rPr>
        <w:t xml:space="preserve">第二十三条 </w:t>
      </w:r>
      <w:r>
        <w:rPr>
          <w:rFonts w:hint="eastAsia" w:asciiTheme="minorEastAsia" w:hAnsiTheme="minorEastAsia" w:eastAsiaTheme="minorEastAsia"/>
          <w:b/>
          <w:sz w:val="24"/>
          <w:szCs w:val="24"/>
        </w:rPr>
        <w:t xml:space="preserve"> </w:t>
      </w:r>
      <w:r>
        <w:rPr>
          <w:sz w:val="24"/>
          <w:szCs w:val="24"/>
        </w:rPr>
        <w:t>市农业植物检疫机构应当建立健全农业植物检疫信息通报制度，加强农业植物检疫信息平台建设，及时汇总、通报农业植物检疫信息。</w:t>
      </w:r>
    </w:p>
    <w:p>
      <w:pPr>
        <w:pStyle w:val="3"/>
        <w:topLinePunct/>
        <w:spacing w:line="412" w:lineRule="exact"/>
        <w:ind w:firstLine="482"/>
        <w:rPr>
          <w:sz w:val="24"/>
          <w:szCs w:val="24"/>
        </w:rPr>
      </w:pPr>
      <w:r>
        <w:rPr>
          <w:b/>
          <w:sz w:val="24"/>
          <w:szCs w:val="24"/>
        </w:rPr>
        <w:t xml:space="preserve">第二十四条 </w:t>
      </w:r>
      <w:r>
        <w:rPr>
          <w:rFonts w:hint="eastAsia" w:asciiTheme="minorEastAsia" w:hAnsiTheme="minorEastAsia" w:eastAsiaTheme="minorEastAsia"/>
          <w:b/>
          <w:sz w:val="24"/>
          <w:szCs w:val="24"/>
        </w:rPr>
        <w:t xml:space="preserve"> </w:t>
      </w:r>
      <w:r>
        <w:rPr>
          <w:sz w:val="24"/>
          <w:szCs w:val="24"/>
        </w:rPr>
        <w:t>农业植物检疫人员在实施农业植物检疫等相关执法活动时，应当穿着检疫制服，佩戴检疫标志，出示执法证件，并有权采取下列措施：</w:t>
      </w:r>
    </w:p>
    <w:p>
      <w:pPr>
        <w:pStyle w:val="3"/>
        <w:topLinePunct/>
        <w:spacing w:line="412" w:lineRule="exact"/>
        <w:ind w:firstLine="480"/>
        <w:rPr>
          <w:sz w:val="24"/>
          <w:szCs w:val="24"/>
        </w:rPr>
      </w:pPr>
      <w:r>
        <w:rPr>
          <w:sz w:val="24"/>
          <w:szCs w:val="24"/>
        </w:rPr>
        <w:t>（一）进入农业植物、植物产品的生产、经营、贮存以及其他可能发生检疫性有害生物的场所，进行现场检查和疫情调查；</w:t>
      </w:r>
    </w:p>
    <w:p>
      <w:pPr>
        <w:pStyle w:val="3"/>
        <w:topLinePunct/>
        <w:spacing w:line="412" w:lineRule="exact"/>
        <w:ind w:firstLine="480"/>
        <w:rPr>
          <w:sz w:val="24"/>
          <w:szCs w:val="24"/>
        </w:rPr>
      </w:pPr>
      <w:r>
        <w:rPr>
          <w:sz w:val="24"/>
          <w:szCs w:val="24"/>
        </w:rPr>
        <w:t>（二）采集相关样品，查阅、复制与检疫有关的资料，收集与检疫有关的证据；</w:t>
      </w:r>
    </w:p>
    <w:p>
      <w:pPr>
        <w:pStyle w:val="3"/>
        <w:topLinePunct/>
        <w:spacing w:line="412" w:lineRule="exact"/>
        <w:ind w:firstLine="480"/>
        <w:rPr>
          <w:sz w:val="24"/>
          <w:szCs w:val="24"/>
        </w:rPr>
      </w:pPr>
      <w:r>
        <w:rPr>
          <w:sz w:val="24"/>
          <w:szCs w:val="24"/>
        </w:rPr>
        <w:t>（三）依法封存、没收、销毁违反规定调运的农业植物、植物产品，或者责令改变用途；</w:t>
      </w:r>
    </w:p>
    <w:p>
      <w:pPr>
        <w:pStyle w:val="3"/>
        <w:topLinePunct/>
        <w:spacing w:line="412" w:lineRule="exact"/>
        <w:ind w:firstLine="480"/>
        <w:rPr>
          <w:sz w:val="24"/>
          <w:szCs w:val="24"/>
        </w:rPr>
      </w:pPr>
      <w:r>
        <w:rPr>
          <w:sz w:val="24"/>
          <w:szCs w:val="24"/>
        </w:rPr>
        <w:t>（四）监督有关单位或者个人落实除害处理等措施。</w:t>
      </w:r>
    </w:p>
    <w:p>
      <w:pPr>
        <w:pStyle w:val="3"/>
        <w:topLinePunct/>
        <w:spacing w:line="412" w:lineRule="exact"/>
        <w:ind w:firstLine="480"/>
        <w:rPr>
          <w:sz w:val="24"/>
          <w:szCs w:val="24"/>
        </w:rPr>
      </w:pPr>
      <w:r>
        <w:rPr>
          <w:sz w:val="24"/>
          <w:szCs w:val="24"/>
        </w:rPr>
        <w:t>农业植物检疫人员实施农业植物检疫等相关执法活动，不得干扰当事人的正常生产经营活动；有关单位和个人应当予以配合，不得拒绝、干扰和阻挠。</w:t>
      </w:r>
    </w:p>
    <w:p>
      <w:pPr>
        <w:pStyle w:val="3"/>
        <w:topLinePunct/>
        <w:spacing w:line="412" w:lineRule="exact"/>
        <w:ind w:firstLine="482"/>
        <w:rPr>
          <w:sz w:val="24"/>
          <w:szCs w:val="24"/>
        </w:rPr>
      </w:pPr>
      <w:r>
        <w:rPr>
          <w:b/>
          <w:sz w:val="24"/>
          <w:szCs w:val="24"/>
        </w:rPr>
        <w:t>第二十五条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对在农业植物疫情控制和扑灭工作中作出突出贡献的单位和个人，应当给予表彰。</w:t>
      </w:r>
    </w:p>
    <w:p>
      <w:pPr>
        <w:pStyle w:val="3"/>
        <w:topLinePunct/>
        <w:spacing w:line="412" w:lineRule="exact"/>
        <w:ind w:firstLine="482"/>
        <w:rPr>
          <w:sz w:val="24"/>
          <w:szCs w:val="24"/>
        </w:rPr>
      </w:pPr>
      <w:r>
        <w:rPr>
          <w:b/>
          <w:sz w:val="24"/>
          <w:szCs w:val="24"/>
        </w:rPr>
        <w:t xml:space="preserve">第二十六条 </w:t>
      </w:r>
      <w:r>
        <w:rPr>
          <w:rFonts w:hint="eastAsia" w:asciiTheme="minorEastAsia" w:hAnsiTheme="minorEastAsia" w:eastAsiaTheme="minorEastAsia"/>
          <w:b/>
          <w:sz w:val="24"/>
          <w:szCs w:val="24"/>
        </w:rPr>
        <w:t xml:space="preserve"> </w:t>
      </w:r>
      <w:r>
        <w:rPr>
          <w:sz w:val="24"/>
          <w:szCs w:val="24"/>
        </w:rPr>
        <w:t>市和区、县农业行政部门及其农业植物检疫机构工作人员违反本办法规定，不履行、违法履行、不当履行农业植物检疫职责的，按照国家和本市有关规定给予行政问责和行政处分；构成犯罪的，依法追究刑事责任。</w:t>
      </w:r>
    </w:p>
    <w:p>
      <w:pPr>
        <w:pStyle w:val="3"/>
        <w:topLinePunct/>
        <w:spacing w:line="412" w:lineRule="exact"/>
        <w:ind w:firstLine="482"/>
        <w:rPr>
          <w:sz w:val="24"/>
          <w:szCs w:val="24"/>
        </w:rPr>
      </w:pPr>
      <w:r>
        <w:rPr>
          <w:b/>
          <w:sz w:val="24"/>
          <w:szCs w:val="24"/>
        </w:rPr>
        <w:t xml:space="preserve">第二十七条 </w:t>
      </w:r>
      <w:r>
        <w:rPr>
          <w:rFonts w:hint="eastAsia" w:asciiTheme="minorEastAsia" w:hAnsiTheme="minorEastAsia" w:eastAsiaTheme="minorEastAsia"/>
          <w:b/>
          <w:sz w:val="24"/>
          <w:szCs w:val="24"/>
        </w:rPr>
        <w:t xml:space="preserve"> </w:t>
      </w:r>
      <w:r>
        <w:rPr>
          <w:sz w:val="24"/>
          <w:szCs w:val="24"/>
        </w:rPr>
        <w:t>有下列违法行为之一，尚未构成犯罪的，由农业植物检疫机构给予处罚：</w:t>
      </w:r>
    </w:p>
    <w:p>
      <w:pPr>
        <w:pStyle w:val="3"/>
        <w:topLinePunct/>
        <w:spacing w:line="412" w:lineRule="exact"/>
        <w:ind w:firstLine="480"/>
        <w:rPr>
          <w:sz w:val="24"/>
          <w:szCs w:val="24"/>
        </w:rPr>
      </w:pPr>
      <w:r>
        <w:rPr>
          <w:sz w:val="24"/>
          <w:szCs w:val="24"/>
        </w:rPr>
        <w:t>（一）违反本办法第八条第一款规定，繁育单位或者个人未取得产地检疫证明试验、示范或者推广种子、苗木或者其他繁殖材料的；</w:t>
      </w:r>
    </w:p>
    <w:p>
      <w:pPr>
        <w:pStyle w:val="3"/>
        <w:topLinePunct/>
        <w:spacing w:line="412" w:lineRule="exact"/>
        <w:ind w:firstLine="480"/>
        <w:rPr>
          <w:sz w:val="24"/>
          <w:szCs w:val="24"/>
        </w:rPr>
      </w:pPr>
      <w:r>
        <w:rPr>
          <w:sz w:val="24"/>
          <w:szCs w:val="24"/>
        </w:rPr>
        <w:t>（二）违反本办法第八条第二款规定，在本市调运农作物种子、苗木或者其他繁殖材料的；</w:t>
      </w:r>
    </w:p>
    <w:p>
      <w:pPr>
        <w:pStyle w:val="3"/>
        <w:topLinePunct/>
        <w:spacing w:line="412" w:lineRule="exact"/>
        <w:ind w:firstLine="480"/>
        <w:rPr>
          <w:sz w:val="24"/>
          <w:szCs w:val="24"/>
        </w:rPr>
      </w:pPr>
      <w:r>
        <w:rPr>
          <w:sz w:val="24"/>
          <w:szCs w:val="24"/>
        </w:rPr>
        <w:t>（三）违反本办法第九条第一款规定，调入单位或者个人调入未经检疫合格的农业植物、植物产品的；</w:t>
      </w:r>
    </w:p>
    <w:p>
      <w:pPr>
        <w:pStyle w:val="3"/>
        <w:topLinePunct/>
        <w:spacing w:line="412" w:lineRule="exact"/>
        <w:ind w:firstLine="480"/>
        <w:rPr>
          <w:sz w:val="24"/>
          <w:szCs w:val="24"/>
        </w:rPr>
      </w:pPr>
      <w:r>
        <w:rPr>
          <w:sz w:val="24"/>
          <w:szCs w:val="24"/>
        </w:rPr>
        <w:t>（四）违反本办法第十一条第一、二款规定，调出单位或者个人未取得调运检疫证明擅自调运的。</w:t>
      </w:r>
    </w:p>
    <w:p>
      <w:pPr>
        <w:pStyle w:val="3"/>
        <w:topLinePunct/>
        <w:spacing w:line="412" w:lineRule="exact"/>
        <w:ind w:firstLine="480"/>
        <w:rPr>
          <w:sz w:val="24"/>
          <w:szCs w:val="24"/>
        </w:rPr>
      </w:pPr>
      <w:r>
        <w:rPr>
          <w:sz w:val="24"/>
          <w:szCs w:val="24"/>
        </w:rPr>
        <w:t>对前款规定的非经营活动中的违法行为，处以1000元以下罚款；对前款规定的经营活动中的违法行为，有违法所得的，没收违法所得，处以违法所得3倍以下罚款，最高不得超过3万元，没有违法所得的，处以1万元以下罚款。</w:t>
      </w:r>
    </w:p>
    <w:p>
      <w:pPr>
        <w:pStyle w:val="3"/>
        <w:topLinePunct/>
        <w:spacing w:line="412" w:lineRule="exact"/>
        <w:ind w:firstLine="482"/>
        <w:rPr>
          <w:sz w:val="24"/>
          <w:szCs w:val="24"/>
        </w:rPr>
      </w:pPr>
      <w:r>
        <w:rPr>
          <w:b/>
          <w:sz w:val="24"/>
          <w:szCs w:val="24"/>
        </w:rPr>
        <w:t>第二十八条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违反本办法第十一条第三款规定，承运单位承运未办理调运检疫证明的农业植物、植物产品，或者承运的数量、种类与调运检疫证明不符的，由农业植物检疫机构给予警告，可处1000元以上1万元以下罚款。</w:t>
      </w:r>
    </w:p>
    <w:p>
      <w:pPr>
        <w:pStyle w:val="3"/>
        <w:topLinePunct/>
        <w:spacing w:line="412" w:lineRule="exact"/>
        <w:ind w:firstLine="482"/>
        <w:rPr>
          <w:sz w:val="24"/>
          <w:szCs w:val="24"/>
        </w:rPr>
      </w:pPr>
      <w:r>
        <w:rPr>
          <w:b/>
          <w:sz w:val="24"/>
          <w:szCs w:val="24"/>
        </w:rPr>
        <w:t xml:space="preserve">第二十九条 </w:t>
      </w:r>
      <w:r>
        <w:rPr>
          <w:rFonts w:hint="eastAsia" w:asciiTheme="minorEastAsia" w:hAnsiTheme="minorEastAsia" w:eastAsiaTheme="minorEastAsia"/>
          <w:b/>
          <w:sz w:val="24"/>
          <w:szCs w:val="24"/>
        </w:rPr>
        <w:t xml:space="preserve"> </w:t>
      </w:r>
      <w:r>
        <w:rPr>
          <w:sz w:val="24"/>
          <w:szCs w:val="24"/>
        </w:rPr>
        <w:t>违反本办法第十三条规定，未按照要求保存产地检疫或者调运检疫证明原件或者复印件的，由农业植物检疫机构责令改正，对单位可处2000元以下罚款，对个人可处200元以下罚款。</w:t>
      </w:r>
    </w:p>
    <w:p>
      <w:pPr>
        <w:pStyle w:val="3"/>
        <w:topLinePunct/>
        <w:spacing w:line="412" w:lineRule="exact"/>
        <w:ind w:firstLine="482"/>
        <w:rPr>
          <w:sz w:val="24"/>
          <w:szCs w:val="24"/>
        </w:rPr>
      </w:pPr>
      <w:r>
        <w:rPr>
          <w:b/>
          <w:sz w:val="24"/>
          <w:szCs w:val="24"/>
        </w:rPr>
        <w:t xml:space="preserve">第三十条 </w:t>
      </w:r>
      <w:r>
        <w:rPr>
          <w:rFonts w:hint="eastAsia" w:asciiTheme="minorEastAsia" w:hAnsiTheme="minorEastAsia" w:eastAsiaTheme="minorEastAsia"/>
          <w:b/>
          <w:sz w:val="24"/>
          <w:szCs w:val="24"/>
        </w:rPr>
        <w:t xml:space="preserve"> </w:t>
      </w:r>
      <w:r>
        <w:rPr>
          <w:sz w:val="24"/>
          <w:szCs w:val="24"/>
        </w:rPr>
        <w:t>违反本办法第十四条规定，销售农作物种子、苗木或者其他繁殖材料的单位或者个人未按照要求建立经营档案的，由农业植物检疫机构责令改正，对单位可处2000元以下罚款，对个人可处200元以下罚款。</w:t>
      </w:r>
    </w:p>
    <w:p>
      <w:pPr>
        <w:pStyle w:val="3"/>
        <w:topLinePunct/>
        <w:spacing w:line="412" w:lineRule="exact"/>
        <w:ind w:firstLine="482"/>
        <w:rPr>
          <w:sz w:val="24"/>
          <w:szCs w:val="24"/>
        </w:rPr>
      </w:pPr>
      <w:r>
        <w:rPr>
          <w:b/>
          <w:sz w:val="24"/>
          <w:szCs w:val="24"/>
        </w:rPr>
        <w:t xml:space="preserve">第三十一条 </w:t>
      </w:r>
      <w:r>
        <w:rPr>
          <w:rFonts w:hint="eastAsia" w:asciiTheme="minorEastAsia" w:hAnsiTheme="minorEastAsia" w:eastAsiaTheme="minorEastAsia"/>
          <w:b/>
          <w:sz w:val="24"/>
          <w:szCs w:val="24"/>
        </w:rPr>
        <w:t xml:space="preserve"> </w:t>
      </w:r>
      <w:r>
        <w:rPr>
          <w:sz w:val="24"/>
          <w:szCs w:val="24"/>
        </w:rPr>
        <w:t>违反本办法第十八条第三款规定，发生疫情的单位或者个人拒绝服从、配合疫情处理的，由农业行政部门责令改正；拒不改正，构成违反治安管理行为的，由公安机关依法给予处罚；构成犯罪的，依法追究刑事责任。</w:t>
      </w:r>
    </w:p>
    <w:p>
      <w:pPr>
        <w:pStyle w:val="3"/>
        <w:topLinePunct/>
        <w:spacing w:line="412" w:lineRule="exact"/>
        <w:ind w:firstLine="482"/>
        <w:rPr>
          <w:sz w:val="24"/>
          <w:szCs w:val="24"/>
        </w:rPr>
      </w:pPr>
      <w:r>
        <w:rPr>
          <w:b/>
          <w:sz w:val="24"/>
          <w:szCs w:val="24"/>
        </w:rPr>
        <w:t xml:space="preserve">第三十二条 </w:t>
      </w:r>
      <w:r>
        <w:rPr>
          <w:rFonts w:hint="eastAsia" w:asciiTheme="minorEastAsia" w:hAnsiTheme="minorEastAsia" w:eastAsiaTheme="minorEastAsia"/>
          <w:b/>
          <w:sz w:val="24"/>
          <w:szCs w:val="24"/>
        </w:rPr>
        <w:t xml:space="preserve"> </w:t>
      </w:r>
      <w:r>
        <w:rPr>
          <w:sz w:val="24"/>
          <w:szCs w:val="24"/>
        </w:rPr>
        <w:t>单位或者个人违反本办法规定，导致农业植物疫情发生或者危害扩大，给他人人身、财产造成损害的，应当依法承担民事责任。</w:t>
      </w:r>
    </w:p>
    <w:p>
      <w:pPr>
        <w:pStyle w:val="3"/>
        <w:topLinePunct/>
        <w:spacing w:line="412" w:lineRule="exact"/>
        <w:ind w:firstLine="482"/>
        <w:rPr>
          <w:sz w:val="24"/>
          <w:szCs w:val="24"/>
        </w:rPr>
      </w:pPr>
      <w:r>
        <w:rPr>
          <w:b/>
          <w:sz w:val="24"/>
          <w:szCs w:val="24"/>
        </w:rPr>
        <w:t>第三十三条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对违反本办法规定的行为，有关法律、法规已经规定相应法律责任的，依照其规定执行。</w:t>
      </w:r>
    </w:p>
    <w:p>
      <w:pPr>
        <w:pStyle w:val="3"/>
        <w:topLinePunct/>
        <w:spacing w:line="412" w:lineRule="exact"/>
        <w:ind w:firstLine="482"/>
        <w:rPr>
          <w:sz w:val="24"/>
          <w:szCs w:val="24"/>
        </w:rPr>
      </w:pPr>
      <w:r>
        <w:rPr>
          <w:b/>
          <w:sz w:val="24"/>
          <w:szCs w:val="24"/>
        </w:rPr>
        <w:t xml:space="preserve">第三十四条 </w:t>
      </w:r>
      <w:r>
        <w:rPr>
          <w:rFonts w:hint="eastAsia" w:asciiTheme="minorEastAsia" w:hAnsiTheme="minorEastAsia" w:eastAsiaTheme="minorEastAsia"/>
          <w:b/>
          <w:sz w:val="24"/>
          <w:szCs w:val="24"/>
        </w:rPr>
        <w:t xml:space="preserve"> </w:t>
      </w:r>
      <w:r>
        <w:rPr>
          <w:sz w:val="24"/>
          <w:szCs w:val="24"/>
        </w:rPr>
        <w:t>本办法自2013年7月1日起施行。1987年8月20日北京市人民政府京政发106号文件发布，根据2007年11月23日北京市人民政府第200号令修改的《北京市农业植物检疫实施办法》同时废止。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sz w:val="24"/>
          <w:szCs w:val="24"/>
        </w:rPr>
        <w:br w:type="page"/>
      </w:r>
      <w:bookmarkStart w:id="1305" w:name="_Toc18916788"/>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06" w:name="_Toc25652577"/>
      <w:bookmarkStart w:id="1307" w:name="_Toc28250994"/>
      <w:bookmarkStart w:id="1308" w:name="_Toc28157066"/>
      <w:bookmarkStart w:id="1309" w:name="_Toc25653787"/>
      <w:bookmarkStart w:id="1310" w:name="_Toc26348044"/>
      <w:bookmarkStart w:id="1311" w:name="_Toc28252273"/>
      <w:r>
        <w:t>植物检疫条例实施细则（农业部分）</w:t>
      </w:r>
      <w:bookmarkEnd w:id="1295"/>
      <w:bookmarkEnd w:id="1296"/>
      <w:bookmarkEnd w:id="1305"/>
      <w:bookmarkEnd w:id="1306"/>
      <w:bookmarkEnd w:id="1307"/>
      <w:bookmarkEnd w:id="1308"/>
      <w:bookmarkEnd w:id="1309"/>
      <w:bookmarkEnd w:id="1310"/>
      <w:bookmarkEnd w:id="1311"/>
    </w:p>
    <w:p>
      <w:pPr>
        <w:pStyle w:val="62"/>
      </w:pPr>
      <w:r>
        <w:t>（</w:t>
      </w:r>
      <w:bookmarkStart w:id="1312" w:name="OLE_LINK100"/>
      <w:r>
        <w:t>1995年2月25日农业部令第5号公布，根据1997年12月25日农业部令第39号第一次修订，根据2004年7月1日农业部令第38号第二次修订，</w:t>
      </w:r>
      <w:bookmarkStart w:id="1313" w:name="OLE_LINK101"/>
      <w:r>
        <w:t>根据2007年11月8日农业部令第6号第三次修订</w:t>
      </w:r>
      <w:bookmarkEnd w:id="1312"/>
      <w:bookmarkEnd w:id="1313"/>
      <w:r>
        <w:t>）</w:t>
      </w:r>
    </w:p>
    <w:p>
      <w:pPr>
        <w:pStyle w:val="40"/>
        <w:topLinePunct/>
        <w:spacing w:line="416" w:lineRule="exact"/>
        <w:ind w:firstLine="480" w:firstLineChars="200"/>
        <w:jc w:val="both"/>
        <w:outlineLvl w:val="9"/>
        <w:rPr>
          <w:rFonts w:cs="Times New Roman" w:asciiTheme="minorEastAsia" w:hAnsiTheme="minorEastAsia" w:eastAsiaTheme="minorEastAsia"/>
          <w:sz w:val="24"/>
          <w:szCs w:val="24"/>
        </w:rPr>
      </w:pPr>
    </w:p>
    <w:p>
      <w:pPr>
        <w:pStyle w:val="63"/>
        <w:spacing w:before="218" w:after="218" w:line="412" w:lineRule="exact"/>
      </w:pPr>
      <w:r>
        <w:t>第一章</w:t>
      </w:r>
      <w:r>
        <w:rPr>
          <w:rFonts w:hint="eastAsia"/>
        </w:rPr>
        <w:t xml:space="preserve">  </w:t>
      </w:r>
      <w:r>
        <w:t>总</w:t>
      </w:r>
      <w:r>
        <w:rPr>
          <w:rFonts w:hint="eastAsia"/>
        </w:rPr>
        <w:t xml:space="preserve">  </w:t>
      </w:r>
      <w:r>
        <w:t>则</w:t>
      </w:r>
    </w:p>
    <w:p>
      <w:pPr>
        <w:pStyle w:val="3"/>
        <w:topLinePunct/>
        <w:spacing w:line="412" w:lineRule="exact"/>
        <w:ind w:firstLine="482"/>
        <w:rPr>
          <w:sz w:val="24"/>
          <w:szCs w:val="24"/>
        </w:rPr>
      </w:pPr>
      <w:r>
        <w:rPr>
          <w:b/>
          <w:sz w:val="24"/>
          <w:szCs w:val="24"/>
        </w:rPr>
        <w:t>第一条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根据《植物检疫条例》第二十三条的规定，制定本细则。</w:t>
      </w:r>
    </w:p>
    <w:p>
      <w:pPr>
        <w:pStyle w:val="3"/>
        <w:topLinePunct/>
        <w:spacing w:line="412" w:lineRule="exact"/>
        <w:ind w:firstLine="482"/>
        <w:rPr>
          <w:sz w:val="24"/>
          <w:szCs w:val="24"/>
        </w:rPr>
      </w:pPr>
      <w:r>
        <w:rPr>
          <w:b/>
          <w:sz w:val="24"/>
          <w:szCs w:val="24"/>
        </w:rPr>
        <w:t xml:space="preserve">第二条 </w:t>
      </w:r>
      <w:r>
        <w:rPr>
          <w:rFonts w:hint="eastAsia" w:asciiTheme="minorEastAsia" w:hAnsiTheme="minorEastAsia" w:eastAsiaTheme="minorEastAsia"/>
          <w:b/>
          <w:sz w:val="24"/>
          <w:szCs w:val="24"/>
        </w:rPr>
        <w:t xml:space="preserve"> </w:t>
      </w:r>
      <w:r>
        <w:rPr>
          <w:sz w:val="24"/>
          <w:szCs w:val="24"/>
        </w:rPr>
        <w:t>本细则适用于国内农业植物检疫，不包括林业和进出境植物检疫。</w:t>
      </w:r>
    </w:p>
    <w:p>
      <w:pPr>
        <w:pStyle w:val="3"/>
        <w:topLinePunct/>
        <w:spacing w:line="412" w:lineRule="exact"/>
        <w:ind w:firstLine="482"/>
        <w:rPr>
          <w:sz w:val="24"/>
          <w:szCs w:val="24"/>
        </w:rPr>
      </w:pPr>
      <w:r>
        <w:rPr>
          <w:b/>
          <w:sz w:val="24"/>
          <w:szCs w:val="24"/>
        </w:rPr>
        <w:t xml:space="preserve">第三条 </w:t>
      </w:r>
      <w:r>
        <w:rPr>
          <w:rFonts w:hint="eastAsia" w:asciiTheme="minorEastAsia" w:hAnsiTheme="minorEastAsia" w:eastAsiaTheme="minorEastAsia"/>
          <w:b/>
          <w:sz w:val="24"/>
          <w:szCs w:val="24"/>
        </w:rPr>
        <w:t xml:space="preserve"> </w:t>
      </w:r>
      <w:r>
        <w:rPr>
          <w:sz w:val="24"/>
          <w:szCs w:val="24"/>
        </w:rPr>
        <w:t>农业部主管全国农业植物检疫工作，其执行机构是所属的植物检疫机构；各省、自治区、直辖市农业主管部门主管本地区的农业植物检疫工作；县级以上地方各级农业主管部门所属的植物检疫机构负责执行本地区的植物检疫任务。</w:t>
      </w:r>
    </w:p>
    <w:p>
      <w:pPr>
        <w:pStyle w:val="3"/>
        <w:topLinePunct/>
        <w:spacing w:line="412" w:lineRule="exact"/>
        <w:ind w:firstLine="482"/>
        <w:rPr>
          <w:sz w:val="24"/>
          <w:szCs w:val="24"/>
        </w:rPr>
      </w:pPr>
      <w:r>
        <w:rPr>
          <w:b/>
          <w:sz w:val="24"/>
          <w:szCs w:val="24"/>
        </w:rPr>
        <w:t xml:space="preserve">第四条 </w:t>
      </w:r>
      <w:r>
        <w:rPr>
          <w:rFonts w:hint="eastAsia" w:asciiTheme="minorEastAsia" w:hAnsiTheme="minorEastAsia" w:eastAsiaTheme="minorEastAsia"/>
          <w:b/>
          <w:sz w:val="24"/>
          <w:szCs w:val="24"/>
        </w:rPr>
        <w:t xml:space="preserve"> </w:t>
      </w:r>
      <w:r>
        <w:rPr>
          <w:sz w:val="24"/>
          <w:szCs w:val="24"/>
        </w:rPr>
        <w:t>各级植物检疫机构的职责范围：</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一</w:t>
      </w:r>
      <w:r>
        <w:rPr>
          <w:rFonts w:asciiTheme="minorEastAsia" w:hAnsiTheme="minorEastAsia" w:eastAsiaTheme="minorEastAsia"/>
          <w:sz w:val="24"/>
          <w:szCs w:val="24"/>
        </w:rPr>
        <w:t>）</w:t>
      </w:r>
      <w:r>
        <w:rPr>
          <w:sz w:val="24"/>
          <w:szCs w:val="24"/>
        </w:rPr>
        <w:t>农业部所属植物检疫机构的主要职责：</w:t>
      </w:r>
    </w:p>
    <w:p>
      <w:pPr>
        <w:pStyle w:val="3"/>
        <w:topLinePunct/>
        <w:spacing w:line="412" w:lineRule="exact"/>
        <w:ind w:firstLine="480"/>
        <w:rPr>
          <w:sz w:val="24"/>
          <w:szCs w:val="24"/>
        </w:rPr>
      </w:pPr>
      <w:r>
        <w:rPr>
          <w:sz w:val="24"/>
          <w:szCs w:val="24"/>
        </w:rPr>
        <w:t>1、提出有关植物检疫法规、规章及检疫工作长远规划的建议；</w:t>
      </w:r>
    </w:p>
    <w:p>
      <w:pPr>
        <w:pStyle w:val="3"/>
        <w:topLinePunct/>
        <w:spacing w:line="412" w:lineRule="exact"/>
        <w:ind w:firstLine="480"/>
        <w:rPr>
          <w:sz w:val="24"/>
          <w:szCs w:val="24"/>
        </w:rPr>
      </w:pPr>
      <w:r>
        <w:rPr>
          <w:sz w:val="24"/>
          <w:szCs w:val="24"/>
        </w:rPr>
        <w:t>2、贯彻执行《植物检疫条例》，协助解决执行中出现的问题；</w:t>
      </w:r>
    </w:p>
    <w:p>
      <w:pPr>
        <w:pStyle w:val="3"/>
        <w:topLinePunct/>
        <w:spacing w:line="412" w:lineRule="exact"/>
        <w:ind w:firstLine="480"/>
        <w:rPr>
          <w:sz w:val="24"/>
          <w:szCs w:val="24"/>
        </w:rPr>
      </w:pPr>
      <w:r>
        <w:rPr>
          <w:sz w:val="24"/>
          <w:szCs w:val="24"/>
        </w:rPr>
        <w:t>3、调查研究和总结推广植物检疫工作经验，汇编全国植物检疫资料，拟定全国重点植物检疫对象的普查、疫区划定、封锁和防治消灭措施的实施方案；</w:t>
      </w:r>
    </w:p>
    <w:p>
      <w:pPr>
        <w:pStyle w:val="3"/>
        <w:topLinePunct/>
        <w:spacing w:line="412" w:lineRule="exact"/>
        <w:ind w:firstLine="480"/>
        <w:rPr>
          <w:sz w:val="24"/>
          <w:szCs w:val="24"/>
        </w:rPr>
      </w:pPr>
      <w:r>
        <w:rPr>
          <w:sz w:val="24"/>
          <w:szCs w:val="24"/>
        </w:rPr>
        <w:t>4、负责国外引进种子、苗木和其他繁殖材料</w:t>
      </w:r>
      <w:r>
        <w:rPr>
          <w:rFonts w:asciiTheme="minorEastAsia" w:hAnsiTheme="minorEastAsia" w:eastAsiaTheme="minorEastAsia"/>
          <w:sz w:val="24"/>
          <w:szCs w:val="24"/>
        </w:rPr>
        <w:t>（</w:t>
      </w:r>
      <w:r>
        <w:rPr>
          <w:sz w:val="24"/>
          <w:szCs w:val="24"/>
        </w:rPr>
        <w:t>国家禁止进境的除外</w:t>
      </w:r>
      <w:r>
        <w:rPr>
          <w:rFonts w:asciiTheme="minorEastAsia" w:hAnsiTheme="minorEastAsia" w:eastAsiaTheme="minorEastAsia"/>
          <w:sz w:val="24"/>
          <w:szCs w:val="24"/>
        </w:rPr>
        <w:t>）</w:t>
      </w:r>
      <w:r>
        <w:rPr>
          <w:sz w:val="24"/>
          <w:szCs w:val="24"/>
        </w:rPr>
        <w:t>的检疫审批；</w:t>
      </w:r>
    </w:p>
    <w:p>
      <w:pPr>
        <w:pStyle w:val="3"/>
        <w:topLinePunct/>
        <w:spacing w:line="412" w:lineRule="exact"/>
        <w:ind w:firstLine="480"/>
        <w:rPr>
          <w:sz w:val="24"/>
          <w:szCs w:val="24"/>
        </w:rPr>
      </w:pPr>
      <w:r>
        <w:rPr>
          <w:sz w:val="24"/>
          <w:szCs w:val="24"/>
        </w:rPr>
        <w:t>5、组织植物检疫技术的研究和示范；</w:t>
      </w:r>
    </w:p>
    <w:p>
      <w:pPr>
        <w:pStyle w:val="3"/>
        <w:topLinePunct/>
        <w:spacing w:line="412" w:lineRule="exact"/>
        <w:ind w:firstLine="480"/>
        <w:rPr>
          <w:sz w:val="24"/>
          <w:szCs w:val="24"/>
        </w:rPr>
      </w:pPr>
      <w:r>
        <w:rPr>
          <w:sz w:val="24"/>
          <w:szCs w:val="24"/>
        </w:rPr>
        <w:t>6、培训、管理植物检疫干部及技术人员。</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省级植物检疫机构的主要职责：</w:t>
      </w:r>
    </w:p>
    <w:p>
      <w:pPr>
        <w:pStyle w:val="3"/>
        <w:topLinePunct/>
        <w:spacing w:line="412" w:lineRule="exact"/>
        <w:ind w:firstLine="480"/>
        <w:rPr>
          <w:sz w:val="24"/>
          <w:szCs w:val="24"/>
        </w:rPr>
      </w:pPr>
      <w:r>
        <w:rPr>
          <w:sz w:val="24"/>
          <w:szCs w:val="24"/>
        </w:rPr>
        <w:t>1、贯彻《植物检疫条例》及国家发布的各项植物检疫法令、规章制度，制定本省的实施计划和措施；</w:t>
      </w:r>
    </w:p>
    <w:p>
      <w:pPr>
        <w:pStyle w:val="3"/>
        <w:topLinePunct/>
        <w:spacing w:line="412" w:lineRule="exact"/>
        <w:ind w:firstLine="480"/>
        <w:rPr>
          <w:sz w:val="24"/>
          <w:szCs w:val="24"/>
        </w:rPr>
      </w:pPr>
      <w:r>
        <w:rPr>
          <w:sz w:val="24"/>
          <w:szCs w:val="24"/>
        </w:rPr>
        <w:t>2、检查并指导地、县级植物检疫机构的工作；</w:t>
      </w:r>
    </w:p>
    <w:p>
      <w:pPr>
        <w:pStyle w:val="3"/>
        <w:topLinePunct/>
        <w:spacing w:line="412" w:lineRule="exact"/>
        <w:ind w:firstLine="480"/>
        <w:rPr>
          <w:sz w:val="24"/>
          <w:szCs w:val="24"/>
        </w:rPr>
      </w:pPr>
      <w:r>
        <w:rPr>
          <w:sz w:val="24"/>
          <w:szCs w:val="24"/>
        </w:rPr>
        <w:t>3、拟订本省的《植物检疫实施办法》、《补充的植物检疫对象及应施检疫的植物、植物产品名单》和其他植物检疫规章制度；</w:t>
      </w:r>
    </w:p>
    <w:p>
      <w:pPr>
        <w:pStyle w:val="3"/>
        <w:topLinePunct/>
        <w:spacing w:line="412" w:lineRule="exact"/>
        <w:ind w:firstLine="480"/>
        <w:rPr>
          <w:sz w:val="24"/>
          <w:szCs w:val="24"/>
        </w:rPr>
      </w:pPr>
      <w:r>
        <w:rPr>
          <w:sz w:val="24"/>
          <w:szCs w:val="24"/>
        </w:rPr>
        <w:t>4、拟订省内划定疫区和保护区的方案，提出全省检疫对象的普查、封锁和控制消灭措施，组织开展植物检疫技术的研究和推广；</w:t>
      </w:r>
    </w:p>
    <w:p>
      <w:pPr>
        <w:pStyle w:val="3"/>
        <w:topLinePunct/>
        <w:spacing w:line="412" w:lineRule="exact"/>
        <w:ind w:firstLine="480"/>
        <w:rPr>
          <w:sz w:val="24"/>
          <w:szCs w:val="24"/>
        </w:rPr>
      </w:pPr>
      <w:r>
        <w:rPr>
          <w:sz w:val="24"/>
          <w:szCs w:val="24"/>
        </w:rPr>
        <w:t>5、培训、管理地、县级检疫干部和技术人员，总结、交流检疫工作经验，汇编检疫技术资料；</w:t>
      </w:r>
    </w:p>
    <w:p>
      <w:pPr>
        <w:pStyle w:val="3"/>
        <w:topLinePunct/>
        <w:spacing w:line="412" w:lineRule="exact"/>
        <w:ind w:firstLine="480"/>
        <w:rPr>
          <w:sz w:val="24"/>
          <w:szCs w:val="24"/>
        </w:rPr>
      </w:pPr>
      <w:r>
        <w:rPr>
          <w:sz w:val="24"/>
          <w:szCs w:val="24"/>
        </w:rPr>
        <w:t>6、签发植物检疫证书，承办授权范围内的国外引种检疫审批和省间调运应施检疫的植物、植物产品的检疫手续，监督检查引种单位进行消毒处理和隔离试种；</w:t>
      </w:r>
    </w:p>
    <w:p>
      <w:pPr>
        <w:pStyle w:val="3"/>
        <w:topLinePunct/>
        <w:spacing w:line="412" w:lineRule="exact"/>
        <w:ind w:firstLine="480"/>
        <w:rPr>
          <w:sz w:val="24"/>
          <w:szCs w:val="24"/>
        </w:rPr>
      </w:pPr>
      <w:r>
        <w:rPr>
          <w:sz w:val="24"/>
          <w:szCs w:val="24"/>
        </w:rPr>
        <w:t>7、在车站、机场、港口、仓库及其他有关场所执行植物检疫任务。</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地</w:t>
      </w:r>
      <w:r>
        <w:rPr>
          <w:rFonts w:asciiTheme="minorEastAsia" w:hAnsiTheme="minorEastAsia" w:eastAsiaTheme="minorEastAsia"/>
          <w:sz w:val="24"/>
          <w:szCs w:val="24"/>
        </w:rPr>
        <w:t>（</w:t>
      </w:r>
      <w:r>
        <w:rPr>
          <w:sz w:val="24"/>
          <w:szCs w:val="24"/>
        </w:rPr>
        <w:t>市</w:t>
      </w:r>
      <w:r>
        <w:rPr>
          <w:rFonts w:asciiTheme="minorEastAsia" w:hAnsiTheme="minorEastAsia" w:eastAsiaTheme="minorEastAsia"/>
          <w:sz w:val="24"/>
          <w:szCs w:val="24"/>
        </w:rPr>
        <w:t>）</w:t>
      </w:r>
      <w:r>
        <w:rPr>
          <w:sz w:val="24"/>
          <w:szCs w:val="24"/>
        </w:rPr>
        <w:t>、县级植物检疫机构的主要职责：</w:t>
      </w:r>
    </w:p>
    <w:p>
      <w:pPr>
        <w:pStyle w:val="3"/>
        <w:topLinePunct/>
        <w:spacing w:line="412" w:lineRule="exact"/>
        <w:ind w:firstLine="480"/>
        <w:rPr>
          <w:sz w:val="24"/>
          <w:szCs w:val="24"/>
        </w:rPr>
      </w:pPr>
      <w:r>
        <w:rPr>
          <w:sz w:val="24"/>
          <w:szCs w:val="24"/>
        </w:rPr>
        <w:t>l、贯彻《植物检疫条例》及国家、地方各级政府发布的植物检疫法令和规章制度，向基层干部和农民宣传普及检疫知识；</w:t>
      </w:r>
    </w:p>
    <w:p>
      <w:pPr>
        <w:pStyle w:val="3"/>
        <w:topLinePunct/>
        <w:spacing w:line="412" w:lineRule="exact"/>
        <w:ind w:firstLine="480"/>
        <w:rPr>
          <w:sz w:val="24"/>
          <w:szCs w:val="24"/>
        </w:rPr>
      </w:pPr>
      <w:r>
        <w:rPr>
          <w:sz w:val="24"/>
          <w:szCs w:val="24"/>
        </w:rPr>
        <w:t>2、拟订和实施当地的植物检疫工作计划；</w:t>
      </w:r>
    </w:p>
    <w:p>
      <w:pPr>
        <w:pStyle w:val="3"/>
        <w:topLinePunct/>
        <w:spacing w:line="412" w:lineRule="exact"/>
        <w:ind w:firstLine="480"/>
        <w:rPr>
          <w:sz w:val="24"/>
          <w:szCs w:val="24"/>
        </w:rPr>
      </w:pPr>
      <w:r>
        <w:rPr>
          <w:sz w:val="24"/>
          <w:szCs w:val="24"/>
        </w:rPr>
        <w:t>3、开展检疫对象调查，编制当地的检疫对象分布资料，负责检疫对象的封锁、控制和消灭工作；</w:t>
      </w:r>
    </w:p>
    <w:p>
      <w:pPr>
        <w:pStyle w:val="3"/>
        <w:topLinePunct/>
        <w:spacing w:line="412" w:lineRule="exact"/>
        <w:ind w:firstLine="480"/>
        <w:rPr>
          <w:sz w:val="24"/>
          <w:szCs w:val="24"/>
        </w:rPr>
      </w:pPr>
      <w:r>
        <w:rPr>
          <w:sz w:val="24"/>
          <w:szCs w:val="24"/>
        </w:rPr>
        <w:t>4、在种子、苗木和其他繁殖材料的繁育基地执行产地检疫。按照规定承办应施检疫的植物、植物产品的调运检疫手续。对调入的应施检疫的植物、植物产品，必要时进行复检。监督和指导引种单位进行消毒处理和隔离试种；</w:t>
      </w:r>
    </w:p>
    <w:p>
      <w:pPr>
        <w:pStyle w:val="3"/>
        <w:topLinePunct/>
        <w:spacing w:line="412" w:lineRule="exact"/>
        <w:ind w:firstLine="480"/>
        <w:rPr>
          <w:sz w:val="24"/>
          <w:szCs w:val="24"/>
        </w:rPr>
      </w:pPr>
      <w:r>
        <w:rPr>
          <w:sz w:val="24"/>
          <w:szCs w:val="24"/>
        </w:rPr>
        <w:t>5、监督指导有关部门建立无检疫对象的种子、苗木繁育、生产基地；</w:t>
      </w:r>
    </w:p>
    <w:p>
      <w:pPr>
        <w:pStyle w:val="3"/>
        <w:topLinePunct/>
        <w:spacing w:line="412" w:lineRule="exact"/>
        <w:ind w:firstLine="480"/>
        <w:rPr>
          <w:sz w:val="24"/>
          <w:szCs w:val="24"/>
        </w:rPr>
      </w:pPr>
      <w:r>
        <w:rPr>
          <w:sz w:val="24"/>
          <w:szCs w:val="24"/>
        </w:rPr>
        <w:t>6、在当地车站、机场、港口、仓库及其他有关场所执行植物检疫任务。</w:t>
      </w:r>
    </w:p>
    <w:p>
      <w:pPr>
        <w:pStyle w:val="3"/>
        <w:topLinePunct/>
        <w:spacing w:line="412" w:lineRule="exact"/>
        <w:ind w:firstLine="482"/>
        <w:rPr>
          <w:sz w:val="24"/>
          <w:szCs w:val="24"/>
        </w:rPr>
      </w:pPr>
      <w:r>
        <w:rPr>
          <w:b/>
          <w:sz w:val="24"/>
          <w:szCs w:val="24"/>
        </w:rPr>
        <w:t xml:space="preserve">第五条 </w:t>
      </w:r>
      <w:r>
        <w:rPr>
          <w:rFonts w:hint="eastAsia" w:asciiTheme="minorEastAsia" w:hAnsiTheme="minorEastAsia" w:eastAsiaTheme="minorEastAsia"/>
          <w:b/>
          <w:sz w:val="24"/>
          <w:szCs w:val="24"/>
        </w:rPr>
        <w:t xml:space="preserve"> </w:t>
      </w:r>
      <w:r>
        <w:rPr>
          <w:sz w:val="24"/>
          <w:szCs w:val="24"/>
        </w:rPr>
        <w:t>各级植物检疫机构必须配备一定数量的专职植物检疫人员，并逐步建立健全相应的检疫实验室和检验室。</w:t>
      </w:r>
    </w:p>
    <w:p>
      <w:pPr>
        <w:pStyle w:val="3"/>
        <w:topLinePunct/>
        <w:spacing w:line="412" w:lineRule="exact"/>
        <w:ind w:firstLine="480"/>
        <w:rPr>
          <w:sz w:val="24"/>
          <w:szCs w:val="24"/>
        </w:rPr>
      </w:pPr>
      <w:r>
        <w:rPr>
          <w:sz w:val="24"/>
          <w:szCs w:val="24"/>
        </w:rPr>
        <w:t>专职植物检疫员应当是具有助理农艺师以上技术职务、或者虽无技术职务而具有中等专业学历、从事植保工作三年以上的技术人员，并经培训考核合格，由省级农业主管部门批准，报农业部备案后，发给专职植物检疫员证。各级植物检疫机构可根据工作需要，在种苗繁育、生产及科研等有关单位聘请兼职植物检疫员或特邀植物检疫员协助开展工作。兼职检疫员由所在单位推荐，经聘请单位审查合格后，发给聘书。</w:t>
      </w:r>
    </w:p>
    <w:p>
      <w:pPr>
        <w:pStyle w:val="3"/>
        <w:topLinePunct/>
        <w:spacing w:line="412" w:lineRule="exact"/>
        <w:ind w:firstLine="480"/>
        <w:rPr>
          <w:sz w:val="24"/>
          <w:szCs w:val="24"/>
        </w:rPr>
      </w:pPr>
      <w:r>
        <w:rPr>
          <w:sz w:val="24"/>
          <w:szCs w:val="24"/>
        </w:rPr>
        <w:t>省级植物检疫机构应充实、健全植物检疫实验室，地</w:t>
      </w:r>
      <w:r>
        <w:rPr>
          <w:rFonts w:asciiTheme="minorEastAsia" w:hAnsiTheme="minorEastAsia" w:eastAsiaTheme="minorEastAsia"/>
          <w:sz w:val="24"/>
          <w:szCs w:val="24"/>
        </w:rPr>
        <w:t>（</w:t>
      </w:r>
      <w:r>
        <w:rPr>
          <w:sz w:val="24"/>
          <w:szCs w:val="24"/>
        </w:rPr>
        <w:t>市</w:t>
      </w:r>
      <w:r>
        <w:rPr>
          <w:rFonts w:asciiTheme="minorEastAsia" w:hAnsiTheme="minorEastAsia" w:eastAsiaTheme="minorEastAsia"/>
          <w:sz w:val="24"/>
          <w:szCs w:val="24"/>
        </w:rPr>
        <w:t>）</w:t>
      </w:r>
      <w:r>
        <w:rPr>
          <w:sz w:val="24"/>
          <w:szCs w:val="24"/>
        </w:rPr>
        <w:t>、县级植物检疫机构应根据情况逐步建立健全检验室，按照《植物检疫操作规程》进行检验，为植物检疫签证提供科学依据。</w:t>
      </w:r>
    </w:p>
    <w:p>
      <w:pPr>
        <w:pStyle w:val="3"/>
        <w:topLinePunct/>
        <w:spacing w:line="412" w:lineRule="exact"/>
        <w:ind w:firstLine="482"/>
        <w:rPr>
          <w:sz w:val="24"/>
          <w:szCs w:val="24"/>
        </w:rPr>
      </w:pPr>
      <w:r>
        <w:rPr>
          <w:b/>
          <w:sz w:val="24"/>
          <w:szCs w:val="24"/>
        </w:rPr>
        <w:t xml:space="preserve">第六条 </w:t>
      </w:r>
      <w:r>
        <w:rPr>
          <w:rFonts w:hint="eastAsia" w:asciiTheme="minorEastAsia" w:hAnsiTheme="minorEastAsia" w:eastAsiaTheme="minorEastAsia"/>
          <w:b/>
          <w:sz w:val="24"/>
          <w:szCs w:val="24"/>
        </w:rPr>
        <w:t xml:space="preserve"> </w:t>
      </w:r>
      <w:r>
        <w:rPr>
          <w:sz w:val="24"/>
          <w:szCs w:val="24"/>
        </w:rPr>
        <w:t>植物检疫证书的签发：</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一</w:t>
      </w:r>
      <w:r>
        <w:rPr>
          <w:rFonts w:asciiTheme="minorEastAsia" w:hAnsiTheme="minorEastAsia" w:eastAsiaTheme="minorEastAsia"/>
          <w:sz w:val="24"/>
          <w:szCs w:val="24"/>
        </w:rPr>
        <w:t>）</w:t>
      </w:r>
      <w:r>
        <w:rPr>
          <w:sz w:val="24"/>
          <w:szCs w:val="24"/>
        </w:rPr>
        <w:t>省间调运种子、苗木等繁殖材料及其他应施检疫的植物、植物产品，由省级植物检疫机构及其授权的地</w:t>
      </w:r>
      <w:r>
        <w:rPr>
          <w:rFonts w:asciiTheme="minorEastAsia" w:hAnsiTheme="minorEastAsia" w:eastAsiaTheme="minorEastAsia"/>
          <w:sz w:val="24"/>
          <w:szCs w:val="24"/>
        </w:rPr>
        <w:t>（</w:t>
      </w:r>
      <w:r>
        <w:rPr>
          <w:sz w:val="24"/>
          <w:szCs w:val="24"/>
        </w:rPr>
        <w:t>市</w:t>
      </w:r>
      <w:r>
        <w:rPr>
          <w:rFonts w:asciiTheme="minorEastAsia" w:hAnsiTheme="minorEastAsia" w:eastAsiaTheme="minorEastAsia"/>
          <w:sz w:val="24"/>
          <w:szCs w:val="24"/>
        </w:rPr>
        <w:t>）</w:t>
      </w:r>
      <w:r>
        <w:rPr>
          <w:sz w:val="24"/>
          <w:szCs w:val="24"/>
        </w:rPr>
        <w:t>、县级植物检疫机构签发植物检疫证书；省内种子、苗木及其他应施检疫的植物、植物产品的调运，由地</w:t>
      </w:r>
      <w:r>
        <w:rPr>
          <w:rFonts w:asciiTheme="minorEastAsia" w:hAnsiTheme="minorEastAsia" w:eastAsiaTheme="minorEastAsia"/>
          <w:sz w:val="24"/>
          <w:szCs w:val="24"/>
        </w:rPr>
        <w:t>（</w:t>
      </w:r>
      <w:r>
        <w:rPr>
          <w:sz w:val="24"/>
          <w:szCs w:val="24"/>
        </w:rPr>
        <w:t>市</w:t>
      </w:r>
      <w:r>
        <w:rPr>
          <w:rFonts w:asciiTheme="minorEastAsia" w:hAnsiTheme="minorEastAsia" w:eastAsiaTheme="minorEastAsia"/>
          <w:sz w:val="24"/>
          <w:szCs w:val="24"/>
        </w:rPr>
        <w:t>）</w:t>
      </w:r>
      <w:r>
        <w:rPr>
          <w:sz w:val="24"/>
          <w:szCs w:val="24"/>
        </w:rPr>
        <w:t>、县级植物检疫机构签发检疫证书。</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植物检疫证书应加盖签证机关植物检疫专用章，并由专职植物检疫员署名签发；授权签发的省间调运植物检疫证书还应当盖有省级植物检疫机构的植物检疫专用章。</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植物检疫证书式样由农业部统一制定。证书一式四份，正本一份，副本三份。正本交货主随货单寄运，副本一份由货主交收寄、托运单位留存，一份交收货单位或个人所在地</w:t>
      </w:r>
      <w:r>
        <w:rPr>
          <w:rFonts w:asciiTheme="minorEastAsia" w:hAnsiTheme="minorEastAsia" w:eastAsiaTheme="minorEastAsia"/>
          <w:sz w:val="24"/>
          <w:szCs w:val="24"/>
        </w:rPr>
        <w:t>（</w:t>
      </w:r>
      <w:r>
        <w:rPr>
          <w:sz w:val="24"/>
          <w:szCs w:val="24"/>
        </w:rPr>
        <w:t>县</w:t>
      </w:r>
      <w:r>
        <w:rPr>
          <w:rFonts w:asciiTheme="minorEastAsia" w:hAnsiTheme="minorEastAsia" w:eastAsiaTheme="minorEastAsia"/>
          <w:sz w:val="24"/>
          <w:szCs w:val="24"/>
        </w:rPr>
        <w:t>）</w:t>
      </w:r>
      <w:r>
        <w:rPr>
          <w:sz w:val="24"/>
          <w:szCs w:val="24"/>
        </w:rPr>
        <w:t>植物检疫机构</w:t>
      </w:r>
      <w:r>
        <w:rPr>
          <w:rFonts w:asciiTheme="minorEastAsia" w:hAnsiTheme="minorEastAsia" w:eastAsiaTheme="minorEastAsia"/>
          <w:sz w:val="24"/>
          <w:szCs w:val="24"/>
        </w:rPr>
        <w:t>（</w:t>
      </w:r>
      <w:r>
        <w:rPr>
          <w:sz w:val="24"/>
          <w:szCs w:val="24"/>
        </w:rPr>
        <w:t>省间调运寄给调入省植物检疫机构</w:t>
      </w:r>
      <w:r>
        <w:rPr>
          <w:rFonts w:asciiTheme="minorEastAsia" w:hAnsiTheme="minorEastAsia" w:eastAsiaTheme="minorEastAsia"/>
          <w:sz w:val="24"/>
          <w:szCs w:val="24"/>
        </w:rPr>
        <w:t>）</w:t>
      </w:r>
      <w:r>
        <w:rPr>
          <w:sz w:val="24"/>
          <w:szCs w:val="24"/>
        </w:rPr>
        <w:t>，一份留签证的植物检疫机构。</w:t>
      </w:r>
    </w:p>
    <w:p>
      <w:pPr>
        <w:pStyle w:val="3"/>
        <w:topLinePunct/>
        <w:spacing w:line="412" w:lineRule="exact"/>
        <w:ind w:firstLine="482"/>
        <w:rPr>
          <w:sz w:val="24"/>
          <w:szCs w:val="24"/>
        </w:rPr>
      </w:pPr>
      <w:r>
        <w:rPr>
          <w:b/>
          <w:sz w:val="24"/>
          <w:szCs w:val="24"/>
        </w:rPr>
        <w:t xml:space="preserve">第七条 </w:t>
      </w:r>
      <w:r>
        <w:rPr>
          <w:rFonts w:hint="eastAsia" w:asciiTheme="minorEastAsia" w:hAnsiTheme="minorEastAsia" w:eastAsiaTheme="minorEastAsia"/>
          <w:b/>
          <w:sz w:val="24"/>
          <w:szCs w:val="24"/>
        </w:rPr>
        <w:t xml:space="preserve"> </w:t>
      </w:r>
      <w:r>
        <w:rPr>
          <w:sz w:val="24"/>
          <w:szCs w:val="24"/>
        </w:rPr>
        <w:t>植物检疫机构应当自受理检疫申请之日起20日内作出审批决定，检疫和专家评审所需时间除外。</w:t>
      </w:r>
    </w:p>
    <w:p>
      <w:pPr>
        <w:pStyle w:val="3"/>
        <w:topLinePunct/>
        <w:spacing w:line="412" w:lineRule="exact"/>
        <w:ind w:firstLine="482"/>
        <w:rPr>
          <w:sz w:val="24"/>
          <w:szCs w:val="24"/>
        </w:rPr>
      </w:pPr>
      <w:r>
        <w:rPr>
          <w:b/>
          <w:sz w:val="24"/>
          <w:szCs w:val="24"/>
        </w:rPr>
        <w:t xml:space="preserve">第八条 </w:t>
      </w:r>
      <w:r>
        <w:rPr>
          <w:rFonts w:hint="eastAsia" w:asciiTheme="minorEastAsia" w:hAnsiTheme="minorEastAsia" w:eastAsiaTheme="minorEastAsia"/>
          <w:b/>
          <w:sz w:val="24"/>
          <w:szCs w:val="24"/>
        </w:rPr>
        <w:t xml:space="preserve"> </w:t>
      </w:r>
      <w:r>
        <w:rPr>
          <w:sz w:val="24"/>
          <w:szCs w:val="24"/>
        </w:rPr>
        <w:t>植物</w:t>
      </w:r>
      <w:r>
        <w:rPr>
          <w:spacing w:val="-4"/>
          <w:sz w:val="24"/>
          <w:szCs w:val="24"/>
        </w:rPr>
        <w:t>检疫人员着装办法以及服装、标志式样等由农业部、财政部统一制定。</w:t>
      </w:r>
    </w:p>
    <w:p>
      <w:pPr>
        <w:pStyle w:val="63"/>
        <w:spacing w:before="218" w:after="218" w:line="412" w:lineRule="exact"/>
      </w:pPr>
      <w:r>
        <w:t>第二章</w:t>
      </w:r>
      <w:r>
        <w:rPr>
          <w:rFonts w:hint="eastAsia"/>
        </w:rPr>
        <w:t xml:space="preserve">  </w:t>
      </w:r>
      <w:r>
        <w:t>检疫范围</w:t>
      </w:r>
    </w:p>
    <w:p>
      <w:pPr>
        <w:pStyle w:val="3"/>
        <w:topLinePunct/>
        <w:spacing w:line="412" w:lineRule="exact"/>
        <w:ind w:firstLine="482"/>
        <w:rPr>
          <w:sz w:val="24"/>
          <w:szCs w:val="24"/>
        </w:rPr>
      </w:pPr>
      <w:r>
        <w:rPr>
          <w:b/>
          <w:sz w:val="24"/>
          <w:szCs w:val="24"/>
        </w:rPr>
        <w:t xml:space="preserve">第九条 </w:t>
      </w:r>
      <w:r>
        <w:rPr>
          <w:rFonts w:hint="eastAsia" w:asciiTheme="minorEastAsia" w:hAnsiTheme="minorEastAsia" w:eastAsiaTheme="minorEastAsia"/>
          <w:b/>
          <w:sz w:val="24"/>
          <w:szCs w:val="24"/>
        </w:rPr>
        <w:t xml:space="preserve"> </w:t>
      </w:r>
      <w:r>
        <w:rPr>
          <w:sz w:val="24"/>
          <w:szCs w:val="24"/>
        </w:rPr>
        <w:t>农业植物检疫范围包括粮、棉、油、麻、桑、茶、糖、菜、烟、果</w:t>
      </w:r>
      <w:r>
        <w:rPr>
          <w:rFonts w:asciiTheme="minorEastAsia" w:hAnsiTheme="minorEastAsia" w:eastAsiaTheme="minorEastAsia"/>
          <w:sz w:val="24"/>
          <w:szCs w:val="24"/>
        </w:rPr>
        <w:t>（</w:t>
      </w:r>
      <w:r>
        <w:rPr>
          <w:sz w:val="24"/>
          <w:szCs w:val="24"/>
        </w:rPr>
        <w:t>干果除外</w:t>
      </w:r>
      <w:r>
        <w:rPr>
          <w:rFonts w:asciiTheme="minorEastAsia" w:hAnsiTheme="minorEastAsia" w:eastAsiaTheme="minorEastAsia"/>
          <w:sz w:val="24"/>
          <w:szCs w:val="24"/>
        </w:rPr>
        <w:t>）</w:t>
      </w:r>
      <w:r>
        <w:rPr>
          <w:sz w:val="24"/>
          <w:szCs w:val="24"/>
        </w:rPr>
        <w:t>、药材、花卉、牧草、绿肥、热带作物等植物、植物的各部分，包括种子、块根、块茎、球茎、鳞茎、接穗、砧木、试管苗、细胞繁殖体等繁殖材料，以及来源于上述植物、未经加工或者虽经加工但仍有可能传播疫情的植物产品。</w:t>
      </w:r>
    </w:p>
    <w:p>
      <w:pPr>
        <w:pStyle w:val="3"/>
        <w:topLinePunct/>
        <w:spacing w:line="412" w:lineRule="exact"/>
        <w:ind w:firstLine="480"/>
        <w:rPr>
          <w:sz w:val="24"/>
          <w:szCs w:val="24"/>
        </w:rPr>
      </w:pPr>
      <w:r>
        <w:rPr>
          <w:sz w:val="24"/>
          <w:szCs w:val="24"/>
        </w:rPr>
        <w:t>全国植物检疫对象和应施检疫的植物、植物产品名单，由农业部统一制定；各省、自治区、直辖市补充的植物检疫对象和应施检疫的植物、植物产品名单，由各省、自治区、直辖市农业主管部门制定，并报农业部备案。</w:t>
      </w:r>
    </w:p>
    <w:p>
      <w:pPr>
        <w:pStyle w:val="3"/>
        <w:topLinePunct/>
        <w:spacing w:line="412" w:lineRule="exact"/>
        <w:ind w:firstLine="482"/>
        <w:rPr>
          <w:sz w:val="24"/>
          <w:szCs w:val="24"/>
        </w:rPr>
      </w:pPr>
      <w:r>
        <w:rPr>
          <w:b/>
          <w:sz w:val="24"/>
          <w:szCs w:val="24"/>
        </w:rPr>
        <w:t xml:space="preserve">第十条 </w:t>
      </w:r>
      <w:r>
        <w:rPr>
          <w:rFonts w:hint="eastAsia" w:asciiTheme="minorEastAsia" w:hAnsiTheme="minorEastAsia" w:eastAsiaTheme="minorEastAsia"/>
          <w:b/>
          <w:sz w:val="24"/>
          <w:szCs w:val="24"/>
        </w:rPr>
        <w:t xml:space="preserve"> </w:t>
      </w:r>
      <w:r>
        <w:rPr>
          <w:sz w:val="24"/>
          <w:szCs w:val="24"/>
        </w:rPr>
        <w:t>根据《植物检疫条例》第七条和第八条第三款的规定，省间调运植物、植物产品，属于下列情况的必须实施检疫：</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一</w:t>
      </w:r>
      <w:r>
        <w:rPr>
          <w:rFonts w:asciiTheme="minorEastAsia" w:hAnsiTheme="minorEastAsia" w:eastAsiaTheme="minorEastAsia"/>
          <w:sz w:val="24"/>
          <w:szCs w:val="24"/>
        </w:rPr>
        <w:t>）</w:t>
      </w:r>
      <w:r>
        <w:rPr>
          <w:sz w:val="24"/>
          <w:szCs w:val="24"/>
        </w:rPr>
        <w:t>凡种子、苗木和其他繁殖材料，不论是否列入应施检疫的植物、植物产品名单和运往何地，在调运之前，都必须经过检疫；</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列入全国和省、自治区、直辖市应施检疫的植物、植物产品名单的植物产品，运出发生疫情的县级行政区域之前，必须经过检疫；</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对可能受疫情污染的包装材料、运载工具、场地、仓库等也应实施检疫。</w:t>
      </w:r>
    </w:p>
    <w:p>
      <w:pPr>
        <w:pStyle w:val="3"/>
        <w:topLinePunct/>
        <w:spacing w:line="412" w:lineRule="exact"/>
        <w:ind w:firstLine="482"/>
        <w:rPr>
          <w:sz w:val="24"/>
          <w:szCs w:val="24"/>
        </w:rPr>
      </w:pPr>
      <w:r>
        <w:rPr>
          <w:b/>
          <w:sz w:val="24"/>
          <w:szCs w:val="24"/>
        </w:rPr>
        <w:t xml:space="preserve">第十一条 </w:t>
      </w:r>
      <w:r>
        <w:rPr>
          <w:rFonts w:hint="eastAsia" w:asciiTheme="minorEastAsia" w:hAnsiTheme="minorEastAsia" w:eastAsiaTheme="minorEastAsia"/>
          <w:b/>
          <w:sz w:val="24"/>
          <w:szCs w:val="24"/>
        </w:rPr>
        <w:t xml:space="preserve"> </w:t>
      </w:r>
      <w:r>
        <w:rPr>
          <w:sz w:val="24"/>
          <w:szCs w:val="24"/>
        </w:rPr>
        <w:t>各级植物检疫机构对本辖区的植物检疫对象原则上每隔三至五年调查一次，重点对象要每年调查。根据调查结果编制检疫对象分布资料，并报上一级植物检疫机构。</w:t>
      </w:r>
    </w:p>
    <w:p>
      <w:pPr>
        <w:pStyle w:val="63"/>
        <w:spacing w:before="218" w:after="218" w:line="412" w:lineRule="exact"/>
      </w:pPr>
      <w:r>
        <w:t>第三章</w:t>
      </w:r>
      <w:r>
        <w:rPr>
          <w:rFonts w:hint="eastAsia"/>
        </w:rPr>
        <w:t xml:space="preserve">  </w:t>
      </w:r>
      <w:r>
        <w:t>植物检疫对象的划区、控制和消灭</w:t>
      </w:r>
    </w:p>
    <w:p>
      <w:pPr>
        <w:pStyle w:val="3"/>
        <w:topLinePunct/>
        <w:spacing w:line="412" w:lineRule="exact"/>
        <w:ind w:firstLine="480"/>
        <w:rPr>
          <w:sz w:val="24"/>
          <w:szCs w:val="24"/>
        </w:rPr>
      </w:pPr>
      <w:r>
        <w:rPr>
          <w:sz w:val="24"/>
          <w:szCs w:val="24"/>
        </w:rPr>
        <w:t>农业部编制全国农业植物检疫对象分布至县的资料，各省、自治区、直辖市编制分布至乡的资料，并报农业部备案。</w:t>
      </w:r>
    </w:p>
    <w:p>
      <w:pPr>
        <w:pStyle w:val="3"/>
        <w:topLinePunct/>
        <w:spacing w:line="412" w:lineRule="exact"/>
        <w:ind w:firstLine="482"/>
        <w:rPr>
          <w:sz w:val="24"/>
          <w:szCs w:val="24"/>
        </w:rPr>
      </w:pPr>
      <w:r>
        <w:rPr>
          <w:b/>
          <w:sz w:val="24"/>
          <w:szCs w:val="24"/>
        </w:rPr>
        <w:t xml:space="preserve">第十二条 </w:t>
      </w:r>
      <w:r>
        <w:rPr>
          <w:rFonts w:hint="eastAsia" w:asciiTheme="minorEastAsia" w:hAnsiTheme="minorEastAsia" w:eastAsiaTheme="minorEastAsia"/>
          <w:b/>
          <w:sz w:val="24"/>
          <w:szCs w:val="24"/>
        </w:rPr>
        <w:t xml:space="preserve"> </w:t>
      </w:r>
      <w:r>
        <w:rPr>
          <w:sz w:val="24"/>
          <w:szCs w:val="24"/>
        </w:rPr>
        <w:t>全国植物检疫对象、国外新传入和国内突发性的危险性病、虫、杂草的疫情，由农业部发布；各省、自治区、直辖市补充的植物检疫对象的疫情，由各省、自治区、直辖市农业主管部门发布，并报农业部备案。</w:t>
      </w:r>
    </w:p>
    <w:p>
      <w:pPr>
        <w:pStyle w:val="3"/>
        <w:topLinePunct/>
        <w:spacing w:line="412" w:lineRule="exact"/>
        <w:ind w:firstLine="482"/>
        <w:rPr>
          <w:sz w:val="24"/>
          <w:szCs w:val="24"/>
        </w:rPr>
      </w:pPr>
      <w:r>
        <w:rPr>
          <w:b/>
          <w:sz w:val="24"/>
          <w:szCs w:val="24"/>
        </w:rPr>
        <w:t xml:space="preserve">第十三条 </w:t>
      </w:r>
      <w:r>
        <w:rPr>
          <w:rFonts w:hint="eastAsia" w:asciiTheme="minorEastAsia" w:hAnsiTheme="minorEastAsia" w:eastAsiaTheme="minorEastAsia"/>
          <w:b/>
          <w:sz w:val="24"/>
          <w:szCs w:val="24"/>
        </w:rPr>
        <w:t xml:space="preserve"> </w:t>
      </w:r>
      <w:r>
        <w:rPr>
          <w:sz w:val="24"/>
          <w:szCs w:val="24"/>
        </w:rPr>
        <w:t>划定疫区和保护区，要同时制定相应的封锁、控制、消灭或保护措施。在发生疫情的地区，植物检疫机构可以按照《植物检疫条例》第五条第三款的规定，派人参加道路联合检查站或者经省、自治区、直辖市人民政府批准，设立植物检疫检查站，开展植物检疫工作。各省、自治区、直辖市植物检疫机构应当就本辖区内设立或者撤销的植物检疫检查站名称、地点等报农业部备案。</w:t>
      </w:r>
    </w:p>
    <w:p>
      <w:pPr>
        <w:pStyle w:val="3"/>
        <w:topLinePunct/>
        <w:spacing w:line="412" w:lineRule="exact"/>
        <w:ind w:firstLine="480"/>
        <w:rPr>
          <w:sz w:val="24"/>
          <w:szCs w:val="24"/>
        </w:rPr>
      </w:pPr>
      <w:r>
        <w:rPr>
          <w:sz w:val="24"/>
          <w:szCs w:val="24"/>
        </w:rPr>
        <w:t>疫区内的种子、苗木及其他繁殖材料和应施检疫的植物、植物产品，只限在疫区内种植、使用，禁止运出疫区；如因特殊情况需要运出疫区的，必须事先征得所在地省级植物检疫机构批准，调出省外的，应经农业部批准。</w:t>
      </w:r>
    </w:p>
    <w:p>
      <w:pPr>
        <w:pStyle w:val="3"/>
        <w:topLinePunct/>
        <w:spacing w:line="412" w:lineRule="exact"/>
        <w:ind w:firstLine="482"/>
        <w:rPr>
          <w:sz w:val="24"/>
          <w:szCs w:val="24"/>
        </w:rPr>
      </w:pPr>
      <w:r>
        <w:rPr>
          <w:b/>
          <w:sz w:val="24"/>
          <w:szCs w:val="24"/>
        </w:rPr>
        <w:t xml:space="preserve">第十四条 </w:t>
      </w:r>
      <w:r>
        <w:rPr>
          <w:rFonts w:hint="eastAsia" w:asciiTheme="minorEastAsia" w:hAnsiTheme="minorEastAsia" w:eastAsiaTheme="minorEastAsia"/>
          <w:b/>
          <w:sz w:val="24"/>
          <w:szCs w:val="24"/>
        </w:rPr>
        <w:t xml:space="preserve"> </w:t>
      </w:r>
      <w:r>
        <w:rPr>
          <w:sz w:val="24"/>
          <w:szCs w:val="24"/>
        </w:rPr>
        <w:t>疫区内的检疫对象，在达到基本消灭或已取得控制蔓延的有效办法以后，应按照疫区划定时的程序，办理撤销手续，经批准后明文公布。</w:t>
      </w:r>
    </w:p>
    <w:p>
      <w:pPr>
        <w:pStyle w:val="63"/>
        <w:spacing w:before="218" w:after="218" w:line="412" w:lineRule="exact"/>
      </w:pPr>
      <w:r>
        <w:t>第四章</w:t>
      </w:r>
      <w:r>
        <w:rPr>
          <w:rFonts w:hint="eastAsia"/>
        </w:rPr>
        <w:t xml:space="preserve">  </w:t>
      </w:r>
      <w:r>
        <w:t>调运检疫</w:t>
      </w:r>
    </w:p>
    <w:p>
      <w:pPr>
        <w:pStyle w:val="3"/>
        <w:topLinePunct/>
        <w:spacing w:line="412" w:lineRule="exact"/>
        <w:ind w:firstLine="482"/>
        <w:rPr>
          <w:sz w:val="24"/>
          <w:szCs w:val="24"/>
        </w:rPr>
      </w:pPr>
      <w:r>
        <w:rPr>
          <w:b/>
          <w:sz w:val="24"/>
          <w:szCs w:val="24"/>
        </w:rPr>
        <w:t xml:space="preserve">第十五条 </w:t>
      </w:r>
      <w:r>
        <w:rPr>
          <w:rFonts w:hint="eastAsia" w:asciiTheme="minorEastAsia" w:hAnsiTheme="minorEastAsia" w:eastAsiaTheme="minorEastAsia"/>
          <w:b/>
          <w:sz w:val="24"/>
          <w:szCs w:val="24"/>
        </w:rPr>
        <w:t xml:space="preserve"> </w:t>
      </w:r>
      <w:r>
        <w:rPr>
          <w:sz w:val="24"/>
          <w:szCs w:val="24"/>
        </w:rPr>
        <w:t>根据《植物检疫条例》第九条和第十条规定，省间调运应施检疫的植物、植物产品，按照下列程序实施检疫：</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一</w:t>
      </w:r>
      <w:r>
        <w:rPr>
          <w:rFonts w:asciiTheme="minorEastAsia" w:hAnsiTheme="minorEastAsia" w:eastAsiaTheme="minorEastAsia"/>
          <w:sz w:val="24"/>
          <w:szCs w:val="24"/>
        </w:rPr>
        <w:t>）</w:t>
      </w:r>
      <w:r>
        <w:rPr>
          <w:sz w:val="24"/>
          <w:szCs w:val="24"/>
        </w:rPr>
        <w:t>调入单位或个人必须事先征得所在地的省、自治区、直辖市植物检疫机构或其授权的地</w:t>
      </w:r>
      <w:r>
        <w:rPr>
          <w:rFonts w:asciiTheme="minorEastAsia" w:hAnsiTheme="minorEastAsia" w:eastAsiaTheme="minorEastAsia"/>
          <w:sz w:val="24"/>
          <w:szCs w:val="24"/>
        </w:rPr>
        <w:t>（</w:t>
      </w:r>
      <w:r>
        <w:rPr>
          <w:sz w:val="24"/>
          <w:szCs w:val="24"/>
        </w:rPr>
        <w:t>市</w:t>
      </w:r>
      <w:r>
        <w:rPr>
          <w:rFonts w:asciiTheme="minorEastAsia" w:hAnsiTheme="minorEastAsia" w:eastAsiaTheme="minorEastAsia"/>
          <w:sz w:val="24"/>
          <w:szCs w:val="24"/>
        </w:rPr>
        <w:t>）</w:t>
      </w:r>
      <w:r>
        <w:rPr>
          <w:sz w:val="24"/>
          <w:szCs w:val="24"/>
        </w:rPr>
        <w:t>、县级植物检疫机构同意，并取得检疫要求书；</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调出地的省、自治区、直辖市植物检疫机构或其授权的当地植物检疫机构，凭调出单位或个人提供的调入地检疫要求书受理报检，并实施检疫。</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邮寄、承运单位一律凭有效的植物检疫证书正本收寄、承运应施检疫的植物、植物产品。</w:t>
      </w:r>
    </w:p>
    <w:p>
      <w:pPr>
        <w:pStyle w:val="3"/>
        <w:topLinePunct/>
        <w:spacing w:line="412" w:lineRule="exact"/>
        <w:ind w:firstLine="482"/>
        <w:rPr>
          <w:sz w:val="24"/>
          <w:szCs w:val="24"/>
        </w:rPr>
      </w:pPr>
      <w:r>
        <w:rPr>
          <w:b/>
          <w:sz w:val="24"/>
          <w:szCs w:val="24"/>
        </w:rPr>
        <w:t xml:space="preserve">第十六条 </w:t>
      </w:r>
      <w:r>
        <w:rPr>
          <w:rFonts w:hint="eastAsia" w:asciiTheme="minorEastAsia" w:hAnsiTheme="minorEastAsia" w:eastAsiaTheme="minorEastAsia"/>
          <w:b/>
          <w:sz w:val="24"/>
          <w:szCs w:val="24"/>
        </w:rPr>
        <w:t xml:space="preserve"> </w:t>
      </w:r>
      <w:r>
        <w:rPr>
          <w:sz w:val="24"/>
          <w:szCs w:val="24"/>
        </w:rPr>
        <w:t>调出单位所在地的省、自治区、直辖市植物检疫机构或其授权的地</w:t>
      </w:r>
      <w:r>
        <w:rPr>
          <w:rFonts w:asciiTheme="minorEastAsia" w:hAnsiTheme="minorEastAsia" w:eastAsiaTheme="minorEastAsia"/>
          <w:sz w:val="24"/>
          <w:szCs w:val="24"/>
        </w:rPr>
        <w:t>（</w:t>
      </w:r>
      <w:r>
        <w:rPr>
          <w:sz w:val="24"/>
          <w:szCs w:val="24"/>
        </w:rPr>
        <w:t>市</w:t>
      </w:r>
      <w:r>
        <w:rPr>
          <w:rFonts w:asciiTheme="minorEastAsia" w:hAnsiTheme="minorEastAsia" w:eastAsiaTheme="minorEastAsia"/>
          <w:sz w:val="24"/>
          <w:szCs w:val="24"/>
        </w:rPr>
        <w:t>）</w:t>
      </w:r>
      <w:r>
        <w:rPr>
          <w:sz w:val="24"/>
          <w:szCs w:val="24"/>
        </w:rPr>
        <w:t>、县级植物检疫机构，按下列不同情况签发植物检疫证书：</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一</w:t>
      </w:r>
      <w:r>
        <w:rPr>
          <w:rFonts w:asciiTheme="minorEastAsia" w:hAnsiTheme="minorEastAsia" w:eastAsiaTheme="minorEastAsia"/>
          <w:sz w:val="24"/>
          <w:szCs w:val="24"/>
        </w:rPr>
        <w:t>）</w:t>
      </w:r>
      <w:r>
        <w:rPr>
          <w:sz w:val="24"/>
          <w:szCs w:val="24"/>
        </w:rPr>
        <w:t>在无植物检疫对象发生地区调运植物、植物产品，经核实后签发植物检疫证书；</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在零星发生植物检疫对象的地区调运种子、苗木等繁殖材料时，应凭产地检疫合格证签发植物检疫证书；</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对产地植物检疫对象发生情况不清楚的植物、植物产品，必须按照《调运检疫操作规程》进行检疫，证明不带植物检疫对象后，签发植物检疫证书。</w:t>
      </w:r>
    </w:p>
    <w:p>
      <w:pPr>
        <w:pStyle w:val="3"/>
        <w:topLinePunct/>
        <w:spacing w:line="412" w:lineRule="exact"/>
        <w:ind w:firstLine="480"/>
        <w:rPr>
          <w:sz w:val="24"/>
          <w:szCs w:val="24"/>
        </w:rPr>
      </w:pPr>
      <w:r>
        <w:rPr>
          <w:sz w:val="24"/>
          <w:szCs w:val="24"/>
        </w:rPr>
        <w:t>在上述调运检疫过程中，发现有检疫对象时，必须严格进行除害处理，合格后，签发植物检疫证书；未经除害处理或处理不合格的，不准放行。</w:t>
      </w:r>
    </w:p>
    <w:p>
      <w:pPr>
        <w:pStyle w:val="3"/>
        <w:topLinePunct/>
        <w:spacing w:line="412" w:lineRule="exact"/>
        <w:ind w:firstLine="482"/>
        <w:rPr>
          <w:sz w:val="24"/>
          <w:szCs w:val="24"/>
        </w:rPr>
      </w:pPr>
      <w:r>
        <w:rPr>
          <w:b/>
          <w:sz w:val="24"/>
          <w:szCs w:val="24"/>
        </w:rPr>
        <w:t xml:space="preserve">第十七条 </w:t>
      </w:r>
      <w:r>
        <w:rPr>
          <w:rFonts w:hint="eastAsia" w:asciiTheme="minorEastAsia" w:hAnsiTheme="minorEastAsia" w:eastAsiaTheme="minorEastAsia"/>
          <w:b/>
          <w:sz w:val="24"/>
          <w:szCs w:val="24"/>
        </w:rPr>
        <w:t xml:space="preserve"> </w:t>
      </w:r>
      <w:r>
        <w:rPr>
          <w:sz w:val="24"/>
          <w:szCs w:val="24"/>
        </w:rPr>
        <w:t>调入地植物检疫机构，对来自发生疫情的县级行政区域的应检植物、植物产品，或者其他可能带有检疫对象的应检植物、植物产品可以进行复检。复检中发现问题的，应当与原签证植物检疫机构共同查清事实，分清责任，由复检的植物检疫机构按照《植物检疫条例》的规定予以处理。</w:t>
      </w:r>
    </w:p>
    <w:p>
      <w:pPr>
        <w:pStyle w:val="63"/>
        <w:spacing w:before="218" w:after="218" w:line="412" w:lineRule="exact"/>
      </w:pPr>
      <w:r>
        <w:t>第五章</w:t>
      </w:r>
      <w:r>
        <w:rPr>
          <w:rFonts w:hint="eastAsia"/>
        </w:rPr>
        <w:t xml:space="preserve">  </w:t>
      </w:r>
      <w:r>
        <w:t>产地检疫</w:t>
      </w:r>
    </w:p>
    <w:p>
      <w:pPr>
        <w:pStyle w:val="3"/>
        <w:topLinePunct/>
        <w:spacing w:line="412" w:lineRule="exact"/>
        <w:ind w:firstLine="482"/>
        <w:rPr>
          <w:sz w:val="24"/>
          <w:szCs w:val="24"/>
        </w:rPr>
      </w:pPr>
      <w:r>
        <w:rPr>
          <w:b/>
          <w:sz w:val="24"/>
          <w:szCs w:val="24"/>
        </w:rPr>
        <w:t xml:space="preserve">第十八条 </w:t>
      </w:r>
      <w:r>
        <w:rPr>
          <w:rFonts w:hint="eastAsia" w:asciiTheme="minorEastAsia" w:hAnsiTheme="minorEastAsia" w:eastAsiaTheme="minorEastAsia"/>
          <w:b/>
          <w:sz w:val="24"/>
          <w:szCs w:val="24"/>
        </w:rPr>
        <w:t xml:space="preserve"> </w:t>
      </w:r>
      <w:r>
        <w:rPr>
          <w:sz w:val="24"/>
          <w:szCs w:val="24"/>
        </w:rPr>
        <w:t>各级植物检疫机构对本辖区的原种场、良种场、苗圃以及其他繁育基地，按照国家和地方制定的《植物检疫操作规程》实施产地检疫，有关单位或个人应给予必要的配合和协助。</w:t>
      </w:r>
    </w:p>
    <w:p>
      <w:pPr>
        <w:pStyle w:val="3"/>
        <w:topLinePunct/>
        <w:spacing w:line="412" w:lineRule="exact"/>
        <w:ind w:firstLine="482"/>
        <w:rPr>
          <w:sz w:val="24"/>
          <w:szCs w:val="24"/>
        </w:rPr>
      </w:pPr>
      <w:r>
        <w:rPr>
          <w:b/>
          <w:sz w:val="24"/>
          <w:szCs w:val="24"/>
        </w:rPr>
        <w:t xml:space="preserve">第十九条 </w:t>
      </w:r>
      <w:r>
        <w:rPr>
          <w:rFonts w:hint="eastAsia" w:asciiTheme="minorEastAsia" w:hAnsiTheme="minorEastAsia" w:eastAsiaTheme="minorEastAsia"/>
          <w:b/>
          <w:sz w:val="24"/>
          <w:szCs w:val="24"/>
        </w:rPr>
        <w:t xml:space="preserve"> </w:t>
      </w:r>
      <w:r>
        <w:rPr>
          <w:sz w:val="24"/>
          <w:szCs w:val="24"/>
        </w:rPr>
        <w:t>种苗繁育单位或个人必须有计划地在无植物检疫对象分布的地区建立种苗繁育基地。新建的良种场、原种场、苗圃等，在选址以前，应征求当地植物检疫机构的意见；植物检疫机构应帮助种苗繁育单位选择符合检疫要求的地方建立繁育基地。</w:t>
      </w:r>
    </w:p>
    <w:p>
      <w:pPr>
        <w:pStyle w:val="3"/>
        <w:topLinePunct/>
        <w:spacing w:line="412" w:lineRule="exact"/>
        <w:ind w:firstLine="480"/>
        <w:rPr>
          <w:sz w:val="24"/>
          <w:szCs w:val="24"/>
        </w:rPr>
      </w:pPr>
      <w:r>
        <w:rPr>
          <w:sz w:val="24"/>
          <w:szCs w:val="24"/>
        </w:rPr>
        <w:t>已经发生检疫对象的良种场、原种场、苗圃等，应立即采取有效措施封锁消灭。在检疫对象未消灭以前，所繁育的材料不准调入无病区，经过严格除害处理并经植物检疫机构检疫合格的，可以调运。</w:t>
      </w:r>
    </w:p>
    <w:p>
      <w:pPr>
        <w:pStyle w:val="3"/>
        <w:topLinePunct/>
        <w:spacing w:line="412" w:lineRule="exact"/>
        <w:ind w:firstLine="482"/>
        <w:rPr>
          <w:sz w:val="24"/>
          <w:szCs w:val="24"/>
        </w:rPr>
      </w:pPr>
      <w:r>
        <w:rPr>
          <w:b/>
          <w:sz w:val="24"/>
          <w:szCs w:val="24"/>
        </w:rPr>
        <w:t xml:space="preserve">第二十条 </w:t>
      </w:r>
      <w:r>
        <w:rPr>
          <w:rFonts w:hint="eastAsia" w:asciiTheme="minorEastAsia" w:hAnsiTheme="minorEastAsia" w:eastAsiaTheme="minorEastAsia"/>
          <w:b/>
          <w:sz w:val="24"/>
          <w:szCs w:val="24"/>
        </w:rPr>
        <w:t xml:space="preserve"> </w:t>
      </w:r>
      <w:r>
        <w:rPr>
          <w:sz w:val="24"/>
          <w:szCs w:val="24"/>
        </w:rPr>
        <w:t>试验、示范、推广的种子、苗木和其他繁殖材料，必须事先经过植物检疫机构检疫，查明确实不带植物检疫对象的，发给植物检疫证书后，方可进行试验、示范和推广。</w:t>
      </w:r>
    </w:p>
    <w:p>
      <w:pPr>
        <w:pStyle w:val="63"/>
        <w:spacing w:before="218" w:after="218" w:line="412" w:lineRule="exact"/>
      </w:pPr>
      <w:r>
        <w:t>第六章</w:t>
      </w:r>
      <w:r>
        <w:rPr>
          <w:rFonts w:hint="eastAsia"/>
        </w:rPr>
        <w:t xml:space="preserve">  </w:t>
      </w:r>
      <w:r>
        <w:t>国外引种检疫</w:t>
      </w:r>
    </w:p>
    <w:p>
      <w:pPr>
        <w:pStyle w:val="3"/>
        <w:topLinePunct/>
        <w:spacing w:line="412" w:lineRule="exact"/>
        <w:ind w:firstLine="482"/>
        <w:rPr>
          <w:sz w:val="24"/>
          <w:szCs w:val="24"/>
        </w:rPr>
      </w:pPr>
      <w:r>
        <w:rPr>
          <w:b/>
          <w:sz w:val="24"/>
          <w:szCs w:val="24"/>
        </w:rPr>
        <w:t xml:space="preserve">第二十一条 </w:t>
      </w:r>
      <w:r>
        <w:rPr>
          <w:rFonts w:hint="eastAsia" w:asciiTheme="minorEastAsia" w:hAnsiTheme="minorEastAsia" w:eastAsiaTheme="minorEastAsia"/>
          <w:b/>
          <w:sz w:val="24"/>
          <w:szCs w:val="24"/>
        </w:rPr>
        <w:t xml:space="preserve"> </w:t>
      </w:r>
      <w:r>
        <w:rPr>
          <w:sz w:val="24"/>
          <w:szCs w:val="24"/>
        </w:rPr>
        <w:t>从国外引进种子、苗木和其他繁殖材料</w:t>
      </w:r>
      <w:r>
        <w:rPr>
          <w:rFonts w:asciiTheme="minorEastAsia" w:hAnsiTheme="minorEastAsia" w:eastAsiaTheme="minorEastAsia"/>
          <w:sz w:val="24"/>
          <w:szCs w:val="24"/>
        </w:rPr>
        <w:t>（</w:t>
      </w:r>
      <w:r>
        <w:rPr>
          <w:sz w:val="24"/>
          <w:szCs w:val="24"/>
        </w:rPr>
        <w:t>国家禁止进境的除外</w:t>
      </w:r>
      <w:r>
        <w:rPr>
          <w:rFonts w:asciiTheme="minorEastAsia" w:hAnsiTheme="minorEastAsia" w:eastAsiaTheme="minorEastAsia"/>
          <w:sz w:val="24"/>
          <w:szCs w:val="24"/>
        </w:rPr>
        <w:t>）</w:t>
      </w:r>
      <w:r>
        <w:rPr>
          <w:sz w:val="24"/>
          <w:szCs w:val="24"/>
        </w:rPr>
        <w:t>，实行农业部和省、自治区、直辖市农业主管部门两级审批。</w:t>
      </w:r>
    </w:p>
    <w:p>
      <w:pPr>
        <w:pStyle w:val="3"/>
        <w:topLinePunct/>
        <w:spacing w:line="412" w:lineRule="exact"/>
        <w:ind w:firstLine="480"/>
        <w:rPr>
          <w:sz w:val="24"/>
          <w:szCs w:val="24"/>
        </w:rPr>
      </w:pPr>
      <w:r>
        <w:rPr>
          <w:sz w:val="24"/>
          <w:szCs w:val="24"/>
        </w:rPr>
        <w:t>种苗的引进单位或者代理进口单位应当在对外签订贸易合同、协议三十日前向种苗种植地的省、自治区、直辖市植物检疫机构提出申请，办理国外引种检疫审批手续。引种数量较大的，由种苗种植地的省、自治区、直辖市植物检疫机构审核并签署意见后，报农业部农业司或其授权单位审批。</w:t>
      </w:r>
    </w:p>
    <w:p>
      <w:pPr>
        <w:pStyle w:val="3"/>
        <w:topLinePunct/>
        <w:spacing w:line="412" w:lineRule="exact"/>
        <w:ind w:firstLine="480"/>
        <w:rPr>
          <w:sz w:val="24"/>
          <w:szCs w:val="24"/>
        </w:rPr>
      </w:pPr>
      <w:r>
        <w:rPr>
          <w:sz w:val="24"/>
          <w:szCs w:val="24"/>
        </w:rPr>
        <w:t>国务院有关部门所属的在京单位、驻京部队单位、外国驻京机构等引种，应当在对外签订贸易合同、协议三十日前向农业部农业司或其授权单位提出申请，办理国外引种检疫审批手续。</w:t>
      </w:r>
    </w:p>
    <w:p>
      <w:pPr>
        <w:pStyle w:val="3"/>
        <w:topLinePunct/>
        <w:spacing w:line="412" w:lineRule="exact"/>
        <w:ind w:firstLine="480"/>
        <w:rPr>
          <w:sz w:val="24"/>
          <w:szCs w:val="24"/>
        </w:rPr>
      </w:pPr>
      <w:r>
        <w:rPr>
          <w:sz w:val="24"/>
          <w:szCs w:val="24"/>
        </w:rPr>
        <w:t>国外引种检疫审批管理办法由农业部另行制定。</w:t>
      </w:r>
    </w:p>
    <w:p>
      <w:pPr>
        <w:pStyle w:val="3"/>
        <w:topLinePunct/>
        <w:spacing w:line="412" w:lineRule="exact"/>
        <w:ind w:firstLine="482"/>
        <w:rPr>
          <w:sz w:val="24"/>
          <w:szCs w:val="24"/>
        </w:rPr>
      </w:pPr>
      <w:r>
        <w:rPr>
          <w:b/>
          <w:sz w:val="24"/>
          <w:szCs w:val="24"/>
        </w:rPr>
        <w:t xml:space="preserve">第二十二条 </w:t>
      </w:r>
      <w:r>
        <w:rPr>
          <w:rFonts w:hint="eastAsia" w:asciiTheme="minorEastAsia" w:hAnsiTheme="minorEastAsia" w:eastAsiaTheme="minorEastAsia"/>
          <w:b/>
          <w:sz w:val="24"/>
          <w:szCs w:val="24"/>
        </w:rPr>
        <w:t xml:space="preserve"> </w:t>
      </w:r>
      <w:r>
        <w:rPr>
          <w:sz w:val="24"/>
          <w:szCs w:val="24"/>
        </w:rPr>
        <w:t>从国外引进种子、苗木等繁殖材料，必须符合下列检疫要求：</w:t>
      </w:r>
    </w:p>
    <w:p>
      <w:pPr>
        <w:pStyle w:val="3"/>
        <w:topLinePunct/>
        <w:spacing w:line="412" w:lineRule="exact"/>
        <w:ind w:firstLine="480"/>
        <w:rPr>
          <w:sz w:val="24"/>
          <w:szCs w:val="24"/>
        </w:rPr>
      </w:pPr>
      <w:r>
        <w:rPr>
          <w:sz w:val="24"/>
          <w:szCs w:val="24"/>
        </w:rPr>
        <w:t>（一</w:t>
      </w:r>
      <w:r>
        <w:rPr>
          <w:rFonts w:asciiTheme="minorEastAsia" w:hAnsiTheme="minorEastAsia" w:eastAsiaTheme="minorEastAsia"/>
          <w:sz w:val="24"/>
          <w:szCs w:val="24"/>
        </w:rPr>
        <w:t>）</w:t>
      </w:r>
      <w:r>
        <w:rPr>
          <w:sz w:val="24"/>
          <w:szCs w:val="24"/>
        </w:rPr>
        <w:t>引进种子、苗木和其他繁殖材料的单位或者代理单位必须在对外贸易合同或者协议中订明中国法定的检疫要求，并订明输出国家或者地区政府植物检疫机关出具检疫证书，证明符合中国的检疫要求。</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引进单位在申请引种前，应当安排好试种计划。引进后，必须在指定的地点集中进行隔离试种，隔离试种的时间，一年生作物不得少于一个生育周期，多年生作物不得少于二年。</w:t>
      </w:r>
    </w:p>
    <w:p>
      <w:pPr>
        <w:pStyle w:val="3"/>
        <w:topLinePunct/>
        <w:spacing w:line="412" w:lineRule="exact"/>
        <w:ind w:firstLine="480"/>
        <w:rPr>
          <w:sz w:val="24"/>
          <w:szCs w:val="24"/>
        </w:rPr>
      </w:pPr>
      <w:r>
        <w:rPr>
          <w:sz w:val="24"/>
          <w:szCs w:val="24"/>
        </w:rPr>
        <w:t>在隔离试种期内，经当地植物检疫机关检疫，证明确实不带检疫对象的，方可分散种植。如发现检疫对象或者其他危险性病、虫、杂草，应认真按植物检疫机构的意见处理。</w:t>
      </w:r>
    </w:p>
    <w:p>
      <w:pPr>
        <w:pStyle w:val="3"/>
        <w:topLinePunct/>
        <w:spacing w:line="412" w:lineRule="exact"/>
        <w:ind w:firstLine="482"/>
        <w:rPr>
          <w:sz w:val="24"/>
          <w:szCs w:val="24"/>
        </w:rPr>
      </w:pPr>
      <w:r>
        <w:rPr>
          <w:b/>
          <w:sz w:val="24"/>
          <w:szCs w:val="24"/>
        </w:rPr>
        <w:t xml:space="preserve">第二十三条 </w:t>
      </w:r>
      <w:r>
        <w:rPr>
          <w:rFonts w:hint="eastAsia" w:asciiTheme="minorEastAsia" w:hAnsiTheme="minorEastAsia" w:eastAsiaTheme="minorEastAsia"/>
          <w:b/>
          <w:sz w:val="24"/>
          <w:szCs w:val="24"/>
        </w:rPr>
        <w:t xml:space="preserve"> </w:t>
      </w:r>
      <w:r>
        <w:rPr>
          <w:sz w:val="24"/>
          <w:szCs w:val="24"/>
        </w:rPr>
        <w:t>各省、自治区、直辖市农业主管部门应根据需要逐步建立植物检疫隔离试种场</w:t>
      </w:r>
      <w:r>
        <w:rPr>
          <w:rFonts w:asciiTheme="minorEastAsia" w:hAnsiTheme="minorEastAsia" w:eastAsiaTheme="minorEastAsia"/>
          <w:sz w:val="24"/>
          <w:szCs w:val="24"/>
        </w:rPr>
        <w:t>（</w:t>
      </w:r>
      <w:r>
        <w:rPr>
          <w:sz w:val="24"/>
          <w:szCs w:val="24"/>
        </w:rPr>
        <w:t>圃</w:t>
      </w:r>
      <w:r>
        <w:rPr>
          <w:rFonts w:asciiTheme="minorEastAsia" w:hAnsiTheme="minorEastAsia" w:eastAsiaTheme="minorEastAsia"/>
          <w:sz w:val="24"/>
          <w:szCs w:val="24"/>
        </w:rPr>
        <w:t>）</w:t>
      </w:r>
      <w:r>
        <w:rPr>
          <w:sz w:val="24"/>
          <w:szCs w:val="24"/>
        </w:rPr>
        <w:t>。</w:t>
      </w:r>
    </w:p>
    <w:p>
      <w:pPr>
        <w:pStyle w:val="63"/>
        <w:spacing w:before="218" w:after="218" w:line="412" w:lineRule="exact"/>
      </w:pPr>
      <w:r>
        <w:t>第七章</w:t>
      </w:r>
      <w:r>
        <w:rPr>
          <w:rFonts w:hint="eastAsia"/>
        </w:rPr>
        <w:t xml:space="preserve">  </w:t>
      </w:r>
      <w:r>
        <w:t>奖励和处罚</w:t>
      </w:r>
    </w:p>
    <w:p>
      <w:pPr>
        <w:pStyle w:val="3"/>
        <w:topLinePunct/>
        <w:spacing w:line="412" w:lineRule="exact"/>
        <w:ind w:firstLine="482"/>
        <w:rPr>
          <w:sz w:val="24"/>
          <w:szCs w:val="24"/>
        </w:rPr>
      </w:pPr>
      <w:r>
        <w:rPr>
          <w:b/>
          <w:sz w:val="24"/>
          <w:szCs w:val="24"/>
        </w:rPr>
        <w:t xml:space="preserve">第二十四条 </w:t>
      </w:r>
      <w:r>
        <w:rPr>
          <w:rFonts w:hint="eastAsia" w:asciiTheme="minorEastAsia" w:hAnsiTheme="minorEastAsia" w:eastAsiaTheme="minorEastAsia"/>
          <w:b/>
          <w:sz w:val="24"/>
          <w:szCs w:val="24"/>
        </w:rPr>
        <w:t xml:space="preserve"> </w:t>
      </w:r>
      <w:r>
        <w:rPr>
          <w:sz w:val="24"/>
          <w:szCs w:val="24"/>
        </w:rPr>
        <w:t>凡执行《植物检疫条例》有下列突出成绩之一的单位和个人，由农业部、各省、自治区、直辖市人民政府或者农业主管部门给予奖励。</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一</w:t>
      </w:r>
      <w:r>
        <w:rPr>
          <w:rFonts w:asciiTheme="minorEastAsia" w:hAnsiTheme="minorEastAsia" w:eastAsiaTheme="minorEastAsia"/>
          <w:sz w:val="24"/>
          <w:szCs w:val="24"/>
        </w:rPr>
        <w:t>）</w:t>
      </w:r>
      <w:r>
        <w:rPr>
          <w:sz w:val="24"/>
          <w:szCs w:val="24"/>
        </w:rPr>
        <w:t>在开展植物检疫对象和危险性病、虫、杂草普查方面有显著成绩的；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在植物检疫对象的封锁、控制、消灭方面有显著成绩的；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在积极宣传和模范执行《植物检疫条例》、植物检疫规章制度、与违反《植物检疫条例》行为作斗争等方面成绩突出的；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四</w:t>
      </w:r>
      <w:r>
        <w:rPr>
          <w:rFonts w:asciiTheme="minorEastAsia" w:hAnsiTheme="minorEastAsia" w:eastAsiaTheme="minorEastAsia"/>
          <w:sz w:val="24"/>
          <w:szCs w:val="24"/>
        </w:rPr>
        <w:t>）</w:t>
      </w:r>
      <w:r>
        <w:rPr>
          <w:sz w:val="24"/>
          <w:szCs w:val="24"/>
        </w:rPr>
        <w:t>在植物检疫技术的研究和应用上有重大突破的；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五</w:t>
      </w:r>
      <w:r>
        <w:rPr>
          <w:rFonts w:asciiTheme="minorEastAsia" w:hAnsiTheme="minorEastAsia" w:eastAsiaTheme="minorEastAsia"/>
          <w:sz w:val="24"/>
          <w:szCs w:val="24"/>
        </w:rPr>
        <w:t>）</w:t>
      </w:r>
      <w:r>
        <w:rPr>
          <w:sz w:val="24"/>
          <w:szCs w:val="24"/>
        </w:rPr>
        <w:t>铁路、交通、邮政、民航等部门和当地植物检疫机构密切配合，贯彻执行《植物检疫条例》成绩显著的。</w:t>
      </w:r>
    </w:p>
    <w:p>
      <w:pPr>
        <w:pStyle w:val="3"/>
        <w:topLinePunct/>
        <w:spacing w:line="412" w:lineRule="exact"/>
        <w:ind w:firstLine="482"/>
        <w:rPr>
          <w:sz w:val="24"/>
          <w:szCs w:val="24"/>
        </w:rPr>
      </w:pPr>
      <w:r>
        <w:rPr>
          <w:b/>
          <w:sz w:val="24"/>
          <w:szCs w:val="24"/>
        </w:rPr>
        <w:t xml:space="preserve">第二十五条 </w:t>
      </w:r>
      <w:r>
        <w:rPr>
          <w:rFonts w:hint="eastAsia" w:asciiTheme="minorEastAsia" w:hAnsiTheme="minorEastAsia" w:eastAsiaTheme="minorEastAsia"/>
          <w:b/>
          <w:sz w:val="24"/>
          <w:szCs w:val="24"/>
        </w:rPr>
        <w:t xml:space="preserve"> </w:t>
      </w:r>
      <w:r>
        <w:rPr>
          <w:sz w:val="24"/>
          <w:szCs w:val="24"/>
        </w:rPr>
        <w:t>有下列违法行为之一，尚未构成犯罪的，由植物检疫机构处以罚款：</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一</w:t>
      </w:r>
      <w:r>
        <w:rPr>
          <w:rFonts w:asciiTheme="minorEastAsia" w:hAnsiTheme="minorEastAsia" w:eastAsiaTheme="minorEastAsia"/>
          <w:sz w:val="24"/>
          <w:szCs w:val="24"/>
        </w:rPr>
        <w:t>）</w:t>
      </w:r>
      <w:r>
        <w:rPr>
          <w:sz w:val="24"/>
          <w:szCs w:val="24"/>
        </w:rPr>
        <w:t>在报检过程中故意谎报受检物品种类、品种，隐瞒受检物品数量、受检作物面积，提供虚假证明材料的；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在调运过程中擅自开拆检讫的植物、植物产品，调换或者夹带其他未经检疫的植物、植物产品，或者擅自将非种用植物、植物产品作种用的；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伪造、涂改、买卖、转让植物检疫单证、印章、标志、封识的；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四</w:t>
      </w:r>
      <w:r>
        <w:rPr>
          <w:rFonts w:asciiTheme="minorEastAsia" w:hAnsiTheme="minorEastAsia" w:eastAsiaTheme="minorEastAsia"/>
          <w:sz w:val="24"/>
          <w:szCs w:val="24"/>
        </w:rPr>
        <w:t>）</w:t>
      </w:r>
      <w:r>
        <w:rPr>
          <w:sz w:val="24"/>
          <w:szCs w:val="24"/>
        </w:rPr>
        <w:t>违反《植物检疫条例》第七条、第八条第一款、第十条规定之一，擅自调运植物、植物产品的；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五</w:t>
      </w:r>
      <w:r>
        <w:rPr>
          <w:rFonts w:asciiTheme="minorEastAsia" w:hAnsiTheme="minorEastAsia" w:eastAsiaTheme="minorEastAsia"/>
          <w:sz w:val="24"/>
          <w:szCs w:val="24"/>
        </w:rPr>
        <w:t>）</w:t>
      </w:r>
      <w:r>
        <w:rPr>
          <w:sz w:val="24"/>
          <w:szCs w:val="24"/>
        </w:rPr>
        <w:t>违反《植物检疫条例》第十一条规定，试验、生产、推广带有植物检疫对象的种子、苗木和其他繁殖材料，或者违反《植物检疫条例》第十三条规定，未经批准在非疫区进行检疫对象活体试验研究的；</w:t>
      </w:r>
    </w:p>
    <w:p>
      <w:pPr>
        <w:pStyle w:val="3"/>
        <w:topLinePunct/>
        <w:spacing w:line="412" w:lineRule="exact"/>
        <w:ind w:firstLine="480"/>
        <w:rPr>
          <w:sz w:val="24"/>
          <w:szCs w:val="24"/>
        </w:rPr>
      </w:pPr>
      <w:r>
        <w:rPr>
          <w:rFonts w:asciiTheme="minorEastAsia" w:hAnsiTheme="minorEastAsia" w:eastAsiaTheme="minorEastAsia"/>
          <w:sz w:val="24"/>
          <w:szCs w:val="24"/>
        </w:rPr>
        <w:t>（</w:t>
      </w:r>
      <w:r>
        <w:rPr>
          <w:sz w:val="24"/>
          <w:szCs w:val="24"/>
        </w:rPr>
        <w:t>六</w:t>
      </w:r>
      <w:r>
        <w:rPr>
          <w:rFonts w:asciiTheme="minorEastAsia" w:hAnsiTheme="minorEastAsia" w:eastAsiaTheme="minorEastAsia"/>
          <w:sz w:val="24"/>
          <w:szCs w:val="24"/>
        </w:rPr>
        <w:t>）</w:t>
      </w:r>
      <w:r>
        <w:rPr>
          <w:sz w:val="24"/>
          <w:szCs w:val="24"/>
        </w:rPr>
        <w:t>违反《植物检疫条例》第十二条第二款规定，不在指定地点种植或者不按要求隔离试种，或者隔离试种期间擅自分散种子、苗木和其他繁殖材料的。</w:t>
      </w:r>
    </w:p>
    <w:p>
      <w:pPr>
        <w:pStyle w:val="3"/>
        <w:topLinePunct/>
        <w:spacing w:line="412" w:lineRule="exact"/>
        <w:ind w:firstLine="480"/>
        <w:rPr>
          <w:sz w:val="24"/>
          <w:szCs w:val="24"/>
        </w:rPr>
      </w:pPr>
      <w:r>
        <w:rPr>
          <w:sz w:val="24"/>
          <w:szCs w:val="24"/>
        </w:rPr>
        <w:t>罚款按以下标准执行：</w:t>
      </w:r>
    </w:p>
    <w:p>
      <w:pPr>
        <w:pStyle w:val="3"/>
        <w:topLinePunct/>
        <w:spacing w:line="412" w:lineRule="exact"/>
        <w:ind w:firstLine="480"/>
        <w:rPr>
          <w:sz w:val="24"/>
          <w:szCs w:val="24"/>
        </w:rPr>
      </w:pPr>
      <w:r>
        <w:rPr>
          <w:sz w:val="24"/>
          <w:szCs w:val="24"/>
        </w:rPr>
        <w:t>对于非经营活动中的违法行为，处以1000元以下罚款；对于经营活动中的违法行为，有违法所得的，处以违法所得3倍以下罚款，但最高不得超过30000元；没有违法所得的，处以lO000元以下罚款。</w:t>
      </w:r>
    </w:p>
    <w:p>
      <w:pPr>
        <w:pStyle w:val="3"/>
        <w:topLinePunct/>
        <w:spacing w:line="412" w:lineRule="exact"/>
        <w:ind w:firstLine="480"/>
        <w:rPr>
          <w:sz w:val="24"/>
          <w:szCs w:val="24"/>
        </w:rPr>
      </w:pPr>
      <w:r>
        <w:rPr>
          <w:sz w:val="24"/>
          <w:szCs w:val="24"/>
        </w:rPr>
        <w:t>有本条第一款</w:t>
      </w: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四</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五</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六</w:t>
      </w:r>
      <w:r>
        <w:rPr>
          <w:rFonts w:asciiTheme="minorEastAsia" w:hAnsiTheme="minorEastAsia" w:eastAsiaTheme="minorEastAsia"/>
          <w:sz w:val="24"/>
          <w:szCs w:val="24"/>
        </w:rPr>
        <w:t>）</w:t>
      </w:r>
      <w:r>
        <w:rPr>
          <w:sz w:val="24"/>
          <w:szCs w:val="24"/>
        </w:rPr>
        <w:t>项违法行为之一，引起疫情扩散的，责令当事人销毁或者除害处理。</w:t>
      </w:r>
    </w:p>
    <w:p>
      <w:pPr>
        <w:pStyle w:val="3"/>
        <w:topLinePunct/>
        <w:spacing w:line="412" w:lineRule="exact"/>
        <w:ind w:firstLine="480"/>
        <w:rPr>
          <w:sz w:val="24"/>
          <w:szCs w:val="24"/>
        </w:rPr>
      </w:pPr>
      <w:r>
        <w:rPr>
          <w:sz w:val="24"/>
          <w:szCs w:val="24"/>
        </w:rPr>
        <w:t>有本条第一款违法行为之一，造成损失的，植物检疫机构可以责令其赔偿损失。</w:t>
      </w:r>
    </w:p>
    <w:p>
      <w:pPr>
        <w:pStyle w:val="3"/>
        <w:topLinePunct/>
        <w:spacing w:line="412" w:lineRule="exact"/>
        <w:ind w:firstLine="480"/>
        <w:rPr>
          <w:sz w:val="24"/>
          <w:szCs w:val="24"/>
        </w:rPr>
      </w:pPr>
      <w:r>
        <w:rPr>
          <w:sz w:val="24"/>
          <w:szCs w:val="24"/>
        </w:rPr>
        <w:t>有本条第一款</w:t>
      </w:r>
      <w:r>
        <w:rPr>
          <w:rFonts w:asciiTheme="minorEastAsia" w:hAnsiTheme="minorEastAsia" w:eastAsiaTheme="minorEastAsia"/>
          <w:sz w:val="24"/>
          <w:szCs w:val="24"/>
        </w:rPr>
        <w:t>（</w:t>
      </w:r>
      <w:r>
        <w:rPr>
          <w:sz w:val="24"/>
          <w:szCs w:val="24"/>
        </w:rPr>
        <w:t>二</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三</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四</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五</w:t>
      </w:r>
      <w:r>
        <w:rPr>
          <w:rFonts w:asciiTheme="minorEastAsia" w:hAnsiTheme="minorEastAsia" w:eastAsiaTheme="minorEastAsia"/>
          <w:sz w:val="24"/>
          <w:szCs w:val="24"/>
        </w:rPr>
        <w:t>）</w:t>
      </w:r>
      <w:r>
        <w:rPr>
          <w:sz w:val="24"/>
          <w:szCs w:val="24"/>
        </w:rPr>
        <w:t>、</w:t>
      </w:r>
      <w:r>
        <w:rPr>
          <w:rFonts w:asciiTheme="minorEastAsia" w:hAnsiTheme="minorEastAsia" w:eastAsiaTheme="minorEastAsia"/>
          <w:sz w:val="24"/>
          <w:szCs w:val="24"/>
        </w:rPr>
        <w:t>（</w:t>
      </w:r>
      <w:r>
        <w:rPr>
          <w:sz w:val="24"/>
          <w:szCs w:val="24"/>
        </w:rPr>
        <w:t>六</w:t>
      </w:r>
      <w:r>
        <w:rPr>
          <w:rFonts w:asciiTheme="minorEastAsia" w:hAnsiTheme="minorEastAsia" w:eastAsiaTheme="minorEastAsia"/>
          <w:sz w:val="24"/>
          <w:szCs w:val="24"/>
        </w:rPr>
        <w:t>）</w:t>
      </w:r>
      <w:r>
        <w:rPr>
          <w:sz w:val="24"/>
          <w:szCs w:val="24"/>
        </w:rPr>
        <w:t>项违法行为之一，以赢利为目的的，植物检疫机构可以没收当事人的非法所得。</w:t>
      </w:r>
    </w:p>
    <w:p>
      <w:pPr>
        <w:pStyle w:val="63"/>
        <w:spacing w:before="218" w:after="218" w:line="412" w:lineRule="exact"/>
      </w:pPr>
      <w:r>
        <w:t>第八章</w:t>
      </w:r>
      <w:r>
        <w:rPr>
          <w:rFonts w:hint="eastAsia"/>
        </w:rPr>
        <w:t xml:space="preserve">  </w:t>
      </w:r>
      <w:r>
        <w:t>附</w:t>
      </w:r>
      <w:r>
        <w:rPr>
          <w:rFonts w:hint="eastAsia"/>
        </w:rPr>
        <w:t xml:space="preserve">  </w:t>
      </w:r>
      <w:r>
        <w:t>则</w:t>
      </w:r>
    </w:p>
    <w:p>
      <w:pPr>
        <w:pStyle w:val="3"/>
        <w:topLinePunct/>
        <w:spacing w:line="412" w:lineRule="exact"/>
        <w:ind w:firstLine="482"/>
        <w:rPr>
          <w:sz w:val="24"/>
          <w:szCs w:val="24"/>
        </w:rPr>
      </w:pPr>
      <w:r>
        <w:rPr>
          <w:b/>
          <w:sz w:val="24"/>
          <w:szCs w:val="24"/>
        </w:rPr>
        <w:t xml:space="preserve">第二十六条 </w:t>
      </w:r>
      <w:r>
        <w:rPr>
          <w:rFonts w:hint="eastAsia" w:asciiTheme="minorEastAsia" w:hAnsiTheme="minorEastAsia" w:eastAsiaTheme="minorEastAsia"/>
          <w:b/>
          <w:sz w:val="24"/>
          <w:szCs w:val="24"/>
        </w:rPr>
        <w:t xml:space="preserve"> </w:t>
      </w:r>
      <w:r>
        <w:rPr>
          <w:sz w:val="24"/>
          <w:szCs w:val="24"/>
        </w:rPr>
        <w:t>国内植物检疫收费按照国家有关规定执行。</w:t>
      </w:r>
    </w:p>
    <w:p>
      <w:pPr>
        <w:pStyle w:val="3"/>
        <w:topLinePunct/>
        <w:spacing w:line="412" w:lineRule="exact"/>
        <w:ind w:firstLine="482"/>
        <w:rPr>
          <w:sz w:val="24"/>
          <w:szCs w:val="24"/>
        </w:rPr>
      </w:pPr>
      <w:r>
        <w:rPr>
          <w:b/>
          <w:sz w:val="24"/>
          <w:szCs w:val="24"/>
        </w:rPr>
        <w:t xml:space="preserve">第二十七条 </w:t>
      </w:r>
      <w:r>
        <w:rPr>
          <w:rFonts w:hint="eastAsia" w:asciiTheme="minorEastAsia" w:hAnsiTheme="minorEastAsia" w:eastAsiaTheme="minorEastAsia"/>
          <w:b/>
          <w:sz w:val="24"/>
          <w:szCs w:val="24"/>
        </w:rPr>
        <w:t xml:space="preserve"> </w:t>
      </w:r>
      <w:r>
        <w:rPr>
          <w:sz w:val="24"/>
          <w:szCs w:val="24"/>
        </w:rPr>
        <w:t>本实施细则所称“以上”、“以下”，均包括本数在内。</w:t>
      </w:r>
    </w:p>
    <w:p>
      <w:pPr>
        <w:pStyle w:val="3"/>
        <w:topLinePunct/>
        <w:spacing w:line="412" w:lineRule="exact"/>
        <w:ind w:firstLine="480"/>
        <w:rPr>
          <w:sz w:val="24"/>
          <w:szCs w:val="24"/>
        </w:rPr>
      </w:pPr>
      <w:r>
        <w:rPr>
          <w:sz w:val="24"/>
          <w:szCs w:val="24"/>
        </w:rPr>
        <w:t>本实施细则所称“疫情”，是指全国植物检疫对象、各省、自治区、直辖市补充的植物检疫对象、国外新传入的和国内突发性的危险性病、虫、杂草以及植物检疫对象和危险性病虫杂草的发生、分布情况。</w:t>
      </w:r>
    </w:p>
    <w:p>
      <w:pPr>
        <w:pStyle w:val="3"/>
        <w:topLinePunct/>
        <w:spacing w:line="412" w:lineRule="exact"/>
        <w:ind w:firstLine="482"/>
        <w:rPr>
          <w:sz w:val="24"/>
          <w:szCs w:val="24"/>
        </w:rPr>
      </w:pPr>
      <w:r>
        <w:rPr>
          <w:b/>
          <w:sz w:val="24"/>
          <w:szCs w:val="24"/>
        </w:rPr>
        <w:t xml:space="preserve">第二十八条 </w:t>
      </w:r>
      <w:r>
        <w:rPr>
          <w:rFonts w:hint="eastAsia" w:asciiTheme="minorEastAsia" w:hAnsiTheme="minorEastAsia" w:eastAsiaTheme="minorEastAsia"/>
          <w:b/>
          <w:sz w:val="24"/>
          <w:szCs w:val="24"/>
        </w:rPr>
        <w:t xml:space="preserve"> </w:t>
      </w:r>
      <w:r>
        <w:rPr>
          <w:sz w:val="24"/>
          <w:szCs w:val="24"/>
        </w:rPr>
        <w:t>植物检疫规章和规范性文件的制定，必须以国务院发布的《植物检疫条例》为准，任何与《植物检疫条例》相违背的规章和规范性文件，均属无效。</w:t>
      </w:r>
    </w:p>
    <w:p>
      <w:pPr>
        <w:pStyle w:val="3"/>
        <w:topLinePunct/>
        <w:spacing w:line="412" w:lineRule="exact"/>
        <w:ind w:firstLine="482"/>
        <w:rPr>
          <w:sz w:val="24"/>
          <w:szCs w:val="24"/>
        </w:rPr>
      </w:pPr>
      <w:r>
        <w:rPr>
          <w:b/>
          <w:sz w:val="24"/>
          <w:szCs w:val="24"/>
        </w:rPr>
        <w:t xml:space="preserve">第二十九条 </w:t>
      </w:r>
      <w:r>
        <w:rPr>
          <w:rFonts w:hint="eastAsia" w:asciiTheme="minorEastAsia" w:hAnsiTheme="minorEastAsia" w:eastAsiaTheme="minorEastAsia"/>
          <w:b/>
          <w:sz w:val="24"/>
          <w:szCs w:val="24"/>
        </w:rPr>
        <w:t xml:space="preserve"> </w:t>
      </w:r>
      <w:r>
        <w:rPr>
          <w:sz w:val="24"/>
          <w:szCs w:val="24"/>
        </w:rPr>
        <w:t>本实施细则由农业部负责解释。</w:t>
      </w:r>
    </w:p>
    <w:p>
      <w:pPr>
        <w:pStyle w:val="3"/>
        <w:topLinePunct/>
        <w:spacing w:line="412" w:lineRule="exact"/>
        <w:ind w:firstLine="482"/>
        <w:rPr>
          <w:sz w:val="24"/>
          <w:szCs w:val="24"/>
        </w:rPr>
      </w:pPr>
      <w:r>
        <w:rPr>
          <w:b/>
          <w:sz w:val="24"/>
          <w:szCs w:val="24"/>
        </w:rPr>
        <w:t xml:space="preserve">第三十条 </w:t>
      </w:r>
      <w:r>
        <w:rPr>
          <w:rFonts w:hint="eastAsia" w:asciiTheme="minorEastAsia" w:hAnsiTheme="minorEastAsia" w:eastAsiaTheme="minorEastAsia"/>
          <w:b/>
          <w:sz w:val="24"/>
          <w:szCs w:val="24"/>
        </w:rPr>
        <w:t xml:space="preserve"> </w:t>
      </w:r>
      <w:r>
        <w:rPr>
          <w:sz w:val="24"/>
          <w:szCs w:val="24"/>
        </w:rPr>
        <w:t>本实施细则自公布之日起施行。1983年10月2O日农牧渔业部发布的《植物检疫条例实施细则</w:t>
      </w:r>
      <w:r>
        <w:rPr>
          <w:rFonts w:asciiTheme="minorEastAsia" w:hAnsiTheme="minorEastAsia" w:eastAsiaTheme="minorEastAsia"/>
          <w:sz w:val="24"/>
          <w:szCs w:val="24"/>
        </w:rPr>
        <w:t>（</w:t>
      </w:r>
      <w:r>
        <w:rPr>
          <w:sz w:val="24"/>
          <w:szCs w:val="24"/>
        </w:rPr>
        <w:t>农业部分</w:t>
      </w:r>
      <w:r>
        <w:rPr>
          <w:rFonts w:asciiTheme="minorEastAsia" w:hAnsiTheme="minorEastAsia" w:eastAsiaTheme="minorEastAsia"/>
          <w:sz w:val="24"/>
          <w:szCs w:val="24"/>
        </w:rPr>
        <w:t>）</w:t>
      </w:r>
      <w:r>
        <w:rPr>
          <w:sz w:val="24"/>
          <w:szCs w:val="24"/>
        </w:rPr>
        <w:t>》同时废止。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sz w:val="24"/>
          <w:szCs w:val="24"/>
        </w:rPr>
        <w:br w:type="page"/>
      </w:r>
      <w:bookmarkStart w:id="1314" w:name="_Toc466579957"/>
      <w:bookmarkStart w:id="1315" w:name="_Toc11596"/>
      <w:bookmarkStart w:id="1316" w:name="_Toc1891678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17" w:name="_Toc28250995"/>
      <w:bookmarkStart w:id="1318" w:name="_Toc25652578"/>
      <w:bookmarkStart w:id="1319" w:name="_Toc26348045"/>
      <w:bookmarkStart w:id="1320" w:name="_Toc25653788"/>
      <w:bookmarkStart w:id="1321" w:name="_Toc28157067"/>
      <w:bookmarkStart w:id="1322" w:name="_Toc28252274"/>
      <w:r>
        <w:t>农业植物疫情报告与发布管理办法</w:t>
      </w:r>
      <w:bookmarkEnd w:id="1314"/>
      <w:bookmarkEnd w:id="1315"/>
      <w:bookmarkEnd w:id="1316"/>
      <w:bookmarkEnd w:id="1317"/>
      <w:bookmarkEnd w:id="1318"/>
      <w:bookmarkEnd w:id="1319"/>
      <w:bookmarkEnd w:id="1320"/>
      <w:bookmarkEnd w:id="1321"/>
      <w:bookmarkEnd w:id="1322"/>
    </w:p>
    <w:p>
      <w:pPr>
        <w:pStyle w:val="62"/>
        <w:topLinePunct w:val="0"/>
        <w:ind w:firstLine="0" w:firstLineChars="0"/>
        <w:jc w:val="center"/>
      </w:pPr>
      <w:r>
        <w:t>（2010年1月18日</w:t>
      </w:r>
      <w:r>
        <w:rPr>
          <w:shd w:val="clear" w:color="auto" w:fill="FFFFFF"/>
        </w:rPr>
        <w:t>农业部</w:t>
      </w:r>
      <w:r>
        <w:t>令第4号公布）</w:t>
      </w:r>
    </w:p>
    <w:p>
      <w:pPr>
        <w:pStyle w:val="63"/>
        <w:spacing w:before="218" w:after="218" w:line="412" w:lineRule="exact"/>
      </w:pPr>
      <w:r>
        <w:t>第一章</w:t>
      </w:r>
      <w:r>
        <w:rPr>
          <w:rFonts w:hint="eastAsia"/>
        </w:rPr>
        <w:t xml:space="preserve">  </w:t>
      </w:r>
      <w:r>
        <w:t>总</w:t>
      </w:r>
      <w:r>
        <w:rPr>
          <w:rFonts w:hint="eastAsia"/>
        </w:rPr>
        <w:t xml:space="preserve">  </w:t>
      </w:r>
      <w:r>
        <w:t>则</w:t>
      </w:r>
    </w:p>
    <w:p>
      <w:pPr>
        <w:pStyle w:val="3"/>
        <w:topLinePunct/>
        <w:spacing w:line="412" w:lineRule="exact"/>
        <w:ind w:firstLine="482"/>
        <w:rPr>
          <w:sz w:val="24"/>
          <w:szCs w:val="24"/>
        </w:rPr>
      </w:pPr>
      <w:r>
        <w:rPr>
          <w:b/>
          <w:sz w:val="24"/>
          <w:szCs w:val="24"/>
        </w:rPr>
        <w:t xml:space="preserve">第一条 </w:t>
      </w:r>
      <w:r>
        <w:rPr>
          <w:rFonts w:hint="eastAsia" w:asciiTheme="minorEastAsia" w:hAnsiTheme="minorEastAsia" w:eastAsiaTheme="minorEastAsia"/>
          <w:b/>
          <w:sz w:val="24"/>
          <w:szCs w:val="24"/>
        </w:rPr>
        <w:t xml:space="preserve"> </w:t>
      </w:r>
      <w:r>
        <w:rPr>
          <w:sz w:val="24"/>
          <w:szCs w:val="24"/>
        </w:rPr>
        <w:t>为加强农业植物疫情管理，规范疫情报告与发布工作，根据《植物检疫条例》，制定本办法。</w:t>
      </w:r>
    </w:p>
    <w:p>
      <w:pPr>
        <w:pStyle w:val="3"/>
        <w:topLinePunct/>
        <w:spacing w:line="412" w:lineRule="exact"/>
        <w:ind w:firstLine="482"/>
        <w:rPr>
          <w:sz w:val="24"/>
          <w:szCs w:val="24"/>
        </w:rPr>
      </w:pPr>
      <w:r>
        <w:rPr>
          <w:b/>
          <w:sz w:val="24"/>
          <w:szCs w:val="24"/>
        </w:rPr>
        <w:t xml:space="preserve">第二条 </w:t>
      </w:r>
      <w:r>
        <w:rPr>
          <w:rFonts w:hint="eastAsia" w:asciiTheme="minorEastAsia" w:hAnsiTheme="minorEastAsia" w:eastAsiaTheme="minorEastAsia"/>
          <w:b/>
          <w:sz w:val="24"/>
          <w:szCs w:val="24"/>
        </w:rPr>
        <w:t xml:space="preserve"> </w:t>
      </w:r>
      <w:r>
        <w:rPr>
          <w:sz w:val="24"/>
          <w:szCs w:val="24"/>
        </w:rPr>
        <w:t>本办法所称农业植物疫情，是指全国农业植物检疫性有害生物、各省（自治区、直辖市）补充的农业植物检疫性有害生物、境外新传入或境内新发现的潜在的农业植物检疫性有害生物的发生情况。</w:t>
      </w:r>
    </w:p>
    <w:p>
      <w:pPr>
        <w:pStyle w:val="3"/>
        <w:topLinePunct/>
        <w:spacing w:line="412" w:lineRule="exact"/>
        <w:ind w:firstLine="482"/>
        <w:rPr>
          <w:sz w:val="24"/>
          <w:szCs w:val="24"/>
        </w:rPr>
      </w:pPr>
      <w:r>
        <w:rPr>
          <w:b/>
          <w:sz w:val="24"/>
          <w:szCs w:val="24"/>
        </w:rPr>
        <w:t xml:space="preserve">第三条 </w:t>
      </w:r>
      <w:r>
        <w:rPr>
          <w:rFonts w:hint="eastAsia" w:asciiTheme="minorEastAsia" w:hAnsiTheme="minorEastAsia" w:eastAsiaTheme="minorEastAsia"/>
          <w:b/>
          <w:sz w:val="24"/>
          <w:szCs w:val="24"/>
        </w:rPr>
        <w:t xml:space="preserve"> </w:t>
      </w:r>
      <w:r>
        <w:rPr>
          <w:sz w:val="24"/>
          <w:szCs w:val="24"/>
        </w:rPr>
        <w:t>农业部主管全国农业植物疫情报告与发布工作。</w:t>
      </w:r>
    </w:p>
    <w:p>
      <w:pPr>
        <w:pStyle w:val="3"/>
        <w:topLinePunct/>
        <w:spacing w:line="412" w:lineRule="exact"/>
        <w:ind w:firstLine="480"/>
        <w:rPr>
          <w:sz w:val="24"/>
          <w:szCs w:val="24"/>
        </w:rPr>
      </w:pPr>
      <w:r>
        <w:rPr>
          <w:sz w:val="24"/>
          <w:szCs w:val="24"/>
        </w:rPr>
        <w:t>县级以上地方人民政府农业行政主管部门按照职责分工，主管本行政区域内的农业植物疫情报告与发布工作。</w:t>
      </w:r>
    </w:p>
    <w:p>
      <w:pPr>
        <w:pStyle w:val="3"/>
        <w:topLinePunct/>
        <w:spacing w:line="412" w:lineRule="exact"/>
        <w:ind w:firstLine="480"/>
        <w:rPr>
          <w:sz w:val="24"/>
          <w:szCs w:val="24"/>
        </w:rPr>
      </w:pPr>
      <w:r>
        <w:rPr>
          <w:sz w:val="24"/>
          <w:szCs w:val="24"/>
        </w:rPr>
        <w:t>县级以上人民政府农业行政主管部门所属的植物检疫机构负责农业植物疫情报告与发布的具体工作。</w:t>
      </w:r>
    </w:p>
    <w:p>
      <w:pPr>
        <w:pStyle w:val="3"/>
        <w:topLinePunct/>
        <w:spacing w:line="412" w:lineRule="exact"/>
        <w:ind w:firstLine="482"/>
        <w:rPr>
          <w:sz w:val="24"/>
          <w:szCs w:val="24"/>
        </w:rPr>
      </w:pPr>
      <w:r>
        <w:rPr>
          <w:b/>
          <w:sz w:val="24"/>
          <w:szCs w:val="24"/>
        </w:rPr>
        <w:t xml:space="preserve">第四条 </w:t>
      </w:r>
      <w:r>
        <w:rPr>
          <w:sz w:val="24"/>
          <w:szCs w:val="24"/>
        </w:rPr>
        <w:t>农业植物疫情报告与发布，应当遵循依法、科学、及时的原则。</w:t>
      </w:r>
    </w:p>
    <w:p>
      <w:pPr>
        <w:pStyle w:val="63"/>
        <w:spacing w:before="218" w:after="218" w:line="412" w:lineRule="exact"/>
      </w:pPr>
      <w:r>
        <w:t>第二章</w:t>
      </w:r>
      <w:r>
        <w:rPr>
          <w:rFonts w:hint="eastAsia"/>
        </w:rPr>
        <w:t xml:space="preserve">  </w:t>
      </w:r>
      <w:r>
        <w:t>农业植物疫情报告</w:t>
      </w:r>
    </w:p>
    <w:p>
      <w:pPr>
        <w:pStyle w:val="3"/>
        <w:topLinePunct/>
        <w:spacing w:line="412" w:lineRule="exact"/>
        <w:ind w:firstLine="482"/>
        <w:rPr>
          <w:sz w:val="24"/>
          <w:szCs w:val="24"/>
        </w:rPr>
      </w:pPr>
      <w:r>
        <w:rPr>
          <w:b/>
          <w:sz w:val="24"/>
          <w:szCs w:val="24"/>
        </w:rPr>
        <w:t xml:space="preserve">第五条 </w:t>
      </w:r>
      <w:r>
        <w:rPr>
          <w:rFonts w:hint="eastAsia" w:asciiTheme="minorEastAsia" w:hAnsiTheme="minorEastAsia" w:eastAsiaTheme="minorEastAsia"/>
          <w:b/>
          <w:sz w:val="24"/>
          <w:szCs w:val="24"/>
        </w:rPr>
        <w:t xml:space="preserve"> </w:t>
      </w:r>
      <w:r>
        <w:rPr>
          <w:sz w:val="24"/>
          <w:szCs w:val="24"/>
        </w:rPr>
        <w:t>县级以上植物检疫机构负责监测、调查本行政区域内的农业植物疫情，并向社会公布农业植物疫情报告联系方式。</w:t>
      </w:r>
    </w:p>
    <w:p>
      <w:pPr>
        <w:pStyle w:val="3"/>
        <w:topLinePunct/>
        <w:spacing w:line="412" w:lineRule="exact"/>
        <w:ind w:firstLine="482"/>
        <w:rPr>
          <w:sz w:val="24"/>
          <w:szCs w:val="24"/>
        </w:rPr>
      </w:pPr>
      <w:r>
        <w:rPr>
          <w:b/>
          <w:sz w:val="24"/>
          <w:szCs w:val="24"/>
        </w:rPr>
        <w:t xml:space="preserve">第六条 </w:t>
      </w:r>
      <w:r>
        <w:rPr>
          <w:rFonts w:hint="eastAsia" w:asciiTheme="minorEastAsia" w:hAnsiTheme="minorEastAsia" w:eastAsiaTheme="minorEastAsia"/>
          <w:b/>
          <w:sz w:val="24"/>
          <w:szCs w:val="24"/>
        </w:rPr>
        <w:t xml:space="preserve"> </w:t>
      </w:r>
      <w:r>
        <w:rPr>
          <w:sz w:val="24"/>
          <w:szCs w:val="24"/>
        </w:rPr>
        <w:t>有下列情形之一的，市（地）、县级植物检疫机构应当在12小时内报告省级植物检疫机构，省级植物检疫机构经核实后，应当在12小时内报告农业部所属的植物检疫机构，农业部所属的植物检疫机构应当在12小时内报告农业部：</w:t>
      </w:r>
    </w:p>
    <w:p>
      <w:pPr>
        <w:pStyle w:val="3"/>
        <w:topLinePunct/>
        <w:spacing w:line="412" w:lineRule="exact"/>
        <w:ind w:firstLine="480"/>
        <w:rPr>
          <w:sz w:val="24"/>
          <w:szCs w:val="24"/>
        </w:rPr>
      </w:pPr>
      <w:r>
        <w:rPr>
          <w:sz w:val="24"/>
          <w:szCs w:val="24"/>
        </w:rPr>
        <w:t>（一）在本行政区域内发现境外新传入或境内新发现的潜在的农业植物检疫性有害生物；</w:t>
      </w:r>
    </w:p>
    <w:p>
      <w:pPr>
        <w:pStyle w:val="3"/>
        <w:topLinePunct/>
        <w:spacing w:line="412" w:lineRule="exact"/>
        <w:ind w:firstLine="480"/>
        <w:rPr>
          <w:sz w:val="24"/>
          <w:szCs w:val="24"/>
        </w:rPr>
      </w:pPr>
      <w:r>
        <w:rPr>
          <w:sz w:val="24"/>
          <w:szCs w:val="24"/>
        </w:rPr>
        <w:t>（二）全国农业植物检疫性有害生物在本行政区域内新发现或暴发流行；</w:t>
      </w:r>
    </w:p>
    <w:p>
      <w:pPr>
        <w:pStyle w:val="3"/>
        <w:topLinePunct/>
        <w:spacing w:line="412" w:lineRule="exact"/>
        <w:ind w:firstLine="480"/>
        <w:rPr>
          <w:sz w:val="24"/>
          <w:szCs w:val="24"/>
        </w:rPr>
      </w:pPr>
      <w:r>
        <w:rPr>
          <w:sz w:val="24"/>
          <w:szCs w:val="24"/>
        </w:rPr>
        <w:t>（三）经确认已经扑灭的全国农业植物检疫性有害生物在本行政区域内再次发生。</w:t>
      </w:r>
    </w:p>
    <w:p>
      <w:pPr>
        <w:pStyle w:val="3"/>
        <w:topLinePunct/>
        <w:spacing w:line="412" w:lineRule="exact"/>
        <w:ind w:firstLine="480"/>
        <w:rPr>
          <w:sz w:val="24"/>
          <w:szCs w:val="24"/>
        </w:rPr>
      </w:pPr>
      <w:r>
        <w:rPr>
          <w:sz w:val="24"/>
          <w:szCs w:val="24"/>
        </w:rPr>
        <w:t>前款有害生物发生对农业生产构成重大威胁的，农业部依据有关规定及时报告国务院。</w:t>
      </w:r>
    </w:p>
    <w:p>
      <w:pPr>
        <w:pStyle w:val="3"/>
        <w:topLinePunct/>
        <w:spacing w:line="412" w:lineRule="exact"/>
        <w:ind w:firstLine="482"/>
        <w:rPr>
          <w:sz w:val="24"/>
          <w:szCs w:val="24"/>
        </w:rPr>
      </w:pPr>
      <w:r>
        <w:rPr>
          <w:b/>
          <w:sz w:val="24"/>
          <w:szCs w:val="24"/>
        </w:rPr>
        <w:t>第七条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省级植物检疫机构应当于每月5日前，向农业部所属的植物检疫机构汇总报告上一个月本行政区域内全国农业植物检疫性有害生物、境外新传入或境内新发现的潜在的农业植物检疫性有害生物的发生及处置情况，农业部所属的植物检疫机构应当于每月10日前将各省汇总情况报告农业部。</w:t>
      </w:r>
    </w:p>
    <w:p>
      <w:pPr>
        <w:pStyle w:val="3"/>
        <w:topLinePunct/>
        <w:spacing w:line="412" w:lineRule="exact"/>
        <w:ind w:firstLine="482"/>
        <w:rPr>
          <w:sz w:val="24"/>
          <w:szCs w:val="24"/>
        </w:rPr>
      </w:pPr>
      <w:r>
        <w:rPr>
          <w:b/>
          <w:sz w:val="24"/>
          <w:szCs w:val="24"/>
        </w:rPr>
        <w:t xml:space="preserve">第八条 </w:t>
      </w:r>
      <w:r>
        <w:rPr>
          <w:rFonts w:hint="eastAsia" w:asciiTheme="minorEastAsia" w:hAnsiTheme="minorEastAsia" w:eastAsiaTheme="minorEastAsia"/>
          <w:b/>
          <w:sz w:val="24"/>
          <w:szCs w:val="24"/>
        </w:rPr>
        <w:t xml:space="preserve"> </w:t>
      </w:r>
      <w:r>
        <w:rPr>
          <w:sz w:val="24"/>
          <w:szCs w:val="24"/>
        </w:rPr>
        <w:t>省级植物检疫机构应当于每年1月10日前，向农业部所属的植物检疫机构报告本行政区域内上一年度农业植物疫情的发生和处置情况，农业部所属的植物检疫机构应当于每年1月20日前将各省汇总情况报告农业部。</w:t>
      </w:r>
    </w:p>
    <w:p>
      <w:pPr>
        <w:pStyle w:val="3"/>
        <w:topLinePunct/>
        <w:spacing w:line="412" w:lineRule="exact"/>
        <w:ind w:firstLine="482"/>
        <w:rPr>
          <w:sz w:val="24"/>
          <w:szCs w:val="24"/>
        </w:rPr>
      </w:pPr>
      <w:r>
        <w:rPr>
          <w:b/>
          <w:sz w:val="24"/>
          <w:szCs w:val="24"/>
        </w:rPr>
        <w:t xml:space="preserve">第九条 </w:t>
      </w:r>
      <w:r>
        <w:rPr>
          <w:rFonts w:hint="eastAsia" w:asciiTheme="minorEastAsia" w:hAnsiTheme="minorEastAsia" w:eastAsiaTheme="minorEastAsia"/>
          <w:b/>
          <w:sz w:val="24"/>
          <w:szCs w:val="24"/>
        </w:rPr>
        <w:t xml:space="preserve"> </w:t>
      </w:r>
      <w:r>
        <w:rPr>
          <w:sz w:val="24"/>
          <w:szCs w:val="24"/>
        </w:rPr>
        <w:t>县级以上地方植物检疫机构依照本办法第六条、第七条、第八条的规定报告农业植物疫情时，应当同时报告本级人民政府农业行政主管部门。</w:t>
      </w:r>
    </w:p>
    <w:p>
      <w:pPr>
        <w:pStyle w:val="3"/>
        <w:topLinePunct/>
        <w:spacing w:line="412" w:lineRule="exact"/>
        <w:ind w:firstLine="480"/>
        <w:rPr>
          <w:sz w:val="24"/>
          <w:szCs w:val="24"/>
        </w:rPr>
      </w:pPr>
      <w:r>
        <w:rPr>
          <w:sz w:val="24"/>
          <w:szCs w:val="24"/>
        </w:rPr>
        <w:t>对于境外新传入或境内新发现的潜在的农业植物检疫性有害生物疫情，疫情发生地的农业行政主管部门应当提请同级人民政府依法采取必要的处置措施。</w:t>
      </w:r>
    </w:p>
    <w:p>
      <w:pPr>
        <w:pStyle w:val="3"/>
        <w:topLinePunct/>
        <w:spacing w:line="412" w:lineRule="exact"/>
        <w:ind w:firstLine="482"/>
        <w:rPr>
          <w:sz w:val="24"/>
          <w:szCs w:val="24"/>
        </w:rPr>
      </w:pPr>
      <w:r>
        <w:rPr>
          <w:b/>
          <w:sz w:val="24"/>
          <w:szCs w:val="24"/>
        </w:rPr>
        <w:t xml:space="preserve">第十条 </w:t>
      </w:r>
      <w:r>
        <w:rPr>
          <w:rFonts w:hint="eastAsia" w:asciiTheme="minorEastAsia" w:hAnsiTheme="minorEastAsia" w:eastAsiaTheme="minorEastAsia"/>
          <w:b/>
          <w:sz w:val="24"/>
          <w:szCs w:val="24"/>
        </w:rPr>
        <w:t xml:space="preserve"> </w:t>
      </w:r>
      <w:r>
        <w:rPr>
          <w:sz w:val="24"/>
          <w:szCs w:val="24"/>
        </w:rPr>
        <w:t>境外新传入或境内新发现的潜在的农业植物检疫性有害生物疫情的报告内容，应当包括有害生物的名称、寄主、发现时间、地点、分布、危害、可能的传播途径以及应急处置措施。</w:t>
      </w:r>
    </w:p>
    <w:p>
      <w:pPr>
        <w:pStyle w:val="3"/>
        <w:topLinePunct/>
        <w:spacing w:line="412" w:lineRule="exact"/>
        <w:ind w:firstLine="480"/>
        <w:rPr>
          <w:sz w:val="24"/>
          <w:szCs w:val="24"/>
        </w:rPr>
      </w:pPr>
      <w:r>
        <w:rPr>
          <w:sz w:val="24"/>
          <w:szCs w:val="24"/>
        </w:rPr>
        <w:t>其他农业植物疫情的报告内容，应当包括有害生物名称、疫情涉及的县级行政区、发生面积、危害程度以及疫情处置措施。</w:t>
      </w:r>
    </w:p>
    <w:p>
      <w:pPr>
        <w:pStyle w:val="3"/>
        <w:topLinePunct/>
        <w:spacing w:line="412" w:lineRule="exact"/>
        <w:ind w:firstLine="482"/>
        <w:rPr>
          <w:sz w:val="24"/>
          <w:szCs w:val="24"/>
        </w:rPr>
      </w:pPr>
      <w:r>
        <w:rPr>
          <w:b/>
          <w:sz w:val="24"/>
          <w:szCs w:val="24"/>
        </w:rPr>
        <w:t>第十一条</w:t>
      </w:r>
      <w:r>
        <w:rPr>
          <w:rFonts w:hint="eastAsia" w:asciiTheme="minorEastAsia" w:hAnsiTheme="minorEastAsia" w:eastAsiaTheme="minorEastAsia"/>
          <w:b/>
          <w:sz w:val="24"/>
          <w:szCs w:val="24"/>
        </w:rPr>
        <w:t xml:space="preserve"> </w:t>
      </w:r>
      <w:r>
        <w:rPr>
          <w:b/>
          <w:sz w:val="24"/>
          <w:szCs w:val="24"/>
        </w:rPr>
        <w:t xml:space="preserve"> </w:t>
      </w:r>
      <w:r>
        <w:rPr>
          <w:sz w:val="24"/>
          <w:szCs w:val="24"/>
        </w:rPr>
        <w:t>农业植物疫情被扑灭的，由县级以上地方植物检疫机构按照农业植物疫情报告程序申请解除。</w:t>
      </w:r>
    </w:p>
    <w:p>
      <w:pPr>
        <w:pStyle w:val="63"/>
        <w:spacing w:before="218" w:after="218" w:line="412" w:lineRule="exact"/>
      </w:pPr>
      <w:r>
        <w:t>第三章</w:t>
      </w:r>
      <w:r>
        <w:rPr>
          <w:rFonts w:hint="eastAsia"/>
        </w:rPr>
        <w:t xml:space="preserve">  </w:t>
      </w:r>
      <w:r>
        <w:t>农业植物疫情通报与发布</w:t>
      </w:r>
    </w:p>
    <w:p>
      <w:pPr>
        <w:pStyle w:val="3"/>
        <w:topLinePunct/>
        <w:spacing w:line="412" w:lineRule="exact"/>
        <w:ind w:firstLine="482"/>
        <w:rPr>
          <w:sz w:val="24"/>
          <w:szCs w:val="24"/>
        </w:rPr>
      </w:pPr>
      <w:r>
        <w:rPr>
          <w:b/>
          <w:sz w:val="24"/>
          <w:szCs w:val="24"/>
        </w:rPr>
        <w:t xml:space="preserve">第十二条 </w:t>
      </w:r>
      <w:r>
        <w:rPr>
          <w:rFonts w:hint="eastAsia" w:asciiTheme="minorEastAsia" w:hAnsiTheme="minorEastAsia" w:eastAsiaTheme="minorEastAsia"/>
          <w:b/>
          <w:sz w:val="24"/>
          <w:szCs w:val="24"/>
        </w:rPr>
        <w:t xml:space="preserve"> </w:t>
      </w:r>
      <w:r>
        <w:rPr>
          <w:sz w:val="24"/>
          <w:szCs w:val="24"/>
        </w:rPr>
        <w:t>农业部及时向国务院有关部门和各省（自治区、直辖市）人民政府农业行政主管部门通报从境外新传入或境内新发现的潜在的农业植物检疫性有害生物疫情。</w:t>
      </w:r>
    </w:p>
    <w:p>
      <w:pPr>
        <w:pStyle w:val="3"/>
        <w:topLinePunct/>
        <w:spacing w:line="412" w:lineRule="exact"/>
        <w:ind w:firstLine="482"/>
        <w:rPr>
          <w:sz w:val="24"/>
          <w:szCs w:val="24"/>
        </w:rPr>
      </w:pPr>
      <w:r>
        <w:rPr>
          <w:b/>
          <w:sz w:val="24"/>
          <w:szCs w:val="24"/>
        </w:rPr>
        <w:t xml:space="preserve">第十三条 </w:t>
      </w:r>
      <w:r>
        <w:rPr>
          <w:rFonts w:hint="eastAsia" w:asciiTheme="minorEastAsia" w:hAnsiTheme="minorEastAsia" w:eastAsiaTheme="minorEastAsia"/>
          <w:b/>
          <w:sz w:val="24"/>
          <w:szCs w:val="24"/>
        </w:rPr>
        <w:t xml:space="preserve"> </w:t>
      </w:r>
      <w:r>
        <w:rPr>
          <w:sz w:val="24"/>
          <w:szCs w:val="24"/>
        </w:rPr>
        <w:t>全国农业植物检疫性有害生物及其首次发生和疫情解除情况，由农业部发布。</w:t>
      </w:r>
    </w:p>
    <w:p>
      <w:pPr>
        <w:pStyle w:val="3"/>
        <w:topLinePunct/>
        <w:spacing w:line="412" w:lineRule="exact"/>
        <w:ind w:firstLine="482"/>
        <w:rPr>
          <w:sz w:val="24"/>
          <w:szCs w:val="24"/>
        </w:rPr>
      </w:pPr>
      <w:r>
        <w:rPr>
          <w:b/>
          <w:sz w:val="24"/>
          <w:szCs w:val="24"/>
        </w:rPr>
        <w:t xml:space="preserve">第十四条 </w:t>
      </w:r>
      <w:r>
        <w:rPr>
          <w:rFonts w:hint="eastAsia" w:asciiTheme="minorEastAsia" w:hAnsiTheme="minorEastAsia" w:eastAsiaTheme="minorEastAsia"/>
          <w:b/>
          <w:sz w:val="24"/>
          <w:szCs w:val="24"/>
        </w:rPr>
        <w:t xml:space="preserve"> </w:t>
      </w:r>
      <w:r>
        <w:rPr>
          <w:sz w:val="24"/>
          <w:szCs w:val="24"/>
        </w:rPr>
        <w:t>下列农业植物疫情由省级人民政府农业行政主管部门发布，并报农业部备案：</w:t>
      </w:r>
    </w:p>
    <w:p>
      <w:pPr>
        <w:pStyle w:val="3"/>
        <w:topLinePunct/>
        <w:spacing w:line="412" w:lineRule="exact"/>
        <w:ind w:firstLine="480"/>
        <w:rPr>
          <w:sz w:val="24"/>
          <w:szCs w:val="24"/>
        </w:rPr>
      </w:pPr>
      <w:r>
        <w:rPr>
          <w:sz w:val="24"/>
          <w:szCs w:val="24"/>
        </w:rPr>
        <w:t>（一）省（自治区、直辖市）补充的农业植物检疫性有害生物及其发生、疫情解除情况；</w:t>
      </w:r>
    </w:p>
    <w:p>
      <w:pPr>
        <w:pStyle w:val="3"/>
        <w:topLinePunct/>
        <w:spacing w:line="412" w:lineRule="exact"/>
        <w:ind w:firstLine="480"/>
        <w:rPr>
          <w:sz w:val="24"/>
          <w:szCs w:val="24"/>
        </w:rPr>
      </w:pPr>
      <w:r>
        <w:rPr>
          <w:sz w:val="24"/>
          <w:szCs w:val="24"/>
        </w:rPr>
        <w:t>（二）农业部已发布的全国农业植物检疫性有害生物在本行政区域内的发生及处置情况。</w:t>
      </w:r>
    </w:p>
    <w:p>
      <w:pPr>
        <w:pStyle w:val="3"/>
        <w:topLinePunct/>
        <w:spacing w:line="412" w:lineRule="exact"/>
        <w:ind w:firstLine="482"/>
        <w:rPr>
          <w:sz w:val="24"/>
          <w:szCs w:val="24"/>
        </w:rPr>
      </w:pPr>
      <w:r>
        <w:rPr>
          <w:b/>
          <w:sz w:val="24"/>
          <w:szCs w:val="24"/>
        </w:rPr>
        <w:t xml:space="preserve">第十五条 </w:t>
      </w:r>
      <w:r>
        <w:rPr>
          <w:rFonts w:hint="eastAsia" w:asciiTheme="minorEastAsia" w:hAnsiTheme="minorEastAsia" w:eastAsiaTheme="minorEastAsia"/>
          <w:b/>
          <w:sz w:val="24"/>
          <w:szCs w:val="24"/>
        </w:rPr>
        <w:t xml:space="preserve"> </w:t>
      </w:r>
      <w:r>
        <w:rPr>
          <w:sz w:val="24"/>
          <w:szCs w:val="24"/>
        </w:rPr>
        <w:t>农业植物疫情发生地的市（地）、县级农业行政主管部门及其所属的植物检疫机构应当在农业部或省级人民政府农业行政主管部门发布疫情后，及时向社会通告相关疫情在本行政区域内发生的具体情况，指导有关单位和个人开展防控工作。</w:t>
      </w:r>
    </w:p>
    <w:p>
      <w:pPr>
        <w:pStyle w:val="3"/>
        <w:topLinePunct/>
        <w:spacing w:line="412" w:lineRule="exact"/>
        <w:ind w:firstLine="482"/>
        <w:rPr>
          <w:sz w:val="24"/>
          <w:szCs w:val="24"/>
        </w:rPr>
      </w:pPr>
      <w:r>
        <w:rPr>
          <w:b/>
          <w:sz w:val="24"/>
          <w:szCs w:val="24"/>
        </w:rPr>
        <w:t xml:space="preserve">第十六条 </w:t>
      </w:r>
      <w:r>
        <w:rPr>
          <w:rFonts w:hint="eastAsia" w:asciiTheme="minorEastAsia" w:hAnsiTheme="minorEastAsia" w:eastAsiaTheme="minorEastAsia"/>
          <w:b/>
          <w:sz w:val="24"/>
          <w:szCs w:val="24"/>
        </w:rPr>
        <w:t xml:space="preserve"> </w:t>
      </w:r>
      <w:r>
        <w:rPr>
          <w:sz w:val="24"/>
          <w:szCs w:val="24"/>
        </w:rPr>
        <w:t>农业部和省级人民政府农业行政主管部门以外的其他单位和个人不得以任何形式发布农业植物疫情。</w:t>
      </w:r>
    </w:p>
    <w:p>
      <w:pPr>
        <w:pStyle w:val="63"/>
        <w:spacing w:before="218" w:after="218" w:line="412" w:lineRule="exact"/>
      </w:pPr>
      <w:r>
        <w:t>第四章</w:t>
      </w:r>
      <w:r>
        <w:rPr>
          <w:rFonts w:hint="eastAsia"/>
        </w:rPr>
        <w:t xml:space="preserve">  </w:t>
      </w:r>
      <w:r>
        <w:t>附</w:t>
      </w:r>
      <w:r>
        <w:rPr>
          <w:rFonts w:hint="eastAsia"/>
        </w:rPr>
        <w:t xml:space="preserve">  </w:t>
      </w:r>
      <w:r>
        <w:t>则</w:t>
      </w:r>
    </w:p>
    <w:p>
      <w:pPr>
        <w:pStyle w:val="3"/>
        <w:topLinePunct/>
        <w:spacing w:line="412" w:lineRule="exact"/>
        <w:ind w:firstLine="482"/>
        <w:rPr>
          <w:sz w:val="24"/>
          <w:szCs w:val="24"/>
        </w:rPr>
      </w:pPr>
      <w:r>
        <w:rPr>
          <w:b/>
          <w:sz w:val="24"/>
          <w:szCs w:val="24"/>
        </w:rPr>
        <w:t xml:space="preserve">第十七条 </w:t>
      </w:r>
      <w:r>
        <w:rPr>
          <w:rFonts w:hint="eastAsia" w:asciiTheme="minorEastAsia" w:hAnsiTheme="minorEastAsia" w:eastAsiaTheme="minorEastAsia"/>
          <w:b/>
          <w:sz w:val="24"/>
          <w:szCs w:val="24"/>
        </w:rPr>
        <w:t xml:space="preserve"> </w:t>
      </w:r>
      <w:r>
        <w:rPr>
          <w:sz w:val="24"/>
          <w:szCs w:val="24"/>
        </w:rPr>
        <w:t>违反本办法的，依据《植物检疫条例》和相关法律法规给予处罚。</w:t>
      </w:r>
    </w:p>
    <w:p>
      <w:pPr>
        <w:pStyle w:val="3"/>
        <w:topLinePunct/>
        <w:spacing w:line="412" w:lineRule="exact"/>
        <w:ind w:firstLine="482"/>
        <w:rPr>
          <w:sz w:val="24"/>
          <w:szCs w:val="24"/>
        </w:rPr>
      </w:pPr>
      <w:r>
        <w:rPr>
          <w:b/>
          <w:sz w:val="24"/>
          <w:szCs w:val="24"/>
        </w:rPr>
        <w:t xml:space="preserve">第十八条 </w:t>
      </w:r>
      <w:r>
        <w:rPr>
          <w:rFonts w:hint="eastAsia" w:asciiTheme="minorEastAsia" w:hAnsiTheme="minorEastAsia" w:eastAsiaTheme="minorEastAsia"/>
          <w:b/>
          <w:sz w:val="24"/>
          <w:szCs w:val="24"/>
        </w:rPr>
        <w:t xml:space="preserve"> </w:t>
      </w:r>
      <w:r>
        <w:rPr>
          <w:sz w:val="24"/>
          <w:szCs w:val="24"/>
        </w:rPr>
        <w:t>本办法自2010年3月1日起施行。</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sectPr>
          <w:headerReference r:id="rId43" w:type="default"/>
          <w:footerReference r:id="rId45" w:type="default"/>
          <w:headerReference r:id="rId44" w:type="even"/>
          <w:footerReference r:id="rId46" w:type="even"/>
          <w:pgSz w:w="12247" w:h="17180"/>
          <w:pgMar w:top="1814" w:right="1701" w:bottom="1701" w:left="1701" w:header="851" w:footer="1134" w:gutter="0"/>
          <w:cols w:space="425" w:num="1"/>
          <w:docGrid w:type="lines" w:linePitch="312" w:charSpace="0"/>
        </w:sect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bookmarkStart w:id="1323" w:name="_Toc466579911"/>
      <w:bookmarkStart w:id="1324" w:name="_Toc12960519"/>
      <w:bookmarkStart w:id="1325" w:name="_Toc18917248"/>
      <w:bookmarkStart w:id="1326" w:name="_Toc12960348"/>
      <w:bookmarkStart w:id="1327" w:name="_Toc9508"/>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1328" w:name="_Toc25648289"/>
      <w:bookmarkStart w:id="1329" w:name="_Toc28252275"/>
      <w:bookmarkStart w:id="1330" w:name="_Toc25653789"/>
      <w:r>
        <w:t>十一、动植物保护</w:t>
      </w:r>
      <w:bookmarkEnd w:id="1328"/>
      <w:bookmarkEnd w:id="1329"/>
      <w:bookmarkEnd w:id="1330"/>
    </w:p>
    <w:p>
      <w:pPr>
        <w:topLinePunct/>
        <w:spacing w:beforeLines="0" w:afterLines="0" w:line="416" w:lineRule="exact"/>
        <w:ind w:firstLine="480" w:firstLineChars="200"/>
        <w:rPr>
          <w:rFonts w:cs="Times New Roman" w:asciiTheme="minorEastAsia" w:hAnsiTheme="minorEastAsia"/>
          <w:sz w:val="24"/>
          <w:szCs w:val="24"/>
        </w:rPr>
      </w:pPr>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31" w:name="_Toc25653790"/>
      <w:bookmarkStart w:id="1332" w:name="_Toc28252276"/>
      <w:bookmarkStart w:id="1333" w:name="_Toc28250996"/>
      <w:bookmarkStart w:id="1334" w:name="_Toc26348046"/>
      <w:bookmarkStart w:id="1335" w:name="_Toc25648290"/>
      <w:bookmarkStart w:id="1336" w:name="_Toc28157068"/>
      <w:r>
        <w:t>中华人民共和国野生动物保护法</w:t>
      </w:r>
      <w:bookmarkEnd w:id="1323"/>
      <w:bookmarkEnd w:id="1324"/>
      <w:bookmarkEnd w:id="1325"/>
      <w:bookmarkEnd w:id="1326"/>
      <w:bookmarkEnd w:id="1327"/>
      <w:bookmarkEnd w:id="1331"/>
      <w:bookmarkEnd w:id="1332"/>
      <w:bookmarkEnd w:id="1333"/>
      <w:bookmarkEnd w:id="1334"/>
      <w:bookmarkEnd w:id="1335"/>
      <w:bookmarkEnd w:id="1336"/>
    </w:p>
    <w:p>
      <w:pPr>
        <w:pStyle w:val="62"/>
      </w:pPr>
      <w:r>
        <w:t>（</w:t>
      </w:r>
      <w:bookmarkStart w:id="1337" w:name="OLE_LINK116"/>
      <w:r>
        <w:t>1988年11月8日中华人民共和国</w:t>
      </w:r>
      <w:bookmarkStart w:id="1338" w:name="OLE_LINK63"/>
      <w:r>
        <w:t>主席令第9号</w:t>
      </w:r>
      <w:bookmarkEnd w:id="1338"/>
      <w:r>
        <w:t>公布，根据2004年8月28日中华人民共和国主席令第24号公布的《关于修改〈中华人民共和国野生动物保护法〉的决定》第一次修订，根据2009年8月27日第十一届全国人民代表大会常务委员会第十次会议《关于修改部分法律的决定》第二次修订，根据2016年7月2日中华人民共和国主席令第47号第三次修订，根据2018年10月26日中华人民共和国主席令第16号公布、自公布之日起施行的《全国人民代表大会常务委员会关于修改〈中华人民共和国野生动物保护法〉等十五部法律的决定》第四次修订</w:t>
      </w:r>
      <w:bookmarkEnd w:id="1337"/>
      <w:r>
        <w:t>）</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为了保护野生动物，拯救珍贵、濒危野生动物，维护生物多样性和生态平衡，推进生态文明建设，制定本法。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在中华人民共和国领域及管辖的其他海域，从事野生动物保护及相关活动，适用本法。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本法规定保护的野生动物，是指珍贵、濒危的陆生、水生野生动物和有重要生态、科学、社会价值的陆生野生动物。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本法规定的野生动物及其制品，是指野生动物的整体（含卵、蛋）、部分及其衍生物。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珍贵、濒危的水生野生动物以外的其他水生野生动物的保护，适用《中华人民共和国渔业法》等有关法律的规定。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野生动物资源属于国家所有。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国家保障依法从事野生动物科学研究、人工繁育等保护及相关活动的组织和个人的合法权益。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国家对野生动物实行保护优先、规范利用、严格监管的原则，鼓励开展野生动物科学研究，培育公民保护野生动物的意识，促进人与自然和谐发展。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国家保护野生动物及其栖息地。县级以上人民政府应当制定野生动物及其栖息地相关保护规划和措施，并将野生动物保护经费纳入预算。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国家鼓励公民、法人和其他组织依法通过捐赠、资助、志愿服务等方式参与野生动物保护活动，支持野生动物保护公益事业。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本法规定的野生动物栖息地，是指野生动物野外种群生息繁衍的重要区域。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任何组织和个人都有保护野生动物及其栖息地的义务。禁止违法猎捕野生动物、破坏野生动物栖息地。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任何组织和个人都有权向有关部门和机关举报或者控告违反本法的行为。野生动物保护主管部门和其他有关部门、机关对举报或者控告，应当及时依法处理。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国务院</w:t>
      </w:r>
      <w:r>
        <w:rPr>
          <w:rFonts w:hint="eastAsia" w:asciiTheme="minorEastAsia" w:hAnsiTheme="minorEastAsia" w:eastAsiaTheme="minorEastAsia"/>
          <w:sz w:val="24"/>
          <w:szCs w:val="24"/>
        </w:rPr>
        <w:t>林业草原</w:t>
      </w:r>
      <w:r>
        <w:rPr>
          <w:rFonts w:asciiTheme="minorEastAsia" w:hAnsiTheme="minorEastAsia" w:eastAsiaTheme="minorEastAsia"/>
          <w:sz w:val="24"/>
          <w:szCs w:val="24"/>
        </w:rPr>
        <w:t>、渔业主管部门分别主管全国陆生、水生野生动物保护工作。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县级以上地方人民政府林业草原、渔业主管部门分别主管本行政区域内陆生、水生野生动物保护工作。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各级人民政府应当加强野生动物保护的宣传教育和科学知识普及工作，鼓励和支持基层群众性自治组织、社会组织、企业事业单位、志愿者开展野生动物保护法律法规和保护知识的宣传活动。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教育行政部门、学校应当对学生进行野生动物保护知识教育。</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新闻媒体应当开展野生动物保护法律法规和保护知识的宣传，对违法行为进行舆论监督。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在野生动物保护和科学研究方面成绩显著的组织和个人，由县级以上人民政府给予奖励。</w:t>
      </w:r>
    </w:p>
    <w:p>
      <w:pPr>
        <w:pStyle w:val="63"/>
        <w:spacing w:before="218" w:after="218" w:line="412" w:lineRule="exact"/>
        <w:rPr>
          <w:b/>
        </w:rPr>
      </w:pPr>
      <w:r>
        <w:t xml:space="preserve">第二章 </w:t>
      </w:r>
      <w:r>
        <w:rPr>
          <w:rFonts w:hint="eastAsia"/>
        </w:rPr>
        <w:t xml:space="preserve"> </w:t>
      </w:r>
      <w:r>
        <w:t>野生动物及其栖息地保护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国家对野生动物实行分类分级保护。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对珍贵、濒危的野生动物实行重点保护。国家重点保护的野生动物分为一级保护野生动物和二级保护野生动物。国家重点保护野生动物名录，由国务院野生动物保护主管部门组织科学评估后制定，并每五年根据评估情况确定对名录进行调整。国家重点保护野生动物名录报国务院批准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地方重点保护野生动物，是指国家重点保护野生动物以外，由省、自治区、直辖市重点保护的野生动物。地方重点保护野生动物名录，由省、自治区、直辖市人民政府组织科学评估后制定、调整并公布。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有重要生态、科学、社会价值的陆生野生动物名录，由国务院野生动物保护主管部门组织科学评估后制定、调整并公布。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县级以上人民政府野生动物保护主管部门，应当定期组织或者委托有关科学研究机构对野生动物及其栖息地状况进行调查、监测和评估，建立健全野生动物及其栖息地档案。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对野生动物及其栖息地状况的调查、监测和评估应当包括下列内容：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（一）野生动物野外分布区域、种群数量及结构；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（二）野生动物栖息地的面积、生态状况；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（三）野生动物及其栖息地的主要威胁因素；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（四）野生动物人工繁育情况等其他需要调查、监测和评估的内容。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国务院野生动物保护主管部门应当会同国务院有关部门，根据野生动物及其栖息地状况的调查、监测和评估结果，确定并发布野生动物重要栖息地名录。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以上人民政府依法划定相关自然保护区域，保护野生动物及其重要栖息地，保护、恢复和改善野生动物生存环境。对不具备划定相关自然保护区域条件的，县级以上人民政府可以采取划定禁猎（渔）区、规定禁猎（渔）期等其他形式予以保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禁止或者限制在相关自然保护区域内引入外来物种、营造单一纯林、过量施洒农药等人为干扰、威胁野生动物生息繁衍的行为。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相关自然保护区域，依照有关法律法规的规定划定和管理。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县级以上人民政府及其有关部门在编制有关开发利用规划时，应当充分考虑野生动物及其栖息地保护的需要，分析、预测和评估规划实施可能对野生动物及其栖息地保护产生的整体影响，避免或者减少规划实施可能造成的不利后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在相关自然保护区域建设法律法规规定不得建设的项目。机场、铁路、公路、水利水电、围堰、围填海等建设项目的选址选线，应当避让相关自然保护区域、野生动物迁徙洄游通道；无法避让的，应当采取修建野生动物通道、过鱼设施等措施，消除或者减少对野生动物的不利影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建设项目可能对相关自然保护区域、野生动物迁徙洄游通道产生影响的，环境影响评价文件的审批部门在审批环境影响评价文件时，涉及国家重点保护野生动物的，应当征求国务院野生动物保护主管部门意见；涉及地方重点保护野生动物的，应当征求省、自治区、直辖市人民政府野生动物保护主管部门意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各级野生动物保护主管部门应当监视、监测环境对野生动物的影响。由于环境影响对野生动物造成危害时，野生动物保护主管部门应当会同有关部门进行调查处理。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国家或者地方重点保护野生动物受到自然灾害、重大环境污染事故等突发事件威胁时，当地人民政府应当及时采取应急救助措施。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县级以上人民政府野生动物保护主管部门应当按照国家有关规定组织开展野生动物收容救护工作。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禁止以野生动物收容救护为名买卖野生动物及其制品。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县级以上人民政府野生动物保护主管部门、兽医主管部门，应当按照职责分工对野生动物疫源疫病进行监测，组织开展预测、预报等工作，并按照规定制定野生动物疫情应急预案，报同级人民政府批准或者备案。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县级以上人民政府野生动物保护主管部门、兽医主管部门、卫生主管部门，应当按照职责分工负责与人畜共患传染病有关的动物传染病的防治管理工作。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国家加强对野生动物遗传资源的保护，对濒危野生动物实施抢救性保护。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国务院野生动物保护主管部门应当会同国务院有关部门制定有关野生动物遗传资源保护和利用规划，建立国家野生动物遗传资源基因库，对原产我国的珍贵、濒危野生动物遗传资源实行重点保护。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有关地方人民政府应当采取措施，预防、控制野生动物可能造成的危害，保障人畜安全和农业、林业生产。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因保护本法规定保护的野生动物，造成人员伤亡、农作物或者其他财产损失的，由当地人民政府给予补偿。具体办法由省、自治区、直辖市人民政府制定。有关地方人民政府可以推动保险机构开展野生动物致害赔偿保险业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有关地方人民政府采取预防、控制国家重点保护野生动物造成危害的措施以及实行补偿所需经费，由中央财政按照国家有关规定予以补助。</w:t>
      </w:r>
    </w:p>
    <w:p>
      <w:pPr>
        <w:pStyle w:val="63"/>
        <w:spacing w:before="218" w:after="218" w:line="412" w:lineRule="exact"/>
        <w:rPr>
          <w:b/>
        </w:rPr>
      </w:pPr>
      <w:r>
        <w:t xml:space="preserve">第三章 </w:t>
      </w:r>
      <w:r>
        <w:rPr>
          <w:rFonts w:hint="eastAsia"/>
        </w:rPr>
        <w:t xml:space="preserve"> </w:t>
      </w:r>
      <w:r>
        <w:t>野生动物管理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在相关自然保护区域和禁猎（渔）区、禁猎（渔）期内，禁止猎捕以及其他妨碍野生动物生息繁衍的活动，但法律法规另有规定的除外。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野生动物迁徙洄游期间，在前款规定区域外的迁徙洄游通道内，禁止猎捕并严格限制其他妨碍野生动物生息繁衍的活动。迁徙洄游通道的范围以及妨碍野生动物生息繁衍活动的内容，由县级以上人民政府或者其野生动物保护主管部门规定并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禁止猎捕、杀害国家重点保护野生动物。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猎捕非国家重点保护野生动物的，应当依法取得县级以上地方人民政府野生动物保护主管部门核发的狩猎证，并且服从猎捕量限额管理。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猎捕者应当按照特许猎捕证、狩猎证规定的种类、数量、地点、工具、方法和期限进行猎捕。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持枪猎捕的，应当依法取得公安机关核发的持枪证。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禁止使用毒药、爆炸物、电击或者电子诱捕装置以及猎套、猎夹、地枪、排铳等工具进行猎捕，禁止使用夜间照明行猎、歼灭性围猎、捣毁巢穴、火攻、烟熏、网捕等方法进行猎捕，但因科学研究确需网捕、电子诱捕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前款规定以外的禁止使用的猎捕工具和方法，由县级以上地方人民政府规定并公布。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国家支持有关科学研究机构因物种保护目的人工繁育国家重点保护野生动物。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以外的人工繁育国家重点保护野生动物实行许可制度。人工繁育国家重点保护野生动物的，应当经省、自治区、直辖市人民政府野生动物保护主管部门批准，取得人工繁育许可证，但国务院对批准机关另有规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人工繁育国家重点保护野生动物应当使用人工繁育子代种源，建立物种系谱、繁育档案和个体数据。因物种保护目的确需采用野外种源的，适用本法第二十一条和第二十三条的规定。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本法所称人工繁育子代，是指人工控制条件下繁殖出生的子代个体且其亲本也在人工控制条件下出生。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人工繁育国家重点保护野生动物应当有利于物种保护及其科学研究，不得破坏野外种群资源，并根据野生动物习性确保其具有必要的活动空间和生息繁衍、卫生健康条件，具备与其繁育目的、种类、发展规模相适应的场所、设施、技术，符合有关技术标准和防疫要求，不得虐待野生动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省级以上人民政府野生动物保护主管部门可以根据保护国家重点保护野生动物的需要，组织开展国家重点保护野生动物放归野外环境工作。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禁止出售、购买、利用国家重点保护野生动物及其制品。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实行国家重点保护野生动物及其制品专用标识的范围和管理办法，由国务院野生动物保护主管部门规定。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出售、利用非国家重点保护野生动物的，应当提供狩猎、进出口等合法来源证明。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出售本条第二款、第四款规定的野生动物的，还应当依法附有检疫证明。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对人工繁育技术成熟稳定的国家重点保护野生动物，经科学论证，纳入国务院野生动物保护主管部门制定的人工繁育国家重点保护野生动物名录。对列入名录的野生动物及其制品，可以凭人工繁育许可证，按照省、自治区、直辖市人民政府野生动物保护主管部门核验的年度生产数量直接取得专用标识，凭专用标识出售和利用，保证可追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本法第十条规定的国家重点保护野生动物名录进行调整时，根据有关野外种群保护情况，可以对前款规定的有关人工繁育技术成熟稳定野生动物的人工种群，不再列入国家重点保护野生动物名录，实行与野外种群不同的管理措施，但应当依照本法第二十五条第二款和本条第一款的规定取得人工繁育许可证和专用标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利用野生动物及其制品的，应当以人工繁育种群为主，有利于野外种群养护，符合生态文明建设的要求，尊重社会公德，遵守法律法规和国家有关规定。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野生动物及其制品作为药品经营和利用的，还应当遵守有关药品管理的法律法规。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禁止生产、经营使用国家重点保护野生动物及其制品制作的食品，或者使用没有合法来源证明的非国家重点保护野生动物及其制品制作的食品。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禁止为食用非法购买国家重点保护的野生动物及其制品。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禁止为出售、购买、利用野生动物或者禁止使用的猎捕工具发布广告。禁止为违法出售、购买、利用野生动物制品发布广告。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禁止网络交易平台、商品交易市场等交易场所，为违法出售、购买、利用野生动物及其制品或者禁止使用的猎捕工具提供交易服务。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运输、携带、寄递国家重点保护野生动物及其制品、本法第二十八条第二款规定的野生动物及其制品出县境的，应当持有或者附有本法第二十一条、第二十五条、第二十七条或者第二十八条规定的许可证、批准文件的副本或者专用标识，以及检疫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运输非国家重点保护野生动物出县境的，应当持有狩猎、进出口等合法来源证明，以及检疫证明。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县级以上人民政府野生动物保护主管部门应当对科学研究、人工繁育、公众展示展演等利用野生动物及其制品的活动进行监督管理。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县级以上人民政府其他有关部门，应当按照职责分工对野生动物及其制品出售、购买、利用、运输、寄递等活动进行监督检查。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中华人民共和国缔结或者参加的国际公约禁止或者限制贸易的野生动物或者其制品名录，由国家濒危物种进出口管理机构制定、调整并公布。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出口列入前款名录的野生动物或者其制品的，出口国家重点保护野生动物或者其制品的，应当经国务院野生动物保护主管部门或者国务院批准，并取得国家濒危物种进出口管理机构核发的允许进出口证明书。海关依法实施进出境检疫，凭允许进出口证明书、检疫证明按照规定办理通关手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涉及科学技术保密的野生动物物种的出口，按照国务院有关规定办理。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列入本条第一款名录的野生动物，经国务院野生动物保护主管部门核准，在本法适用范围内可以按照国家重点保护的野生动物管理。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国家组织开展野生动物保护及相关执法活动的国际合作与交流；建立防范、打击野生动物及其制品的走私和非法贸易的部门协调机制，开展防范、打击走私和非法贸易行动。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从境外引进野生动物物种的，应当经国务院野生动物保护主管部门批准。从境外引进列入本法第三十五条第一款名录的野生动物，还应当依法取得允许进出口证明书。海关依法实施进境检疫，凭进口批准文件或者允许进出口证明书以及检疫证明按照规定办理通关手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从境外引进野生动物物种的，应当采取安全可靠的防范措施，防止其进入野外环境，避免对生态系统造成危害。确需将其放归野外的，按照国家有关规定执行。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任何组织和个人将野生动物放生至野外环境，应当选择适合放生地野外生存的当地物种，不得干扰当地居民的正常生活、生产，避免对生态系统造成危害。随意放生野生动物，造成他人人身、财产损害或者危害生态系统的，依法承担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禁止伪造、变造、买卖、转让、租借特许猎捕证、狩猎证、人工繁育许可证及专用标识，出售、购买、利用国家重点保护野生动物及其制品的批准文件，或者允许进出口证明书、进出口等批准文件。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前款规定的有关许可证书、专用标识、批准文件的发放情况，应当依法公开。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外国人在我国对国家重点保护野生动物进行野外考察或者在野外拍摄电影、录像，应当经省、自治区、直辖市人民政府野生动物保护主管部门或者其授权的单位批准，并遵守有关法律法规规定。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地方重点保护野生动物和其他非国家重点保护野生动物的管理办法，由省、自治区、直辖市人民代表大会或者其常务委员会制定。</w:t>
      </w:r>
    </w:p>
    <w:p>
      <w:pPr>
        <w:pStyle w:val="63"/>
        <w:spacing w:before="218" w:after="218" w:line="412" w:lineRule="exact"/>
        <w:rPr>
          <w:b/>
        </w:rPr>
      </w:pPr>
      <w:r>
        <w:t xml:space="preserve">第四章 </w:t>
      </w:r>
      <w:r>
        <w:rPr>
          <w:rFonts w:hint="eastAsia"/>
        </w:rPr>
        <w:t xml:space="preserve"> </w:t>
      </w:r>
      <w:r>
        <w:t>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违反本法第十二条第三款、第十三条第二款规定的，依照有关法律法规的规定处罚。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违反本法第十五条第三款规定，以收容救护为名买卖野生动物及其制品的，由县级以上人民政府野生动物保护主管部门没收野生动物及其制品、违法所得，并处野生动物及其制品价值二倍以上十倍以下的罚款，将有关违法信息记入社会诚信档案，向社会公布；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违反本法第二十条、第二十一条、第二十三条第一款、第二十四条第一款规定，在相关自然保护区域、禁猎（渔）区、禁猎（渔）期猎捕国家重点保护野生动物，未取得特许猎捕证、未按照特许猎捕证规定猎捕、杀害国家重点保护野生动物，或者使用禁用的工具、方法猎捕国家重点保护野生动物的，由县级以上人民政府野生动物保护主管部门、海洋执法部门或者有关保护区域管理机构按照职责分工没收猎获物、猎捕工具和违法所得，吊销特许猎捕证，并处猎获物价值二倍以上十倍以下的罚款；没有猎获物的，并处一万元以上五万元以下的罚款；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违反本法第二十条、第二十二条、第二十三条第一款、第二十四条第一款规定，在相关自然保护区域、禁猎（渔）区、禁猎（渔）期猎捕非国家重点保护野生动物，未取得狩猎证、未按照狩猎证规定猎捕非国家重点保护野生动物，或者使用禁用的工具、方法猎捕非国家重点保护野生动物的，由县级以上地方人民政府野生动物保护主管部门或者有关保护区域管理机构按照职责分工没收猎获物、猎捕工具和违法所得，吊销狩猎证，并处猎获物价值一倍以上五倍以下的罚款；没有猎获物的，并处二千元以上一万元以下的罚款；构成犯罪的，依法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违反本法第二十三条第二款规定，未取得持枪证持枪猎捕野生动物，构成违反治安管理行为的，由公安机关依法给予治安管理处罚；构成犯罪的，依法追究刑事责任。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违反本法第二十五条第二款规定，未取得人工繁育许可证繁育国家重点保护野生动物或者本法第二十八条第二款规定的野生动物的，由县级以上人民政府野生动物保护主管部门没收野生动物及其制品，并处野生动物及其制品价值一倍以上五倍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违反本法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违反本法第二十七条第五款、第三十三条规定，出售、运输、携带、寄递有关野生动物及其制品未持有或者未附有检疫证明的，依照《中华人民共和国动物防疫法》的规定处罚。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违反本法第三十一条规定，为出售、购买、利用野生动物及其制品或者禁止使用的猎捕工具发布广告的，依照《中华人民共和国广告法》的规定处罚。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违反本法第三十二条规定，为违法出售、购买、利用野生动物及其制品或者禁止使用的猎捕工具提供交易服务的，由县级以上人民政府市场监督管理部门责令停止违法行为，限期改正，没收违法所得，并处违法所得二倍以上五倍以下的罚款；没有违法所得的，处一万元以上五万元以下的罚款；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违反本法第三十五条规定，进出口野生动物或者其制品的，由海关、公安机关、海洋执法部门依照法律、行政法规和国家有关规定处罚；构成犯罪的，依法追究刑事责任。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违反本法第三十七条第一款规定，从境外引进野生动物物种的，由县级以上人民政府野生动物保护主管部门没收所引进的野生动物，并处五万元以上二十五万元以下的罚款；未依法实施进境检疫的，依照《中华人民共和国进出境动植物检疫法》的规定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违反本法第三十七条第二款规定，将从境外引进的野生动物放归野外环境的，由县级以上人民政府野生动物保护主管部门责令限期捕回，处一万元以上五万元以下的罚款；逾期不捕回的，由有关野生动物保护主管部门代为捕回或者采取降低影响的措施，所需费用由被责令限期捕回者承担。</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违反本法第三十九条第一款规定，伪造、变造、买卖、转让、租借有关证件、专用标识或者有关批准文件的，由县级以上人民政府野生动物保护主管部门没收违法证件、专用标识、有关批准文件和违法所得，并处五万元以上二十五万元以下的罚款；构成违反治安管理行为的，由公安机关依法给予治安管理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依照本法规定没收的实物，由县级以上人民政府野生动物保护主管部门或者其授权的单位按照规定处理。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本法规定的猎获物价值、野生动物及其制品价值的评估标准和方法，由国务院野生动物保护主管部门制定。</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本法自2017年1月1日起施行。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339" w:name="_Toc18917249"/>
      <w:bookmarkStart w:id="1340" w:name="_Toc459"/>
      <w:bookmarkStart w:id="1341" w:name="_Toc12960520"/>
      <w:bookmarkStart w:id="1342" w:name="_Toc1296034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43" w:name="_Toc28250997"/>
      <w:bookmarkStart w:id="1344" w:name="_Toc28157069"/>
      <w:bookmarkStart w:id="1345" w:name="_Toc28252277"/>
      <w:bookmarkStart w:id="1346" w:name="_Toc26348047"/>
      <w:bookmarkStart w:id="1347" w:name="_Toc25653791"/>
      <w:bookmarkStart w:id="1348" w:name="_Toc25648291"/>
      <w:r>
        <w:t>中华人民共和国水生野生动物保护实施条例</w:t>
      </w:r>
      <w:bookmarkEnd w:id="1339"/>
      <w:bookmarkEnd w:id="1340"/>
      <w:bookmarkEnd w:id="1341"/>
      <w:bookmarkEnd w:id="1342"/>
      <w:bookmarkEnd w:id="1343"/>
      <w:bookmarkEnd w:id="1344"/>
      <w:bookmarkEnd w:id="1345"/>
      <w:bookmarkEnd w:id="1346"/>
      <w:bookmarkEnd w:id="1347"/>
      <w:bookmarkEnd w:id="1348"/>
    </w:p>
    <w:p>
      <w:pPr>
        <w:pStyle w:val="62"/>
      </w:pPr>
      <w:r>
        <w:t>（</w:t>
      </w:r>
      <w:bookmarkStart w:id="1349" w:name="OLE_LINK103"/>
      <w:r>
        <w:rPr>
          <w:rFonts w:hint="eastAsia"/>
        </w:rPr>
        <w:t>1993年9月17日国务院批准，</w:t>
      </w:r>
      <w:r>
        <w:t>1993年10月5日农业部令第1号发布，根据2011年1月8日中华人民共和国国务院令第588号公布、自公布之日起施行的《国务院关于废止和修改部分行政法规的决定》第一次修订，根据2013年12月7日中华人民共和国国务院令第645号公布、自公布之日起施行的《国务院关于修改部分行政法规的决定》第二次修订</w:t>
      </w:r>
      <w:bookmarkEnd w:id="1349"/>
      <w:r>
        <w:t>）</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根据《中华人民共和国野生动物保护法》（以下简称《野生动物保护法》）的规定，制定本条例。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本条例所称水生野生动物，是指珍贵、濒危的水生野生动物；所称水生野生动物产品，是指珍贵、濒危的水生野生动物的任何部分及其衍生物。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国务院渔业行政主管部门主管全国水生野生动物管理工作。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县级以上地方人民政府渔业行政主管部门主管本行政区域内水生野生动物管理工作。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《野生动物保护法》和本条例规定的渔业行政主管部门的行政处罚权，可以由其所属的渔政监督管理机构行使。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县级以上各级人民政府及其有关主管部门应当鼓励、支持有关科研单位、教学单位开展水生野生动物科学研究工作。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渔业行政主管部门及其所属的渔政监督管理机构，有权对《野生动物保护法》和本条例的实施情况进行监督检查，被检查的单位和个人应当给予配合。</w:t>
      </w:r>
    </w:p>
    <w:p>
      <w:pPr>
        <w:pStyle w:val="63"/>
        <w:spacing w:before="218" w:after="218" w:line="412" w:lineRule="exact"/>
        <w:rPr>
          <w:b/>
        </w:rPr>
      </w:pPr>
      <w:r>
        <w:t>第二章  水生野生动物保护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务院渔业行政主管部门和省、自治区、直辖市人民政府渔业行政主管部门，应当定期组织水生野生动物资源调查，建立资源档案，为制定水生野生动物资源保护发展规划、制定和调整国家和地方重点保护水生野生动物名录提供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渔业行政主管部门应当组织社会各方面力量，采取有效措施，维护和改善水生野生动物的生存环境，保护和增殖水生野生动物资源。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禁止任何单位和个人破坏国家重点保护的和地方重点保护的水生野生动物生息繁衍的水域、场所和生存条件。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任何单位和个人对侵占或者破坏水生野生动物资源的行为，有权向当地渔业行政主管部门或者其所属的渔政监督管理机构检举和控告。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任何单位和个人发现受伤、搁浅和因误入港湾、河汊而被困的水生野生动物时，应当及时报告当地渔业行政主管部门或者其所属的渔政监督管理机构，由其采取紧急救护措施；也可以要求附近具备救护条件的单位采取紧急救护措施，并报告渔业行政主管部门。已经死亡的水生野生动物，由渔业行政主管部门妥善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捕捞作业时误捕水生野生动物的，应当立即无条件放生。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因保护国家重点保护的和地方重点保护的水生野生动物受到损失的，可以向当地人民政府渔业行政主管部门提出补偿要求。经调查属实并确实需要补偿的，由当地人民政府按照省、自治区、直辖市人民政府有关规定给予补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务院渔业行政主管部门和省、自治区、直辖市人民政府，应当在国家重点保护的和地方重点保护的水生野生动物的主要生息繁衍的地区和水域，划定水生野生动物自然保护区，加强对国家和地方重点保护水生野生动物及其生存环境的保护管理，具体办法由国务院另行规定。</w:t>
      </w:r>
    </w:p>
    <w:p>
      <w:pPr>
        <w:pStyle w:val="63"/>
        <w:spacing w:before="218" w:after="218" w:line="412" w:lineRule="exact"/>
        <w:rPr>
          <w:b/>
        </w:rPr>
      </w:pPr>
      <w:r>
        <w:t>第三章  水生野生动物管理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禁止捕捉、杀害国家重点保护的水生野生动物。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有下列情形之一，确需捕捉国家重点保护的水生野生动物的，必须申请特许捕捉证：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（一）为进行水生野生动物科学考察、资源调查，必须捕捉的；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（二）为驯养繁殖国家重点保护的水生野生动物，必须从自然水域或者场所获取种源的；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（三）为承担省级以上科学研究项目或者国家医药生产任务，必须从自然水域或者场所获取国家重点保护的水生野生动物的；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（四）为宣传、普及水生野生动物知识或者教学、展览的需要，必须从自然水域或者场所获取国家重点保护的水生野生动物的；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（五）因其他特殊情况，必须捕捉的。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申请特许捕捉证的程序：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（一）需要捕捉国家一级保护水生野生动物的，必须附具申请人所在地和捕捉地的省、自治区、直辖市人民政府渔业行政主管部门签署的意见，向国务院渔业行政主管部门申请特许捕捉证；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（二）需要在本省、自治区、直辖市捕捉国家二级保护水生野生动物的，必须附具申请人所在地的县级人民政府渔业行政主管部门签署的意见，向省、自治区、直辖市人民政府渔业行政主管部门申请特许捕捉证；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需要跨省、自治区、直辖市捕捉国家二级保护水生野生动物的，必须附具申请人所在地的省、自治区、直辖市人民政府渔业行政主管部门签署的意见，向捕捉地的省、自治区、直辖市人民政府渔业行政主管部门申请特许捕捉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动物园申请捕捉国家一级保护水生野生动物的，在向国务院渔业行政主管部门申请特许捕捉证前，须经国务院建设行政主管部门审核同意；申请捕捉国家二级保护水生野生动物的，在向申请人所在地的省、自治区、直辖市人民政府渔业行政主管部门申请特许捕捉证前，须经同级人民政府建设行政主管部门审核同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负责核发特许捕捉证的部门接到申请后，应当自接到申请之日起3个月内作出批准或者不批准的决定。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有下列情形之一的，不予发放特许捕捉证：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（一）申请人有条件以合法的非捕捉方式获得国家重点保护的水生野生动物的种源、产品或者达到其目的的；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（二）捕捉申请不符合国家有关规定，或者申请使用的捕捉工具、方法以及捕捉时间、地点不当的；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（三）根据水生野生动物资源现状不宜捕捉的。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取得特许捕捉证的单位和个人，必须按照特许捕捉证规定的种类、数量、地点、期限、工具和方法进行捕捉，防止误伤水生野生动物或者破坏其生存环境。捕捉作业完成后，应当及时向捕捉地的县级人民政府渔业行政主管部门或者其所属的渔政监督管理机构申请查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县级人民政府渔业行政主管部门或者其所属的渔政监督管理机构对在本行政区域内捕捉国家重点保护的水生野生动物的活动，应当进行监督检查，并及时向批准捕捉的部门报告监督检查结果。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外国人在中国境内进行有关水生野生动物科学考察、标本采集、拍摄电影、录像等活动的，必须经国家重点保护的水生野生动物所在地的省、自治区、直辖市人民政府渔业行政主管部门批准。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驯养繁殖国家一级保护水生野生动物的，应当持有国务院渔业行政主管部门核发的驯养繁殖许可证；驯养繁殖国家二级保护水生野生动物的，应当持有省、自治区、直辖市人民政府渔业行政主管部门核发的驯养繁殖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动物园驯养繁殖国家重点保护的水生野生动物的，渔业行政主管部门可以委托同级建设行政主管部门核发驯养繁殖许可证。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禁止出售、收购国家重点保护的水生野生动物或者其产品。因科学研究、驯养繁殖、展览等特殊情况，需要出售、收购、利用国家一级保护水生野生动物或者其产品的，必须向省、自治区、直辖市人民政府渔业行政主管部门提出申请，经其签署意见后，报国务院渔业行政主管部门批准；需要出售、收购、利用国家二级保护水生野生动物或者其产品的，必须向省、自治区、直辖市人民政府渔业行政主管部门提出申请，并经其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县级以上各级人民政府渔业行政主管部门和工商行政管理部门，应当对水生野生动物或者其产品的经营利用建立监督检查制度，加强对经营利用水生野生动物或者其产品的监督管理。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进入集贸市场的水生野生动物或者其产品，由工商行政管理部门进行监督管理，渔业行政主管部门给予协助；在集贸市场以外经营水生野生动物或者其产品，由渔业行政主管部门、工商行政管理部门或者其授权的单位进行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运输、携带国家重点保护的水生野生动物或者其产品出县境的，应当凭特许捕捉证或者驯养繁殖许可证，向县级人民政府渔业行政主管部门提出申请，报省、自治区、直辖市人民政府渔业行政主管部门或者其授权的单位批准。动物园之间因繁殖动物，需要运输国家重点保护的水生野生动物的，可以由省、自治区、直辖市人民政府渔业行政主管部门授权同级建设行政主管部门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交通、铁路、民航和邮政企业对没有合法运输证明的水生野生动物或者其产品，应当及时通知有关主管部门处理，不得承运、收寄。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从国外引进水生野生动物的，应当向省、自治区、直辖市人民政府渔业行政主管部门提出申请，经省级以上人民政府渔业行政主管部门指定的科研机构进行科学论证后，报国务院渔业行政主管部门批准。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出口国家重点保护的水生野生动物或者其产品的，进出口中国参加的国际公约所限制进出口的水生野生动物或者其产品的，必须经进出口单位或者个人所在地的省、自治区、直辖市人民政府渔业行政主管部门审核，报国务院渔业行政主管部门批准；属于贸易性进出口活动的，必须由具有有关商品进出口权的单位承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动物园因交换动物需要进出口前款所称水生野生动物的，在国务院渔业行政主管部门批准前，应当经国务院建设行政主管部门审核同意。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利用水生野生动物或者其产品举办展览等活动的经济收益，主要用于水生野生动物保护事业。</w:t>
      </w:r>
    </w:p>
    <w:p>
      <w:pPr>
        <w:pStyle w:val="63"/>
        <w:spacing w:before="218" w:after="218" w:line="412" w:lineRule="exact"/>
        <w:rPr>
          <w:b/>
        </w:rPr>
      </w:pPr>
      <w:r>
        <w:t>第四章  奖励和惩罚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有下列事迹之一的单位和个人，由县级以上人民政府或者其渔业行政主管部门给予奖励：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（一）在水生野生动物资源调查、保护管理、宣传教育、开发利用方面有突出贡献的；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（二）严格执行野生动物保护法规，成绩显著的；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（三）拯救、保护和驯养繁殖水生野生动物取得显著成效的；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（四）发现违反水生野生动物保护法律、法规的行为，及时制止或者检举有功的；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（五）在查处破坏水生野生动物资源案件中作出重要贡献的；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（六）在水生野生动物科学研究中取得重大成果或者在应用推广有关的科研成果中取得显著效益的；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（七）在基层从事水生野生动物保护管理工作5年以上并取得显著成绩的；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（八）在水生野生动物保护管理工作中有其他特殊贡献的。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非法捕杀国家重点保护的水生野生动物的，依照刑法有关规定追究刑事责任；情节显著轻微危害不大的，或者犯罪情节轻微不需要判处刑罚的，由渔业行政主管部门没收捕获物、捕捉工具和违法所得，吊销特许捕捉证，并处以相当于捕获物价值10倍以下的罚款，没有捕获物的处以1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违反野生动物保护法律、法规，在水生野生动物自然保护区破坏国家重点保护的或者地方重点保护的水生野生动物主要生息繁衍场所，依照《野生动物保护法》第三十四条的规定处以罚款的，罚款幅度为恢复原状所需费用的3倍以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违反野生动物保护法律、法规，出售、收购、运输、携带国家重点保护的或者地方重点保护的水生野生动物或者其产品的，由工商行政管理部门或者其授权的渔业行政主管部门没收实物和违法所得，可以并处相当于实物价值10倍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伪造、倒卖、转让驯养繁殖许可证，依照《野生动物保护法》第三十七条的规定处以罚款的，罚款幅度为5000元以下。伪造、倒卖、转让特许捕捉证或者允许进出口证明书，依照《野生动物保护法》第三十七条的规定处以罚款的，罚款幅度为5万元以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违反野生动物保护法规，未取得驯养繁殖许可证或者超越驯养繁殖许可证规定范围，驯养繁殖国家重点保护的水生野生动物的，由渔业行政主管部门没收违法所得，处3000元以下的罚款，可以并处没收水生野生动物、吊销驯养繁殖许可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外国人未经批准在中国境内对国家重点保护的水生野生动物进行科学考察、标本采集、拍摄电影、录像的，由渔业行政主管部门没收考察、拍摄的资料以及所获标本，可以并处5万元以下的罚款。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有下列行为之一，尚不构成犯罪，应当给予治安管理处罚的，由公安机关依照《中华人民共和国治安管理处罚法》的规定予以处罚：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（一）拒绝、阻碍渔政检查人员依法执行职务的；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（二）偷窃、哄抢或者故意损坏野生动物保护仪器设备或者设施的。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依照野生动物保护法规的规定没收的实物，按照国务院渔业行政主管部门的有关规定处理。</w:t>
      </w:r>
    </w:p>
    <w:p>
      <w:pPr>
        <w:pStyle w:val="63"/>
        <w:spacing w:before="218" w:after="218" w:line="412" w:lineRule="exact"/>
        <w:rPr>
          <w:b/>
        </w:rPr>
      </w:pPr>
      <w:r>
        <w:t>第五章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本条例由国务院渔业行政主管部门负责解释。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本条例自发布之日起施行。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350" w:name="_Toc466579914"/>
      <w:bookmarkStart w:id="1351" w:name="_Toc18917250"/>
      <w:bookmarkStart w:id="1352" w:name="_Toc12960350"/>
      <w:bookmarkStart w:id="1353" w:name="_Toc3001"/>
      <w:bookmarkStart w:id="1354" w:name="_Toc12960521"/>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55" w:name="_Toc28252278"/>
      <w:bookmarkStart w:id="1356" w:name="_Toc26348048"/>
      <w:bookmarkStart w:id="1357" w:name="_Toc28250998"/>
      <w:bookmarkStart w:id="1358" w:name="_Toc28157070"/>
      <w:bookmarkStart w:id="1359" w:name="_Toc25653792"/>
      <w:bookmarkStart w:id="1360" w:name="_Toc25648292"/>
      <w:r>
        <w:t>北京市实施《中华人民共和国</w:t>
      </w:r>
      <w:r>
        <w:rPr>
          <w:rFonts w:hint="eastAsia"/>
        </w:rPr>
        <w:br w:type="textWrapping"/>
      </w:r>
      <w:r>
        <w:t>野生动物保护法》办法</w:t>
      </w:r>
      <w:bookmarkEnd w:id="1350"/>
      <w:bookmarkEnd w:id="1351"/>
      <w:bookmarkEnd w:id="1352"/>
      <w:bookmarkEnd w:id="1353"/>
      <w:bookmarkEnd w:id="1354"/>
      <w:bookmarkEnd w:id="1355"/>
      <w:bookmarkEnd w:id="1356"/>
      <w:bookmarkEnd w:id="1357"/>
      <w:bookmarkEnd w:id="1358"/>
      <w:bookmarkEnd w:id="1359"/>
      <w:bookmarkEnd w:id="1360"/>
    </w:p>
    <w:p>
      <w:pPr>
        <w:pStyle w:val="62"/>
      </w:pPr>
      <w:r>
        <w:t>（</w:t>
      </w:r>
      <w:bookmarkStart w:id="1361" w:name="OLE_LINK104"/>
      <w:r>
        <w:t>1989年4月2日北京市第九届人民代表大会常务委员会第十次会议通过，根据1997年４月15日北京市第十届人民代表大会常务委员会第三十六次会议《关于修改〈北京市实施中华人民共和国野生动物保护法办法〉的决定》第一次修订，根据2018年3月30日北京市第十五届人民代表大会常务委员会公告第2号公布、自公布之日起施行的《北京市人民代表大会常务委员会关于修改〈北京市大气污染防治条例〉等七部地方性法规的决定》第二次修订</w:t>
      </w:r>
      <w:bookmarkEnd w:id="1361"/>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asciiTheme="minorEastAsia" w:hAnsiTheme="minorEastAsia" w:eastAsiaTheme="minorEastAsia"/>
          <w:sz w:val="24"/>
          <w:szCs w:val="24"/>
        </w:rPr>
        <w:t xml:space="preserve">  为实施《中华人民共和国野生动物保护法》（以下简称《野生动物保护法》），结合本市实际情况，制定本办法。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凡在本市行政区域内从事野生动物的保护、驯养繁殖和利用活动，必须遵守《野生动物保护法》和本办法。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本办法所保护的野生动物是指：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（一）国务院批准公布的国家重点保护野生动物；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（二）北京市人民政府公布的市一级保护野生动物；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（三）北京市野生动物行政主管部门公布的市二级保护野生动物。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公民有保护野生动物资源的义务，对侵占或者破坏野生动物资源的行为有权检举和控告。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市和区林业、渔业行政主管部门（以下简称野生动物行政主管部门）分别负责本行政区域内陆生、水生野生动物保护管理工作。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各级野生动物行政主管部门每10年组织一次野生动物资源调查，建立野生动物资源档案。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公园、林场、风景游览区应当悬挂巢箱，设置鸟食台、水浴场等，对野生动物进行人工招引和保护。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asciiTheme="minorEastAsia" w:hAnsiTheme="minorEastAsia" w:eastAsiaTheme="minorEastAsia"/>
          <w:sz w:val="24"/>
          <w:szCs w:val="24"/>
        </w:rPr>
        <w:t xml:space="preserve">  各级人民政府或者各级野生动物行政主管部门对有下列事迹之一的单位和个人，给予表彰或者奖励：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（一）拯救国家、本市重点保护野生动物的；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（二）检举揭发非法捕杀国家、本市重点保护野生动物的；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（三）保护管理和驯养繁殖野生动物成效显著的；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（四）野生动物科学研究工作成绩突出的；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（五）招鸟工作成绩显著的；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（六）执行《野生动物保护法》和本办法成绩显著的。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asciiTheme="minorEastAsia" w:hAnsiTheme="minorEastAsia" w:eastAsiaTheme="minorEastAsia"/>
          <w:sz w:val="24"/>
          <w:szCs w:val="24"/>
        </w:rPr>
        <w:t xml:space="preserve">  保</w:t>
      </w:r>
      <w:r>
        <w:rPr>
          <w:rFonts w:asciiTheme="minorEastAsia" w:hAnsiTheme="minorEastAsia" w:eastAsiaTheme="minorEastAsia"/>
          <w:spacing w:val="-4"/>
          <w:sz w:val="24"/>
          <w:szCs w:val="24"/>
        </w:rPr>
        <w:t>护野生动物生存环境。禁止任何单位和个人破坏野生动物生存环境。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破坏野生动物主要生息繁衍场所的，由区野生动物行政主管部门责令停止破坏行为，限期恢复原状，可以并处恢复原状所需费用3倍以下的罚款。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禁止任何单位和个人非法猎捕、杀害国家、本市重点保护野生动物。因科学研究、驯养繁殖、展览或者其他特殊情况，需要捕捉国家、本市重点保护野生动物的，按下列规定办理：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（一）捕捉国家一级保护野生动物的，经市野生动物行政主管部门审核同意，向国务院野生动物行政主管部门申请特许猎捕证；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（二）捕捉国家二级保护野生动物和本市一级保护野生动物的，必须向市野生动物行政主管部门申请特许猎捕证；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（三）猎捕本市二级保护野生动物的，必须向狩猎地所在区野生动物行政主管部门申请狩猎证。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非法捕杀国家重点保护野生动物的，依照《野生动物保护法》相关规定处理。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持枪猎捕野生动物的，必须取得区公安机关核发的持枪证。未取得持枪证持枪猎捕的，由公安机关依照《中华人民共和国治安管理处罚法》的规定处罚。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每年3月至5月、9月至11月禁止狩猎。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城、近郊区，远郊区城镇，公园、风景游览区，自然保护区，国营林场，市和区野生动物行政主管部门或者公安部门划定的其他禁猎地区禁止狩猎。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使用毒药、爆炸物、电击或者电子诱捕装置以及猎套、猎夹、地弓、地枪、排铳、汽枪、粘网、军用武器等工具进行猎捕，禁止使用非人为直接操作并危害人畜安全的狩猎装置、夜间照明行猎、歼灭性围猎、捣毁巢穴、火攻、烟熏、网捕、挖洞、陷阱等方法进行猎捕，但因科学研究确需网捕、电子诱捕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违反本</w:t>
      </w:r>
      <w:r>
        <w:rPr>
          <w:rFonts w:asciiTheme="minorEastAsia" w:hAnsiTheme="minorEastAsia" w:eastAsiaTheme="minorEastAsia"/>
          <w:spacing w:val="-4"/>
          <w:sz w:val="24"/>
          <w:szCs w:val="24"/>
        </w:rPr>
        <w:t>条第一、二、三款规定的，由区野生动物行政主管部门没收猎捕工具，并按法律、行政法规的规定处以罚款；情节严重，构成犯罪的，依法追究刑事责任。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本市鼓励驯养繁殖野生动物。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驯养繁殖国家、本市重点保护野生动物的单位和个人，应当持有驯养繁殖许可证。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国家重点保护野生动物驯养繁殖许可证的核发办法，按照国务院野生动物行政主管部门的规定执行。本市重点保护野生动物驯养繁殖许可证核发办法，由市野生动物行政主管部门制定。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禁止出售、收购国家、本市重点保护野生动物或者其产品。因科学研究、驯养繁殖、展览等特殊情况，需要出售、收购、利用国家一级保护野生动物或者其产品的，经市野生动物行政主管部门审核同意，报国务院野生动物行政主管部门或者其授权单位批准；出售、收购、利用国家二级、本市重点保护野生动物或者其产品的，由市野生动物行政主管部门或者其授权单位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驯养繁殖的国家、本市受保护的野生动物及其产品销售管理办法，由市人民政府制定。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asciiTheme="minorEastAsia" w:hAnsiTheme="minorEastAsia" w:eastAsiaTheme="minorEastAsia"/>
          <w:sz w:val="24"/>
          <w:szCs w:val="24"/>
        </w:rPr>
        <w:t xml:space="preserve">  本市各级工商行政管理部门、野生动物行政主管部门应当对出售、收购、运输、携带野生动物及其产品的活动进行监督管理。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违反本办法规定，非法出售、收购、运输、携带国家重点保护野生动物或者其产品的，没收实物和违法所得，并处相当于野生动物及其制品价值2倍以上10倍以下的罚款；情节严重，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违反本办法规定，非法出售、收购、运输、携带本市重点保护野生动物或者其产品的，没收实物和违法所得，并处相当于野生动物及其制品价值1倍以上5倍以下的罚款；情节严重，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asciiTheme="minorEastAsia" w:hAnsiTheme="minorEastAsia" w:eastAsiaTheme="minorEastAsia"/>
          <w:sz w:val="24"/>
          <w:szCs w:val="24"/>
        </w:rPr>
        <w:t xml:space="preserve">  伪造</w:t>
      </w:r>
      <w:r>
        <w:rPr>
          <w:rFonts w:asciiTheme="minorEastAsia" w:hAnsiTheme="minorEastAsia" w:eastAsiaTheme="minorEastAsia"/>
          <w:spacing w:val="-4"/>
          <w:sz w:val="24"/>
          <w:szCs w:val="24"/>
        </w:rPr>
        <w:t>、倒卖、转让特许猎捕证、狩猎证、驯养繁殖许可证或者允许进出口证明书的，由野生动物行政主管部门或者工商行政管理部门吊销证件，没收违法所得，并按法律、行政法规的规定处以罚款；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asciiTheme="minorEastAsia" w:hAnsiTheme="minorEastAsia" w:eastAsiaTheme="minorEastAsia"/>
          <w:sz w:val="24"/>
          <w:szCs w:val="24"/>
        </w:rPr>
        <w:t xml:space="preserve">  野生动物行政主管部门工作人员在野生动物保护管理工作中玩忽职守、滥用职权、徇私舞弊的，由其所在单位或者上级主管机关给予行政处分；情节严重，构成犯罪的，依法追究刑事责任。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当事人对行政处罚决定不服的，可以在接到处罚通知之日起15日内，向作出处罚决定机关的上一级机关申请复议，但对没收猎获物、猎捕工具的决定，必须立即执行；对上一级机关复议决定不服的，可以在接到复议决定通知之日起15日内，向人民法院起诉。当事人也可以在接到处罚通知之日起15日内，直接向人民法院起诉。当事人逾期不申请复议或者不向人民法院起诉，又不履行处罚决定的，由作出处罚决定的机关申请人民法院强制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 xml:space="preserve">  本办法自1989年6月1日起施行。</w:t>
      </w:r>
      <w:r>
        <w:rPr>
          <w:rFonts w:asciiTheme="minorEastAsia" w:hAnsiTheme="minorEastAsia" w:eastAsiaTheme="minorEastAsia"/>
          <w:sz w:val="24"/>
          <w:szCs w:val="24"/>
        </w:rPr>
        <w:br w:type="page"/>
      </w:r>
      <w:bookmarkStart w:id="1362" w:name="_Toc12960353"/>
      <w:bookmarkStart w:id="1363" w:name="_Toc29720"/>
      <w:bookmarkStart w:id="1364" w:name="_Toc18917251"/>
      <w:bookmarkStart w:id="1365" w:name="_Toc12960524"/>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66" w:name="_Toc25653793"/>
      <w:bookmarkStart w:id="1367" w:name="_Toc28157071"/>
      <w:bookmarkStart w:id="1368" w:name="_Toc28252279"/>
      <w:bookmarkStart w:id="1369" w:name="_Toc25648293"/>
      <w:bookmarkStart w:id="1370" w:name="_Toc28250999"/>
      <w:bookmarkStart w:id="1371" w:name="_Toc26348049"/>
      <w:r>
        <w:rPr>
          <w:rFonts w:hint="eastAsia"/>
        </w:rPr>
        <w:t>中华人民共和国</w:t>
      </w:r>
      <w:r>
        <w:t>水产资源繁殖保护条例</w:t>
      </w:r>
      <w:bookmarkEnd w:id="1362"/>
      <w:bookmarkEnd w:id="1363"/>
      <w:bookmarkEnd w:id="1364"/>
      <w:bookmarkEnd w:id="1365"/>
      <w:bookmarkEnd w:id="1366"/>
      <w:bookmarkEnd w:id="1367"/>
      <w:bookmarkEnd w:id="1368"/>
      <w:bookmarkEnd w:id="1369"/>
      <w:bookmarkEnd w:id="1370"/>
      <w:bookmarkEnd w:id="1371"/>
    </w:p>
    <w:p>
      <w:pPr>
        <w:pStyle w:val="62"/>
        <w:topLinePunct w:val="0"/>
        <w:ind w:firstLine="0" w:firstLineChars="0"/>
        <w:jc w:val="center"/>
      </w:pPr>
      <w:r>
        <w:t>（1979年2月10日国务院颁布施行）</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根据中华人民共和国宪法第六条：“矿藏，水流，国有的森林、荒地和其他海陆资源，都属于全民所有”和第十一条：“国家保护环境和自然资源，防治污染和其他公害”的精神，为了繁殖保护水产资源，发展水产事业，以适应社会主义现代化建设的需要，特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凡是有经济价值的水生动物和植物的亲体、幼体、卵子、孢子等，以及赖以繁殖成长的水域环境，都按本条例的规定加以保护。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国家水产总局、各海区渔业指挥部和地方各级革命委员会，应当加强对水产资源繁殖保护工作的组织领导，充分发动和依靠群众，认真贯彻执行本条例。</w:t>
      </w:r>
    </w:p>
    <w:p>
      <w:pPr>
        <w:pStyle w:val="63"/>
        <w:spacing w:before="218" w:after="218" w:line="412" w:lineRule="exact"/>
      </w:pPr>
      <w:r>
        <w:t>第二章 保护对象和采捕原则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对下列重要或名贵的水生动物和植物应当重点加以保护。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（一）鱼类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海水鱼：带鱼、大黄鱼、小黄鱼、兰圆参、沙丁鱼，太平洋鲱鱼，鳓鱼、真鲷、黑鲷、二长棘鲷、红笛鲷、梭鱼、鲆、鲽、鳎、石班鱼、鳕鱼、狗母鱼、金线鱼、鲳鱼、</w:t>
      </w:r>
      <w:r>
        <w:rPr>
          <w:rFonts w:hint="eastAsia" w:asciiTheme="minorEastAsia" w:hAnsiTheme="minorEastAsia" w:eastAsiaTheme="minorEastAsia"/>
          <w:sz w:val="24"/>
          <w:szCs w:val="24"/>
        </w:rPr>
        <w:t>鮸</w:t>
      </w:r>
      <w:r>
        <w:rPr>
          <w:rFonts w:asciiTheme="minorEastAsia" w:hAnsiTheme="minorEastAsia" w:eastAsiaTheme="minorEastAsia"/>
          <w:sz w:val="24"/>
          <w:szCs w:val="24"/>
        </w:rPr>
        <w:t>鱼、白姑鱼、黄姑鱼、鲐鱼、马鲛、海鳗。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淡水鱼：鲤鱼、青鱼、草鱼、鲢鱼、鳇鱼、、红鳍鳇鱼、鲮鱼、鲫鱼、鲥鱼、鳜鱼、鲂鱼、鳊鱼、鲑鱼、长江鲟、中华鲟、白鲟、青海湖裸鲤、鲚鱼、银鱼、河鳗、黄鳝、鲴鱼。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（二）虾蟹类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对虾、毛虾、青虾、鹰爪虾、中华？螯蟹、梭子蟹、青蟹。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（三）贝类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鲍鱼、蛏、蚶、牡蛎、西施舌、扇贝、江瑶、文蛤、杂色蛤、翡翠贻贝、紫贻贝、厚壳贻贝、珍珠贝、河蚌。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（四）海藻类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紫菜、裙带菜、石花菜、江篱、海带、麒麟菜。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（五）淡水食用水生植物类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莲藕、菱角、芡实。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（六）其它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白鳍豚、鲸、大鲵、海龟、玳瑁、海参、乌贼、鱿鱼、乌龟、鳖。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各省、自治区、直辖市革命委员会可以根据本地的水产资源情况，对重点保护对象，作必要的增减。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水生动物的可捕标准，应当以达到性成熟为原则。对各种捕捞对象应当规定具体的可捕标准（长度或重量）和渔获物中小于可捕标准部分的最大比重。捕捞时应当保留足够数量的亲体，使资源能够稳定增长。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各种经济藻类和淡水食用水生植物，应当待其长成后方得采收，并注意留种、留株，合理轮采。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各地</w:t>
      </w:r>
      <w:r>
        <w:rPr>
          <w:rFonts w:asciiTheme="minorEastAsia" w:hAnsiTheme="minorEastAsia" w:eastAsiaTheme="minorEastAsia"/>
          <w:spacing w:val="4"/>
          <w:sz w:val="24"/>
          <w:szCs w:val="24"/>
        </w:rPr>
        <w:t>应当因地制宜采取各种措施，如改良水域条件、人工投放苗种、投放鱼巢、灌江纳苗、营救幼鱼、移植驯化、消除敌害、引种栽植等，增殖水产资源。</w:t>
      </w:r>
    </w:p>
    <w:p>
      <w:pPr>
        <w:pStyle w:val="63"/>
        <w:spacing w:before="218" w:after="218" w:line="412" w:lineRule="exact"/>
      </w:pPr>
      <w:r>
        <w:t>第三章</w:t>
      </w:r>
      <w:r>
        <w:rPr>
          <w:rFonts w:hint="eastAsia"/>
        </w:rPr>
        <w:t xml:space="preserve"> </w:t>
      </w:r>
      <w:r>
        <w:t xml:space="preserve"> 禁渔区和禁渔期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对某些重要鱼虾贝类产卵场、越冬场和幼体索饵场，应当合理规定禁渔区、禁渔期，分别不同情况，禁止全部作业，或限制作业的种类和某些作业的渔具数量。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凡是鱼、蟹等产卵洄游通道的江河，不得遮断河面拦捕，应当留出一定宽度的通道，以保证足够数量的亲体上溯或降河产卵繁殖。更不准在闸口拦捕鱼、蟹幼体和产卵洄游的亲体，必要时应当规定禁渔期。因养殖生产需要而捕捞鱼苗、蟹苗者，应当经省、自治区、直辖市水产部门批准，在指定水域和时间内作业。</w:t>
      </w:r>
    </w:p>
    <w:p>
      <w:pPr>
        <w:pStyle w:val="63"/>
        <w:spacing w:before="218" w:after="218" w:line="412" w:lineRule="exact"/>
      </w:pPr>
      <w:r>
        <w:t xml:space="preserve">第四章 </w:t>
      </w:r>
      <w:r>
        <w:rPr>
          <w:rFonts w:hint="eastAsia"/>
        </w:rPr>
        <w:t xml:space="preserve"> </w:t>
      </w:r>
      <w:r>
        <w:t>渔具和渔法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各种主要渔具，应当按不同捕捞对象，分别规定最小网眼（箔眼）尺寸。其中机轮拖网、围网和机帆船拖网的最小网眼尺寸，由国家水产总局规定。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禁止制造或出售不合规定的渔具。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现有危害资源的渔具、渔法，应当根据其危害资源的程度，区别对待。对危害资源较轻的，应当有计划、有步骤地予以改进。对严重危害资源的，应当加以禁止或限期淘汰，在没有完全淘汰之前，应当适当地限制其作业场所和时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捕捞小型成熟鱼、虾的小眼网具，只准在指定的水域和时间内作业。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严禁炸鱼、毒鱼、滥用电力捕鱼以及进行敲？作业等严重损害水产资源的行为。</w:t>
      </w:r>
    </w:p>
    <w:p>
      <w:pPr>
        <w:pStyle w:val="63"/>
        <w:spacing w:before="218" w:after="218" w:line="412" w:lineRule="exact"/>
      </w:pPr>
      <w:r>
        <w:t xml:space="preserve">第五章 </w:t>
      </w:r>
      <w:r>
        <w:rPr>
          <w:rFonts w:hint="eastAsia"/>
        </w:rPr>
        <w:t xml:space="preserve"> </w:t>
      </w:r>
      <w:r>
        <w:t>水域环境的维护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禁止向渔业水域排弃有害水产资源的污水、油类、油性混合物等污染物质和废弃物。各工矿企业必须严格执行国家颁发的《工业“三废”排放试行标准》、《放射防护规定》和其他有关规定。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因卫生防疫或驱除病虫害等，需要向渔业水域投注药物时，应当兼顾到水产资源的繁殖保护。农村浸麻应当集中在指定的水域中进行。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修建水利工程，要注意保护渔业水域环境。在鱼、蟹等洄游通道筑坝，要相应地建造过鱼设施。已建成的水利工程，凡阻碍鱼、蟹洄游和产卵的，由水产部门和水利管理部门协商，在许可的水位、水量、水质的条件下，适时开闸纳苗或捕苗移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围垦海涂、湖滩，要在不损害水产资源的条件下，统筹安排，有计划地进行。</w:t>
      </w:r>
    </w:p>
    <w:p>
      <w:pPr>
        <w:pStyle w:val="63"/>
        <w:spacing w:before="218" w:after="218" w:line="412" w:lineRule="exact"/>
      </w:pPr>
      <w:r>
        <w:t xml:space="preserve">第六章 </w:t>
      </w:r>
      <w:r>
        <w:rPr>
          <w:rFonts w:hint="eastAsia"/>
        </w:rPr>
        <w:t xml:space="preserve"> </w:t>
      </w:r>
      <w:r>
        <w:t>奖</w:t>
      </w:r>
      <w:r>
        <w:rPr>
          <w:rFonts w:hint="eastAsia"/>
        </w:rPr>
        <w:t xml:space="preserve"> </w:t>
      </w:r>
      <w:r>
        <w:t xml:space="preserve"> 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对贯彻执行本条例有成绩的单位或个人，国家水产总局、各海区渔业指挥部和地方各级革命委员会应当酌情给予表扬或适当的物质奖励。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违反本条例的，应当视情节轻重给予批评教育，或赔偿损失、没收渔获、没收渔具、罚款等处分。凡干部带头怂恿违反本条例的，要追究责任，必要时给予行政或纪律处分。对严重损害资源造成重大破坏的，或抗拒管理，行凶打人的，要追究刑事责任。对坏人的破坏活动要坚决打击，依法惩处。</w:t>
      </w:r>
    </w:p>
    <w:p>
      <w:pPr>
        <w:pStyle w:val="63"/>
        <w:spacing w:before="218" w:after="218" w:line="412" w:lineRule="exact"/>
      </w:pPr>
      <w:r>
        <w:t xml:space="preserve">第七章 </w:t>
      </w:r>
      <w:r>
        <w:rPr>
          <w:rFonts w:hint="eastAsia"/>
        </w:rPr>
        <w:t xml:space="preserve"> </w:t>
      </w:r>
      <w:r>
        <w:t>组织领导和职责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全国水产资源繁殖保护工作由国家水产总局管理，有关部门配合。地方各级革命委员会应当指定水产行政部门和其他有关部门具体负责本条例的贯彻执行，并可以根据需要设置渔政管理机构。各海区渔业指挥部和省、自治区、直辖市应当配备渔政船只。</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有些海湾、湖泊、江河、水库等水域，也可以根据需要，经省、自治区、直辖市革命委员会批准，设立水产资源繁殖保护管理机构或群众性的管理委员会。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各级水产行政部门及其渔政管理机构，应当切实加强对水产资源繁殖保护工作的管理，建立渔业许可证制度，核定渔船、渔具发展数量和作业类型，进行渔船登记，加强监督检查，保障对水产资源的合理利用。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水产科研部门应当将资源调查、资源保护和改进渔具、渔法的研究工作列为一项重要任务，及时提出水产资源繁殖保护的建议，并为制定实施细则提供科学依据。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凡是跨越本省、自治区、直辖市水域进行渔业生产的，必须遵守当地水产资源繁殖保护的有关具体规定。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因科学研究工作需要，从事与本条例和当地有关水产资源繁殖保护的规定有抵触的活动，必须事先报经省、自治区、直辖市水产行政部门批准。</w:t>
      </w:r>
    </w:p>
    <w:p>
      <w:pPr>
        <w:pStyle w:val="63"/>
        <w:spacing w:before="218" w:after="218" w:line="412" w:lineRule="exact"/>
      </w:pPr>
      <w:r>
        <w:t xml:space="preserve">第八章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地方各级革命委员会应当根据本条例的规定，结合本地区的具体情况，制定实施细则，报上一级领导机关备案。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本规定自发布之日起施行。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372" w:name="_Toc25653794"/>
      <w:bookmarkStart w:id="1373" w:name="_Toc25648294"/>
      <w:bookmarkStart w:id="1374" w:name="_Toc18917252"/>
      <w:bookmarkStart w:id="1375" w:name="_Toc28157072"/>
      <w:bookmarkStart w:id="1376" w:name="_Toc26348050"/>
      <w:bookmarkStart w:id="1377" w:name="_Toc28252280"/>
      <w:bookmarkStart w:id="1378" w:name="_Toc28251000"/>
      <w:r>
        <w:t>北京市实施《水产资源繁殖保护条例》若干规定</w:t>
      </w:r>
      <w:bookmarkEnd w:id="1372"/>
      <w:bookmarkEnd w:id="1373"/>
      <w:bookmarkEnd w:id="1374"/>
      <w:bookmarkEnd w:id="1375"/>
      <w:bookmarkEnd w:id="1376"/>
      <w:bookmarkEnd w:id="1377"/>
      <w:bookmarkEnd w:id="1378"/>
    </w:p>
    <w:p>
      <w:pPr>
        <w:pStyle w:val="62"/>
      </w:pPr>
      <w:r>
        <w:t>（1997年3月28日</w:t>
      </w:r>
      <w:r>
        <w:rPr>
          <w:rFonts w:hint="eastAsia"/>
          <w:lang w:eastAsia="zh-CN"/>
        </w:rPr>
        <w:t>北京市人民政府</w:t>
      </w:r>
      <w:r>
        <w:t>令第3号发布，根据2004年6月1日《北京市实施〈水产资源繁殖保护条例〉若干规定修正案》第一次修订，根据2007年11月23日《北京市人民政府关于修改北京市实施〈水产资源繁殖保护条例〉若干规定的决定》第二次修订）</w:t>
      </w:r>
    </w:p>
    <w:p>
      <w:pPr>
        <w:pStyle w:val="3"/>
        <w:topLinePunct/>
        <w:spacing w:line="412" w:lineRule="exact"/>
        <w:ind w:firstLine="482"/>
        <w:rPr>
          <w:rFonts w:asciiTheme="minorEastAsia" w:hAnsiTheme="minorEastAsia" w:eastAsiaTheme="minorEastAsia"/>
          <w:b/>
          <w:kern w:val="0"/>
          <w:sz w:val="24"/>
          <w:szCs w:val="24"/>
        </w:rPr>
      </w:pP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为加强本市水产资源繁殖保护工作，发展水产事业，根据国务院发布的《水产资源繁殖保护条例》（以下简称《条例》）和有关法律、法规，结合本市实际情况，制定本规定。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凡本市行政区域内，具有经济价值的水生动植物亲体、幼体、卵子、孢子等及其赖以繁殖成长的水域环境，均应按照《条例》和本规定加以保护。</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市农业局（以下简称市政府农林办）是本市渔业行政主管部门，负责本市水产资源繁殖保护工作；区、县人民政府渔业行政主管部门，负责本行政区域内的水产资源繁殖保护工作。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本市各级渔业行政主管部门及其渔政监督管理站，应当在同级人民政府的领导下，依法加强水产资源繁殖保护工作及监督检查，保障对水产资源的合理利用。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本市鼓励对水产资源的繁殖保护。在不破坏现有资源和环境的前提下，可以依法合理开发利用水产资源。任何单位和个人都有权揭发、检举破坏水产资源繁殖保护的行为。</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本市对下列珍贵和重要水生动、植物重点加以繁殖保护：</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鱼类：鲢鱼、鲤鱼、草鱼、鳙鱼、青鱼、鲫鱼、鲶鱼、罗非鱼、鳊鱼、鲟鱼、鳗鱼、（鱼＋餐）条、香鱼、鳜鱼、团头鲂、乌鳢、圆尾斗鱼、赤眼鳟、虹鳟、中华九剌鱼、细鳞鱼、雅罗鱼、太湖短吻银鱼、多鳞铲颌鱼、东方薄鳅、黄线薄鳅、鲴鱼、池沼公鱼、红鳍（</w:t>
      </w:r>
      <w:r>
        <w:rPr>
          <w:rFonts w:hint="eastAsia" w:asciiTheme="minorEastAsia" w:hAnsiTheme="minorEastAsia" w:eastAsiaTheme="minorEastAsia"/>
          <w:kern w:val="0"/>
          <w:sz w:val="24"/>
          <w:szCs w:val="24"/>
        </w:rPr>
        <w:t>鲌</w:t>
      </w:r>
      <w:r>
        <w:rPr>
          <w:rFonts w:asciiTheme="minorEastAsia" w:hAnsiTheme="minorEastAsia" w:eastAsiaTheme="minorEastAsia"/>
          <w:kern w:val="0"/>
          <w:sz w:val="24"/>
          <w:szCs w:val="24"/>
        </w:rPr>
        <w:t>）、翘嘴红（</w:t>
      </w:r>
      <w:r>
        <w:rPr>
          <w:rFonts w:hint="eastAsia" w:asciiTheme="minorEastAsia" w:hAnsiTheme="minorEastAsia" w:eastAsiaTheme="minorEastAsia"/>
          <w:kern w:val="0"/>
          <w:sz w:val="24"/>
          <w:szCs w:val="24"/>
        </w:rPr>
        <w:t>鲌</w:t>
      </w:r>
      <w:r>
        <w:rPr>
          <w:rFonts w:asciiTheme="minorEastAsia" w:hAnsiTheme="minorEastAsia" w:eastAsiaTheme="minorEastAsia"/>
          <w:kern w:val="0"/>
          <w:sz w:val="24"/>
          <w:szCs w:val="24"/>
        </w:rPr>
        <w:t>）等。</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（二）虾蟹类：罗氏沼虾、青虾、河蟹等。</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（三）水生植物类：莲藕、菱角、茭白等。</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（四）其它：大鲵、鳖、牛蛙、河蚌等。</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禁止捕捞、采集国家明令保护的水生动、植物。</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重点保护水生动、植物品种的捕捞、采集标准，由市政府农林办根据本市具体情况另行制定。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各区、县渔业行政主管部门应当根据渔业生产和水产资源繁殖保护的需要，在渔业水域内划定禁渔区，规定禁渔期，并报市政府农林办备案。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在禁渔区四周应当设置明显标志。禁渔期间，禁渔区内禁止一切捕捞作业。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禁止向渔业水域排放危害水产资源的污水、油类、油性混合物及其他污染物质和废弃物质。企业排污应当符合排污标准，保证临近渔业水域的水质。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渔政监督管理站每年应当负责组织向水库投放一定数量和一定规格的鱼种，并在鱼类自然繁殖季节组织敷设人工鱼巢，以保证水库渔业资源的充分增殖和合理利用。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第十一条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对违反本规定的，按照《条例》和有关法律、法规的规定给予处罚。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第十二条</w:t>
      </w:r>
      <w:r>
        <w:rPr>
          <w:rFonts w:hint="eastAsia"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本规定自</w:t>
      </w:r>
      <w:r>
        <w:rPr>
          <w:rFonts w:hint="eastAsia" w:asciiTheme="minorEastAsia" w:hAnsiTheme="minorEastAsia" w:eastAsiaTheme="minorEastAsia"/>
          <w:kern w:val="0"/>
          <w:sz w:val="24"/>
          <w:szCs w:val="24"/>
        </w:rPr>
        <w:t>1997</w:t>
      </w:r>
      <w:r>
        <w:rPr>
          <w:rFonts w:asciiTheme="minorEastAsia" w:hAnsiTheme="minorEastAsia" w:eastAsiaTheme="minorEastAsia"/>
          <w:kern w:val="0"/>
          <w:sz w:val="24"/>
          <w:szCs w:val="24"/>
        </w:rPr>
        <w:t>年</w:t>
      </w:r>
      <w:r>
        <w:rPr>
          <w:rFonts w:hint="eastAsia" w:asciiTheme="minorEastAsia" w:hAnsiTheme="minorEastAsia" w:eastAsiaTheme="minorEastAsia"/>
          <w:kern w:val="0"/>
          <w:sz w:val="24"/>
          <w:szCs w:val="24"/>
        </w:rPr>
        <w:t>5</w:t>
      </w:r>
      <w:r>
        <w:rPr>
          <w:rFonts w:asciiTheme="minorEastAsia" w:hAnsiTheme="minorEastAsia" w:eastAsiaTheme="minorEastAsia"/>
          <w:kern w:val="0"/>
          <w:sz w:val="24"/>
          <w:szCs w:val="24"/>
        </w:rPr>
        <w:t>月</w:t>
      </w:r>
      <w:r>
        <w:rPr>
          <w:rFonts w:hint="eastAsia" w:asciiTheme="minorEastAsia" w:hAnsiTheme="minorEastAsia" w:eastAsiaTheme="minorEastAsia"/>
          <w:kern w:val="0"/>
          <w:sz w:val="24"/>
          <w:szCs w:val="24"/>
        </w:rPr>
        <w:t>1</w:t>
      </w:r>
      <w:r>
        <w:rPr>
          <w:rFonts w:asciiTheme="minorEastAsia" w:hAnsiTheme="minorEastAsia" w:eastAsiaTheme="minorEastAsia"/>
          <w:kern w:val="0"/>
          <w:sz w:val="24"/>
          <w:szCs w:val="24"/>
        </w:rPr>
        <w:t>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379" w:name="_Toc24429"/>
      <w:bookmarkStart w:id="1380" w:name="_Toc12960365"/>
      <w:bookmarkStart w:id="1381" w:name="_Toc18917258"/>
      <w:bookmarkStart w:id="1382" w:name="_Toc12960536"/>
      <w:bookmarkStart w:id="1383" w:name="_Toc466579910"/>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84" w:name="_Toc28251001"/>
      <w:bookmarkStart w:id="1385" w:name="_Toc26348051"/>
      <w:bookmarkStart w:id="1386" w:name="_Toc25648295"/>
      <w:bookmarkStart w:id="1387" w:name="_Toc28252281"/>
      <w:bookmarkStart w:id="1388" w:name="_Toc28157073"/>
      <w:bookmarkStart w:id="1389" w:name="_Toc25653795"/>
      <w:r>
        <w:t>水产种质资源保护区管理暂行办法</w:t>
      </w:r>
      <w:bookmarkEnd w:id="1379"/>
      <w:bookmarkEnd w:id="1380"/>
      <w:bookmarkEnd w:id="1381"/>
      <w:bookmarkEnd w:id="1382"/>
      <w:bookmarkEnd w:id="1383"/>
      <w:bookmarkEnd w:id="1384"/>
      <w:bookmarkEnd w:id="1385"/>
      <w:bookmarkEnd w:id="1386"/>
      <w:bookmarkEnd w:id="1387"/>
      <w:bookmarkEnd w:id="1388"/>
      <w:bookmarkEnd w:id="1389"/>
    </w:p>
    <w:p>
      <w:pPr>
        <w:pStyle w:val="62"/>
      </w:pPr>
      <w:r>
        <w:t>（2011年1月5日农业部令第1号公布，根据2016年5月30日中华人民共和国农业部令第3号公布、自2016年6月1日起施行的《农业部关于废止和修改部分规章、规范性文件的决定》修订）</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为规范水产种质资源保护区的设立和管理，加强水产种质资源保护，根据《渔业法》等有关法律法规，制定本办法。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水产种质资源保护区，是指为保护水产种质资源及其生存环境，在具有较高经济价值和遗传育种价值的水产种质资源的主要生长繁育区域，依法划定并予以特殊保护和管理的水域、滩涂及其毗邻的岛礁、陆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在中华人民共和国领域和中华人民共和国管辖的其他水域内设立和管理水产种质资源保护区，从事涉及水产种质资源保护区的有关活动，应当遵守本办法。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农业部主管全国水产种质资源保护区工作。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县级以上地方人民政府渔业行政主管部门负责辖区内水产种质资源保护区工作。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农业部组织省级人民政府渔业行政主管部门制定全国水产种质资源保护区总体规划，加强水产种质资源保护区建设。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省级人民政府渔业行政主管部门应当根据全国水产种质资源保护区总体规划，科学制定本行政区域内水产种质资源保护区具体实施计划，并组织落实。</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渔业行政主管部门应当积极争取各级人民政府支持，加大水产种质资源保护区建设和管理投入。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对破坏、侵占水产种质资源保护区的行为，任何单位和个人都有权向渔业行政主管部门或者其所属的渔政监督管理机构、水产种质资源保护区管理机构举报。接到举报的渔业行政主管部门或机构应当依法调查处理，并将处理结果告知举报人。</w:t>
      </w:r>
    </w:p>
    <w:p>
      <w:pPr>
        <w:pStyle w:val="63"/>
        <w:spacing w:before="218" w:after="218" w:line="412" w:lineRule="exact"/>
        <w:rPr>
          <w:b/>
        </w:rPr>
      </w:pPr>
      <w:r>
        <w:t xml:space="preserve">第二章 </w:t>
      </w:r>
      <w:r>
        <w:rPr>
          <w:rFonts w:hint="eastAsia"/>
        </w:rPr>
        <w:t xml:space="preserve"> </w:t>
      </w:r>
      <w:r>
        <w:t>水产种质资源保护区设立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下列区域应当设立水产种质资源保护区：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（一）国家和地方规定的重点保护水生生物物种的主要生长繁育区域；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（二）我国特有或者地方特有水产种质资源的主要生长繁育区域；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（三）重要水产养殖对象的原种、苗种的主要天然生长繁育区域；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（四）其他具有较高经济价值和遗传育种价值的水产种质资源的主要生长繁育区域。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根据保护对象资源状况、自然环境及保护需要，水产种质资源保护区可以划分为核心区和实验区。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农业部设立国家级水产种质资源保护区评审委员会，对申报的水产种质资源保护区进行评审。水产种质资源保护区评审委员会应当由渔业、环保、水利、交通、海洋、生物保护等方面的专家组成。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符合条件的水产种质资源保护区，可以由省级人民政府渔业行政主管部门向农业部申报国家级水产种质资源保护区，经国家级水产种质资源保护区评审委员会评审后，由农业部批准设立，并公布水产种质资源保护区的名称、位置、范围和主要保护对象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农业部可以根据需要直接设立国家级水产种质资源保护区。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拟设立的水产种质资源保护区跨行政区域或者管辖水域的，由相关区域地方人民政府渔业行政主管部门协商后共同申报或者由其共同上级渔业主管部门申报，按照本办法第九条、第十条规定的程序审批。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申报设立水产种质资源保护区，应当提交以下材料：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（一）申报书，主要包括保护区的主要保护对象、保护价值、区域范围、管理机构、管理基础等；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（二）综合考察报告，主要包括保护物种资源、生态环境、社会经济状况、保护区管理条件和综合评价等；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（三）保护区规划方案，包括规划目标、规划内容（含核心区和实验区划分情况）等；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（四）保护区大比例尺地图等其他必要材料。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水产种质资源保护区按照下列方式命名：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（一）国家级水产种质资源保护区：水产种质资源保护区所在区域名称＋保护对象名称＋“国家级水产种质资源保护区”。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（二）具有多种重要保护对象或者具有重要生态功能的水产种质资源保护区：水产种质资源保护区所在区域名称＋“国家级水产种质资源保护区”。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（三）主要保护物种属于地方或水域特有种类的保护区：水产种质资源保护区所在区域名称＋“特有鱼类”＋“国家级水产种质资源保护区”。</w:t>
      </w:r>
    </w:p>
    <w:p>
      <w:pPr>
        <w:pStyle w:val="63"/>
        <w:spacing w:before="218" w:after="218" w:line="412" w:lineRule="exact"/>
        <w:rPr>
          <w:b/>
        </w:rPr>
      </w:pPr>
      <w:r>
        <w:t xml:space="preserve">第三章 </w:t>
      </w:r>
      <w:r>
        <w:rPr>
          <w:rFonts w:hint="eastAsia"/>
        </w:rPr>
        <w:t xml:space="preserve"> </w:t>
      </w:r>
      <w:r>
        <w:t>水产种质资源保护区管理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经批准设立的水产种质资源保护区由所在地县级以上人民政府渔业行政主管部门管理。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县级以上人民政府渔业行政主管部门应当明确水产种质资源保护区的管理机构，配备必要的管理、执法和技术人员以及相应的设备设施，负责水产种质资源保护区的管理工作。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水产种质资源保护区管理机构的主要职责包括：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（一）制定水产种质资源保护区具体管理制度；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（二）设置和维护水产种质资源保护区界碑、标志物及有关保护设施；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（三）开展水生生物资源及其生存环境的调查监测、资源养护和生态修复等工作；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（四）救护伤病、搁浅、误捕的保护物种；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（五）开展水产种质资源保护的宣传教育；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（六）依法开展渔政执法工作；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（七）依法调查处理影响保护区功能的事件，及时向渔业行政主管部门报告重大事项。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业部应当针对国家级水产种质资源保护区主要保护对象的繁殖期、幼体生长期等生长繁育关键阶段设定特别保护期。特别保护期内不得从事捕捞、爆破作业以及其他可能对保护区内生物资源和生态环境造成损害的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特别保护期外从事捕捞活动，应当遵守《渔业法》及有关法律法规的规定。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省级以上人民政府渔业行政主管部门应当依法参与涉及水产种质资源保护区的建设项目环境影响评价，组织专家审查建设项目对水产种质资源保护区的影响专题论证报告，并根据审查结论向建设单位和环境影响评价主管部门出具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建设单位应当将渔业行政主管部门的意见纳入环境影响评价报告书，并根据渔业行政主管部门意见采取有关保护措施。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单位和个人在水产种质资源保护区内从事水生生物资源调查、科学研究、教学实习、参观游览、影视拍摄等活动，应当遵守有关法律法规和保护区管理制度，不得损害水产种质资源及其生存环境。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禁止在水产种质资源保护区内从事围湖造田、围海造地或围填海工程。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禁止在水产种质资源保护区内新建排污口。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在水产种质资源保护区附近新建、改建、扩建排污口，应当保证保护区水体不受污染。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水产种质资源保护区的撤销、调整，按照设立程序办理。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单位和个人违反本办法规定，对水产种质资源保护区内的水产种质资源及其生存环境造成损害的，由县级以上人民政府渔业行政主管部门或者其所属的渔政监督管理机构、水产种质资源保护区管理机构依法处理。</w:t>
      </w:r>
    </w:p>
    <w:p>
      <w:pPr>
        <w:pStyle w:val="63"/>
        <w:spacing w:before="218" w:after="218" w:line="412" w:lineRule="exact"/>
        <w:rPr>
          <w:b/>
        </w:rPr>
      </w:pPr>
      <w:r>
        <w:t xml:space="preserve">第四章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省级人民政府渔业行政主管部门可以根据本办法制定实施细则。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本办法自2011年3月1日起施行。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390" w:name="_Toc18917259"/>
      <w:bookmarkStart w:id="1391" w:name="_Toc12960366"/>
      <w:bookmarkStart w:id="1392" w:name="_Toc466579915"/>
      <w:bookmarkStart w:id="1393" w:name="_Toc16488"/>
      <w:bookmarkStart w:id="1394" w:name="_Toc12960537"/>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395" w:name="_Toc25648296"/>
      <w:bookmarkStart w:id="1396" w:name="_Toc26348052"/>
      <w:bookmarkStart w:id="1397" w:name="_Toc28157074"/>
      <w:bookmarkStart w:id="1398" w:name="_Toc25653796"/>
      <w:bookmarkStart w:id="1399" w:name="_Toc28251002"/>
      <w:bookmarkStart w:id="1400" w:name="_Toc28252282"/>
      <w:r>
        <w:t>中华人民共和国水生野生动物利用特许办法</w:t>
      </w:r>
      <w:bookmarkEnd w:id="1390"/>
      <w:bookmarkEnd w:id="1391"/>
      <w:bookmarkEnd w:id="1392"/>
      <w:bookmarkEnd w:id="1393"/>
      <w:bookmarkEnd w:id="1394"/>
      <w:bookmarkEnd w:id="1395"/>
      <w:bookmarkEnd w:id="1396"/>
      <w:bookmarkEnd w:id="1397"/>
      <w:bookmarkEnd w:id="1398"/>
      <w:bookmarkEnd w:id="1399"/>
      <w:bookmarkEnd w:id="1400"/>
    </w:p>
    <w:p>
      <w:pPr>
        <w:pStyle w:val="62"/>
      </w:pPr>
      <w:r>
        <w:t>（1999年6月24日农业部令第15号公布，根据2004年7月1日农业部令第38号第一次修订，根据2010年11月26日农业部令第11号第二次修订，根据2013年12月31日农业部令第5号第三次修订，根据2017年11月30日中华人民共和国农业部令第四次修订，根据2019年4月25日农业农村部令第2号第五次修订）</w:t>
      </w:r>
    </w:p>
    <w:p>
      <w:pPr>
        <w:pStyle w:val="63"/>
        <w:spacing w:before="218" w:after="218" w:line="412" w:lineRule="exact"/>
        <w:rPr>
          <w:b/>
        </w:rPr>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为保护、发展和合理利用水生野生动物资源，加强水生野生动物的保护与管理，规范水生野生动物利用特许证件的发放及使用，根据《</w:t>
      </w:r>
      <w:r>
        <w:fldChar w:fldCharType="begin"/>
      </w:r>
      <w:r>
        <w:instrText xml:space="preserve"> HYPERLINK "http://www.foodmate.net/law/jiben/163323.html" </w:instrText>
      </w:r>
      <w:r>
        <w:fldChar w:fldCharType="separate"/>
      </w:r>
      <w:r>
        <w:rPr>
          <w:rFonts w:asciiTheme="minorEastAsia" w:hAnsiTheme="minorEastAsia" w:eastAsiaTheme="minorEastAsia"/>
          <w:sz w:val="24"/>
          <w:szCs w:val="24"/>
        </w:rPr>
        <w:t>中华人民共和国野生动物保护法</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w:t>
      </w:r>
      <w:r>
        <w:fldChar w:fldCharType="begin"/>
      </w:r>
      <w:r>
        <w:instrText xml:space="preserve"> HYPERLINK "http://www.foodmate.net/law/shipin/163324.html" </w:instrText>
      </w:r>
      <w:r>
        <w:fldChar w:fldCharType="separate"/>
      </w:r>
      <w:r>
        <w:rPr>
          <w:rFonts w:asciiTheme="minorEastAsia" w:hAnsiTheme="minorEastAsia" w:eastAsiaTheme="minorEastAsia"/>
          <w:sz w:val="24"/>
          <w:szCs w:val="24"/>
        </w:rPr>
        <w:t>中华人民共和国水生野生动物保护实施条例</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》的规定，制定本办法。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凡需要捕捉、</w:t>
      </w:r>
      <w:r>
        <w:rPr>
          <w:rFonts w:asciiTheme="minorEastAsia" w:hAnsiTheme="minorEastAsia" w:eastAsiaTheme="minorEastAsia"/>
          <w:bCs/>
          <w:sz w:val="24"/>
          <w:szCs w:val="24"/>
        </w:rPr>
        <w:t>人工繁育</w:t>
      </w:r>
      <w:r>
        <w:rPr>
          <w:rFonts w:asciiTheme="minorEastAsia" w:hAnsiTheme="minorEastAsia" w:eastAsiaTheme="minorEastAsia"/>
          <w:sz w:val="24"/>
          <w:szCs w:val="24"/>
        </w:rPr>
        <w:t>以及展览、表演、出售、收购、进出口等利用水生野生动物或其制品的，按照本办法实行特许管理。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除第三十八条、第四十条外，本办法所称水生野生动物，是指珍贵、濒危的水生野生动物；所称水生野生动物产品，是指珍贵、濒危水生野生动物的任何部分及其衍生物。</w:t>
      </w:r>
    </w:p>
    <w:p>
      <w:pPr>
        <w:pStyle w:val="3"/>
        <w:topLinePunct/>
        <w:spacing w:line="412" w:lineRule="exact"/>
        <w:ind w:firstLine="482"/>
        <w:rPr>
          <w:rFonts w:asciiTheme="minorEastAsia" w:hAnsiTheme="minorEastAsia" w:eastAsiaTheme="minorEastAsia"/>
          <w:bCs/>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bCs/>
          <w:sz w:val="24"/>
          <w:szCs w:val="24"/>
        </w:rPr>
        <w:t>农业部主管全国水生野生动物利用特许管理工作，负责国家一级保护水生野生动物的</w:t>
      </w:r>
      <w:r>
        <w:rPr>
          <w:rFonts w:asciiTheme="minorEastAsia" w:hAnsiTheme="minorEastAsia" w:eastAsiaTheme="minorEastAsia"/>
          <w:sz w:val="24"/>
          <w:szCs w:val="24"/>
        </w:rPr>
        <w:t>捕捉</w:t>
      </w:r>
      <w:r>
        <w:rPr>
          <w:rFonts w:asciiTheme="minorEastAsia" w:hAnsiTheme="minorEastAsia" w:eastAsiaTheme="minorEastAsia"/>
          <w:bCs/>
          <w:sz w:val="24"/>
          <w:szCs w:val="24"/>
        </w:rPr>
        <w:t>、水生野生动物或其制品</w:t>
      </w:r>
      <w:r>
        <w:rPr>
          <w:rFonts w:asciiTheme="minorEastAsia" w:hAnsiTheme="minorEastAsia" w:eastAsiaTheme="minorEastAsia"/>
          <w:sz w:val="24"/>
          <w:szCs w:val="24"/>
        </w:rPr>
        <w:t>进出口</w:t>
      </w:r>
      <w:r>
        <w:rPr>
          <w:rFonts w:asciiTheme="minorEastAsia" w:hAnsiTheme="minorEastAsia" w:eastAsiaTheme="minorEastAsia"/>
          <w:bCs/>
          <w:sz w:val="24"/>
          <w:szCs w:val="24"/>
        </w:rPr>
        <w:t>和国务院规定由农业部负责的国家重点水生野生动物的</w:t>
      </w:r>
      <w:r>
        <w:rPr>
          <w:rFonts w:asciiTheme="minorEastAsia" w:hAnsiTheme="minorEastAsia" w:eastAsiaTheme="minorEastAsia"/>
          <w:sz w:val="24"/>
          <w:szCs w:val="24"/>
        </w:rPr>
        <w:t>人工繁育</w:t>
      </w:r>
      <w:r>
        <w:rPr>
          <w:rFonts w:asciiTheme="minorEastAsia" w:hAnsiTheme="minorEastAsia" w:eastAsiaTheme="minorEastAsia"/>
          <w:bCs/>
          <w:sz w:val="24"/>
          <w:szCs w:val="24"/>
        </w:rPr>
        <w:t>和</w:t>
      </w:r>
      <w:r>
        <w:rPr>
          <w:rFonts w:asciiTheme="minorEastAsia" w:hAnsiTheme="minorEastAsia" w:eastAsiaTheme="minorEastAsia"/>
          <w:sz w:val="24"/>
          <w:szCs w:val="24"/>
        </w:rPr>
        <w:t>出售购买利用</w:t>
      </w:r>
      <w:r>
        <w:rPr>
          <w:rFonts w:asciiTheme="minorEastAsia" w:hAnsiTheme="minorEastAsia" w:eastAsiaTheme="minorEastAsia"/>
          <w:bCs/>
          <w:sz w:val="24"/>
          <w:szCs w:val="24"/>
        </w:rPr>
        <w:t>其活体及制品活动的审批。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bCs/>
          <w:sz w:val="24"/>
          <w:szCs w:val="24"/>
        </w:rPr>
        <w:t>省级人民政府渔业主管部门负责本行政区域内除国务院对审批机关另有规定的国家重点保护水生野生动物或其制品利用特许审批；县级以上地方人民政府渔业行政主管部门负责本行政区域内水生野生动物或其</w:t>
      </w:r>
      <w:r>
        <w:rPr>
          <w:rFonts w:asciiTheme="minorEastAsia" w:hAnsiTheme="minorEastAsia" w:eastAsiaTheme="minorEastAsia"/>
          <w:sz w:val="24"/>
          <w:szCs w:val="24"/>
        </w:rPr>
        <w:t>制品</w:t>
      </w:r>
      <w:r>
        <w:rPr>
          <w:rFonts w:asciiTheme="minorEastAsia" w:hAnsiTheme="minorEastAsia" w:eastAsiaTheme="minorEastAsia"/>
          <w:bCs/>
          <w:sz w:val="24"/>
          <w:szCs w:val="24"/>
        </w:rPr>
        <w:t>特许申请的审核。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农业部组织国家濒危水生野生动物物种科学委员会，对水生野生动物保护与管理提供咨询和评估。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审批机关在批准</w:t>
      </w:r>
      <w:r>
        <w:rPr>
          <w:rFonts w:asciiTheme="minorEastAsia" w:hAnsiTheme="minorEastAsia" w:eastAsiaTheme="minorEastAsia"/>
          <w:bCs/>
          <w:sz w:val="24"/>
          <w:szCs w:val="24"/>
        </w:rPr>
        <w:t>人工繁育</w:t>
      </w:r>
      <w:r>
        <w:rPr>
          <w:rFonts w:asciiTheme="minorEastAsia" w:hAnsiTheme="minorEastAsia" w:eastAsiaTheme="minorEastAsia"/>
          <w:sz w:val="24"/>
          <w:szCs w:val="24"/>
        </w:rPr>
        <w:t>、经营利用以及重要的进出口水生野生动物或其制品等特许申请前，应当委托国家濒危水生野生动物物种科学委员会对特许申请进行评估。评估未获通过的，审批机关不得批准。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申请水生野生动物或其制品利用特许的单位和个人，必须填报《水生野生动物利用特许证件申请表》（以下简称《申请表》）。《申请表》可向所在地县级以上渔业行政主管部门领取。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经审批机关批准的，可以按规定领取水生野生动物利用特许证件。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生野生动物利用特许证件包括《水生野生动物特许猎捕证》（以下简称《猎捕证》）、《水生野生动物人工繁育许可证》（以下简称《人工繁育证》）、《水生野生动物经营利用许可证》（以下简称《经营利用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各级渔业行政主管部门及其所属的渔政监督管理机构，有权对本办法的实施情况进行监督检查，被检查的单位和个人应当给予配合。</w:t>
      </w:r>
    </w:p>
    <w:p>
      <w:pPr>
        <w:pStyle w:val="63"/>
        <w:spacing w:before="218" w:after="218" w:line="412" w:lineRule="exact"/>
        <w:rPr>
          <w:b/>
        </w:rPr>
      </w:pPr>
      <w:r>
        <w:t xml:space="preserve">第二章 </w:t>
      </w:r>
      <w:r>
        <w:rPr>
          <w:rFonts w:hint="eastAsia"/>
        </w:rPr>
        <w:t xml:space="preserve"> </w:t>
      </w:r>
      <w:r>
        <w:t>捕捉管理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禁止捕捉、杀害水生野生动物。因科研、教学、</w:t>
      </w:r>
      <w:r>
        <w:rPr>
          <w:rFonts w:asciiTheme="minorEastAsia" w:hAnsiTheme="minorEastAsia" w:eastAsiaTheme="minorEastAsia"/>
          <w:bCs/>
          <w:sz w:val="24"/>
          <w:szCs w:val="24"/>
        </w:rPr>
        <w:t>人工繁育</w:t>
      </w:r>
      <w:r>
        <w:rPr>
          <w:rFonts w:asciiTheme="minorEastAsia" w:hAnsiTheme="minorEastAsia" w:eastAsiaTheme="minorEastAsia"/>
          <w:sz w:val="24"/>
          <w:szCs w:val="24"/>
        </w:rPr>
        <w:t>、展览、捐赠等特殊情况需要捕捉水生野生动物的，必须办理《猎捕证》。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申请捕捉国家一级保护水生野生动物的，申请人应当将《申请表》和证明材料报所在地省级人民政府渔业行政主管部门签署意见。省级人民政府渔业行政主管部门应当在20日内签署意见，并报农业部审批。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需要跨省捕捉国家一级保护水生野生动物的，申请人应当将《申请表》和证明材料报所在地省级人民政府渔业行政主管部门签署意见。所在地省级人民政府渔业行政主管部门应当在20日内签署意见，并转送捕捉地省级人民政府渔业行政主管部门签署意见。捕捉地省级人民政府渔业行政主管部门应当在20日内签署意见，并报农业部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农业部自收到省级人民政府渔业行政主管部门报送的材料之日起40日内作出是否发放特许猎捕证的决定。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申请捕捉国家二级保护水生野生动物的，申请人应当将《申请表》和证明材料报所在地县级人民政府渔业行政主管部门签署意见。所在地县级人民政府渔业行政主管部门应当在20日内签署意见，并报省级人民政府渔业行政主管部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省级人民政府渔业行政主管部门应当自收到县级人民政府渔业行政主管部门报送的材料之日起40日内作出是否发放猎捕证的决定。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需要跨省捕捉国家二级保护水生野生动物的，申请人应当将《申请表》和证明材料报所在地省级人民政府渔业行政主管部门签署意见。所在地省级人民政府渔业行政主管部门应当在20日内签署意见，并转送捕捉地省级人民政府渔业行政主管部门审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捕捉地省级人民政府渔业行政主管部门应当自收到所在地省级人民政府渔业行政主管部门报送的材料之日起40日内作出是否发放猎捕证的决定。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有下列情形之一的，不予发放《猎捕证》：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（一）申请人有条件以合法的非捕捉方式获得申请捕捉对象或者达到其目的的；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（二）捕捉申请不符合国家有关规定，或者申请使用的捕捉工具、方法以及捕捉时间、地点不当的；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（三）根据申请捕捉对象的资源现状不宜捕捉的。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取得《猎捕证》的单位和个人，在捕捉作业以前，必须向捕捉地县级渔业行政主管部门报告，并由其所属的渔政监督管理机构监督进行。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捕捉作业必须按照《猎捕证》规定的种类、数量、地点、期限、工具和方法进行，防止误伤水生野生动物或破坏其生存环境。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捕捉作业完成后，捕捉者应当立即向捕捉地县级渔业行政主管部门或其所属的渔政监督管理机构申请查验。捕捉地县级渔业行政主管部门或渔政监督管理机构应及时对捕捉情况进行查验，收回《猎捕证》，并及时向发证机关报告查验结果、交回《猎捕证》。</w:t>
      </w:r>
    </w:p>
    <w:p>
      <w:pPr>
        <w:pStyle w:val="63"/>
        <w:spacing w:before="218" w:after="218" w:line="412" w:lineRule="exact"/>
        <w:rPr>
          <w:b/>
        </w:rPr>
      </w:pPr>
      <w:r>
        <w:t xml:space="preserve">第三章 </w:t>
      </w:r>
      <w:r>
        <w:rPr>
          <w:rFonts w:hint="eastAsia"/>
        </w:rPr>
        <w:t xml:space="preserve"> </w:t>
      </w:r>
      <w:r>
        <w:t>人工繁育管理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国家</w:t>
      </w:r>
      <w:r>
        <w:rPr>
          <w:rFonts w:asciiTheme="minorEastAsia" w:hAnsiTheme="minorEastAsia" w:eastAsiaTheme="minorEastAsia"/>
          <w:b/>
          <w:bCs/>
          <w:sz w:val="24"/>
          <w:szCs w:val="24"/>
        </w:rPr>
        <w:t>支持</w:t>
      </w:r>
      <w:r>
        <w:rPr>
          <w:rFonts w:asciiTheme="minorEastAsia" w:hAnsiTheme="minorEastAsia" w:eastAsiaTheme="minorEastAsia"/>
          <w:sz w:val="24"/>
          <w:szCs w:val="24"/>
        </w:rPr>
        <w:t>有关科学研究机构因物种保护目的人工繁育国家重点保护水生野生动物。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以外的人工繁育国家重点保护水生野生动物实行许可制度。人工繁育国家重点保护水生野生动物的，应当经省级人民政府渔业主管部门批准，取得《人工繁育许可证》，但国务院对批准机关另有规定的除外。</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申请《人工繁育证》，应当具备以下条件：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（一）有适宜人工繁育生野生动物的固定场所和必要的设施；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（二）具备与人工繁育水生野生动物种类、数量相适应的资金、技术和人员；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（三）具有充足的人工繁育水生野生动物的饲料来源。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bCs/>
          <w:sz w:val="24"/>
          <w:szCs w:val="24"/>
        </w:rPr>
        <w:t>国务院规定由农业部批准的国家重点保护水生野生动物的人工繁育许可</w:t>
      </w:r>
      <w:r>
        <w:rPr>
          <w:rFonts w:asciiTheme="minorEastAsia" w:hAnsiTheme="minorEastAsia" w:eastAsiaTheme="minorEastAsia"/>
          <w:sz w:val="24"/>
          <w:szCs w:val="24"/>
        </w:rPr>
        <w:t>，向省级人民政府渔业行政主管部门提出申请。省级人民政府渔业行政主管部门应当自申请受理之日起20日内完成初步审查，并将审查意见和申请人的全部申请材料报农业部审批。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农业部应当自收到省级人民政府渔业行政主管部门报送的材料之日起15日内作出是否发放</w:t>
      </w:r>
      <w:r>
        <w:rPr>
          <w:rFonts w:asciiTheme="minorEastAsia" w:hAnsiTheme="minorEastAsia" w:eastAsiaTheme="minorEastAsia"/>
          <w:bCs/>
          <w:sz w:val="24"/>
          <w:szCs w:val="24"/>
        </w:rPr>
        <w:t>人工繁育</w:t>
      </w:r>
      <w:r>
        <w:rPr>
          <w:rFonts w:asciiTheme="minorEastAsia" w:hAnsiTheme="minorEastAsia" w:eastAsiaTheme="minorEastAsia"/>
          <w:sz w:val="24"/>
          <w:szCs w:val="24"/>
        </w:rPr>
        <w:t>许可证的决定。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除国务院规定由农业部批准</w:t>
      </w:r>
      <w:r>
        <w:rPr>
          <w:rFonts w:asciiTheme="minorEastAsia" w:hAnsiTheme="minorEastAsia" w:eastAsiaTheme="minorEastAsia"/>
          <w:bCs/>
          <w:sz w:val="24"/>
          <w:szCs w:val="24"/>
        </w:rPr>
        <w:t>以外的</w:t>
      </w:r>
      <w:r>
        <w:rPr>
          <w:rFonts w:asciiTheme="minorEastAsia" w:hAnsiTheme="minorEastAsia" w:eastAsiaTheme="minorEastAsia"/>
          <w:sz w:val="24"/>
          <w:szCs w:val="24"/>
        </w:rPr>
        <w:t>国家重点保护水生野生动物的人工繁育许可，应当向省级人民政府渔业主管部门申请。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省级人民政府渔业行政主管部门应当自申请受理之日起20日内作出是否发放人工繁育证的决定。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bCs/>
          <w:sz w:val="24"/>
          <w:szCs w:val="24"/>
        </w:rPr>
        <w:t>人工繁育</w:t>
      </w:r>
      <w:r>
        <w:rPr>
          <w:rFonts w:asciiTheme="minorEastAsia" w:hAnsiTheme="minorEastAsia" w:eastAsiaTheme="minorEastAsia"/>
          <w:sz w:val="24"/>
          <w:szCs w:val="24"/>
        </w:rPr>
        <w:t>水生野生动物的单位和个人，必须按照《人工繁育证》的规定进行人工繁育活动。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需要变更人工繁育种类的，应当按照本办法第十七条规定的程序申请变更手续。经批准后，由审批机关在《人工繁育证》上作变更登记。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禁止将人工繁育的水生野生动物或其制品进行捐赠、转让、交换。因特殊情况需要捐赠、转让、交换的，申请人应当向《人工繁育证》发证机关提出申请，由发证机关签署意见后，按本办法第三条的规定报批。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接受捐赠、转让、交换的单位和个人，应当凭批准文件办理有关手续，并妥善养护与管理接受的水生野生动物或其制品。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取得《人工繁育证》的单位和个人，应当遵守以下规定：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（一）遵守国家和地方野生动物保护法律法规和政策；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（二）用于人工繁育的水生野生动物来源符合国家规定；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（三）建立人工繁育物种档案和统计制度；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（四）定期向审批机关报告水生野生动物的生长、繁殖、死亡等情况；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（五）不得非法利用其人工繁育的水生野生动物或其制品；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（六）接受当地渔业行政主管部门的监督检查和指导。</w:t>
      </w:r>
    </w:p>
    <w:p>
      <w:pPr>
        <w:pStyle w:val="63"/>
        <w:spacing w:before="218" w:after="218" w:line="412" w:lineRule="exact"/>
        <w:rPr>
          <w:b/>
        </w:rPr>
      </w:pPr>
      <w:r>
        <w:t xml:space="preserve">第四章 </w:t>
      </w:r>
      <w:r>
        <w:rPr>
          <w:rFonts w:hint="eastAsia"/>
        </w:rPr>
        <w:t xml:space="preserve"> </w:t>
      </w:r>
      <w:r>
        <w:t>经营管理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禁止出售、</w:t>
      </w:r>
      <w:r>
        <w:rPr>
          <w:rFonts w:asciiTheme="minorEastAsia" w:hAnsiTheme="minorEastAsia" w:eastAsiaTheme="minorEastAsia"/>
          <w:bCs/>
          <w:sz w:val="24"/>
          <w:szCs w:val="24"/>
        </w:rPr>
        <w:t>购买、利用</w:t>
      </w:r>
      <w:r>
        <w:rPr>
          <w:rFonts w:asciiTheme="minorEastAsia" w:hAnsiTheme="minorEastAsia" w:eastAsiaTheme="minorEastAsia"/>
          <w:sz w:val="24"/>
          <w:szCs w:val="24"/>
        </w:rPr>
        <w:t>国家重点保护水生野生动物及其</w:t>
      </w:r>
      <w:r>
        <w:rPr>
          <w:rFonts w:asciiTheme="minorEastAsia" w:hAnsiTheme="minorEastAsia" w:eastAsiaTheme="minorEastAsia"/>
          <w:bCs/>
          <w:sz w:val="24"/>
          <w:szCs w:val="24"/>
        </w:rPr>
        <w:t>制品</w:t>
      </w:r>
      <w:r>
        <w:rPr>
          <w:rFonts w:asciiTheme="minorEastAsia" w:hAnsiTheme="minorEastAsia" w:eastAsiaTheme="minorEastAsia"/>
          <w:sz w:val="24"/>
          <w:szCs w:val="24"/>
        </w:rPr>
        <w:t>。因科学研究、人工繁育、公众展示展演、文物保护或者其他特殊情况，需要出售、</w:t>
      </w:r>
      <w:r>
        <w:rPr>
          <w:rFonts w:asciiTheme="minorEastAsia" w:hAnsiTheme="minorEastAsia" w:eastAsiaTheme="minorEastAsia"/>
          <w:bCs/>
          <w:sz w:val="24"/>
          <w:szCs w:val="24"/>
        </w:rPr>
        <w:t>购买</w:t>
      </w:r>
      <w:r>
        <w:rPr>
          <w:rFonts w:asciiTheme="minorEastAsia" w:hAnsiTheme="minorEastAsia" w:eastAsiaTheme="minorEastAsia"/>
          <w:sz w:val="24"/>
          <w:szCs w:val="24"/>
        </w:rPr>
        <w:t>、利用水生野生动物及其</w:t>
      </w:r>
      <w:r>
        <w:rPr>
          <w:rFonts w:asciiTheme="minorEastAsia" w:hAnsiTheme="minorEastAsia" w:eastAsiaTheme="minorEastAsia"/>
          <w:bCs/>
          <w:sz w:val="24"/>
          <w:szCs w:val="24"/>
        </w:rPr>
        <w:t>制品</w:t>
      </w:r>
      <w:r>
        <w:rPr>
          <w:rFonts w:asciiTheme="minorEastAsia" w:hAnsiTheme="minorEastAsia" w:eastAsiaTheme="minorEastAsia"/>
          <w:sz w:val="24"/>
          <w:szCs w:val="24"/>
        </w:rPr>
        <w:t>的，应当经省级人民政府渔业主管部门</w:t>
      </w:r>
      <w:r>
        <w:rPr>
          <w:rFonts w:asciiTheme="minorEastAsia" w:hAnsiTheme="minorEastAsia" w:eastAsiaTheme="minorEastAsia"/>
          <w:bCs/>
          <w:sz w:val="24"/>
          <w:szCs w:val="24"/>
        </w:rPr>
        <w:t>或其授权的渔业主管部门</w:t>
      </w:r>
      <w:r>
        <w:rPr>
          <w:rFonts w:asciiTheme="minorEastAsia" w:hAnsiTheme="minorEastAsia" w:eastAsiaTheme="minorEastAsia"/>
          <w:sz w:val="24"/>
          <w:szCs w:val="24"/>
        </w:rPr>
        <w:t>审核批准，并按照规定取得和使用</w:t>
      </w:r>
      <w:r>
        <w:rPr>
          <w:rFonts w:asciiTheme="minorEastAsia" w:hAnsiTheme="minorEastAsia" w:eastAsiaTheme="minorEastAsia"/>
          <w:bCs/>
          <w:sz w:val="24"/>
          <w:szCs w:val="24"/>
        </w:rPr>
        <w:t>专用标识</w:t>
      </w:r>
      <w:r>
        <w:rPr>
          <w:rFonts w:asciiTheme="minorEastAsia" w:hAnsiTheme="minorEastAsia" w:eastAsiaTheme="minorEastAsia"/>
          <w:sz w:val="24"/>
          <w:szCs w:val="24"/>
        </w:rPr>
        <w:t>，保证</w:t>
      </w:r>
      <w:r>
        <w:rPr>
          <w:rFonts w:asciiTheme="minorEastAsia" w:hAnsiTheme="minorEastAsia" w:eastAsiaTheme="minorEastAsia"/>
          <w:bCs/>
          <w:sz w:val="24"/>
          <w:szCs w:val="24"/>
        </w:rPr>
        <w:t>可追溯</w:t>
      </w:r>
      <w:r>
        <w:rPr>
          <w:rFonts w:asciiTheme="minorEastAsia" w:hAnsiTheme="minorEastAsia" w:eastAsiaTheme="minorEastAsia"/>
          <w:sz w:val="24"/>
          <w:szCs w:val="24"/>
        </w:rPr>
        <w:t>。</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国务院规定</w:t>
      </w:r>
      <w:r>
        <w:rPr>
          <w:rFonts w:asciiTheme="minorEastAsia" w:hAnsiTheme="minorEastAsia" w:eastAsiaTheme="minorEastAsia"/>
          <w:bCs/>
          <w:sz w:val="24"/>
          <w:szCs w:val="24"/>
        </w:rPr>
        <w:t>由农业部批准的</w:t>
      </w:r>
      <w:r>
        <w:rPr>
          <w:rFonts w:asciiTheme="minorEastAsia" w:hAnsiTheme="minorEastAsia" w:eastAsiaTheme="minorEastAsia"/>
          <w:sz w:val="24"/>
          <w:szCs w:val="24"/>
        </w:rPr>
        <w:t>国家重点保护水生野生动物或者其制品的出售、购买、利用许可，申请人应当将《申请表》和证明材料报所在地省级人民政府渔业行政主管部门签署意见。所在地省级人民政府渔业行政主管部门应当在20日内签署意见，并报农业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农业部应当自接到省级人民政府渔业行政主管部门报送的材料之日起20日内作出是否发放经营利用证的决定。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除国务院规定由农业部批准</w:t>
      </w:r>
      <w:r>
        <w:rPr>
          <w:rFonts w:asciiTheme="minorEastAsia" w:hAnsiTheme="minorEastAsia" w:eastAsiaTheme="minorEastAsia"/>
          <w:b/>
          <w:bCs/>
          <w:sz w:val="24"/>
          <w:szCs w:val="24"/>
        </w:rPr>
        <w:t>以外的</w:t>
      </w:r>
      <w:r>
        <w:rPr>
          <w:rFonts w:asciiTheme="minorEastAsia" w:hAnsiTheme="minorEastAsia" w:eastAsiaTheme="minorEastAsia"/>
          <w:sz w:val="24"/>
          <w:szCs w:val="24"/>
        </w:rPr>
        <w:t>国家重点保护水生野生动物或者其制品的出售、购买、利用许可，应当向省级人民政府渔业主管部门申请。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省级人民政府渔业行政主管部门应当自受理之日起20日内作出是否发放经营利用证的决定。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申请《经营利用证》，应当具备下列条件：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（一）出售、购买、利用的水生野生动物物种来源清楚或稳定；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（二）不会造成水生野生动物物种资源破坏；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（三）不会影响国家野生动物保护形象和对外经济交往。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经批准出售、购买、利用水生野生动物或其制品的单位和个人，应当持《经营利用证》到出售、收购所在地的县级以上渔业行政主管部门备案后方可进行出售、购买、利用活动。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出售、购买、利用水生野生动物或其制品的单位和个人，应当遵守以下规定：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（一）遵守国家和地方有关野生动物保护法律法规和政策；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（二）利用的水生野生动物或其制品来源符合国家规定；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（三）建立出售、购买、利用水生野生动物或其制品档案；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（四）接受当地渔业行政主管部门的监督检查和指导。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地方各级渔业行政主管部门应当对水生野生动物或其制品的经营利用建立监督检查制度，加强对经营利用水生野生动物或其制品的监督管理。</w:t>
      </w:r>
    </w:p>
    <w:p>
      <w:pPr>
        <w:pStyle w:val="63"/>
        <w:spacing w:before="218" w:after="218" w:line="412" w:lineRule="exact"/>
      </w:pPr>
      <w:r>
        <w:t xml:space="preserve">第五章 </w:t>
      </w:r>
      <w:r>
        <w:rPr>
          <w:rFonts w:hint="eastAsia"/>
        </w:rPr>
        <w:t xml:space="preserve"> </w:t>
      </w:r>
      <w:r>
        <w:t>进出口管理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asciiTheme="minorEastAsia" w:hAnsiTheme="minorEastAsia" w:eastAsiaTheme="minorEastAsia"/>
          <w:sz w:val="24"/>
          <w:szCs w:val="24"/>
          <w:shd w:val="clear" w:color="auto" w:fill="FFFFFF"/>
        </w:rPr>
        <w:t>出口国家重点保护的水生野生动物或者其产品，进出口中国参加的国际公约所限制进出口的水生野生动物或者其产品的，应当向农业部申请，农业部应当自申请受理之日起20日内作出是否同意进出口的决定</w:t>
      </w:r>
      <w:r>
        <w:rPr>
          <w:rFonts w:asciiTheme="minorEastAsia" w:hAnsiTheme="minorEastAsia" w:eastAsiaTheme="minorEastAsia"/>
          <w:sz w:val="24"/>
          <w:szCs w:val="24"/>
        </w:rPr>
        <w:t>。</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动物园因交换动物需要进口第一款规定的野生动物的，农业部在批准前，应当经国务院建设行政主管部门审核同意。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属于贸易性进出口活动的，必须由具有商品进出口权的单位承担，并取得《经营利用证》后方可进行。没有商品进出口权和《经营利用证》的单位，审批机关不得受理其申请。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第二十九条</w:t>
      </w:r>
      <w:r>
        <w:rPr>
          <w:rFonts w:asciiTheme="minorEastAsia" w:hAnsiTheme="minorEastAsia" w:eastAsiaTheme="minorEastAsia"/>
          <w:sz w:val="24"/>
          <w:szCs w:val="24"/>
          <w:shd w:val="clear" w:color="auto" w:fill="FFFFFF"/>
        </w:rPr>
        <w:t>从国外引进水生野生动物的，应当向农业部申请，农业部应当自申请受理之日起20日内作出是否同意引进的决定。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出口水生野生动物或其制品的，应当具备下列条件：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（一）出口的水生野生动物物种和含水生野生动物成分产品中物种原料的来源清楚；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（二）出口的水生野生动物是合法取得；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（三）不会影响国家野生动物保护形象和对外经济交往；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（四）出口的水生野生动物资源量充足，适宜出口；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（五）符合我国水产种质资源保护规定。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进口水生野生动物或其制品的，应当具备下列条件：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（一）进口的目的符合我国法律法规和政策；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（二）具备所进口水生野生动物活体生存必需的养护设施和技术条件；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（三）引进的水生野生动物活体不会对我国生态平衡造成不利影响或产生破坏作用；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（四）不影响国家野生动物保护形象和对外经济交往。</w:t>
      </w:r>
    </w:p>
    <w:p>
      <w:pPr>
        <w:pStyle w:val="63"/>
        <w:spacing w:before="218" w:after="218" w:line="412" w:lineRule="exact"/>
        <w:rPr>
          <w:b/>
        </w:rPr>
      </w:pPr>
      <w:r>
        <w:t>第六章</w:t>
      </w:r>
      <w:r>
        <w:rPr>
          <w:rFonts w:hint="eastAsia"/>
        </w:rPr>
        <w:t xml:space="preserve"> </w:t>
      </w:r>
      <w:r>
        <w:t xml:space="preserve"> 附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违反本办法规定的，由县级以上渔业行政主管部门或其所属的渔政监督管理机构依照野生动物保护法律、法规进行查处。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经批准捕捉、人工繁育以及展览、表演、出售、收购、进出口等利用水生野生动物或其制品的单位和个人，应当依法缴纳水生野生动物资源保护费。缴纳办法按国家有关规定执行。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水生野生动物资源保护费专用于水生野生动物资源的保护管理、科学研究、调查监测、宣传教育、人工繁育与增殖放流等。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外国人在我国境内进行有关水生野生动物科学考察、标本采集、拍摄电影、录像等活动的，应当向水生野生动物所在地省级渔业行政主管部门提出申请。省级渔业行政主管部门应当自申请受理之日起20日内作出是否准予其活动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本办法规定的《申请表》和水生野生动物利用特许证件由</w:t>
      </w:r>
      <w:r>
        <w:rPr>
          <w:rFonts w:asciiTheme="minorEastAsia" w:hAnsiTheme="minorEastAsia" w:eastAsiaTheme="minorEastAsia"/>
          <w:bCs/>
          <w:sz w:val="24"/>
          <w:szCs w:val="24"/>
        </w:rPr>
        <w:t>农业部</w:t>
      </w:r>
      <w:r>
        <w:rPr>
          <w:rFonts w:asciiTheme="minorEastAsia" w:hAnsiTheme="minorEastAsia" w:eastAsiaTheme="minorEastAsia"/>
          <w:sz w:val="24"/>
          <w:szCs w:val="24"/>
        </w:rPr>
        <w:t>统一制订。已发放仍在使用的许可证件由原发证机关限期统一进行更换。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除《猎捕证》一次有效外，其它特许证件应按年度进行审验，有效期最长不超过五年。有效期届满后，应按规定程序重新报批。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各省、自治区、直辖市渔业行政主管部门应当根据本办法制定特许证件发放管理制度，建立档案，严格管理。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《濒危野生动植物种国际贸易公约》附录一中的水生野生动物或其制品的国内管理，按照本办法对国家一级保护水生野生动物的管理规定执行。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《濒危野生动植物种国际贸易公约》附录二、附录三中的水生野生动物或其制品的国内管理，按照本办法对国家二级保护水生野生动物的管理规定执行。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地方重点保护的水生野生动物或其制品的管理，可参照本办法对国家二级保护水生野生动物的管理规定执行。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本办法自1999年9月1日起施行。</w:t>
      </w: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spacing w:line="416" w:lineRule="exact"/>
        <w:ind w:firstLine="480"/>
        <w:rPr>
          <w:rFonts w:ascii="Times New Roman" w:hAnsi="Times New Roman" w:eastAsiaTheme="minorEastAsia"/>
          <w:sz w:val="24"/>
          <w:szCs w:val="24"/>
        </w:rPr>
      </w:pPr>
      <w:bookmarkStart w:id="1401" w:name="OLE_LINK129"/>
    </w:p>
    <w:bookmarkEnd w:id="1401"/>
    <w:p>
      <w:pPr>
        <w:pStyle w:val="61"/>
        <w:rPr>
          <w:rFonts w:hAnsi="Times New Roman"/>
        </w:rPr>
      </w:pPr>
      <w:bookmarkStart w:id="1402" w:name="_Toc26348053"/>
      <w:bookmarkStart w:id="1403" w:name="_Toc28251003"/>
      <w:bookmarkStart w:id="1404" w:name="_Toc18916790"/>
      <w:bookmarkStart w:id="1405" w:name="_Toc25653797"/>
      <w:bookmarkStart w:id="1406" w:name="_Toc28157075"/>
      <w:bookmarkStart w:id="1407" w:name="_Toc28252283"/>
      <w:bookmarkStart w:id="1408" w:name="_Toc17964"/>
      <w:bookmarkStart w:id="1409" w:name="_Toc466579960"/>
      <w:r>
        <w:t>中华人民共和国野生植物保护条例</w:t>
      </w:r>
      <w:bookmarkEnd w:id="1402"/>
      <w:bookmarkEnd w:id="1403"/>
      <w:bookmarkEnd w:id="1404"/>
      <w:bookmarkEnd w:id="1405"/>
      <w:bookmarkEnd w:id="1406"/>
      <w:bookmarkEnd w:id="1407"/>
      <w:bookmarkEnd w:id="1408"/>
      <w:bookmarkEnd w:id="1409"/>
    </w:p>
    <w:p>
      <w:pPr>
        <w:pStyle w:val="62"/>
        <w:rPr>
          <w:rFonts w:hAnsi="Times New Roman"/>
        </w:rPr>
      </w:pPr>
      <w:r>
        <w:t>（</w:t>
      </w:r>
      <w:bookmarkStart w:id="1410" w:name="OLE_LINK105"/>
      <w:r>
        <w:rPr>
          <w:rFonts w:hint="eastAsia"/>
        </w:rPr>
        <w:t>1996</w:t>
      </w:r>
      <w:r>
        <w:t>年</w:t>
      </w:r>
      <w:r>
        <w:rPr>
          <w:rFonts w:hint="eastAsia"/>
        </w:rPr>
        <w:t>9</w:t>
      </w:r>
      <w:r>
        <w:t>月</w:t>
      </w:r>
      <w:r>
        <w:rPr>
          <w:rFonts w:hint="eastAsia"/>
        </w:rPr>
        <w:t>30</w:t>
      </w:r>
      <w:r>
        <w:t>日中华人民共和国国务院令第</w:t>
      </w:r>
      <w:r>
        <w:rPr>
          <w:rFonts w:hint="eastAsia"/>
        </w:rPr>
        <w:t>204</w:t>
      </w:r>
      <w:r>
        <w:t>号公布</w:t>
      </w:r>
      <w:r>
        <w:rPr>
          <w:rFonts w:hAnsi="Times New Roman"/>
        </w:rPr>
        <w:t>，</w:t>
      </w:r>
      <w:r>
        <w:t>根据</w:t>
      </w:r>
      <w:r>
        <w:rPr>
          <w:rFonts w:hAnsi="Times New Roman"/>
        </w:rPr>
        <w:t>2017</w:t>
      </w:r>
      <w:r>
        <w:t>年</w:t>
      </w:r>
      <w:r>
        <w:rPr>
          <w:rFonts w:hAnsi="Times New Roman"/>
        </w:rPr>
        <w:t>10</w:t>
      </w:r>
      <w:r>
        <w:t>月</w:t>
      </w:r>
      <w:r>
        <w:rPr>
          <w:rFonts w:hAnsi="Times New Roman"/>
        </w:rPr>
        <w:t>7</w:t>
      </w:r>
      <w:r>
        <w:t>日中华人民共和国国务院令第</w:t>
      </w:r>
      <w:r>
        <w:rPr>
          <w:rFonts w:hAnsi="Times New Roman"/>
        </w:rPr>
        <w:t>687</w:t>
      </w:r>
      <w:r>
        <w:t>号公布、自公布之日起施行《国务院关于修改部分行政法规的决定》修订</w:t>
      </w:r>
      <w:bookmarkEnd w:id="1410"/>
      <w:r>
        <w:t>）</w:t>
      </w:r>
    </w:p>
    <w:p>
      <w:pPr>
        <w:pStyle w:val="63"/>
        <w:spacing w:before="218" w:after="218" w:line="412" w:lineRule="exact"/>
        <w:rPr>
          <w:rFonts w:hAnsi="Times New Roman"/>
        </w:rPr>
      </w:pPr>
      <w:r>
        <w:t>第一章</w:t>
      </w:r>
      <w:r>
        <w:rPr>
          <w:rFonts w:hint="eastAsia"/>
        </w:rPr>
        <w:t xml:space="preserve">  </w:t>
      </w:r>
      <w:r>
        <w:t>总</w:t>
      </w:r>
      <w:r>
        <w:rPr>
          <w:rFonts w:hint="eastAsia"/>
        </w:rPr>
        <w:t xml:space="preserve">  </w:t>
      </w:r>
      <w:r>
        <w:t>则</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为了保护、发展和合理利用野生植物资源，保护生物多样性，维护生态平衡，制定本条例。</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在中华人民共和国境内从事野生植物的保护、发展和利用活动，必须遵守本条例。</w:t>
      </w:r>
    </w:p>
    <w:p>
      <w:pPr>
        <w:pStyle w:val="3"/>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本条例所保护的野生植物，是指原生地天然生长的珍贵植物和原生地天然生长并具有重要经济、科学研究、文化价值的濒危、稀有植物。</w:t>
      </w:r>
    </w:p>
    <w:p>
      <w:pPr>
        <w:pStyle w:val="3"/>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药用野生植物和城市园林、自然保护区、风景名胜区内的野生植物的保护，同时适用有关法律、行政法规。</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国家对野生植物资源实行加强保护、积极发展、合理利用的方针。</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国家保护依法开发利用和经营管理野生植物资源的单位和个人的合法权益。</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国家</w:t>
      </w:r>
      <w:r>
        <w:rPr>
          <w:rFonts w:asciiTheme="minorEastAsia" w:hAnsiTheme="minorEastAsia" w:eastAsiaTheme="minorEastAsia"/>
          <w:spacing w:val="-4"/>
          <w:sz w:val="24"/>
          <w:szCs w:val="24"/>
        </w:rPr>
        <w:t>鼓励和支持野生植物科学研究、野生植物的就地保护和迁地保护。</w:t>
      </w:r>
    </w:p>
    <w:p>
      <w:pPr>
        <w:pStyle w:val="3"/>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在野生植物资源保护、科学研究、培育利用和宣传教育方面成绩显著的单位和个人，由人民政府给予奖励。</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县级以上各级人民政府有关主管部门应当开展保护野生植物的宣传教育，普及野生植物知识，提高公民保护野生植物的意识。</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任何单位和个人都有保护野生植物资源的义务，对侵占或者破坏野生植物及其生长环境的行为有权检举和控告。</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国务院林业行政主管部门主管全国林区内野生植物和林区外珍贵野生树木的监督管理工作。国务院农业行政主管部门主管全国其他野生植物的监督管理工作。</w:t>
      </w:r>
    </w:p>
    <w:p>
      <w:pPr>
        <w:pStyle w:val="3"/>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建设行政部门负责城市园林、风景名胜区内野、生植物的监督管理工作。国务院环境保护部门负责对全国野生植物环境保护工作的协调和监督。国务院其他有关部门依照职责分工负责有关的野生植物保护工作。</w:t>
      </w:r>
    </w:p>
    <w:p>
      <w:pPr>
        <w:pStyle w:val="3"/>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县级以上地方人民政府负责野生植物管理工作的部门及其职责，由省、自治区、直辖市人民政府根据当地具体情况规定。</w:t>
      </w:r>
    </w:p>
    <w:p>
      <w:pPr>
        <w:pStyle w:val="63"/>
        <w:spacing w:before="218" w:after="218" w:line="412" w:lineRule="exact"/>
        <w:rPr>
          <w:rFonts w:hAnsi="Times New Roman"/>
        </w:rPr>
      </w:pPr>
      <w:r>
        <w:t>第二章</w:t>
      </w:r>
      <w:r>
        <w:rPr>
          <w:rFonts w:hint="eastAsia"/>
        </w:rPr>
        <w:t xml:space="preserve">  </w:t>
      </w:r>
      <w:r>
        <w:t>野生植物保护</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第九条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国家保护野生植物及其生长环境。禁止任何单位和个人非法采集野生植物或者破坏其生长环境。</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野生植物分为国家重点保护野生植物和地方重点保护野生植物。</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国家重点保护野生植物分为国家一级保护野生植物和国家二级保护野生植物。国家重点保护野生植物名录，由国务院林业行政主管部门、农业行政主管部门（以下简称国务院野生植物行政主管部门）商国务院环境保护、建设等有关部门制定，报国务院批准公布。</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地方重点保护野生植物，是指国家重点保护野生植物以外，由省、自治区、直辖市保护的野生植物。地方重点保护野生植物名录，由省、自治区、直辖市人民政府制定并公布，报国务院备案。</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第十一条</w:t>
      </w:r>
      <w:r>
        <w:rPr>
          <w:rFonts w:hint="eastAsia" w:ascii="Times New Roman" w:hAnsiTheme="minorEastAsia" w:eastAsiaTheme="minorEastAsia"/>
          <w:b/>
          <w:sz w:val="24"/>
          <w:szCs w:val="24"/>
        </w:rPr>
        <w:t xml:space="preserve"> </w:t>
      </w:r>
      <w:r>
        <w:rPr>
          <w:rFonts w:ascii="Times New Roman" w:hAnsi="Times New Roman" w:eastAsiaTheme="minorEastAsia"/>
          <w:b/>
          <w:sz w:val="24"/>
          <w:szCs w:val="24"/>
        </w:rPr>
        <w:t xml:space="preserve"> </w:t>
      </w:r>
      <w:r>
        <w:rPr>
          <w:rFonts w:ascii="Times New Roman" w:hAnsiTheme="minorEastAsia" w:eastAsiaTheme="minorEastAsia"/>
          <w:sz w:val="24"/>
          <w:szCs w:val="24"/>
        </w:rPr>
        <w:t>在国家重点保护野生植物物种和地方重点保护野生植物物种的天然集中分布区域，应当依照有关法律、行政法规的规定，建立自然保护区；在其他区域，县级</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以上地方人民政府野生植物行政主管部门和其他有关部门可以根据实际情况建立国家重点保护野生植物和地方重点保护野生植物的保护点或者设立保护标志。</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禁止破坏国家重点保护野生植物和地方重点保护野生植物的保护点的保护设施和保护标志。</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第十二条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野生植物行政主管部门及其他有关部门应当监视、监测环境对国家重点保护野生植物生长和地方重点保护野生植物生长的影响，并采取措施，维护和改善国家重点保护野生植物和地方重点保护野生植物的生长条件。由于环境影响对国家重点保护野生植物和地方重点保护野生植物的生长造成危害时，野生植物行政主管部门应当会同其他有关部门调查并依法处理。</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第十三条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建设项目对国家重点保护野生植物和地方重点保护野生植物的生长环境产生不利影响的，建设单位提交的环境影响报告书中必须对此作出评价；环境保护部门在审批环境影响报告书时，应当征求野生植物行政主管部门的意见。</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第十四条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野生植物行政主管部门和有关单位对生长受到威胁的国家重点保护野生植物和地方重点保护野生植物应当采取拯救措施，保护或者恢复其生长环境，必要时应当建立繁育基地、种质资源库或者采取迁地保护措施。</w:t>
      </w:r>
    </w:p>
    <w:p>
      <w:pPr>
        <w:widowControl/>
        <w:spacing w:before="156" w:after="156"/>
        <w:ind w:firstLine="210"/>
        <w:rPr>
          <w:rFonts w:ascii="黑体" w:hAnsi="黑体" w:eastAsia="黑体" w:cs="Times New Roman"/>
          <w:bCs/>
          <w:sz w:val="28"/>
          <w:szCs w:val="28"/>
        </w:rPr>
      </w:pPr>
      <w:r>
        <w:br w:type="page"/>
      </w:r>
    </w:p>
    <w:p>
      <w:pPr>
        <w:pStyle w:val="63"/>
        <w:spacing w:before="218" w:after="218" w:line="412" w:lineRule="exact"/>
        <w:rPr>
          <w:rFonts w:hAnsi="Times New Roman"/>
        </w:rPr>
      </w:pPr>
      <w:r>
        <w:t>第三章</w:t>
      </w:r>
      <w:r>
        <w:rPr>
          <w:rFonts w:hint="eastAsia"/>
        </w:rPr>
        <w:t xml:space="preserve">  </w:t>
      </w:r>
      <w:r>
        <w:t>野生植物管理</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第十五条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野生植物行政主管部门应当定期组织国家重点保护野生植物和地方重点保护野生植物资源调查，建立资源档案。</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第十六条</w:t>
      </w:r>
      <w:r>
        <w:rPr>
          <w:rFonts w:hint="eastAsia" w:ascii="Times New Roman" w:hAnsiTheme="minorEastAsia" w:eastAsiaTheme="minorEastAsia"/>
          <w:b/>
          <w:sz w:val="24"/>
          <w:szCs w:val="24"/>
        </w:rPr>
        <w:t xml:space="preserve"> </w:t>
      </w:r>
      <w:r>
        <w:rPr>
          <w:rFonts w:ascii="Times New Roman" w:hAnsi="Times New Roman" w:eastAsiaTheme="minorEastAsia"/>
          <w:b/>
          <w:sz w:val="24"/>
          <w:szCs w:val="24"/>
        </w:rPr>
        <w:t xml:space="preserve"> </w:t>
      </w:r>
      <w:r>
        <w:rPr>
          <w:rFonts w:ascii="Times New Roman" w:hAnsiTheme="minorEastAsia" w:eastAsiaTheme="minorEastAsia"/>
          <w:sz w:val="24"/>
          <w:szCs w:val="24"/>
        </w:rPr>
        <w:t>禁止采集国家一级保护野生植物。因科学研究、人工培育、文化交流等特殊需要，采集国家一级保护野生植物的，应当按照管理权限向国务院林业行政主管部门或者其授权的机构申请采集证；或者向采集地的省、自治区、直辖市人民政府农业行政主管部门或者其授权的机构申请采集证。</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采集国家二级保护野生植物的，必须经采集地的县级人民政府野生植物行政主管部门签署意见后，向省、自治区、直辖市人民政府野生植物行政主管部门或者其授权的机构申请采集证。</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采集城市园林或者风景名胜区内的国家一级或者二级保护野生植物的，须先征得城市园林或者风景名胜区管理机构同意，分别依照前两款的规定申请采集证。</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采集珍贵野生树木或者林区内、草原上的野生植物的，依照森林法、草原法的规定办理。</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野生植物行政主管部门发放采集证后，应当抄送环境保护部门备案。</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采集证的格式由国务院野生植物行政主管部门制定。</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第十七条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采集国家重点保护野生植物的单位和个人，必须按照采集证规定的种类、数量、地点、期限和方法进行采集。</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县级人民政府野生植物行政主管部门对在本行政区域内采集国家重点保护野生植物的活动，应当进行监督检查，并及时报告批准采集的野生植物行政主管部门或者其授权的机构。</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第十八条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禁止出售、收购国家一级保护野生植物。</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出售、收购国家二级保护野生植物的，必须经省、自治区、直辖市人民政府野生植物行政主管部门或者其授权的机构批准。</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第十九条</w:t>
      </w:r>
      <w:r>
        <w:rPr>
          <w:rFonts w:hint="eastAsia" w:ascii="Times New Roman" w:hAnsiTheme="minorEastAsia" w:eastAsiaTheme="minorEastAsia"/>
          <w:b/>
          <w:sz w:val="24"/>
          <w:szCs w:val="24"/>
        </w:rPr>
        <w:t xml:space="preserve"> </w:t>
      </w:r>
      <w:r>
        <w:rPr>
          <w:rFonts w:ascii="Times New Roman" w:hAnsi="Times New Roman" w:eastAsiaTheme="minorEastAsia"/>
          <w:b/>
          <w:sz w:val="24"/>
          <w:szCs w:val="24"/>
        </w:rPr>
        <w:t xml:space="preserve"> </w:t>
      </w:r>
      <w:r>
        <w:rPr>
          <w:rFonts w:ascii="Times New Roman" w:hAnsiTheme="minorEastAsia" w:eastAsiaTheme="minorEastAsia"/>
          <w:sz w:val="24"/>
          <w:szCs w:val="24"/>
        </w:rPr>
        <w:t>野生植物行政主管部门应当对经营利用国家二级保护野生植物的活动进行监督检查。</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第二十条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出口国家重点保护野生植物或者进出口中国参加的国际公约所限制进出口的野生植物的，应当按照管理权限经国务院林业行政主管部门批准，或者经进出口者所在地的省、自治区、直辖市人民政府农业行政主管部门审核后报国务院农业行政主管部门批准，并取得国家濒危物种进出口管理机构核发的允许进出口证明书或者标签。海关凭允许进出口证明书或者标签查验放行。国务院野生植物行政主管部门应当将有关野生植物进出口的资料抄送国务院环境保护部门。</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禁止出口未定名的或者新发现并有重要价值的野生植物。</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第二十一条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外国人不得在中国境内采集或者收购国家重点保护野生植物。</w:t>
      </w:r>
    </w:p>
    <w:p>
      <w:pPr>
        <w:pStyle w:val="3"/>
        <w:spacing w:line="412" w:lineRule="exact"/>
        <w:ind w:firstLine="480"/>
        <w:rPr>
          <w:rFonts w:ascii="Times New Roman" w:hAnsi="Times New Roman" w:eastAsiaTheme="minorEastAsia"/>
          <w:sz w:val="24"/>
          <w:szCs w:val="24"/>
        </w:rPr>
      </w:pPr>
      <w:r>
        <w:rPr>
          <w:rFonts w:ascii="Times New Roman" w:hAnsiTheme="minorEastAsia" w:eastAsiaTheme="minorEastAsia"/>
          <w:sz w:val="24"/>
          <w:szCs w:val="24"/>
        </w:rPr>
        <w:t>外国人在中国境内对农业行政主管部门管理的国家重点保护野生植物进行野外考察的，应当经农业行政主管部门管理的国家重点保护野生植物所在地的省、自治区、直辖市人民政府农业行政主管部门批准。</w:t>
      </w:r>
    </w:p>
    <w:p>
      <w:pPr>
        <w:pStyle w:val="3"/>
        <w:spacing w:line="412" w:lineRule="exact"/>
        <w:ind w:firstLine="482"/>
        <w:rPr>
          <w:rFonts w:ascii="Times New Roman" w:hAnsi="Times New Roman" w:eastAsiaTheme="minorEastAsia"/>
          <w:sz w:val="24"/>
          <w:szCs w:val="24"/>
        </w:rPr>
      </w:pPr>
      <w:r>
        <w:rPr>
          <w:rFonts w:ascii="Times New Roman" w:hAnsiTheme="minorEastAsia" w:eastAsiaTheme="minorEastAsia"/>
          <w:b/>
          <w:sz w:val="24"/>
          <w:szCs w:val="24"/>
        </w:rPr>
        <w:t>第二十二条</w:t>
      </w:r>
      <w:r>
        <w:rPr>
          <w:rFonts w:ascii="Times New Roman" w:hAnsi="Times New Roman" w:eastAsiaTheme="minorEastAsia"/>
          <w:b/>
          <w:sz w:val="24"/>
          <w:szCs w:val="24"/>
        </w:rPr>
        <w:t xml:space="preserve"> </w:t>
      </w:r>
      <w:r>
        <w:rPr>
          <w:rFonts w:hint="eastAsia" w:ascii="Times New Roman" w:hAnsi="Times New Roman" w:eastAsiaTheme="minorEastAsia"/>
          <w:b/>
          <w:sz w:val="24"/>
          <w:szCs w:val="24"/>
        </w:rPr>
        <w:t xml:space="preserve"> </w:t>
      </w:r>
      <w:r>
        <w:rPr>
          <w:rFonts w:ascii="Times New Roman" w:hAnsiTheme="minorEastAsia" w:eastAsiaTheme="minorEastAsia"/>
          <w:sz w:val="24"/>
          <w:szCs w:val="24"/>
        </w:rPr>
        <w:t>地方重点保护野生植物的管理办法，由省、自治区、直辖市人民政府制定。</w:t>
      </w:r>
    </w:p>
    <w:p>
      <w:pPr>
        <w:pStyle w:val="63"/>
        <w:spacing w:before="218" w:after="218" w:line="412" w:lineRule="exact"/>
        <w:rPr>
          <w:rFonts w:hAnsi="Times New Roman"/>
        </w:rPr>
      </w:pPr>
      <w:r>
        <w:t>第四章</w:t>
      </w:r>
      <w:r>
        <w:rPr>
          <w:rFonts w:hint="eastAsia"/>
        </w:rPr>
        <w:t xml:space="preserve">  </w:t>
      </w:r>
      <w:r>
        <w:t>法律责任</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未取得采集证或者未按照采集证的规定采集国家重点保护野生植物的，由野生植物行政主管部门没收所采集的野生植物和违法所得，可以并处违法所得</w:t>
      </w:r>
      <w:r>
        <w:rPr>
          <w:rFonts w:hint="eastAsia" w:asciiTheme="minorEastAsia" w:hAnsiTheme="minorEastAsia" w:eastAsiaTheme="minorEastAsia"/>
          <w:sz w:val="24"/>
          <w:szCs w:val="24"/>
        </w:rPr>
        <w:t>10</w:t>
      </w:r>
      <w:r>
        <w:rPr>
          <w:rFonts w:asciiTheme="minorEastAsia" w:hAnsiTheme="minorEastAsia" w:eastAsiaTheme="minorEastAsia"/>
          <w:sz w:val="24"/>
          <w:szCs w:val="24"/>
        </w:rPr>
        <w:t>倍以下的罚款；有采集证的，并可以吊销采集证。</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违反本条例规定，出售、收购国家重点保护野生植物的，由工商行政管理部门或者野生植物行政主管部门按照职责分工没收野生植物和违法所得，可以并处违法所得</w:t>
      </w:r>
      <w:r>
        <w:rPr>
          <w:rFonts w:hint="eastAsia" w:asciiTheme="minorEastAsia" w:hAnsiTheme="minorEastAsia" w:eastAsiaTheme="minorEastAsia"/>
          <w:sz w:val="24"/>
          <w:szCs w:val="24"/>
        </w:rPr>
        <w:t>10</w:t>
      </w:r>
      <w:r>
        <w:rPr>
          <w:rFonts w:asciiTheme="minorEastAsia" w:hAnsiTheme="minorEastAsia" w:eastAsiaTheme="minorEastAsia"/>
          <w:sz w:val="24"/>
          <w:szCs w:val="24"/>
        </w:rPr>
        <w:t>倍以下的罚款。</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非法进出口野生植物的，由海关依照海关法的规定处罚。</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伪造、倒卖、转让采集证、允许进出口证明书或者有关批准文件、标签的，由野生植物行政主管部门或者工商行政管理部门按照职责分工收缴，没收违法所得，可以并处</w:t>
      </w:r>
      <w:r>
        <w:rPr>
          <w:rFonts w:hint="eastAsia" w:asciiTheme="minorEastAsia" w:hAnsiTheme="minorEastAsia" w:eastAsiaTheme="minorEastAsia"/>
          <w:sz w:val="24"/>
          <w:szCs w:val="24"/>
        </w:rPr>
        <w:t>5</w:t>
      </w:r>
      <w:r>
        <w:rPr>
          <w:rFonts w:asciiTheme="minorEastAsia" w:hAnsiTheme="minorEastAsia" w:eastAsiaTheme="minorEastAsia"/>
          <w:sz w:val="24"/>
          <w:szCs w:val="24"/>
        </w:rPr>
        <w:t>万元以下的罚款。</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外国人在中国境内采集、收购国家重点保护野生植物，</w:t>
      </w:r>
      <w:r>
        <w:rPr>
          <w:rFonts w:asciiTheme="minorEastAsia" w:hAnsiTheme="minorEastAsia" w:eastAsiaTheme="minorEastAsia"/>
          <w:bCs/>
          <w:sz w:val="24"/>
          <w:szCs w:val="24"/>
        </w:rPr>
        <w:t>或者未经批准对农业行政主管部门管理的国家重点保护野生植物进行野外考察的，</w:t>
      </w:r>
      <w:r>
        <w:rPr>
          <w:rFonts w:asciiTheme="minorEastAsia" w:hAnsiTheme="minorEastAsia" w:eastAsiaTheme="minorEastAsia"/>
          <w:sz w:val="24"/>
          <w:szCs w:val="24"/>
        </w:rPr>
        <w:t>由野生植物行政主管部门没收所采集、收购的野生植物和考察资料，可以并处</w:t>
      </w:r>
      <w:r>
        <w:rPr>
          <w:rFonts w:hint="eastAsia" w:asciiTheme="minorEastAsia" w:hAnsiTheme="minorEastAsia" w:eastAsiaTheme="minorEastAsia"/>
          <w:sz w:val="24"/>
          <w:szCs w:val="24"/>
        </w:rPr>
        <w:t>5</w:t>
      </w:r>
      <w:r>
        <w:rPr>
          <w:rFonts w:asciiTheme="minorEastAsia" w:hAnsiTheme="minorEastAsia" w:eastAsiaTheme="minorEastAsia"/>
          <w:sz w:val="24"/>
          <w:szCs w:val="24"/>
        </w:rPr>
        <w:t>万元以下的罚款。</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违反本条例规定，构成犯罪的，依法追究刑事责任。</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w:t>
      </w:r>
      <w:r>
        <w:rPr>
          <w:rFonts w:asciiTheme="minorEastAsia" w:hAnsiTheme="minorEastAsia" w:eastAsiaTheme="minorEastAsia"/>
          <w:sz w:val="24"/>
          <w:szCs w:val="24"/>
        </w:rPr>
        <w:t>野生植物行政主管部门的工作人员滥用职权、玩忽职守、徇私舞弊，构成犯罪的，依法追究刑事责任；尚不构成犯罪的，依法给予行政处分。</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依照本条例规定没收的实物，由作出没收决定的机关按照国家有关规定处理。</w:t>
      </w:r>
    </w:p>
    <w:p>
      <w:pPr>
        <w:pStyle w:val="63"/>
        <w:spacing w:before="218" w:after="218" w:line="412" w:lineRule="exact"/>
        <w:rPr>
          <w:rFonts w:hAnsi="Times New Roman"/>
        </w:rPr>
      </w:pPr>
      <w:r>
        <w:t>第五章</w:t>
      </w:r>
      <w:r>
        <w:rPr>
          <w:rFonts w:hint="eastAsia"/>
        </w:rPr>
        <w:t xml:space="preserve">  </w:t>
      </w:r>
      <w:r>
        <w:t>附</w:t>
      </w:r>
      <w:r>
        <w:rPr>
          <w:rFonts w:hint="eastAsia"/>
        </w:rPr>
        <w:t xml:space="preserve">  </w:t>
      </w:r>
      <w:r>
        <w:t>则</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中华人民共和国缔结或者参加的与保护野生植物有关的国际条约与本条例有不同规定的，适用国际条约的规定；但是，中华人民共和国声明保留的条款除外。</w:t>
      </w:r>
    </w:p>
    <w:p>
      <w:pPr>
        <w:pStyle w:val="3"/>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本条例自</w:t>
      </w:r>
      <w:r>
        <w:rPr>
          <w:rFonts w:hint="eastAsia" w:asciiTheme="minorEastAsia" w:hAnsiTheme="minorEastAsia" w:eastAsiaTheme="minorEastAsia"/>
          <w:sz w:val="24"/>
          <w:szCs w:val="24"/>
        </w:rPr>
        <w:t>1997</w:t>
      </w:r>
      <w:r>
        <w:rPr>
          <w:rFonts w:asciiTheme="minorEastAsia" w:hAnsiTheme="minorEastAsia" w:eastAsiaTheme="minorEastAsia"/>
          <w:sz w:val="24"/>
          <w:szCs w:val="24"/>
        </w:rPr>
        <w:t>年</w:t>
      </w:r>
      <w:r>
        <w:rPr>
          <w:rFonts w:hint="eastAsia" w:asciiTheme="minorEastAsia" w:hAnsiTheme="minorEastAsia" w:eastAsiaTheme="minorEastAsia"/>
          <w:sz w:val="24"/>
          <w:szCs w:val="24"/>
        </w:rPr>
        <w:t>1</w:t>
      </w:r>
      <w:r>
        <w:rPr>
          <w:rFonts w:asciiTheme="minorEastAsia" w:hAnsiTheme="minorEastAsia" w:eastAsiaTheme="minorEastAsia"/>
          <w:sz w:val="24"/>
          <w:szCs w:val="24"/>
        </w:rPr>
        <w:t>月</w:t>
      </w:r>
      <w:r>
        <w:rPr>
          <w:rFonts w:hint="eastAsia" w:asciiTheme="minorEastAsia" w:hAnsiTheme="minorEastAsia" w:eastAsiaTheme="minorEastAsia"/>
          <w:sz w:val="24"/>
          <w:szCs w:val="24"/>
        </w:rPr>
        <w:t>1</w:t>
      </w:r>
      <w:r>
        <w:rPr>
          <w:rFonts w:asciiTheme="minorEastAsia" w:hAnsiTheme="minorEastAsia" w:eastAsiaTheme="minorEastAsia"/>
          <w:sz w:val="24"/>
          <w:szCs w:val="24"/>
        </w:rPr>
        <w:t>日起施行。</w:t>
      </w:r>
      <w:r>
        <w:rPr>
          <w:rFonts w:asciiTheme="minorEastAsia" w:hAnsiTheme="minorEastAsia" w:eastAsiaTheme="minorEastAsia"/>
          <w:sz w:val="24"/>
          <w:szCs w:val="24"/>
        </w:rPr>
        <w:br w:type="page"/>
      </w:r>
      <w:bookmarkStart w:id="1411" w:name="_Toc18916791"/>
      <w:bookmarkStart w:id="1412" w:name="_Toc5541"/>
      <w:bookmarkStart w:id="1413" w:name="_Toc466579961"/>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414" w:name="_Toc28157076"/>
      <w:bookmarkStart w:id="1415" w:name="_Toc25648297"/>
      <w:bookmarkStart w:id="1416" w:name="_Toc28252284"/>
      <w:bookmarkStart w:id="1417" w:name="_Toc25653798"/>
      <w:bookmarkStart w:id="1418" w:name="_Toc26348054"/>
      <w:bookmarkStart w:id="1419" w:name="_Toc28251004"/>
      <w:r>
        <w:t>农业野生植物保护办法</w:t>
      </w:r>
      <w:bookmarkEnd w:id="1411"/>
      <w:bookmarkEnd w:id="1412"/>
      <w:bookmarkEnd w:id="1413"/>
      <w:bookmarkEnd w:id="1414"/>
      <w:bookmarkEnd w:id="1415"/>
      <w:bookmarkEnd w:id="1416"/>
      <w:bookmarkEnd w:id="1417"/>
      <w:bookmarkEnd w:id="1418"/>
      <w:bookmarkEnd w:id="1419"/>
    </w:p>
    <w:p>
      <w:pPr>
        <w:pStyle w:val="62"/>
      </w:pPr>
      <w:r>
        <w:t>（2002年9月6日农业部令第21号公布，根据2004年7月1日农业部令第38号第一次修订，根据2013年12月31日农业部令第5号第二次修订，根据2016年5月30日中华人民共和国</w:t>
      </w:r>
      <w:r>
        <w:rPr>
          <w:rFonts w:hint="eastAsia"/>
        </w:rPr>
        <w:t>农业部令第3号第三次修订</w:t>
      </w:r>
      <w:r>
        <w:t>）</w:t>
      </w:r>
    </w:p>
    <w:p>
      <w:pPr>
        <w:pStyle w:val="63"/>
        <w:spacing w:before="218" w:after="218" w:line="412" w:lineRule="exact"/>
        <w:rPr>
          <w:b/>
        </w:rPr>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为保护和合理利用珍稀、濒危野生植物资源，保护生物多样性，加强野生植物管理，根据《中华人民共和国野生植物保护条例》（以下简称《条例》），制定本办法。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本办法所称野生植物是指符合《条例》第二条第二款规定的野生植物，包括野生植物的任何部分及其衍生物。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农业部按照《条例》第八条和本办法第二条规定的范围，主管全国野生植物的监督管理工作，并设立野生植物保护管理办公室负责全国野生植物监督管理的日常工作。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农业部野生植物保护管理办公室由部内有关司局组成。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县级以上地方人民政府农业（畜牧、渔业）行政主管部门（以下简称农业行政主管部门）依据《条例》和本办法规定负责本行政区域内野生植物监督管理工作。</w:t>
      </w:r>
    </w:p>
    <w:p>
      <w:pPr>
        <w:pStyle w:val="63"/>
        <w:spacing w:before="218" w:after="218" w:line="412" w:lineRule="exact"/>
        <w:rPr>
          <w:b/>
        </w:rPr>
      </w:pPr>
      <w:r>
        <w:t xml:space="preserve">第二章 </w:t>
      </w:r>
      <w:r>
        <w:rPr>
          <w:rFonts w:hint="eastAsia"/>
        </w:rPr>
        <w:t xml:space="preserve"> </w:t>
      </w:r>
      <w:r>
        <w:t>野生植物保护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国家重点保护野生植物名录的制定和调整由农业部野生植物保护管理办公室提出初步意见，经农业部野生植物保护专家审定委员会审定通过后，由农业部按照《条例》第十条第二款的规定报国务院批准公布。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农业部和省级农业行政主管部门负责在国家重点保护野生植物物种天然集中分布区域，划定并建立国家级或省级国家重点保护野生植物类型自然保护区。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国家级和省级国家重点保护野生植物类型自然保护区的建立，按照《中华人民共和国自然保护区条例》有关规定执行。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县级以上地方人民政府农业行政主管部门可以在国家级或省级野生植物类型保护区以外的其他区域，建立国家重点保护野生植物保护点或者设立保护标志。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国家重点保护野生植物保护点和保护标志的具体管理办法，由农业部野生植物保护管理办公室负责统一制定。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农业部根据需要，组织野生植物资源调查，建立国家重点保护野生植物资源档案，为确定国家重点保护野生植物名录及保护方案提供依据。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农业部建立国家重点保护野生植物监测制度，对国家重点保护野生植物进行动态监测。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县级以上农业行政主管部门所属的农业环境监测机构，负责监视、监测本辖区内环境质量变化对国家或地方重点保护野生植物生长情况的影响，并将监视、监测情况及时报送农业行政主管部门。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在国家重点保护野生植物生长地或周边地区实施建设项目，建设单位应当在该建设项目环境影响评价报告书中对是否影响野生植物生存环境作出专项评价。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建设项目所在区域农业行政主管部门依据《条例》规定，对上述专项评价进行审查，并根据审查结果对建设项目提出具体意见。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对国家重点保护野生植物及其生长环境造成危害的单位和个人，应当及时采取补救措施，并报当地农业行政主管部门，接受调查处理。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各级农业行政主管部门应当积极开展野生植物保护的宣传教育工作。</w:t>
      </w:r>
    </w:p>
    <w:p>
      <w:pPr>
        <w:pStyle w:val="63"/>
        <w:spacing w:before="218" w:after="218" w:line="412" w:lineRule="exact"/>
        <w:rPr>
          <w:b/>
        </w:rPr>
      </w:pPr>
      <w:r>
        <w:t>第三章</w:t>
      </w:r>
      <w:r>
        <w:rPr>
          <w:rFonts w:hint="eastAsia"/>
        </w:rPr>
        <w:t xml:space="preserve"> </w:t>
      </w:r>
      <w:r>
        <w:t xml:space="preserve"> 野生植物管理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禁止采集国家一级保护野生植物。有下列情形之一，确需进行少量采集的，应当申请办理采集许可证。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（一）进行科学考察、资源调查，应当从野外获取野生植物标本的；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（二）进行野生植物人工培育、驯化，应当从野外获取种源的；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（三）承担省部级以上科研项目，应当从野外获取标本或实验材料的；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（四）因国事活动需要，应当提供并从野外获取野生植物活体的；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（五）因调控野生植物种群数量、结构，经科学论证应当采集的。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申请采集国家重点保护野生植物，有下列情形之一的，不予发放采集许可证：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（一）申请人有条件以非采集的方式获取野生植物的种源、产品或者达到其目的的；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（二）采集申请不符合国家或地方有关规定，或者采集申请的采集方法、采集时间、采集地点、采集数量不当的；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（三）根据野生植物资源现状不宜采集的。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申请采集国家重点保护野生植物，应当填写《国家重点保护野生植物采集申请表》，经采集地县级农业行政主管部门签署审核意见后，向采集地省级农业行政主管部门或其授权的野生植物保护管理机构申请办理采集许可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采集城市园林或风景名胜区内的国家重点保护野生植物，按照《条例》第十六条第三款和前款有关规定办理。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申请采集国家一级重点保护野生植物的，还应当提供以下材料：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行科学考察、资源调查，需要从野外获取野生植物标本的，或者进行野生植物人工培育、驯化，需要从野外获取种源的，应当提供省级以上行政主管部门批复的项目审批文件、项目任务书（合同书）及执行方案（均为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（二）承担省部级以上科研项目，需要从野外获取标本或实验材料的，应当提供项目审批文件、项目任务书（合同书）及执行方案（均为复印件）。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（三）因国事活动，需要提供并从野外获取野生植物活体的，应当出具国务院外事行政主管部门的证明文件（复印件）。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（四）因调控野生植物种群数量、结构，经科学论证需要采集的，应当出具省级以上农业行政主管部门或省部级以上科研机构的论证报告或说明。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负责签署审核意见的农业行政主管部门应当自受理申请之日起20日内签署审核意见。同意采集的，报送上级农业行政主管部门审批。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负责核发采集许可的农业行政主管部门或其授权的野生植物保护管理机构，应当在收到下级农业行政主管部门报来的审核材料之日起20日内，作出批准或不批准的决定，并及时通知申请者。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接受授权的野生植物保护管理机构在作出批准或者不批准的决定之前，应当征求本部门业务主管单位的意见。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农业行政主管部门或其授权的野生植物保护管理机构核发采集许可证后，应当抄送同级环境保护行政主管部门备案。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省级农业行政主管部门或其授权的野生植物保护管理机构核发采集许可证后，应当向农业部备案。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取得采集许可证的单位和个人，应当按照许可证规定的植物种（或亚种）、数量、地点、期限和方式进行采集。采集作业完成后，应当及时向批准采集的农业行政主管部门或其授权的野生植物保护管理机构申请查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县级农业行政主管部门对在本辖区内的采集国家或地方重点保护野生植物的活动，应当进行实时监督检查，并应及时向批准采集的农业行政主管部门或其授权的野生植物保护管理机构报告监督检查结果。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出售、收购国家二级保护野生植物的，应当填写《出售、收购国家重点保护二级野生植物申请表》，省级农业行政主管部门或其授权的野生植物保护管理机构自收到申请之日起20日内完成审查，作出是否批准的决定，并通知申请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由野生植物保护管理机构负责批准的，野生植物保护管理机构在做出批准或者不批准的决定之前，应当征求本部门业务主管单位的意见。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出售、收购国家二级保护野生植物的许可为一次一批。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出售、收购国家二级保护野生植物的许可文件应当载明野生植物的物种名称（或亚种名）、数量、期限、地点及获取方式、来源等项内容。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国家重点保护野生植物的采集限定采集方式和规定禁采期。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国家重点保护野生植物的采集方式和禁采期由省级人民政府农业行政主管部门负责规定。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禁止在禁采期内或者以非法采集方式采集国家重点保护野生植物。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出口国家重点保护野生植物，或者进出口中国参加的国际公约所限制进出口的野生植物，应当填报《国家重点保护野生植物进出口许可申请表》，并经申请者所在地省级农业行政主管部门签署审核意见后，报农业部办理《国家重点保护野生植物进出口许可审批表》。农业部应当自收到省级农业行政主管部门报来的审核材料之日起20日作出是否批准的决定，并通知申请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农业部野生植物保护管理办公室在报批前应当征求部内相关业务司局的意见。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农业部野生植物保护管理办公室应当将签发的进出口许可审批表抄送国务院环境保护部门和国家濒危物种进出口管理机构。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申请出口国家重点保护野生植物，或者进出口中国参加的国际公约所限制进出口的野生植物的，应当提供以下材料：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（一）国家重点保护野生植物进出口许可申请表。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（二）申请单位的法人证明文件复印件。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（三）进出口合同（协议）复印件。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出口野生植物及其产品的，应当提供省级以上农业行政主管部门或其授权机构核发的《国家重点保护野生植物采集许可证》复印件；野生植物来源为收购的，还应当提供省级农业行政主管部门出具的出售、收购审批件及购销合同（均为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（五）出口含有国家重点保护农业野生植物成分产品的，应当提供由产品生产单位所在地省级以上农业行政主管部门认可的产品成分及规格的说明，以及产品成分检验报告。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（六）以贸易为目的的，还应当提供国务院外经贸部门或授权机构核发的进出口企业资格证书复印件。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经省级农业行政主管部门批准进行野外考察的外国人，应当在地方农业行政主管部门有关人员的陪同下，按照规定的时间、区域、路线、植物种类进行考察。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考察地省级农业行政主管部门或其授权的野生植物保护管理机构应当对外国人在本行政区域内的考察活动进行现场监督检查，并及时将监督检查情况报告农业部野生植物保护管理办公室。</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外国人野外科学考察结束离境之前，应当向省级农业行政主管部门提交此次科学考察的报告副本。</w:t>
      </w:r>
    </w:p>
    <w:p>
      <w:pPr>
        <w:pStyle w:val="63"/>
        <w:spacing w:before="218" w:after="218" w:line="412" w:lineRule="exact"/>
        <w:rPr>
          <w:b/>
        </w:rPr>
      </w:pPr>
      <w:r>
        <w:t>第四章</w:t>
      </w:r>
      <w:r>
        <w:rPr>
          <w:rFonts w:hint="eastAsia"/>
        </w:rPr>
        <w:t xml:space="preserve"> </w:t>
      </w:r>
      <w:r>
        <w:t xml:space="preserve"> 奖励与处罚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在野生植物资源保护、科学研究、培育利用、宣传教育及其管理工作中成绩显著的单位和个人，县级以上人民政府农业行政主管部门予以表彰和奖励。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违反本办法规定，依照《条例》的有关规定追究法律责任。</w:t>
      </w:r>
    </w:p>
    <w:p>
      <w:pPr>
        <w:pStyle w:val="63"/>
        <w:spacing w:before="218" w:after="218" w:line="412" w:lineRule="exact"/>
        <w:rPr>
          <w:b/>
        </w:rPr>
      </w:pPr>
      <w:r>
        <w:t>第五章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本办法规定的《国家重点保护野生植物采集申请表》、《国家重点保护野生植物采集许可证》、《国家重点保护野生植物进出口许可申请表》和《国家重点保护野生植物进出口许可审批表》等文书格式，由农业部规定。有关表格由农业部野生植物保护管理办公室统一监制。《出售、收购国家重点保护二级野生植物申请表》等其他文书格式由省级农业行政主管部门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本办法自2002年10月1日起施行。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420" w:name="_Toc12960355"/>
      <w:bookmarkStart w:id="1421" w:name="_Toc32119"/>
      <w:bookmarkStart w:id="1422" w:name="_Toc18916309"/>
      <w:bookmarkStart w:id="1423" w:name="_Toc18314521"/>
      <w:bookmarkStart w:id="1424" w:name="_Toc12960526"/>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425" w:name="_Toc26348055"/>
      <w:bookmarkStart w:id="1426" w:name="_Toc28251005"/>
      <w:bookmarkStart w:id="1427" w:name="_Toc25648298"/>
      <w:bookmarkStart w:id="1428" w:name="_Toc25653799"/>
      <w:bookmarkStart w:id="1429" w:name="_Toc28252285"/>
      <w:bookmarkStart w:id="1430" w:name="_Toc28157077"/>
      <w:r>
        <w:t>中华人民共和国濒危野生动植物进出口管理条例</w:t>
      </w:r>
      <w:bookmarkEnd w:id="1420"/>
      <w:bookmarkEnd w:id="1421"/>
      <w:bookmarkEnd w:id="1422"/>
      <w:bookmarkEnd w:id="1423"/>
      <w:bookmarkEnd w:id="1424"/>
      <w:bookmarkEnd w:id="1425"/>
      <w:bookmarkEnd w:id="1426"/>
      <w:bookmarkEnd w:id="1427"/>
      <w:bookmarkEnd w:id="1428"/>
      <w:bookmarkEnd w:id="1429"/>
      <w:bookmarkEnd w:id="1430"/>
    </w:p>
    <w:p>
      <w:pPr>
        <w:pStyle w:val="62"/>
      </w:pPr>
      <w:r>
        <w:rPr>
          <w:rFonts w:hint="eastAsia"/>
        </w:rPr>
        <w:t>（2006年4月29日国务院令第465号公布，根据2018年3月19日《国务院关于修改和废止部分行政法规的决定》修正，根据2019年3月2日《国务院关于修改部分行政法规的决定》修正）</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为了加强对濒危野生动植物及其产品的进出口管理，保护和合理利用野生动植物资源，履行《濒危野生动植物种国际贸易公约》（以下简称公约），制定本条例。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进口或者出口公约限制进出口的濒危野生动植物及其产品，应当遵守本条例。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出口国家重点保护的野生动植物及其产品，依照本条例有关出口濒危野生动植物及其产品的规定办理。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国务院林业、农业（渔业）主管部门（以下称国务院野生动植物主管部门），按照职责分工主管全国濒危野生动植物及其产品的进出口管理工作，并做好与履行公约有关的工作。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国务院其他有关部门依照有关法律、行政法规的规定，在各自的职责范围内负责做好相关工作。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家濒危物种进出口管理机构代表中国政府履行公约，依照本条例的规定对经国务院野生动植物主管部门批准出口的国家重点保护的野生动植物及其产品、批准进口或者出口的公约限制进出口的濒危野生动植物及其产品，核发允许进出口证明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国家濒危物种进出口科学机构依照本条例，组织陆生野生动物、水生野生动物和野生植物等方面的专家，从事有关濒危野生动植物及其产品进出口的科学咨询工作。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禁止进口或者出口公约禁止以商业贸易为目的进出口的濒危野生动植物及其产品，因科学研究、驯养繁殖、人工培育、文化交流等特殊情况，需要进口或者出口的，应当经国务院野生动植物主管部门批准；按照有关规定由国务院批准的，应当报经国务院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禁止出口未定名的或者新发现并有重要价值的野生动植物及其产品以及国务院或者国务院野生动植物主管部门禁止出口的濒危野生动植物及其产品。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进口或者出口公约限制进出口的濒危野生动植物及其产品，出口国务院或者国务院野生动植物主管部门限制出口的野生动植物及其产品，应当经国务院野生动植物主管部门批准。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进口濒危野生动植物及其产品的，必须具备下列条件：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（一）对濒危野生动植物及其产品的使用符合国家有关规定；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（二）具有有效控制措施并符合生态安全要求；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（三）申请人提供的材料真实有效；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（四）国务院野生动植物主管部门公示的其他条件。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出口濒危野生动植物及其产品的，必须具备下列条件：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（一）符合生态安全要求和公共利益；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（二）来源合法；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（三）申请人提供的材料真实有效；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（四）不属于国务院或者国务院野生动植物主管部门禁止出口的；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（五）国务院野生动植物主管部门公示的其他条件。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进口或者出口濒危野生动植物及其产品的，申请人应当按照管理权限，向其所在地的省、自治区、直辖市人民政府农业（渔业）主管部门提出申请，或者向国务院林业主管部门提出申请，并提交下列材料: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（一）进口或者出口合同；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（二）濒危野生动植物及其产品的名称、种类、数量和用途；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（三）活体濒危野生动物装运设施的说明资料；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（四）国务院野生动植物主管部门公示的其他应当提交的材料。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省、自治区、直辖市人民政府农业（渔业）主管部门应当自收到申请之日起10个工作日内签署意见，并将全部申请材料转报国务院农业（渔业）主管部门。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务院野生动植物主管部门应当自收到申请之日起20个工作日内，作出批准或者不予批准的决定，并书面通知申请人。在20个工作日内不能作出决定的，经本行政机关负责人批准，可以延长10个工作日，延长的期限和理由应当通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申请人取得国务院野生动植物主管部门的进出口批准文件后，应当在批准文件规定的有效期内，向国家濒危物种进出口管理机构申请核发允许进出口证明书。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申请核发允许进出口证明书时应当提交下列材料：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（一）允许进出口证明书申请表；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（二）进出口批准文件；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（三）进口或者出口合同。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进口公</w:t>
      </w:r>
      <w:r>
        <w:rPr>
          <w:rFonts w:asciiTheme="minorEastAsia" w:hAnsiTheme="minorEastAsia" w:eastAsiaTheme="minorEastAsia"/>
          <w:spacing w:val="-4"/>
          <w:sz w:val="24"/>
          <w:szCs w:val="24"/>
        </w:rPr>
        <w:t>约限制进出口的濒危野生动植物及其产品的，申请人还应当提交出口国（地区）濒危物种进出口管理机构核发的允许出口证明材料；出口公约禁止以商业贸易为目的进出口的濒危野生动植物及其产品的，申请人还应当提交进口国（地区）濒危物种进出口管理机构核发的允许进口证明材料；进口的濒危野生动植物及其产品再出口时，申请人还应当提交海关进口货物报关单和海关签注的允许进口证明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家濒危物种进出口管理机构应当自收到申请之日起20个工作日内，作出审核决定。对申请材料齐全、符合本条例规定和公约要求的，应当核发允许进出口证明书；对不予核发允许进出口证明书的，应当书面通知申请人和国务院野生动植物主管部门并说明理由。在20个工作日内不能作出决定的，经本机构负责人批准，可以延长10个工作日，延长的期限和理由应当通知申请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国家濒危物种进出口管理机构在审核时，对申请材料不符合要求的，应当在5个工作日内一次性通知申请人需要补正的全部内容。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家濒危物种进出口管理机构在核发允许进出口证明书时，需要咨询国家濒危物种进出口科学机构的意见，或者需要向境外相关机构核实允许进出口证明材料等有关内容的，应当自收到申请之日起5个工作日内，将有关材料送国家濒危物种进出口科学机构咨询意见或者向境外相关机构核实有关内容。咨询意见、核实内容所需时间不计入核发允许进出口证明书工作日之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国务院野生动植物主管部门和省、自治区、直辖市人民政府野生动植物主管部门以及国家濒危物种进出口管理机构，在审批濒危野生动植物及其产品进出口时，除收取国家规定的费用外，不得收取其他费用。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因进口或者出口濒危野生动植物及其产品对野生动植物资源、生态安全造成或者可能造成严重危害和影响的，由国务院野生动植物主管部门提出临时禁止或者限制濒危野生动植物及其产品进出口的措施，报国务院批准后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从不属于任何国家管辖的海域获得的濒危野生动植物及其产品，进入中国领域的，参照本条例有关进口的规定管理。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进口濒危野生动植物及其产品涉及外来物种管理的，出口濒危野生动植物及其产品涉及种质资源管理的，应当遵守国家有关规定。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进口或者出口濒危野生动植物及其产品的，应当在国务院野生动植物主管部门会同海关总署指定并经国务院批准的口岸进行。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进口或者出口濒危野生动植物及其产品的，应当按照允许进出口证明书规定的种类、数量、口岸、期限完成进出口活动。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进口或者出口濒危野生动植物及其产品的，应当向海关提交允许进出口证明书，接受海关监管，并自海关放行之日起30日内，将海关验讫的允许进出口证明书副本交国家濒危物种进出口管理机构备案。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过境</w:t>
      </w:r>
      <w:r>
        <w:rPr>
          <w:rFonts w:asciiTheme="minorEastAsia" w:hAnsiTheme="minorEastAsia" w:eastAsiaTheme="minorEastAsia"/>
          <w:spacing w:val="-4"/>
          <w:sz w:val="24"/>
          <w:szCs w:val="24"/>
        </w:rPr>
        <w:t>、转运和通运的濒危野生动植物及其产品，自入境起至出境前由海关监管。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进出保税区、出口加工区等海关特定监管区域和保税场所的濒危野生动植物及其产品，应当接受海关监管，并按照海关总署和国家濒危物种进出口管理机构的规定办理进出口手续。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进口或者出口濒危野生动植物及其产品的，应当凭允许进出口证明书向</w:t>
      </w:r>
      <w:r>
        <w:rPr>
          <w:rFonts w:hint="eastAsia" w:asciiTheme="minorEastAsia" w:hAnsiTheme="minorEastAsia" w:eastAsiaTheme="minorEastAsia"/>
          <w:sz w:val="24"/>
          <w:szCs w:val="24"/>
        </w:rPr>
        <w:t>海关</w:t>
      </w:r>
      <w:r>
        <w:rPr>
          <w:rFonts w:asciiTheme="minorEastAsia" w:hAnsiTheme="minorEastAsia" w:eastAsiaTheme="minorEastAsia"/>
          <w:sz w:val="24"/>
          <w:szCs w:val="24"/>
        </w:rPr>
        <w:t>报检，并接受检验检疫。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国家濒危物种进出口管理机构应当将核发允许进出口证明书的有关资料和濒危野生动植物及其产品年度进出口情况，及时抄送国务院野生动植物主管部门及其他有关主管部门。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进出口批准文件由国务院野生动植物主管部门组织统一印制；允许进出口证明书及申请表由国家濒危物种进出口管理机构组织统一印制。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野生动植物主管部门、国家濒危物种进出口管理机构的工作人员，利用职务上的便利收取他人财物或者谋取其他利益，不依照本条例的规定批准进出口、核发允许进出口证明书，情节严重，构成犯罪的，依法追究刑事责任；尚不构成犯罪的，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国家濒危物种进出口科学机构的工作人员，利用职务上的便利收取他人财物或者谋取其他利益，出具虚假意见，情节严重，构成犯罪的，依法追究刑事责任；尚不构成犯罪的，依法给予处分。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非法进口、出口或者以其他方式走私濒危野生动植物及其产品的，由海关依照海关法的有关规定予以处罚；情节严重，构成犯罪的，依法追究刑事责任。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罚没的实物移交野生动植物主管部门依法处理；罚没的实物依法需要实施检疫的，经检疫合格后，予以处理。罚没的实物需要返还原出口国（地区）的，应当由野生动植物主管部门移交国家濒危物种进出口管理机构依照公约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伪造、倒卖或者转让进出口批准文件或者允许进出口证明书的，由野生动植物主管部门或者</w:t>
      </w:r>
      <w:r>
        <w:rPr>
          <w:rFonts w:hint="eastAsia" w:asciiTheme="minorEastAsia" w:hAnsiTheme="minorEastAsia" w:eastAsiaTheme="minorEastAsia"/>
          <w:sz w:val="24"/>
          <w:szCs w:val="24"/>
        </w:rPr>
        <w:t>市场监督管理部门</w:t>
      </w:r>
      <w:r>
        <w:rPr>
          <w:rFonts w:asciiTheme="minorEastAsia" w:hAnsiTheme="minorEastAsia" w:eastAsiaTheme="minorEastAsia"/>
          <w:sz w:val="24"/>
          <w:szCs w:val="24"/>
        </w:rPr>
        <w:t>按照职责分工依法予以处罚；情节严重，构成犯罪的，依法追究刑事责任。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本条例自2006年9月1日起施行。</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sectPr>
          <w:headerReference r:id="rId47" w:type="default"/>
          <w:headerReference r:id="rId48" w:type="even"/>
          <w:pgSz w:w="12247" w:h="17180"/>
          <w:pgMar w:top="1814" w:right="1701" w:bottom="1701" w:left="1701" w:header="851" w:footer="1134" w:gutter="0"/>
          <w:cols w:space="425" w:num="1"/>
          <w:docGrid w:type="lines" w:linePitch="312" w:charSpace="0"/>
        </w:sectPr>
      </w:pPr>
    </w:p>
    <w:p>
      <w:pPr>
        <w:pStyle w:val="3"/>
        <w:topLinePunct/>
        <w:spacing w:line="416" w:lineRule="exact"/>
        <w:ind w:firstLine="480"/>
        <w:rPr>
          <w:rFonts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pPr>
      <w:bookmarkStart w:id="1431" w:name="_Toc25653800"/>
      <w:bookmarkStart w:id="1432" w:name="_Toc28252286"/>
      <w:bookmarkStart w:id="1433" w:name="_Toc25648299"/>
      <w:r>
        <w:t>十二、转基因</w:t>
      </w:r>
      <w:bookmarkEnd w:id="1431"/>
      <w:bookmarkEnd w:id="1432"/>
      <w:bookmarkEnd w:id="1433"/>
    </w:p>
    <w:p>
      <w:pPr>
        <w:topLinePunct/>
        <w:spacing w:beforeLines="0" w:afterLines="0" w:line="416" w:lineRule="exact"/>
        <w:ind w:firstLine="480" w:firstLineChars="200"/>
        <w:rPr>
          <w:rFonts w:cs="Times New Roman" w:asciiTheme="minorEastAsia" w:hAnsiTheme="minorEastAsia"/>
          <w:sz w:val="24"/>
          <w:szCs w:val="24"/>
        </w:rPr>
      </w:pPr>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434" w:name="_Toc25653801"/>
      <w:bookmarkStart w:id="1435" w:name="_Toc28157078"/>
      <w:bookmarkStart w:id="1436" w:name="_Toc25648300"/>
      <w:bookmarkStart w:id="1437" w:name="_Toc28251006"/>
      <w:bookmarkStart w:id="1438" w:name="_Toc28252287"/>
      <w:bookmarkStart w:id="1439" w:name="_Toc26348056"/>
      <w:r>
        <w:t>农业转基因生物安全管理条例</w:t>
      </w:r>
      <w:bookmarkEnd w:id="1434"/>
      <w:bookmarkEnd w:id="1435"/>
      <w:bookmarkEnd w:id="1436"/>
      <w:bookmarkEnd w:id="1437"/>
      <w:bookmarkEnd w:id="1438"/>
      <w:bookmarkEnd w:id="1439"/>
    </w:p>
    <w:p>
      <w:pPr>
        <w:pStyle w:val="62"/>
      </w:pPr>
      <w:r>
        <w:t>（2001年5月23日中华人民共和国国务院令第304号公布，根据2011年1月8日中华人民共和国国务院令第588号公布、自公布之日起施行的《国务院关于废止和修改部分行政法规的决定》第一次修订，根据2017年10月7日中华人民共和国国务院令第687号公布、自公布之日起施行《国务院关于修改部分行政法规的决定》第二次修订）</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为了加强农业转基因生物安全管理，保障人体健康和动植物、微生物安全，保护生态环境，促进农业转基因生物技术研究，制定本条例。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在中华人民共和国境内从事农业转基因生物的研究、试验、生产、加工、经营和进口、出口活动，必须遵守本条例。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本条例所称农业转基因生物，是指利用基因工程技术改变基因组构成，用于农业生产或者农产品加工的动植物、微生物及其产品，主要包括：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（一）转基因动植物（含种子、种畜禽、水产苗种）和微生物；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（二）转基因动植物、微生物产品；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（三）转基因农产品的直接加工品；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（四）含有转基因动植物、微生物或者其产品成分的种子、种畜禽、水产苗种、农药、兽药、肥料和添加剂等产品。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本条例所称农业转基因生物安全，是指防范农业转基因生物对人类、动植物、微生物和生态环境构成的危险或者潜在风险。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国务院农业行政主管部门负责全国农业转基因生物安全的监督管理工作。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县级以上地方各级人民政府农业行政主管部门负责本行政区域内的农业转基因生物安全的监督管理工作。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县级以上各级人民政府有关部门依照《中华人民共和国食品安全法》的有关规定，负责转基因食品安全的监督管理工作。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国务院建立农业转基因生物安全管理部际联席会议制度。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农业转基因生物安全管理部际联席会议由农业、科技、环境保护、卫生、外经贸、检验检疫等有关部门的负责人组成，负责研究、协调农业转基因生物安全管理工作中的重大问题。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国家对农业转基因生物安全实行分级管理评价制度。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农业转基因生物按照其对人类、动植物、微生物和生态环境的危险程度，分为Ⅰ、Ⅱ、Ⅲ、 Ⅳ四个等级。具体划分标准由国务院农业行政主管部门制定。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国家建立农业转基因生物安全评价制度。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农业转基因生物安全评价的标准和技术规范，由国务院农业行政主管部门制定。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国家对农业转基因生物实行标识制度。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实施标识管理的农业转基因生物目录，由国务院农业行政主管部门商国务院有关部门制定、调整并公布。</w:t>
      </w:r>
    </w:p>
    <w:p>
      <w:pPr>
        <w:pStyle w:val="63"/>
        <w:spacing w:before="218" w:after="218" w:line="412" w:lineRule="exact"/>
        <w:rPr>
          <w:b/>
        </w:rPr>
      </w:pPr>
      <w:r>
        <w:t>第二章  研究与试验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国务院农业行政主管部门应当加强农业转基因生物研究与试验的安全评价管理工作，并设立农业转基因生物安全委员会，负责农业转基因生物的安全评价工作。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农业转基因生物安全委员会由从事农业转基因生物研究、生产、加工、检验检疫以及卫生、环境保护等方面的专家组成。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国务院农业行政主管部门根据农业转基因生物安全评价工作的需要，可以委托具备检测条件和能力的技术检测机构对农业转基因生物进行检测。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从事农业转基因生物研究与试验的单位，应当具备与安全等级相适应的安全设施和措施，确保农业转基因生物研究与试验的安全，并成立农业转基因生物安全小组，负责本单位农业转基因生物研究与试验的安全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从事Ⅲ、 Ⅳ级农业转基因生物研究的，应当在研究开始前向国务院农业行政主管部门报告。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业转基因生物试验，一般应当经过中间试验、环境释放和生产性试验三个阶段。中间试验，是指在控制系统内或者控制条件下进行的小规模试验。环境释放，是指在自然条件下采取相应安全措施所进行的中规模的试验。生产性试验，是指在生产和应用前进行的较大规模的试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农业转基因生物在实验室研究结束后，需要转入中间试验的，试验单位应当向国务院农业行政主管部门报告。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业转基因生物试验需要从上一试验阶段转入下一试验阶段的，试验单位应当向国务院农业行政主管部门提出申请；经农业转基因生物安全委员会进行安全评价合格的，由国务院农业行政主管部门批准转入下一试验阶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试验单位提出前款申请，应当提供下列材料：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（一）农业转基因生物的安全等级和确定安全等级的依据；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（二）农业转基因生物技术检测机构出具的检测报告；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（三）相应的安全管理、防范措施；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（四）上一试验阶段的试验报告。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从事农业转基因生物试验的单位在生产性试验结束后，可以向国务院农业行政主管部门申请领取农业转基因生物安全证书。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试验单位提出前款申请，应当提供下列材料：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（一）农业转基因生物的安全等级和确定安全等级的依据；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（二）生产性试验的总结报告；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（三）国务院农业行政主管部门规定的试验材料、检测方法等其他材料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国务院农业行政主管部门收到申请后，应当委托具备检测条件和能力的技术检测机构进行检测，并组织农业转基因生物安全委员会进行安全评价；安全评价合格的，方可颁发农业转基因生物安全证书。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转基因植物种子、种畜禽、水产苗种，利用农业转基因生物生产的或者含有农业转基因生物成分的种子、种畜禽、水产苗种、农药、兽药、肥料和添加剂等，在依照有关法律、行政法规的规定进行审定、登记或者评价、审批前，应当依照本条例第十六条的规定取得农业转基因生物安全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中外合作、合资或者外方独资在中华人民共和国境内从事农业转基因生物研究与试验的，应当经国务院农业行政主管部门批准。</w:t>
      </w:r>
    </w:p>
    <w:p>
      <w:pPr>
        <w:pStyle w:val="63"/>
        <w:spacing w:before="218" w:after="218" w:line="412" w:lineRule="exact"/>
        <w:rPr>
          <w:b/>
        </w:rPr>
      </w:pPr>
      <w:r>
        <w:t>第三章  生产与加工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生产转基因植物种子、种畜禽、水产苗种，应当取得国务院农业行政主管部门颁发的种子、种畜禽、水产苗种生产许可证。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生产单位和个人申请转基因植物种子、种畜禽、水产苗种生产许可证，除应当符合有关法律、行政法规规定的条件外，还应当符合下列条件：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（一）取得农业转基因生物安全证书并通过品种审定；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（二）在指定的区域种植或者养殖；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（三）有相应的安全管理、防范措施；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（四）国务院农业行政主管部门规定的其他条件。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生产转基因植物种子、种畜禽、水产苗种的单位和个人，应当建立生产档案，载明生产地点、基因及其来源、转基因的方法以及种子、种畜禽、水产苗种流向等内容。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单位和个人从事农业转基因生物生产、加工的，应当由国务院农业行政主管部门或者省、自治区、直辖市人民政府农业行政主管部门批准。具体办法由国务院农业行政主管部门制定。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从事农业转基因生物生产、加工的单位和个人，应当按照批准的品种、范围、安全管理要求和相应的技术标准组织生产、加工，并定期向所在地县级人民政府农业行政主管部门提供生产、加工、安全管理情况和产品流向的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农业转基因生物在生产、加工过程中发生基因安全事故时，生产、加工单位和个人应当立即采取安全补救措施，并向所在地县级人民政府农业行政主管部门报告。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从事农业转基因生物运输、贮存的单位和个人，应当采取与农业转基因生物安全等级相适应的安全控制措施，确保农业转基因生物运输、贮存的安全。</w:t>
      </w:r>
    </w:p>
    <w:p>
      <w:pPr>
        <w:pStyle w:val="63"/>
        <w:spacing w:before="218" w:after="218" w:line="412" w:lineRule="exact"/>
        <w:rPr>
          <w:b/>
        </w:rPr>
      </w:pPr>
      <w:r>
        <w:t>第四章  经</w:t>
      </w:r>
      <w:r>
        <w:rPr>
          <w:rFonts w:hint="eastAsia"/>
        </w:rPr>
        <w:t xml:space="preserve">  </w:t>
      </w:r>
      <w:r>
        <w:t>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经营转基因植物种子、种畜禽、水产苗种的单位和个人，应当取得国务院农业行政主管部门颁发的种子、种畜禽、水产苗种经营许可证。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经营单位和个人申请转基因植物种子、种畜禽、水产苗种经营许可证，除应当符合有关法律、行政法规规定的条件外，还应当符合下列条件：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（一）有专门的管理人员和经营档案；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（二）有相应的安全管理、防范措施；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（三）国务院农业行政主管部门规定的其他条件。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经营转基因植物种子、种畜禽、水产苗种的单位和个人，应当建立经营档案，载明种子、种畜禽、水产苗种的来源、贮存，运输和销售去向等内容。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在中华人民共和国境内销售列入农业转基因生物目录的农业转基因生物，应当有明显的标识。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列入农业转基因生物目录的农业转基因生物，由生产、分装单位和个人负责标识；未标识的，不得销售。经营单位和个人在进货时，应当对货物和标识进行核对。经营单位和个人拆开原包装进行销售的，应当重新标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农业转基因生物标识应当载明产品中含有转基因成分的主要原料名称；有特殊销售范围要求的，还应当载明销售范围，并在指定范围内销售。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农业转基因生物的广告，应当经国务院农业行政主管部门审查批准后，方可刊登、播放、设置和张贴。</w:t>
      </w:r>
    </w:p>
    <w:p>
      <w:pPr>
        <w:pStyle w:val="63"/>
        <w:spacing w:before="218" w:after="218" w:line="412" w:lineRule="exact"/>
        <w:rPr>
          <w:b/>
        </w:rPr>
      </w:pPr>
      <w:r>
        <w:t>第五章  进口与出口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从中华人民共和国境外引进农业转基因生物用于研究、试验的，引进单位应当向国务院农业行政主管部门提出申请；符合下列条件的，国务院农业行政主管部门方可批准：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（一）具有国务院农业行政主管部门规定的申请资格；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（二）引进的农业转基因生物在国（境）外已经进行了相应的研究、试验；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（三）有相应的安全管理、防范措施。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境外公司向中华人民共和国出口转基因植物种子、种畜禽、水产苗种和利用农业转基因生物生产的或者含有农业转基因生物成分的植物种子、种畜禽、水产苗种、农药、兽药、肥料和添加剂的，应当向国务院农业行政主管部门提出申请；符合下列条件的，国务院农业行政主管部门方可批准试验材料入境并依照本条例的规定进行中间试验、环境释放和生产性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（一）输出国家或者地区已经允许作为相应用途并投放市场；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（二）输出国家或者地区经过科学试验证明对人类、动植物、微生物和生态环境无害；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（三）有相应的安全管理、防范措施。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生产性试验结束后，经安全评价合格，并取得农业转基因生物安全证书后，方可依照有关法律、行政法规的规定办理审定、登记或者评价、审批手续。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境外公司向中华人民共和国出口农业转基因生物用作加工原料的，应当向国务院农业行政主管部门提出申请，提交国务院农业行政主管部门要求的试验材料、检测方法等材料；符合下列条件，经国务院农业行政主管部门委托的、具备检测条件和能力的技术检测机构检测确认对人类、动植物、微生物和生态环境不存在危险，并经安全评价合格的，由国务院农业行政主管部门颁发农业转基因生物安全证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（一）输出国家或者地区已经允许作为相应用途并投放市场；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（二）输出国家或者地区经过科学试验证明对人类、动植物、微生物和生态环境无害；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（三）有相应的安全管理、防范措施。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从中华人民共和国境外引进农业转基因生物的，或者向中华人民共和国出口农业转基因生物的，引进单位或者境外公司应当凭国务院农业行政主管部门颁发的农业转基因生物安全证书和相关批准文件，向口岸出入境检验检疫机构报检；经检疫合格后，方可向海关申请办理有关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农业转基因生物在中华人民共和国过境转移的，应当遵守中华人民共和国有关法律、行政法规的规定。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国务院农业行政主管部门应当自收到申请人申请之日起270日内作出批准或者不批准的决定，并通知申请人。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向中华人民共和国境外出口农产品，外方要求提供非转基因农产品证明的，由口岸出入境检验检疫机构根据国务院农业行政主管部门发布的转基因农产品信息，进行检测并出具非转基因农产品证明。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进口农业转基因生物，没有国务院农业行政主管部门颁发的农业转基因生物安全证书和相关批准文件的，或者与证书、批准文件不符的，作退货或者销毁处理。进口农业转基因生物不按照规定标识的，重新标识后方可入境。</w:t>
      </w:r>
    </w:p>
    <w:p>
      <w:pPr>
        <w:pStyle w:val="63"/>
        <w:spacing w:before="218" w:after="218" w:line="412" w:lineRule="exact"/>
        <w:rPr>
          <w:b/>
        </w:rPr>
      </w:pPr>
      <w:r>
        <w:t>第六章  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农业行政主管部门履行监督检查职责时，有权采取下列措施：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（一）询问被检查的研究、试验、生产、加工、经营或者进口、出口的单位和个人、利害关系人、证明人，并要求其提供与农业转基因生物安全有关的证明材料或者其他资料；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（二）查阅或者复制农业转基因生物研究、试验、生产、加工、经营或者进口、出口的有关档案、账册和资料等；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（三）要求有关单位和个人就有关农业转基因生物安全的问题作出说明；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（四）责令违反农业转基因生物安全管理的单位和个人停止违法行为；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（五）在紧急情况下，对非法研究、试验、生产、加工，经营或者进口、出口的农业转基因生物实施封存或者扣押。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农业行政主管部门工作人员在监督检查时，应当出示执法证件。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有关单位和个人对农业行政主管部门的监督检查，应当予以支持、配合，不得拒绝、阻碍监督检查人员依法执行职务。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发现农业转基因生物对人类、动植物和生态环境存在危险时，国务院农业行政主管部门有权宣布禁止生产、加工、经营和进口，收回农业转基因生物安全证书，销毁有关存在危险的农业转基因生物。</w:t>
      </w:r>
    </w:p>
    <w:p>
      <w:pPr>
        <w:pStyle w:val="63"/>
        <w:spacing w:before="218" w:after="218" w:line="412" w:lineRule="exact"/>
        <w:rPr>
          <w:b/>
        </w:rPr>
      </w:pPr>
      <w:r>
        <w:t>第七章  罚</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违反本条例规定，从事Ⅲ、Ⅳ级农业转基因生物研究或者进行中间试验，未向国务院农业行政主管部门报告的，由国务院农业行政主管部门责令暂停研究或者中间试验，限期改正。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违反本条例规定，未经批准擅自从事环境释放、生产性试验的，已获批准但未按照规定采取安全管理、防范措施的，或者超过批准范围进行试验的，由国务院农业行政主管部门或者省、自治区、直辖市人民政府农业行政主管部门依据职权，责令停止试验，并处1万元以上5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违反本条例规定，在生产性试验结束后，未取得农业转基因生物安全证书，擅自将农业转基因生物投入生产和应用的，由国务院农业行政主管部门责令停止生产和应用，并处2万元以上10万元以下的罚款。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违反本条例第十八条规定，未经国务院农业行政主管部门批准，从事农业转基因生物研究与试验的，由国务院农业行政主管部门责令立即停止研究与试验，限期补办审批手续。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违反本条例规定，未经批准生产、加工农业转基因生物或者未按照批准的品种、范围、安全管理要求和技术标准生产、加工的，由国务院农业行政主管部门或者省、自治区、直辖市人民政府农业行政主管部门依据职权，责令停止生产或者加工，没收违法生产或者加工的产品及违法所得；违法所得10万元以上的，并处违法所得1倍以上5倍以下的罚款；没有违法所得或者违法所得不足10万元的，并处10万元以上20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违反本条例规定，转基因植物种子、种畜禽、水产苗种的生产、经营单位和个人，未按照规定制作、保存生产、经营档案的，由县级以上人民政府农业行政主管部门依据职权，责令改正，处1000元以上1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违反本条例规定，未经国务院农业行政主管部门批准，擅自进口农业转基因生物的，由国务院农业行政主管部门责令停止进口，没收已进口的产品和违法所得；违法所得10万元以上的，并处违法所得1倍以上5倍以下的罚款；没有违法所得或者违法所得不足10万元的，并处10万元以上20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违反本条例规定，进口、携带、邮寄农业转基因生物未向口岸出入境检验检疫机构报检的，由口岸出入境检验检疫机构比照进出境动植物检疫法的有关规定处罚。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违反本条例关于农业转基因生物标识管理规定的，由县级以上人民政府农业行政主管部门依据职权，责令限期改正，可以没收非法销售的产品和违法所得，并可以处1万元以上5万元以下的罚款。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假冒、伪造、转让或者买卖农业转基因生物有关证明文书的，由县级以上人民政府农业行政主管部门依据职权，收缴相应的证明文书，并处2万元以上10万元以下的罚款；构成犯罪的，依法追究刑事责任。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违反本条例规定，在研究、试验、生产、加工、贮存、运输、销售或者进口、出口农业转基因生物过程中发生基因安全事故，造成损害的，依法承担赔偿责任。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国务院农业行政主管部门或者省、自治区、直辖市人民政府农业行政主管部门违反本条例规定核发许可证、农业转基因生物安全证书以及其他批准文件的，或者核发许可证、农业转基因生物安全证书以及其他批准文件后不履行监督管理职责的，对直接负责的主管人员和其他直接责任人员依法给予行政处分；构成犯罪的，依法追究刑事责任。</w:t>
      </w:r>
    </w:p>
    <w:p>
      <w:pPr>
        <w:pStyle w:val="63"/>
        <w:spacing w:before="218" w:after="218" w:line="412" w:lineRule="exact"/>
        <w:rPr>
          <w:b/>
        </w:rPr>
      </w:pPr>
      <w:r>
        <w:t>第八章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本条例自公布之日起施行。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440" w:name="_Toc466579826"/>
      <w:bookmarkStart w:id="1441" w:name="_Toc28251007"/>
      <w:bookmarkStart w:id="1442" w:name="_Toc25648301"/>
      <w:bookmarkStart w:id="1443" w:name="_Toc26348057"/>
      <w:bookmarkStart w:id="1444" w:name="_Toc18916304"/>
      <w:bookmarkStart w:id="1445" w:name="_Toc25653802"/>
      <w:bookmarkStart w:id="1446" w:name="_Toc28252288"/>
      <w:bookmarkStart w:id="1447" w:name="_Toc30776"/>
      <w:bookmarkStart w:id="1448" w:name="_Toc28157079"/>
      <w:r>
        <w:t>农业转基因生物安全评价管理办法</w:t>
      </w:r>
      <w:bookmarkEnd w:id="1440"/>
      <w:bookmarkEnd w:id="1441"/>
      <w:bookmarkEnd w:id="1442"/>
      <w:bookmarkEnd w:id="1443"/>
      <w:bookmarkEnd w:id="1444"/>
      <w:bookmarkEnd w:id="1445"/>
      <w:bookmarkEnd w:id="1446"/>
      <w:bookmarkEnd w:id="1447"/>
      <w:bookmarkEnd w:id="1448"/>
    </w:p>
    <w:p>
      <w:pPr>
        <w:pStyle w:val="62"/>
      </w:pPr>
      <w:r>
        <w:t>（</w:t>
      </w:r>
      <w:r>
        <w:rPr>
          <w:rFonts w:hint="eastAsia"/>
        </w:rPr>
        <w:t>2002年1月5日农业部令第8号发布，根据2004年7月1日农业部令第38号第一次修订，根据2016年7月25日中华人民共和国农业部令2016年第7号第二次修订，根据2017年11月30日中华人民共和国农业部令第8号第三次修订</w:t>
      </w:r>
      <w:r>
        <w:t>）</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为了加强农业转基因生物安全评价管理，保障人类健康和动植物、微生物安全，保护生态环境，根据《</w:t>
      </w:r>
      <w:r>
        <w:fldChar w:fldCharType="begin"/>
      </w:r>
      <w:r>
        <w:instrText xml:space="preserve"> HYPERLINK "http://www.foodmate.net/law/qita/163478.html" \o "农业转基因生物安全管理条例" </w:instrText>
      </w:r>
      <w:r>
        <w:fldChar w:fldCharType="separate"/>
      </w:r>
      <w:r>
        <w:rPr>
          <w:rFonts w:asciiTheme="minorEastAsia" w:hAnsiTheme="minorEastAsia" w:eastAsiaTheme="minorEastAsia"/>
          <w:sz w:val="24"/>
          <w:szCs w:val="24"/>
        </w:rPr>
        <w:t>农业转基因生物安全管理条例</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》（简称《条例》），制定本办法。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在中华人民共和国境内从事农业转基因生物的研究、试验、生产、加工、经营和进口、出口活动，依照《条例》规定需要进行安全评价的，应当遵守本办法。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本办法适用于《条例》规定的农业转基因生物，即利用基因工程技术改变基因组构成，用于农业生产或者农产品加工的植物、动物、微生物及其产品，主要包括：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（一）转基因动植物（含种子、种畜禽、水产苗种）和微生物；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（二）转基因动植物、微生物产品；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（三）转基因农产品的直接加工品；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（四）含有转基因动植物、微生物或者其产品成份的种子、种畜禽、水产苗种、农药、兽药、肥料和添加剂等产品。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本办法评价的是农业转基因生物对人类、动植物、微生物和生态环境构成的危险或者潜在的风险。安全评价工作按照植物、动物、微生物三个类别，以科学为依据，以个案审查为原则，实行分级分阶段管理。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根据《条例》第九条的规定设立国家农业转基因生物安全委员会，负责农业转基因生物的安全评价工作。国家农业转基因生物安全委员会由从事农业转基因生物研究、生产、加工、检验检疫、卫生、环境保护等方面的专家组成，每届任期五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农业部设立农业转基因生物安全管理办公室，负责农业转基因生物安全评价管理工作。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从事农业转基因生物研究与试验的单位是农业转基因生物安全管理的第一责任人，应当成立由单位法定代表人负责的农业转基因生物安全小组，负责本单位农业转基因生物的安全管理及安全评价申报的审查工作。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从事农业转基因生物研究与试验的单位，应当制定农业转基因生物试验操作规程，加强农业转基因生物试验的可追溯管理。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农业部根据农业转基因生物安全评价工作的需要，委托具备检测条件和能力的技术检测机构对农业转基因生物进行检测，为安全评价和管理提供依据。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转基因植物种子、种畜禽、水产种苗，利用农业转基因生物生产的或者含有农业转基因生物成份的种子、种畜禽、水产种苗、农药、兽药、肥料和添加剂等，在依照有关法律、行政法规的规定进行审定、登记或者评价、审批前，应当依照本办法的规定取得农业转基因生物安全证书。</w:t>
      </w:r>
    </w:p>
    <w:p>
      <w:pPr>
        <w:pStyle w:val="63"/>
        <w:spacing w:before="218" w:after="218" w:line="412" w:lineRule="exact"/>
        <w:rPr>
          <w:b/>
        </w:rPr>
      </w:pPr>
      <w:r>
        <w:t>第二章</w:t>
      </w:r>
      <w:r>
        <w:rPr>
          <w:rFonts w:hint="eastAsia"/>
        </w:rPr>
        <w:t xml:space="preserve"> </w:t>
      </w:r>
      <w:r>
        <w:t xml:space="preserve"> 安全等级和安全评价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农业转基因生物安全实行分级评价管理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按照对人类、动植物、微生物和生态环境的危险程度，将农业转基因生物分为以下四个等级：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安全等级Ⅰ：尚不存在危险；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安全等级Ⅱ：具有低度危险；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安全等级Ⅲ：具有中度危险；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安全等级Ⅳ：具有高度危险。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农业转基因生物安全评价和安全等级的确定按以下步骤进行：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（一）确定受体生物的安全等级；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（二）确定基因操作对受体生物安全等级影响的类型；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（三）确定转基因生物的安全等级；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（四）确定生产、加工活动对转基因生物安全性的影响；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（五）确定转基因产品的安全等级。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受体生物安全等级的确定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受体生物分为四个安全等级：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（一）符合下列条件之一的受体生物应当确定为安全等级：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1.对人类健康和生态环境未曾发生过不利影响；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2.演化成有害生物的可能性极小；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3.用于特殊研究的短存活期受体生物，实验结束后在自然环境中存活的可能性极小。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（二）对人类健康和生态环境可能产生低度危险，但是通过采取安全控制措施完全可以避免其危险的受体生物，应当确定为安全等级Ⅱ。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（三）对人类健康和生态环境可能产生中度危险，但是通过采取安全控制措施，基本上可以避免其危险的受体生物，应当确定为安全等级Ⅲ。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（四）对人类健康和生态环境可能产生高度危险，而且在封闭设施之外尚无适当的安全控制措施避免其发生危险的受体生物，应当确定为安全等级Ⅳ。包括：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1.可能与其它生物发生高频率遗传物质交换的有害生物；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2.尚无有效技术防止其本身或其产物逃逸、扩散的有害生物；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3.尚无有效技术保证其逃逸后，在对人类健康和生态环境产生不利影响之前，将其捕获或消灭的有害生物。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基因操作对受体生物安全等级影响类型的确定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基因操作对受体生物安全等级的影响分为三种类型，即：增加受体生物的安全性；不影响受体生物的安全性；降低受体生物的安全性。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类型1 增加受体生物安全性的基因操作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包括：去除某个（些）已知具有危险的基因或抑制某个（些）已知具有危险的基因表达的基因操作。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类型2 不影响受体生物安全性的基因操作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1.改变受体生物的表型或基因型而对人类健康和生态环境没有影响的基因操作；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2.改变受体生物的表型或基因型而对人类健康和生态环境没有不利影响的基因操作。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类型3 降低受体生物安全性的基因操作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1.改变受体生物的表型或基因型，并可能对人类健康或生态环境产生不利影响的基因操作；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2. 改变受体生物的表型或基因型，但不能确定对人类健康或生态环境影响的基因操作。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农业转基因生物安全等级的确定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根据受体生物的安全等级和基因操作对其安全等级的影响类型及影响程度，确定转基因生物的安全等级。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（一）受体生物安全等级为的转基因生物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1.安全等级为的受体生物，经类型1或类型2的基因操作而得到的转基因生物，其安全等级仍为。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等级为Ⅰ的受体生物，经类型3的基因操作而得到的转基因生物，如果安全性降低很小，且不需要采取任何安全控制措施的，则其安全等级仍为；如果安全性有一定程度的降低，但是可以通过适当的安全控制措施完全避免其潜在危险的，则其安全等级为Ⅱ；如果安全性严重降低，但是可以通过严格的安全控制措施避免其潜在危险的，则其安全等级为Ⅲ；如果安全性严重降低，而且无法通过安全控制措施完全避免其危险的，则其安全等级为IV。</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（二）受体生物安全等级为Ⅱ的转基因生物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Ⅱ的受体生物，经类型1的基因操作而得到的转基因生物，如果安全性增加到对人类健康和生态环境不再产生不利影响的，则其安全等级为I；如果安全性虽有增加，但对人类健康和生态环境仍有低度危险的，则其安全等级仍为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2.安全等级为Ⅱ的受体生物，经类型2的基因操作而得到的转基因生物，其安全等级仍为Ⅱ。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3.安全等级为Ⅱ的受体生物，经类型3的基因操作而得到的转基因生物，根据安全性降低的程度不同，其安全等级可为Ⅱ、Ⅲ或IV，分级标准与受体生物的分级标准相同。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（三）受体生物安全等级为Ⅲ的转基因生物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1.安全等级为Ⅲ的受体生物，经类型1的基因操作而得到的转基因生物，根据安全性增加的程度不同，其安全等级可为Ⅰ、Ⅱ或Ⅲ，分级标准与受体生物的分级标准相同。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2.安全等级为Ⅲ的受体生物，经类型2的基因操作而得到的转基因生物，其安全等级仍为Ⅲ。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3.安全等级为Ⅲ的受体生物，经类型3的基因操作得到的转基因生物，根据安全性降低的程度不同，其安全等级可为Ⅲ或IV，分级标准与受体生物的分级标准相同。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（四）受体生物安全等级为Ⅳ的转基因生物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1.安全等级为Ⅳ的受体生物，经类型1的基因操作而得到的转基因生物，根据安全性增加的程度不同，其安全等级可为I、Ⅱ、Ⅲ或IV，分级标准与受体生物的分级标准相同。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2.安全等级为IV的受体生物，经类型2或类型3的基因操作而得到的转基因生物，其安全等级仍为IV。</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农业转基因产品安全等级的确定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根据农业转基因生物的安全等级和产品的生产、加工活动对其安全等级的影响类型和影响程度，确定转基因产品的安全等级。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（一）农业转基因产品的生产、加工活动对转基因生物安全等级的影响分为三种类型：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类型1 增加转基因生物的安全性；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类型2 不影响转基因生物的安全性；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类型3 降低转基因生物的安全性。</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（二）转基因生物安全等级为的转基因产品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1.安全等级为的转基因生物，经类型1或类型2的生产、加工活动而形成的转基因产品，其安全等级仍为。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2.安全等级为的转基因生物，经类型3的生产、加工活动而形成的转基因产品，根据安全性降低的程度不同，其安全等级可为、Ⅱ、Ⅲ或Ⅳ，分级标准与受体生物的分级标准相同。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（三）转基因生物安全等级为Ⅱ的转基因产品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Ⅱ的转基因生物，经类型1的生产、加工活动而形成的转基因产品，如果安全性增加到对人类健康和生态环境不再产生不利影响的，其安全等级为I；如果安全性虽然有增加，但是对人类健康或生态环境仍有低度危险的，其安全等级仍为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2.安全等级为Ⅱ的转基因生物，经类型2的生产、加工活动而形成的转基因产品，其安全等级仍为Ⅱ。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3.安全等级为Ⅱ的转基因生物，经类型3的生产、加工活动而形成的转基因产品，根据安全性降低的程度不同，其安全等级可为Ⅱ、Ⅲ或Ⅳ，分级标准与受体生物的分级标准相同。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（四）转基因生物安全等级为Ⅲ的转基因产品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1.安全等级为Ⅲ的转基因生物，经类型1的生产、加工活动而形成的转基因产品，根据安全性增加的程度不同，其安全等级可为Ⅰ、Ⅱ或Ⅲ，分级标准与受体生物的分级标准相同。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2.安全等级为Ⅲ的转基因生物，经类型2的生产、加工活动而形成的转基因产品，其安全等级仍为Ⅲ。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3.安全等级为Ⅲ的转基因生物，经类型3的生产、加工活动而形成转基因产品，根据安全性降低的程度不同，其安全等级可为Ⅲ或IV，分级标准与受体生物的分级标准相同。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（五）转基因生物安全等级为Ⅳ的转基因产品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1.安全等级为Ⅳ的转基因生物，经类型1的生产、加工活动而得到的转基因产品，根据安全性增加的程度不同，其安全等级可为I、Ⅱ、Ⅲ或IV，分级标准与受体生物的分级标准相同。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2.安全等级为IV的转基因生物，经类型2或类型3的生产、加工活动而得到的转基因产品，其安全等级仍为IV。</w:t>
      </w:r>
    </w:p>
    <w:p>
      <w:pPr>
        <w:pStyle w:val="63"/>
        <w:spacing w:before="218" w:after="218" w:line="412" w:lineRule="exact"/>
        <w:rPr>
          <w:b/>
        </w:rPr>
      </w:pPr>
      <w:r>
        <w:t xml:space="preserve">第三章 </w:t>
      </w:r>
      <w:r>
        <w:rPr>
          <w:rFonts w:hint="eastAsia"/>
        </w:rPr>
        <w:t xml:space="preserve"> </w:t>
      </w:r>
      <w:r>
        <w:t>申报和审批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凡在中华人民共和国境内从事农业转基因生物安全等级为Ⅲ和Ⅳ的研究以及所有安全等级的试验和进口的单位以及生产和加工的单位和个人，应当根据农业转基因生物的类别和安全等级，分阶段向农业转基因生物安全管理办公室报告或者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业部依法受理农业转基因生物安全评价申请。申请被受理的，应当交由国家农业转基因生物安全委员会进行安全评价。国家农业转基因生物安全委员会每年至少开展两次农业转基因生物安全评审。农业部收到安全评价结果后按照《中华人民共和国行政许可法》和《条例》的规定作出批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第十六条根据2016年7月25日农业部令2016年第7号修改，2004版原条款：农业部每年组织两次农业转基因生物安全评审。第一次受理申请的截止日期为每年3月31日，第二次受理申请的截止日期为每年的9月30日。申请被受理的，应当交由国家农业转基因生物安全委员会进行安全评价。农业部自收到安全评价结果后20日内作出批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从事农业转基因生物试验和进口的单位以及从事农业转基因生物生产和加工的单位和个人，在向农业转基因生物安全管理办公室提出安全评价报告或申请前应当完成下列手续：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（一）报告或申请单位和报告或申请人对所从事的转基因生物工作进行安全性评价，并填写报告书或申报书（见附录Ⅴ）；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（二）组织本单位转基因生物安全小组对申报材料进行技术审查；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（三）提供有关技术资料。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在中华人民共和国从事农业转基因生物实验研究与试验的，应当具备下列条件：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（一）在中华人民共和国境内有专门的机构；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（二）有从事农业转基因生物实验研究与试验的专职技术人员；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（三）具备与实验研究和试验相适应的仪器设备和设施条件；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（四）成立农业转基因生物安全管理小组。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报告农业转基因生物实验研究和中间试验以及申请环境释放、生产性试验和安全证书的单位应当按照农业部制定的农业转基因植物、动物和微生物安全评价各阶段的报告或申报要求、安全评价的标准和技术规范，办理报告或申请手续（见附录、Ⅱ、Ⅲ、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从事安全等级为I和Ⅱ的农业转基因生物实验研究，由本单位农业转基因生物安全小组批准；从事安全等级为Ⅲ和Ⅳ的农业转基因生物实验研究，应当在研究开始前向农业转基因生物安全管理办公室报告。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研究单位向农业转基因生物安全管理办公室报告时应当提供以下材料：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（一）实验研究报告书（见附录Ⅴ）；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（二）农业转基因生物的安全等级和确定安全等级的依据；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（三）相应的实验室安全设施、安全管理和防范措施。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在农业转基因生物（安全等级、Ⅱ、Ⅲ、Ⅳ）实验研究结束后拟转入中间试验的，试验单位应当向农业转基因生物安全管理办公室报告。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试验单位向农业转基因生物安全管理办公室报告时应当提供下列材料：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（一）中间试验报告书（见附录Ⅴ）；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（二）实验研究总结报告；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（三）农业转基因生物的安全等级和确定安全等级的依据；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（四）相应的安全研究内容、安全管理和防范措施。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在农业转基因生物中间试验结束后拟转入环境释放的，或者在环境释放结束后拟转入生产性试验的，试验单位应当向农业转基因生物安全管理办公室提出申请，经农业转基因生物安全委员会安全评价合格并由农业部批准后，方可根据农业转基因生物安全审批书的要求进行相应的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试验单位提出前款申请时，应当按照相关安全评价指南的要求提供下列材料：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（一）安全评价申报书（见附录Ⅴ）；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（二）农业转基因生物的安全等级和确定安全等级的依据；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w:t>
      </w:r>
      <w:r>
        <w:rPr>
          <w:rFonts w:asciiTheme="minorEastAsia" w:hAnsiTheme="minorEastAsia" w:eastAsiaTheme="minorEastAsia"/>
          <w:bCs/>
          <w:sz w:val="24"/>
          <w:szCs w:val="24"/>
        </w:rPr>
        <w:t>有检测条件和能力</w:t>
      </w:r>
      <w:r>
        <w:rPr>
          <w:rFonts w:asciiTheme="minorEastAsia" w:hAnsiTheme="minorEastAsia" w:eastAsiaTheme="minorEastAsia"/>
          <w:sz w:val="24"/>
          <w:szCs w:val="24"/>
        </w:rPr>
        <w:t>的技术检测机构出具的检测报告；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（四）相应的安全研究内容、安全管理和防范措施;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（五）上一试验阶段的试验总结报告。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申请生产性试验的，还应当按要求提交农业转基因生物样品、对照样品及检测方法。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在农业转基因生物安全审批书有效期内，试验单位需要改变试验地点的，应当向农业转基因生物安全管理办公室报告。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（根据2016年7月25日农业部令2016年第7号修改，在2004版第二十二条后增加一条：“在农业转基因生物安全审批书有效期内，试验单位需要改变试验地点的，应当向农业转基因生物安全管理办公室报告。”）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在农业转基因生物试验结束后拟申请安全证书的，试验单位应当向农业转基因生物安全管理办公室提出申请。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试验单位提出前款申请时，应当按照相关安全评价指南的要求提供下列材料：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（一）安全评价申报书（见附录Ⅴ）；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（二）农业部委托的农业转基因生物技术检测机构出具的检测报告；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（三）中间试验、环境释放和生产性试验阶段的试验总结报告；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（四）按要求提交农业转基因生物样品、对照样品及检测方法，但按照本办法第二十二条规定已经提交的除外。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（五）其他有关材料。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农业部收到申请后，应当组织农业转基因生物安全委员会进行安全评价，并委托具备检测条件和能力的技术检测机构进行检测；安全评价合格的，经农业部批准后，方可颁发农业转基因生物安全证书。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农业转基因生物安全证书应当明确转基因生物名称（编号）、规模、范围、时限及有关责任人、安全控制措施等内容。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从事农业转基因生物生产和加工的单位和个人以及进口的单位，应当按照农业转基因生物安全证书的要求开展工作并履行安全证书规定的相关义务。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从中华人民共和国境外引进农业转基因生物，或者向中华人民共和国出口农业转基因生物的，应当按照《农业转基因生物进口安全管理办法》的规定提供相应的安全评价材料，并在申请安全证书时按要求提交农业转基因生物样品、对照样品及检测方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农业转基因生物安全评价受理审批机构的工作人员和参与审查的专家，应当为申报者保守技术秘密和商业秘密，与本人及其近亲属有利害关系的应当回避。</w:t>
      </w:r>
    </w:p>
    <w:p>
      <w:pPr>
        <w:pStyle w:val="63"/>
        <w:spacing w:before="218" w:after="218" w:line="412" w:lineRule="exact"/>
        <w:rPr>
          <w:b/>
        </w:rPr>
      </w:pPr>
      <w:r>
        <w:t xml:space="preserve">第四章 </w:t>
      </w:r>
      <w:r>
        <w:rPr>
          <w:rFonts w:hint="eastAsia"/>
        </w:rPr>
        <w:t xml:space="preserve"> </w:t>
      </w:r>
      <w:r>
        <w:t>技术检测管理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农业部根据农业转基因生物安全评价及其管理工作的需要，委托具备检测条件和能力的技术检测机构进行检测。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技术检测机构应当具备下列基本条件：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（一）具有公正性和权威性，设有相对独立的机构和专职人员；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（二）具备与检测任务相适应的、符合国家标准（或行业标准）的仪器设备和检测手段；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（三）严格执行检测技术规范，出具的检测数据准确可靠；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（四）有相应的安全控制措施。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技术检测机构的职责任务：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（一）为农业转基因生物安全管理和评价提供技术服务；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（二）承担农业部或申请人委托的农业转基因生物定性定量检验、鉴定和复查任务；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（三）出具检测报告，做出科学判断；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（四）研究检测技术与方法，承担或参与评价标准和技术法规的制修订工作；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（五）检测结束后，对用于检测的样品应当安全销毁，不得保留。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（六）为委托人和申请人保守技术秘密和商业秘密。</w:t>
      </w:r>
    </w:p>
    <w:p>
      <w:pPr>
        <w:pStyle w:val="63"/>
        <w:spacing w:before="218" w:after="218" w:line="412" w:lineRule="exact"/>
        <w:rPr>
          <w:b/>
        </w:rPr>
      </w:pPr>
      <w:r>
        <w:t>第五章</w:t>
      </w:r>
      <w:r>
        <w:rPr>
          <w:rFonts w:hint="eastAsia"/>
        </w:rPr>
        <w:t xml:space="preserve"> </w:t>
      </w:r>
      <w:r>
        <w:t xml:space="preserve"> 监督管理与安全监控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农业部负责农业转基因生物安全的监督管理，指导不同生态类型区域的农业转基因生物安全监控和监测工作，建立全国农业转基因生物安全监管和监测体系。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县</w:t>
      </w:r>
      <w:r>
        <w:rPr>
          <w:rFonts w:asciiTheme="minorEastAsia" w:hAnsiTheme="minorEastAsia" w:eastAsiaTheme="minorEastAsia"/>
          <w:spacing w:val="-2"/>
          <w:sz w:val="24"/>
          <w:szCs w:val="24"/>
        </w:rPr>
        <w:t>级以上地方各级人民政府农业行政主管部门按照《条例》第三十九条和第四十条的规定负责本行政区域内的农业转基因生物安全的监督管理工作。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有关单位和个人应当按照《条例》第四十一条的规定，配合农业行政主管部门做好监督检查工作。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从事农业转基因生物试验、生产的单位，应当接受农业行政主管部门的监督检查，并在每年3月31日前，向试验、生产所在地省级和县级人民政府农业行政主管部门提交上一年度试验、生产总结报告。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从事农业转基因生物试验和生产的单位，应当根据本办法的规定确定安全控制措施和预防事故的紧急措施，做好安全监督记录，以备核查。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安全控制措施包括物理控制、化学控制、生物控制、环境控制和规模控制等（见附录Ⅳ）。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安全等级Ⅱ、Ⅲ、Ⅳ的转基因生物，在废弃物处理和排放之前应当采取可靠措施将其销毁、灭活，以防止扩散和污染环境。发现转基因生物扩散、残留或者造成危害的，必须立即采取有效措施加以控制、消除，并向当地农业行政主管部门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农业转基因生物在贮存、转移、运输和销毁、灭活时，应当采取相应的安全管理和防范措施，具备特定的设备或场所，指定专人管理并记录。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发现农业转基因生物对人类、动植物和生态环境存在危险时，农业部有权宣布禁止生产、加工、经营和进口，收回农业转基因生物安全证书，由货主销毁有关存在危险的农业转基因生物。</w:t>
      </w:r>
    </w:p>
    <w:p>
      <w:pPr>
        <w:pStyle w:val="63"/>
        <w:spacing w:before="218" w:after="218" w:line="412" w:lineRule="exact"/>
        <w:rPr>
          <w:b/>
        </w:rPr>
      </w:pPr>
      <w:r>
        <w:t xml:space="preserve">第六章 </w:t>
      </w:r>
      <w:r>
        <w:rPr>
          <w:rFonts w:hint="eastAsia"/>
        </w:rPr>
        <w:t xml:space="preserve"> </w:t>
      </w:r>
      <w:r>
        <w:t>罚</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违反本办法规定，从事安全等级Ⅲ、Ⅳ的农业转基因生物实验研究或者从事农业转基因生物中间试验，未向农业部报告的，按照《条例》第四十三条的规定处理。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违反本办法规定，未经批准擅自从事环境释放、生产性试验的，或已获批准但未按照规定采取安全管理防范措施的，或者超过批准范围和期限进行试验的，按照《条例》第四十四条的规定处罚。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违反本办法规定，在生产性试验结束后，未取得农业转基因生物安全证书，擅自将农业转基因生物投入生产和应用的，按照《条例》第四十五条的规定处罚。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假冒、伪造、转让或者买卖农业转基因生物安全证书、审批书以及其他批准文件的，按照《条例》第五十三条的规定处罚。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违反本办法规定核发农业转基因生物安全审批书、安全证书以及其他批准文件的，或者核发后不履行监督管理职责的，按照《条例》第五十五条的规定处罚。</w:t>
      </w:r>
    </w:p>
    <w:p>
      <w:pPr>
        <w:pStyle w:val="63"/>
        <w:spacing w:before="218" w:after="218" w:line="412" w:lineRule="exact"/>
        <w:rPr>
          <w:b/>
        </w:rPr>
      </w:pPr>
      <w:r>
        <w:t>第七章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本办法所用术语及含义如下：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一、基因，系控制生物性状的遗传物质的功能和结构单位，主要指具有遗传信息的DNA片段。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二、基因工程技术，包括利用载体系统的重组DNA技术以及利用物理、化学和生物学等方法把重组DNA分子导入有机体的技术。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三、基因组，系指特定生物的染色体和染色体外所有遗传物质的总和。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四、DNA，系脱氧核糖核酸的英文名词缩写，是贮存生物遗传信息的遗传物质。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五、农业转基因生物，系指利用基因工程技术改变基因组构成，用于农业生产或者农产品加工的动植物、微生物及其产品。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六、目的基因，系指以修饰受体细胞遗传组成并表达其遗传效应为目的的基因。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七、受体生物，系指被导入重组DNA分子的生物。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八、种子，系指农作物和林木的种植材料或者繁殖材料，包括籽粒、果实和根、茎、苗、芽、叶等。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九、实验研究，系指在实验室控制系统内进行的基因操作和转基因生物研究工作。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十、中间试验，系指在控制系统内或者控制条件下进行的小规模试验。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十一、环境释放，系指在自然条件下采取相应安全措施所进行的中规模的试验。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十二、生产性试验，系指在生产和应用前进行的较大规模的试验。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十三、控制系统，系指通过物理控制、化学控制和生物控制建立的封闭或半封闭操作体系。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十四、物理控制措施，系指利用物理方法限制转基因生物及其产物在实验区外的生存及扩散，如设置栅栏，防止转基因生物及其产物从实验区逃逸或被人或动物携带至实验区外等。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十五、化学控制措施，系指利用化学方法限制转基因生物及其产物的生存、扩散或残留，如生物材料、工具和设施的消毒。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六、生物控制措施，系指利用生物措施限制转基因生物及其产物的生存、扩散或残留，以及限制遗传物质由转基因生物向其它生物的转移，如设置有效的隔离区及监控区、清除试验区附近可与转基因生物杂交的物种、阻止转基因生物开花或去除繁殖器官、或采用花期不遇等措施，以防止目的基因向相关生物的转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十七、环境控制措施，系指利用环境条件限制转基因生物及其产物的生存、繁殖、扩散或残留，如控制温度、水份、光周期等。</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八、规模控制措施，系指尽可能地减少用于试验的转基因生物及其产物的数量或减小试验区的面积，以降低转基因生物及其产物广泛扩散的可能性，在出现预想不到的后果时，能比较彻底地将转基因生物及其产物消除。</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本办法自2002年3月20日起施行。1996年7月10日农业部发布的第7号令《农业生物基因工程安全管理实施办法》同时废止。</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449" w:name="_Toc28251008"/>
      <w:bookmarkStart w:id="1450" w:name="_Toc18916305"/>
      <w:bookmarkStart w:id="1451" w:name="_Toc466579827"/>
      <w:bookmarkStart w:id="1452" w:name="_Toc25648302"/>
      <w:bookmarkStart w:id="1453" w:name="_Toc26348058"/>
      <w:bookmarkStart w:id="1454" w:name="_Toc28157080"/>
      <w:bookmarkStart w:id="1455" w:name="_Toc25653803"/>
      <w:bookmarkStart w:id="1456" w:name="_Toc1598"/>
      <w:bookmarkStart w:id="1457" w:name="_Toc28252289"/>
      <w:r>
        <w:t>农业转基因生物进口安全管理办法</w:t>
      </w:r>
      <w:bookmarkEnd w:id="1449"/>
      <w:bookmarkEnd w:id="1450"/>
      <w:bookmarkEnd w:id="1451"/>
      <w:bookmarkEnd w:id="1452"/>
      <w:bookmarkEnd w:id="1453"/>
      <w:bookmarkEnd w:id="1454"/>
      <w:bookmarkEnd w:id="1455"/>
      <w:bookmarkEnd w:id="1456"/>
      <w:bookmarkEnd w:id="1457"/>
    </w:p>
    <w:p>
      <w:pPr>
        <w:pStyle w:val="62"/>
      </w:pPr>
      <w:r>
        <w:t>（</w:t>
      </w:r>
      <w:r>
        <w:rPr>
          <w:rFonts w:hint="eastAsia"/>
        </w:rPr>
        <w:t>2002年1月5日农业部令第9号发布，根据2004年7月1日农业部令第38号第一次修订，根据2017年11月30日中华人民共和国农业部令第8号第二次修订</w:t>
      </w:r>
      <w:r>
        <w:t>）</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为了加强对农业转基因生物进口的安全管理，根据《农业转基因生物安全管理条例》（简称《条例》）的有关规定，制定本办法。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本办法适用于在中华人民共和国境内从事农业转基因生物进口活动的安全管理。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农业部负责农业转基因生物进口的安全管理工作。国家农业转基因生物安全委员会负责农业转基因生物进口的安全评价工作。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对于进口的农业转基因生物，按照用于研究和试验的、用于生产的以及用作加工原料的三种用途实行管理。</w:t>
      </w:r>
    </w:p>
    <w:p>
      <w:pPr>
        <w:pStyle w:val="63"/>
        <w:spacing w:before="218" w:after="218" w:line="412" w:lineRule="exact"/>
        <w:rPr>
          <w:b/>
        </w:rPr>
      </w:pPr>
      <w:r>
        <w:t>第二章  用于研究和试验的农业转基因生物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从中华人民共和国境外引进安全等级Ⅰ、Ⅱ的农业转基因生物进行实验研究的，引进单位应当向农业转基因生物安全管理办公室提出申请，并提供下列材料：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（一）农业部规定的申请资格文件；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（二）进口安全管理登记表（见附件）；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（三）引进农业转基因生物在国（境）外已经进行了相应的研究的证明文件；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（四）引进单位在引进过程中拟采取的安全防范措施。经审查合格后，由农业部颁发农业转基因生物进口批准文件。引进单位应当凭此批准文件依法向有关部门办理相关手续。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从中华人民共和国境外引进安全等级Ⅲ、Ⅳ的农业转基因生物进行实验研究的和所有安全等级的农业转基因生物进行中间试验的，引进单位应当向农业部提出申请，并提供下列材料：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（一）农业部规定的申请资格文件；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（二）进口安全管理登记表（见附件）；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（三）引进农业转基因生物在国（境）外已经进行了相应研究或试验的证明文件；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（四）引进单位在引进过程中拟采取的安全防范措施；（五）《农业转基因生物安全评价管理办法》规定的相应阶段所需的材料。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经审查合格后，由农业部颁发农业转基因生物进口批准文件。引进单位应当凭此批准文件依法向有关部门办理相关手续。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从中华人民共和国境外引进农业转基因生物进行环境释放和生产性试验的，引进单位应当向农业部提出申请，并提供下列材料：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（一）农业部规定的申请资格文件；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（二）进口安全管理登记表（见附件）；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（三）引进农业转基因生物在国（境）外已经进行了相应的研究的证明文件；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（四）引进单位在引进过程中拟采取的安全防范措施；（五）《农业转基因生物安全评价管理办法》规定的相应阶段所需的材料。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经审查合格后，由农业部颁发农业转基因生物安全审批书。引进单位应当凭此审批书依法向有关部门办理相关手续。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从中华人民共和国境外引进农业转基因生物用于试验的，引进单位应当从中间试验阶段开始逐阶段向农业部申请。</w:t>
      </w:r>
    </w:p>
    <w:p>
      <w:pPr>
        <w:pStyle w:val="63"/>
        <w:spacing w:before="218" w:after="218" w:line="412" w:lineRule="exact"/>
        <w:rPr>
          <w:b/>
        </w:rPr>
      </w:pPr>
      <w:r>
        <w:t>第三章  用于生产的农业转基因生物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境外公司向中华人民共和国出口转基因植物种子、种畜禽、水产苗种和利用农业转基因生物生产的或者含有农业转基因生物成份的植物种子、种畜禽、水产苗种、农药、兽药、肥料和饲料添加剂等拟用于生产应用的，应当向农业部提出申请，并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（一）进口安全管理登记表（见附件）；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（二）输出国家或者地区已经允许作为相应用途并投放市场的证明文件；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（三）输出国家或者地区经过科学试验证明对人类、动植物、微生物和生态环境无害的资料；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（四）境外公司在向中华人民共和国出口过程中拟采取的安全防范措施。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（五）农业转基因生物安全评价管理办法》规定的相应阶段所需的材料。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境外公司在提出上述申请时，应当在中间试验开始前申请，经审批同意，试验材料方可入境，并依次经过中间试验、环境释放、生产性试验三个试验阶段以及农业转基因生物安全证书申领阶段。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间试验阶段的申请，经审查合格后，由农业部颁发农业转基因生物进口批准文件，境外公司凭此批准文件依法向有关部门办理相关手续。环境释放和生产性试验阶段的申请，经安全评价合格后，由农业部颁发农业转基因生物安全审批书，境外公司凭此审批书依法向有关部门办理相关手续。安全证书的申请，经安全评价合格后，由农业部颁发农业转基因生物安全证书，境外公司凭此证书依法向有关部门办理相关手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引进的农业转基因生物在生产应用前，应取得农业转基因生物安全证书，方可依照有关种子、种畜禽、水产苗种、农药、兽药、肥料和添加剂等法律、行政法规的规定办理相应的审定、登记或者评价、审批手续。</w:t>
      </w:r>
    </w:p>
    <w:p>
      <w:pPr>
        <w:pStyle w:val="63"/>
        <w:spacing w:before="218" w:after="218" w:line="412" w:lineRule="exact"/>
        <w:rPr>
          <w:b/>
        </w:rPr>
      </w:pPr>
      <w:r>
        <w:t>第四章  用作加工原料的农业转基因生物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境外公司向中华人民共和国出口农业转基因生物用作加工原料的，应当向农业部申请领取农业转基因生物安全证书。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境外公司提出上述申请时，应当按照相关安全评价指南的要求提供下列材料：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（一）进口安全管理登记表（见附件）；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（二）安全评价申报书（见《农业转基因生物安全评价管理办法》附录Ⅴ）；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（三）输出国家或者地区已经允许作为相应用途并投放市场的证明文件；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（四）输出国家或者地区经过科学试验证明对人类、动植物、微生物和生态环境无害的资料；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（五）按要求提交农业转基因生物样品、对照样品及检测所需的试验材料、检测方法；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（六）境外公司在向中华人民共和国出口过程中拟采取的安全防范措施。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农业部收到申请后，应当组织农业转基因生物安全委员会进行安全评价，并委托具备检测条件和能力的技术检测机构进行检测；安全评价合格的，经农业部批准后，方可颁发农业转基因生物安全证书。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在申请获得批准后，再次向中华人民共和国提出申请时，符合同一公司、同一农业转基因生物条件的，可简化安全评价申请手续，并提供以下材料：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（一）进口安全管理登记表（见附件）；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（二）农业部首次颁发的农业转基因生物安全证书复印件；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（三）境外公司在向中华人民共和国出口过程中拟采取的安全防范措施。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经审查合格后，由农业部颁发农业转基因生物安全证书。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境外公司应当凭农业部颁发的农业转基因生物安全证书，依法向有关部门办理相关手续。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进口用作加工原料的农业转基因生物如果具有生命活力，应当建立进口档案，载明其来源、贮存、运输等内容，并采取与农业转基因生物相适应的安全控制措施，确保农业转基因生物不进入环境。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后增加一条，“向中国出口农业转基因生物直接用作消费品的，依照向中国出口农业转基因生物用作加工原料的审批程序办理。”</w:t>
      </w:r>
    </w:p>
    <w:p>
      <w:pPr>
        <w:pStyle w:val="63"/>
        <w:spacing w:before="218" w:after="218" w:line="412" w:lineRule="exact"/>
        <w:rPr>
          <w:b/>
        </w:rPr>
      </w:pPr>
      <w:r>
        <w:t>第五章  一般性规定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农业部应当自收到申请人申请之日起２７０日内做批准或者不批准的决定，并通知申请人。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进口农业转基因生物用于生产或用作加工原料的，应当在取得农业部颁发的农业转基因生物安全证书后，方能签订合同。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进口农业转基因生物，没有国务院农业行政主管部门颁发的农业转基因生物安全证书和相关批准文件的，或者与证书、批准文件不符的，作退货或者销毁处理。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本办法自</w:t>
      </w:r>
      <w:r>
        <w:rPr>
          <w:rFonts w:hint="eastAsia" w:asciiTheme="minorEastAsia" w:hAnsiTheme="minorEastAsia" w:eastAsiaTheme="minorEastAsia"/>
          <w:sz w:val="24"/>
          <w:szCs w:val="24"/>
        </w:rPr>
        <w:t>2002</w:t>
      </w:r>
      <w:r>
        <w:rPr>
          <w:rFonts w:asciiTheme="minorEastAsia" w:hAnsiTheme="minorEastAsia" w:eastAsiaTheme="minorEastAsia"/>
          <w:sz w:val="24"/>
          <w:szCs w:val="24"/>
        </w:rPr>
        <w:t>年</w:t>
      </w:r>
      <w:r>
        <w:rPr>
          <w:rFonts w:hint="eastAsia" w:asciiTheme="minorEastAsia" w:hAnsiTheme="minorEastAsia" w:eastAsiaTheme="minorEastAsia"/>
          <w:sz w:val="24"/>
          <w:szCs w:val="24"/>
        </w:rPr>
        <w:t>3</w:t>
      </w:r>
      <w:r>
        <w:rPr>
          <w:rFonts w:asciiTheme="minorEastAsia" w:hAnsiTheme="minorEastAsia" w:eastAsiaTheme="minorEastAsia"/>
          <w:sz w:val="24"/>
          <w:szCs w:val="24"/>
        </w:rPr>
        <w:t>月</w:t>
      </w:r>
      <w:r>
        <w:rPr>
          <w:rFonts w:hint="eastAsia" w:asciiTheme="minorEastAsia" w:hAnsiTheme="minorEastAsia" w:eastAsiaTheme="minorEastAsia"/>
          <w:sz w:val="24"/>
          <w:szCs w:val="24"/>
        </w:rPr>
        <w:t>20</w:t>
      </w:r>
      <w:r>
        <w:rPr>
          <w:rFonts w:asciiTheme="minorEastAsia" w:hAnsiTheme="minorEastAsia" w:eastAsiaTheme="minorEastAsia"/>
          <w:sz w:val="24"/>
          <w:szCs w:val="24"/>
        </w:rPr>
        <w:t>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458" w:name="_Toc466579828"/>
      <w:bookmarkStart w:id="1459" w:name="_Toc28157081"/>
      <w:bookmarkStart w:id="1460" w:name="_Toc25648303"/>
      <w:bookmarkStart w:id="1461" w:name="_Toc18916306"/>
      <w:bookmarkStart w:id="1462" w:name="_Toc25653804"/>
      <w:bookmarkStart w:id="1463" w:name="_Toc28252290"/>
      <w:bookmarkStart w:id="1464" w:name="_Toc26348059"/>
      <w:bookmarkStart w:id="1465" w:name="_Toc28251009"/>
      <w:bookmarkStart w:id="1466" w:name="_Toc18330"/>
      <w:r>
        <w:t>农业转基因生物标识管理办法</w:t>
      </w:r>
      <w:bookmarkEnd w:id="1458"/>
      <w:bookmarkEnd w:id="1459"/>
      <w:bookmarkEnd w:id="1460"/>
      <w:bookmarkEnd w:id="1461"/>
      <w:bookmarkEnd w:id="1462"/>
      <w:bookmarkEnd w:id="1463"/>
      <w:bookmarkEnd w:id="1464"/>
      <w:bookmarkEnd w:id="1465"/>
      <w:bookmarkEnd w:id="1466"/>
    </w:p>
    <w:p>
      <w:pPr>
        <w:pStyle w:val="62"/>
        <w:rPr>
          <w:b/>
        </w:rPr>
      </w:pPr>
      <w:r>
        <w:t>（</w:t>
      </w:r>
      <w:r>
        <w:rPr>
          <w:rFonts w:hint="eastAsia"/>
        </w:rPr>
        <w:t>2002年1月5日农业部令第10号发布，根据2004年7月1日农业部令第38号第一次修订，根据2017年11月30日中华人民共和国农业部令第8号第二次修订</w:t>
      </w:r>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对农业转基因生物的标识管理，规范农业转基因生物的销售行为，引导农业转基因生物的生产和消费，保护消费者的知情权，根据《农业转基因生物安全管理条例》（简称《条例》）的有关规定，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国家对农业转基因生物实行标识制度。实施标识管理的农业转基因生物目录，由国务院农业行政主管部门商国务院有关部门制定、调整和公布。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在中华人民共和国境内销售列入农业转基因生物标识目录的农业转基因生物，必须遵守本办法第四条第一款。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凡是列入标识管理目录并用于销售的农业转基因生物，应当进行标识；未标识和不按规定标识的，不得进口或销售。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农业部负责全国农业转基因生物标识的监督管理工作。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县级以上地方人民政府农业行政主管部门负责本行政区域内的农业转基因生物标识的监督管理工作。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国家质检总局负责进口农业转基因生物在口岸的标识检查验证工作。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列入农业转基因生物标识目录的农业转基因生物，由生产、分装单位和个人负责标识；经营单位和个人拆开原包装进行销售的，应当重新标识。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标识的标注方法：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转基因动植物（含种子、种畜禽、水产苗种）和微生物，转基因动植物、微生物产品，含有转基因动植物、微生物或者其产品成份的种子、种畜禽、水产苗种、农药、兽药、肥料和添加剂等产品，直接标注“转基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（二）转基因农产品的直接加工品，标注为“转基因××加工品（制成品）”或者“加工原料为转基因××”。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用农业转基因生物或用含有农业转基因生物成份的产品加工制成的产品，但最终销售产品中已不再含有或检测不出转基因成份的产品，标注为“本产品为转基因××加工制成，但本产品中已不再含有转基因成份”或者标注为“本产品加工原料中有转基因××，但本产品中已不再含有转基因成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农业转基因生物标识应当醒目，并和产品的包装、标签同时设计和印制。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难以在原有包装、标签上标注农业转基因生物标识的，可采用在原有包装、标签的基础上附加转基因生物标识的办法进行标注，但附加标识应当牢固、持久。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难以用包装物或标签对农业转基因生物进行标识时，可采用下列方式标注：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（一）难以在每个销售产品上标识的快餐业和零售业中的农业转基因生物，可以在产品展销（示）柜（台）上进行标识，也可以在价签上进行标识或者设立标识板（牌）进行标识。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（二）销售无包装和标签的农业转基因生物时，可以采取设立标识板（牌）的方式进行标识。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（三）装在运输容器内的农业转基因生物不经包装直接销售时，销售现场可以在容器上进行标识，也可以设立标识板（牌）进行标识。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（四）销售无包装和标签的农业转基因生物，难以用标识板（牌）进行标注时，销售者应当以适当的方式声明。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（五）进口无包装和标签的农业转基因生物，难以用标识板（牌）进行标注时，应当在报检（关）单上注明。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有特殊销售范围要求的农业转基因生物，还应当明确标注销售的范围，可标注为“仅限于××销售（生产、加工、使用）”。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农业转基因生物标识应当使用规范的中文汉字进行标注。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销售农业转基因生物的经营单位和个人在进货时，应当对货物和标识进行核对。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违反本办法规定的，按《条例》第五十二条规定予以处罚。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本办法自2002年3月20起施行。</w:t>
      </w:r>
    </w:p>
    <w:p>
      <w:pPr>
        <w:pStyle w:val="3"/>
        <w:topLinePunct/>
        <w:spacing w:line="404"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467" w:name="_Toc466579829"/>
      <w:bookmarkStart w:id="1468" w:name="_Toc28252291"/>
      <w:bookmarkStart w:id="1469" w:name="_Toc2927"/>
      <w:bookmarkStart w:id="1470" w:name="_Toc28251010"/>
      <w:bookmarkStart w:id="1471" w:name="_Toc26348060"/>
      <w:bookmarkStart w:id="1472" w:name="_Toc28157082"/>
      <w:bookmarkStart w:id="1473" w:name="_Toc25648304"/>
      <w:bookmarkStart w:id="1474" w:name="_Toc18916307"/>
      <w:bookmarkStart w:id="1475" w:name="_Toc25653805"/>
      <w:r>
        <w:t>农业转基因生物加工审批办法</w:t>
      </w:r>
      <w:bookmarkEnd w:id="1467"/>
      <w:bookmarkEnd w:id="1468"/>
      <w:bookmarkEnd w:id="1469"/>
      <w:bookmarkEnd w:id="1470"/>
      <w:bookmarkEnd w:id="1471"/>
      <w:bookmarkEnd w:id="1472"/>
      <w:bookmarkEnd w:id="1473"/>
      <w:bookmarkEnd w:id="1474"/>
      <w:bookmarkEnd w:id="1475"/>
    </w:p>
    <w:p>
      <w:pPr>
        <w:pStyle w:val="62"/>
        <w:rPr>
          <w:b/>
        </w:rPr>
      </w:pPr>
      <w:r>
        <w:t>（2006年1月27日农业部令第59号发布，根据2019年4月25日农业农村部令第2号修订）</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为了加强农业转基因生物加工审批管理，根据《农业转基因生物安全管理条例》的有关规定，制定本办法。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本办法所称农业转基因生物加工，是指以具有活性的农业转基因生物为原料，生产农业转基因生物产品的活动。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前款所称农业转基因生物产品，是指《农业转基因生物安全管理条例》第三条第（二）、（三）项所称的转基因动植物、微生物产品和转基因农产品的直接加工品。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在中华人民共和国境内从事农业转基因生物加工的单位和个人，应当取得加工所在地省级人民政府农业行政主管部门颁发的《农业转基因生物加工许可证》（以下简称《加工许可证》）。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从事农业转基因生物加工的单位和个人，除应当符合有关法律、法规规定的设立条件外，还应当具备下列条件：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（一）与加工农业转基因生物相适应的专用生产线和封闭式仓储设施。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（二）加工废弃物及灭活处理的设备和设施。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（三）农业转基因生物与非转基因生物原料加工转换污染处理控制措施。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（四）完善的农业转基因生物加工安全管理制度。包括：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1．原料采购、运输、贮藏、加工、销售管理档案；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2．岗位责任制度；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3．农业转基因生物扩散等突发事件应急预案；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4．农业转基因生物安全管理小组，具备农业转基因生物安全知识的管理人员、技术人员。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申请《加工许可证》应当向省级人民政府农业行政主管部门提出，并提供下列材料：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（一）农业转基因生物加工许可证申请表（见附件）；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（二）农业转基因生物加工安全管理制度文本；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（三）农业转基因生物安全管理小组人员名单和专业知识、学历证明；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（四）农业转基因生物安全法规和加工安全知识培训记录；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（五）农业转基因生物产品标识样本。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省级人民政府农业行政主管部门应当自受理申请之日起20个工作日内完成审查。审查符合条件的，发给《加工许可证》，并及时向农业部备案；不符合条件的，应当书面通知申请人并说明理由。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省级人民政府农业行政主管部门可以根据需要组织专家小组对申请材料进行评审，专家小组可以进行实地考察，并在农业行政主管部门规定的期限内提交考察报告。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《加工许可证》有效期为三年。期满后需要继续从事加工的，持证单位和个人应当在期满前六个月，重新申请办理《加工许可证》。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从事农业转基因生物加工的单位和个人变更名称的，应当申请换发《加工许可证》。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从事农业转基因生物加工的单位和个人有下列情形之一的，应当重新办理《加工许可证》：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（一）超出原《加工许可证》规定的加工范围的；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（二）改变生产地址的，包括异地生产和设立分厂。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违反本办法规定的，依照《农业转基因生物安全管理条例》的有关规定处罚。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《加工许可证》由农业部统一印制。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本办法自2006年7月1日起施行。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476" w:name="_Toc28251011"/>
      <w:bookmarkStart w:id="1477" w:name="_Toc28157083"/>
      <w:bookmarkStart w:id="1478" w:name="_Toc18916308"/>
      <w:bookmarkStart w:id="1479" w:name="_Toc25648305"/>
      <w:bookmarkStart w:id="1480" w:name="_Toc25653806"/>
      <w:bookmarkStart w:id="1481" w:name="_Toc26348061"/>
      <w:bookmarkStart w:id="1482" w:name="_Toc2468"/>
      <w:bookmarkStart w:id="1483" w:name="_Toc28252292"/>
      <w:r>
        <w:t>转基因棉花种子生产经营许可规定</w:t>
      </w:r>
      <w:bookmarkEnd w:id="1476"/>
      <w:bookmarkEnd w:id="1477"/>
      <w:bookmarkEnd w:id="1478"/>
      <w:bookmarkEnd w:id="1479"/>
      <w:bookmarkEnd w:id="1480"/>
      <w:bookmarkEnd w:id="1481"/>
      <w:bookmarkEnd w:id="1482"/>
      <w:bookmarkEnd w:id="1483"/>
    </w:p>
    <w:p>
      <w:pPr>
        <w:pStyle w:val="62"/>
      </w:pPr>
      <w:r>
        <w:t>（</w:t>
      </w:r>
      <w:r>
        <w:rPr>
          <w:shd w:val="clear" w:color="auto" w:fill="FFFFFF"/>
        </w:rPr>
        <w:t>2011年9月6日农业部公告第1643号公布，根据2015年4月29日农业部令第1号第一次修订，根据2019年4月25日农业农村部令第2号第二次修订</w:t>
      </w:r>
      <w:r>
        <w:t>）</w:t>
      </w:r>
    </w:p>
    <w:p>
      <w:pPr>
        <w:pStyle w:val="3"/>
        <w:topLinePunct/>
        <w:spacing w:line="412" w:lineRule="exact"/>
        <w:ind w:firstLine="482"/>
        <w:rPr>
          <w:rFonts w:asciiTheme="minorEastAsia" w:hAnsiTheme="minorEastAsia" w:eastAsiaTheme="minorEastAsia"/>
          <w:b/>
          <w:sz w:val="24"/>
          <w:szCs w:val="24"/>
        </w:rPr>
      </w:pP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为加强转基因棉花种子生产经营许可管理，根据《中华人民共和国种子法》《农业转基因生物安全管理条例》《农作物种子生产经营许可管理办法》，制定本规定。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转基因棉花种子生产经营许可证，由企业所在地省级农业主管部门审核，农业部核发。</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申请领取转基因棉花种子生产经营许可证的企业，应当具备以下条件：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（一）具有办公场所200平方米以上，检验室150平方米以上，加工厂房500平方米以上，仓库500平方米以上；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转基因棉花自育品种或作为第一选育人的品种1个以上，或者合作选育的品种2个以上，或者受让品种权的品种3个以上；生产经营的品种应当通过审定并取得农业转基因生物安全证书。生产经营授权品种种子的，应当征得品种权人的书面同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具有净度分析台、电子秤、样品粉碎机、烘箱、生物显微镜、电子天平、扦样器、分样器、发芽箱、PCR扩增仪及产物检测配套设备、酸度计、高压灭菌锅、磁力搅拌器、恒温水浴锅、高速冷冻离心机、成套移液器等仪器设备，能够开展种子水分、净度、纯度、发芽率四项指标检测及品种分子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（四）具有种子加工成套设备，成套设备总加工能力1吨/小时以上，配备棉籽化学脱绒设备；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（五）具有种子生产、加工贮藏和检验专业技术人员各3名以上，农业转基因生物安全管理人员2名以上；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（六）种子生产地点、经营区域在农业转基因生物安全证书批准的区域内；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（七）符合棉花种子生产规程以及转基因棉花种子安全生产要求的隔离和生产条件，生产地点无检疫性有害生物；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（八）有相应的农业转基因生物安全管理、防范措施；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（九）农业部规定的其他条件。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申请转基因棉花种子生产经营许可证的企业，应当向审核机关提交以下材料：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（一）转基因棉花种子生产经营许可证申请表（式样见附件1）；</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（二）单位性质、股权结构等基本情况，公司章程、营业执照复印件，设立分支机构、委托生产种子、委托代销种子以及以购销方式销售种子等情况说明；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（三）种子生产、加工贮藏、检验技术人员和农业转基因生物安全管理人员的基本情况，企业法定代表人和高级管理人员名单及其种业从业简历；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（四）种子检验室、加工厂房、仓库和其他设施的自有产权或自有资产说明材料；办公场所自有产权证明复印件或租赁合同；种子检验、加工等设备清单和购置发票复印件；相关设施设备的情况说明及实景照片；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（五）品种审定证书和农业转基因生物安全证书复印件；生产经营授权品种种子的，提交植物新品种权证书复印件及品种权人的书面同意证明；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（六）委托种子生产合同复印件或自行组织种子生产的情况说明和证明材料；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w:t>
      </w:r>
      <w:r>
        <w:rPr>
          <w:rFonts w:asciiTheme="minorEastAsia" w:hAnsiTheme="minorEastAsia" w:eastAsiaTheme="minorEastAsia"/>
          <w:sz w:val="24"/>
          <w:szCs w:val="24"/>
          <w:shd w:val="clear" w:color="auto" w:fill="FFFFFF"/>
        </w:rPr>
        <w:t>种子生产地点检疫说明材料</w:t>
      </w:r>
      <w:r>
        <w:rPr>
          <w:rFonts w:asciiTheme="minorEastAsia" w:hAnsiTheme="minorEastAsia" w:eastAsiaTheme="minorEastAsia"/>
          <w:sz w:val="24"/>
          <w:szCs w:val="24"/>
        </w:rPr>
        <w:t>；</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（八）农业转基因生物安全管理、防范措施说明；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（九）农业部规定的其他材料。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审核机关应当自受理申请之日起二十个工作日内完成审核工作。审核机关应当对申请企业的办公场所和种子加工、检验、仓储等设施设备进行实地考察，并查验相关申请材料原件。符合条件的，签署审核意见，上报核发机关；审核不予通过的，书面通知申请人并说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核发机关应当自收到申请材料和审核意见之日起二十个工作日内完成核发工作。核发机关认为有必要的，可以进行实地考察并查验原件。符合条件的，发给种子生产经营许可证并予公告；不符合条件的，书面通知申请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转基因棉花种子生产经营许可证设主证、副证（式样见附件2）。主证注明许可证编号、企业名称、统一社会信用代码、住所、法定代表人、生产经营范围、生产经营方式、有效区域、有效期至、发证机关、发证日期；副证注明生产种子的作物种类、种子类别、品种名称及审定编号、转基因安全证书编号、生产地点、有效期至等。转基因棉花种子生产经营许可证加注许可信息代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（一）许可证编号为“G（农）农种许字（xxxx）第xxxx号”，第二个括号内为首次发证时的年号，“第xxxx号”为四位顺序号；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（二）生产经营方式按生产、加工、包装、批发、零售填写；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（三）生产地点为种子生产所在地，标注至县级行政区域。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转基因棉花种子生产经营许可证有效期为5年，同时不得超出农业转基因生物安全证书规定的有效期限。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在有效期内变更主证、副证载明事项的，应当按照原申请程序办理变更手续，并提供相应证明材料。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许可证期满后继续从事转基因棉花种子生产经营的，企业应当在期满六个月前重新提出申请。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转基因棉花种子生产经营许可的其他事项，按照《农作物种子生产经营许可管理办法》有关规定执行。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MS Mincho" w:hAnsi="MS Mincho" w:cs="MS Mincho" w:eastAsiaTheme="minorEastAsia"/>
          <w:sz w:val="24"/>
          <w:szCs w:val="24"/>
        </w:rPr>
        <w:t xml:space="preserve">  </w:t>
      </w:r>
      <w:r>
        <w:rPr>
          <w:rFonts w:asciiTheme="minorEastAsia" w:hAnsiTheme="minorEastAsia" w:eastAsiaTheme="minorEastAsia"/>
          <w:sz w:val="24"/>
          <w:szCs w:val="24"/>
        </w:rPr>
        <w:t>本规定自2016年10月18日起施行。农业部2011年9月6日公布、2015年4月29日修订的《转基因棉花种子生产经营许可规定》（农业部第1643号公告）同时废止。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本规定施行之日前已取得的转基因棉花种子生产、经营许可证有效期不变，有效期在本规定公布之日至2016年12月31日届满的企业，其原有转基因棉花种子生产、经营许可证的有效期自动延展至2016年12月31日。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附件：1.转基因棉花种子生产经营许可证申请表（式样）</w:t>
      </w:r>
    </w:p>
    <w:p>
      <w:pPr>
        <w:topLinePunct/>
        <w:spacing w:beforeLines="0" w:afterLines="0" w:line="412" w:lineRule="exact"/>
        <w:ind w:firstLine="1440" w:firstLineChars="600"/>
        <w:rPr>
          <w:rFonts w:cs="Times New Roman" w:asciiTheme="minorEastAsia" w:hAnsiTheme="minorEastAsia"/>
          <w:sz w:val="24"/>
          <w:szCs w:val="24"/>
        </w:rPr>
      </w:pPr>
      <w:r>
        <w:rPr>
          <w:rFonts w:cs="Times New Roman" w:asciiTheme="minorEastAsia" w:hAnsiTheme="minorEastAsia"/>
          <w:sz w:val="24"/>
          <w:szCs w:val="24"/>
        </w:rPr>
        <w:t>转基因棉花种子生产经营许可证（式样）</w:t>
      </w:r>
    </w:p>
    <w:p>
      <w:pPr>
        <w:widowControl/>
        <w:spacing w:before="156" w:after="156"/>
        <w:ind w:firstLine="240"/>
        <w:rPr>
          <w:rFonts w:cs="Times New Roman" w:asciiTheme="minorEastAsia" w:hAnsiTheme="minorEastAsia"/>
          <w:sz w:val="24"/>
          <w:szCs w:val="24"/>
        </w:rPr>
      </w:pPr>
      <w:bookmarkStart w:id="1484" w:name="_Toc18315891"/>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widowControl/>
        <w:spacing w:before="156" w:after="156"/>
        <w:ind w:firstLine="240"/>
        <w:rPr>
          <w:rFonts w:cs="Times New Roman" w:asciiTheme="minorEastAsia" w:hAnsiTheme="minorEastAsia"/>
          <w:sz w:val="24"/>
          <w:szCs w:val="24"/>
        </w:rPr>
        <w:sectPr>
          <w:headerReference r:id="rId49" w:type="default"/>
          <w:footerReference r:id="rId51" w:type="default"/>
          <w:headerReference r:id="rId50" w:type="even"/>
          <w:pgSz w:w="12247" w:h="17180"/>
          <w:pgMar w:top="1814" w:right="1701" w:bottom="1701" w:left="1701" w:header="851" w:footer="1134" w:gutter="0"/>
          <w:cols w:space="425" w:num="1"/>
          <w:docGrid w:type="lines" w:linePitch="312" w:charSpace="0"/>
        </w:sectPr>
      </w:pPr>
    </w:p>
    <w:p>
      <w:pPr>
        <w:widowControl/>
        <w:spacing w:before="156" w:after="156"/>
        <w:ind w:firstLine="24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tabs>
          <w:tab w:val="left" w:pos="6946"/>
        </w:tabs>
      </w:pPr>
      <w:bookmarkStart w:id="1485" w:name="_Toc25648306"/>
      <w:bookmarkStart w:id="1486" w:name="_Toc25653807"/>
      <w:bookmarkStart w:id="1487" w:name="_Toc28252293"/>
      <w:r>
        <w:t>十三、农机</w:t>
      </w:r>
      <w:bookmarkEnd w:id="1485"/>
      <w:bookmarkEnd w:id="1486"/>
      <w:bookmarkEnd w:id="1487"/>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488" w:name="_Toc28157084"/>
      <w:bookmarkStart w:id="1489" w:name="_Toc25648307"/>
      <w:bookmarkStart w:id="1490" w:name="_Toc26348062"/>
      <w:bookmarkStart w:id="1491" w:name="_Toc28251012"/>
      <w:bookmarkStart w:id="1492" w:name="_Toc28252294"/>
      <w:bookmarkStart w:id="1493" w:name="_Toc25653808"/>
      <w:r>
        <w:t>中华人民共和国安全生产法</w:t>
      </w:r>
      <w:bookmarkEnd w:id="1484"/>
      <w:bookmarkEnd w:id="1488"/>
      <w:bookmarkEnd w:id="1489"/>
      <w:bookmarkEnd w:id="1490"/>
      <w:bookmarkEnd w:id="1491"/>
      <w:bookmarkEnd w:id="1492"/>
      <w:bookmarkEnd w:id="1493"/>
    </w:p>
    <w:p>
      <w:pPr>
        <w:pStyle w:val="62"/>
      </w:pPr>
      <w:r>
        <w:t>（2002年6月29日主席令第70号公布，根据2009年8月27日主席令第18号第一次修订，根据2014年8月31日主席令第13号第二次修订）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为了加强安全生产工作，防止和减少生产安全事故，保障人民群众生命和财产安全，促进经济社会持续健康发展，制定本法。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安全生产工作应当以人为本，坚持安全发展，坚持安全第一、预防为主、综合治理的方针，强化和落实生产经营单位的主体责任，建立生产经营单位负责、职工参与、政府监管、行业自律和社会监督的机制。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生产经营单位必须遵守本法和其他有关安全生产的法律、法规，加强安全生产管理，建立、健全安全生产责任制和安全生产规章制度，改善安全生产条件，推进安全生产标准化建设，提高安全生产水平，确保安全生产。</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生产经营单位的主要负责人对本单位的安全生产工作全面负责。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生产经营单位的从业人员有依法获得安全生产保障的权利，并应当依法履行安全生产方面的义务。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工会依法对安全生产工作进行监督。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生产经营单位的工会依法组织职工参加本单位安全生产工作的民主管理和民主监督，维护职工在安全生产方面的合法权益。生产经营单位制定或者修改有关安全生产的规章制度，应当听取工会的意见。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国务院和县级以上地方各级人民政府应当根据国民经济和社会发展规划制定安全生产规划，并组织实施。安全生产规划应当与城乡规划相衔接。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国务院安全生产监督管理部门依照本法，对全国安全生产工作实施综合监督管理；县级以上地方各级人民政府安全生产监督管理部门依照本法，对本行政区域内安全生产工作实施综合监督管理。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安全生产监督管理部门和对有关行业、领域的安全生产工作实施监督管理的部门，统称负有安全生产监督管理职责的部门。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国务院有关部门应当按照保障安全生产的要求，依法及时制定有关的国家标准或者行业标准，并根据科技进步和经济发展适时修订。</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生产经营单位必须执行依法制定的保障安全生产的国家标准或者行业标准。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各级人民政府及其有关部门应当采取多种形式，加强对有关安全生产的法律、法规和安全生产知识的宣传，增强全社会的安全生产意识。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有关协会组织依照法律、行政法规和章程，为生产经营单位提供安全生产方面的信息、培训等服务，发挥自律作用，促进生产经营单位加强安全生产管理。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依法设立的为安全生产提供技术、管理服务的机构，依照法律、行政法规和执业准则，接受生产经营单位的委托为其安全生产工作提供技术、管理服务。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生产经营单位委托前款规定的机构提供安全生产技术、管理服务的，保证安全生产的责任仍由本单位负责。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国家实行生产安全事故责任追究制度，依照本法和有关法律、法规的规定，追究生产安全事故责任人员的法律责任。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国家鼓励和支持安全生产科学技术研究和安全生产先进技术的推广应用，提高安全生产水平。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国家对在改善安全生产条件、防止生产安全事故、参加抢险救护等方面取得显著成绩的单位和个人，给予奖励。</w:t>
      </w:r>
    </w:p>
    <w:p>
      <w:pPr>
        <w:pStyle w:val="63"/>
        <w:spacing w:before="218" w:after="218" w:line="412" w:lineRule="exact"/>
        <w:rPr>
          <w:b/>
        </w:rPr>
      </w:pPr>
      <w:r>
        <w:t xml:space="preserve">第二章 </w:t>
      </w:r>
      <w:r>
        <w:rPr>
          <w:rFonts w:hint="eastAsia"/>
        </w:rPr>
        <w:t xml:space="preserve"> </w:t>
      </w:r>
      <w:r>
        <w:t>生产经营单位的安全生产保障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生产经营单位应当具备本法和有关法律、行政法规和国家标准或者行业标准规定的安全生产条件；不具备安全生产条件的，不得从事生产经营活动。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生产经营单位的主要负责人对本单位安全生产工作负有下列职责：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（一）建立、健全本单位安全生产责任制；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（二）组织制定本单位安全生产规章制度和操作规程；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（三）组织制定并实施本单位安全生产教育和培训计划；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（四）保证本单位安全生产投入的有效实施；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（五）督促、检查本单位的安全生产工作，及时消除生产安全事故隐患；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（六）组织制定并实施本单位的生产安全事故应急救援预案；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（七）及时、如实报告生产安全事故。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生产经营单位的安全生产责任制应当明确各岗位的责任人员、责任范围和考核标准等内容。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生产经营单位应当建立相应的机制，加强对安全生产责任制落实情况的监督考核，保证安全生产责任制的落实。</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生产经营单位应当具备的安全生产条件所必需的资金投入，由生产经营单位的决策机构、主要负责人或者个人经营的投资人予以保证，并对由于安全生产所必需的资金投入不足导致的后果承担责任。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矿山、金属冶炼、建筑施工、道路运输单位和危险物品的生产、经营、储存单位，应当设置安全生产管理机构或者配备专职安全生产管理人员。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前款规定以外的其他生产经营单位，从业人员超过一百人的，应当设置安全生产管理机构或者配备专职安全生产管理人员；从业人员在一百人以下的，应当配备专职或者兼职的安全生产管理人员。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生产经营单位的安全生产管理机构以及安全生产管理人员履行下列职责：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（一）组织或者参与拟订本单位安全生产规章制度、操作规程和生产安全事故应急救援预案；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（二）组织或者参与本单位安全生产教育和培训，如实记录安全生产教育和培训情况；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（三）督促落实本单位重大危险源的安全管理措施；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（四）组织或者参与本单位应急救援演练；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（五）检查本单位的安全生产状况，及时排查生产安全事故隐患，提出改进安全生产管理的建议；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（六）制止和纠正违章指挥、强令冒险作业、违反操作规程的行为；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（七）督促落实本单位安全生产整改措施。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生产经营单位的安全生产管理机构以及安全生产管理人员应当恪尽职守，依法履行职责。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生产经营单位作出涉及安全生产的经营决策，应当听取安全生产管理机构以及安全生产管理人员的意见。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生产经营单位不得因安全生产管理人员依法履行职责而降低其工资、福利等待遇或者解除与其订立的劳动合同。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危险物品的生产、储存单位以及矿山、金属冶炼单位的安全生产管理人员的任免，应当告知主管的负有安全生产监督管理职责的部门。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生产经营单位的主要负责人和安全生产管理人员必须具备与本单位所从事的生产经营活动相应的安全生产知识和管理能力。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危险物品的生产、经营、储存单位以及矿山、金属冶炼、建筑施工、道路运输单位的主要负责人和安全生产管理人员，应当由主管的负有安全生产监督管理职责的部门对其安全生产知识和管理能力考核合格。考核不得收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生产经营单位接收中等职业学校、高等学校学生实习的，应当对实习学生进行相应的安全生产教育和培训，提供必要的劳动防护用品。学校应当协助生产经营单位对实习学生进行安全生产教育和培训。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生产经营单位应当建立安全生产教育和培训档案，如实记录安全生产教育和培训的时间、内容、参加人员以及考核结果等情况。</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生产经营单位采用新工艺、新技术、新材料或者使用新设备，必须了解、掌握其安全技术特性，采取有效的安全防护措施，并对从业人员进行专门的安全生产教育和培训。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生产经营单位的特种作业人员必须按照国家有关规定经专门的安全作业培训，取得相应资格，方可上岗作业。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特种作业人员的范围由国务院安全生产监督管理部门会同国务院有关部门确定。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生产经营单位新建、改建、扩建工程项目（以下统称建设项目）的安全设施，必须与主体工程同时设计、同时施工、同时投入生产和使用。安全设施投资应当纳入建设项目概算。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矿山、金属冶炼建设项目和用于生产、储存、装卸危险物品的建设项目，应当按照国家有关规定进行安全评价。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建设项目安全设施的设计人、设计单位应当对安全设施设计负责。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矿山、金属冶炼建设项目和用于生产、储存、装卸危险物品的建设项目的安全设施设计应当按照国家有关规定报经有关部门审查，审查部门及其负责审查的人员对审查结果负责。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矿山、金属冶炼建设项目和用于生产、储存、装卸危险物品的建设项目的施工单位必须按照批准的安全设施设计施工，并对安全设施的工程质量负责。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矿山、金属冶炼建设项目和用于生产、储存危险物品的建设项目竣工投入生产或者使用前，应当由建设单位负责组织对安全设施进行验收；验收合格后，方可投入生产和使用。安全生产监督管理部门应当加强对建设单位验收活动和验收结果的监督核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生产经营单位应当在有较大危险因素的生产经营场所和有关设施、设备上，设置明显的安全警示标志。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安全设备的设计、制造、安装、使用、检测、维修、改造和报废，应当符合国家标准或者行业标准。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生产经营单位必须对安全设备进行经常性维护、保养，并定期检测，保证正常运转。维护、保养、检测应当作好记录，并由有关人员签字。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国家对严重危及生产安全的工艺、设备实行淘汰制度，具体目录由国务院安全生产监督管理部门会同国务院有关部门制定并公布。法律、行政法规对目录的制定另有规定的，适用其规定。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省、自治区、直辖市人民政府可以根据本地区实际情况制定并公布具体目录，对前款规定以外的危及生产安全的工艺、设备予以淘汰。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生产经营单位不得使用应当淘汰的危及生产安全的工艺、设备。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生产、经营、运输、储存、使用危险物品或者处置废弃危险物品的，由有关主管部门依照有关法律、法规的规定和国家标准或者行业标准审批并实施监督管理。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生产经营单位对重大危险源应当登记建档，进行定期检测、评估、监控，并制定应急预案，告知从业人员和相关人员在紧急情况下应当采取的应急措施。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生产经营单位应当按照国家有关规定将本单位重大危险源及有关安全措施、应急措施报有关地方人民政府安全生产监督管理部门和有关部门备案。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生产经营单位应当建立健全生产安全事故隐患排查治理制度，采取技术、管理措施，及时发现并消除事故隐患。事故隐患排查治理情况应当如实记录，并向从业人员通报。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县级以上地方各级人民政府负有安全生产监督管理职责的部门应当建立健全重大事故隐患治理督办制度，督促生产经营单位消除重大事故隐患。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生产、经营、储存、使用危险物品的车间、商店、仓库不得与员工宿舍在同一座建筑物内，并应当与员工宿舍保持安全距离。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生产经营场所和员工宿舍应当设有符合紧急疏散要求、标志明显、保持畅通的出口。禁止锁闭、封堵生产经营场所或者员工宿舍的出口。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生产经营单位进行爆破、吊装以及国务院安全生产监督管理部门会同国务院有关部门规定的其他危险作业，应当安排专门人员进行现场安全管理，确保操作规程的遵守和安全措施的落实。</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生产经营单位应当教育和督促从业人员严格执行本单位的安全生产规章制度和安全操作规程；并向从业人员如实告知作业场所和工作岗位存在的危险因素、防范措施以及事故应急措施。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生产经营单位必须为从业人员提供符合国家标准或者行业标准的劳动防护用品，并监督、教育从业人员按照使用规则佩戴、使用。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生产经营单位应当安排用于配备劳动防护用品、进行安全生产培训的经费。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生产经营单位不得将生产经营项目、场所、设备发包或者出租给不具备安全生产条件或者相应资质的单位或者个人。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生产经营单位发生生产安全事故时，单位的主要负责人应当立即组织抢救，并不得在事故调查处理期间擅离职守。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生产经营单位必须依法参加工伤保险，为从业人员缴纳保险费。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国家鼓励生产经营单位投保安全生产责任保险。</w:t>
      </w:r>
    </w:p>
    <w:p>
      <w:pPr>
        <w:pStyle w:val="63"/>
        <w:spacing w:before="218" w:after="218" w:line="412" w:lineRule="exact"/>
        <w:rPr>
          <w:b/>
        </w:rPr>
      </w:pPr>
      <w:r>
        <w:t xml:space="preserve">第三章 </w:t>
      </w:r>
      <w:r>
        <w:rPr>
          <w:rFonts w:hint="eastAsia"/>
        </w:rPr>
        <w:t xml:space="preserve"> </w:t>
      </w:r>
      <w:r>
        <w:t>从业人员的安全生产权利义务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生产经营单位与从业人员订立的劳动合同，应当载明有关保障从业人员劳动安全、防止职业危害的事项，以及依法为从业人员办理工伤保险的事项。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生产经营单位不得以任何形式与从业人员订立协议，免除或者减轻其对从业人员因生产安全事故伤亡依法应承担的责任。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生产经营单位的从业人员有权了解其作业场所和工作岗位存在的危险因素、防范措施及事故应急措施，有权对本单位的安全生产工作提出建议。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从业人员有权对本单位安全生产工作中存在的问题提出批评、检举、控告；有权拒绝违章指挥和强令冒险作业。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w:t>
      </w:r>
      <w:r>
        <w:rPr>
          <w:rFonts w:asciiTheme="minorEastAsia" w:hAnsiTheme="minorEastAsia" w:eastAsiaTheme="minorEastAsia"/>
          <w:spacing w:val="-4"/>
          <w:sz w:val="24"/>
          <w:szCs w:val="24"/>
        </w:rPr>
        <w:t>经营单位不得因从业人员对本单位安全生产工作提出批评、检举、控告或者拒绝违章指挥、强令冒险作业而降低其工资、福利等待遇或者解除与其订立的劳动合同。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从业人员发现直接危及人身安全的紧急情况时，有权停止作业或者在采取可能的应急措施后撤离作业场所。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生产经营单位不得因从业人员在前款紧急情况下停止作业或者采取紧急撤离措施而降低其工资、福利等待遇或者解除与其订立的劳动合同。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因生产安全事故受到损害的从业人员，除依法享有工伤保险外，依照有关民事法律尚有获得赔偿的权利的，有权向本单位提出赔偿要求。</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从业人员在作业过程中，应当严格遵守本单位的安全生产规章制度和操作规程，服从管理，正确佩戴和使用劳动防护用品。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从业人员应当接受安全生产教育和培训，掌握本职工作所需的安全生产知识，提高安全生产技能，增强事故预防和应急处理能力。</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从业人员发现事故隐患或者其他不安全因素，应当立即向现场安全生产管理人员或者本单位负责人报告；接到报告的人员应当及时予以处理。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工会有权对建设项目的安全设施与主体工程同时设计、同时施工、同时投入生产和使用进行监督，提出意见。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工会有权依法参加事故调查，向有关部门提出处理意见，并要求追究有关人员的责任。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生产经营单位使用被派遣劳动者的，被派遣劳动者享有本法规定的从业人员的权利，并应当履行本法规定的从业人员的义务。</w:t>
      </w:r>
    </w:p>
    <w:p>
      <w:pPr>
        <w:pStyle w:val="63"/>
        <w:spacing w:before="218" w:after="218" w:line="412" w:lineRule="exact"/>
        <w:rPr>
          <w:b/>
        </w:rPr>
      </w:pPr>
      <w:r>
        <w:t>第四章</w:t>
      </w:r>
      <w:r>
        <w:rPr>
          <w:rFonts w:hint="eastAsia"/>
        </w:rPr>
        <w:t xml:space="preserve"> </w:t>
      </w:r>
      <w:r>
        <w:t xml:space="preserve"> 安全生产的监督管理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县级以上地方各级人民政府应当根据本行政区域内的安全生产状况，组织有关部门按照职责分工，对本行政区域内容易发生重大生产安全事故的生产经营单位进行严格检查。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安全生产监督管理部门应当按照分类分级监督管理的要求，制定安全生产年度监督检查计划，并按照年度监督检查计划进行监督检查，发现事故隐患，应当及时处理。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负有安全生产监督管理职责的部门对涉及安全生产的事项进行审查、验收，不得收取费用；不得要求接受审查、验收的单位购买其指定品牌或者指定生产、销售单位的安全设备、器材或者其他产品。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（一）进入生产经营单位进行检查，调阅有关资料，向有关单位和人员了解情况；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（二）对检查中发现的安全生产违法行为，当场予以纠正或者要求限期改正；对依法应当给予行政处罚的行为，依照本法和其他有关法律、行政法规的规定作出行政处罚决定；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监督检查不得影响被检查单位的正常生产经营活动。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生产经营单位对负有安全生产监督管理职责的部门的监督检查人员（以下统称安全生产监督检查人员）依法履行监督检查职责，应当予以配合，不得拒绝、阻挠。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安全生产监督检查人员应当忠于职守，坚持原则，秉公执法。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安全生产监督检查人员执行监督检查任务时，必须出示有效的监督执法证件；对涉及被检查单位的技术秘密和业务秘密，应当为其保密。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监察机关依照行政监察法的规定，对负有安全生产监督管理职责的部门及其工作人员履行安全生产监督管理职责实施监察。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承担安全评价、认证、检测、检验的机构应当具备国家规定的资质条件，并对其作出的安全评价、认证、检测、检验的结果负责。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负有安全生产监督管理职责的部门应当建立举报制度，公开举报电话、信箱或者电子邮件地址，受理有关安全生产的举报；受理的举报事项经调查核实后，应当形成书面材料；需要落实整改措施的，报经有关负责人签字并督促落实。</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任何单位或者个人对事故隐患或者安全生产违法行为，均有权向负有安全生产监督管理职责的部门报告或者举报。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居民委员会、村民委员会发现其所在区域内的生产经营单位存在事故隐患或者安全生产违法行为时，应当向当地人民政府或者有关部门报告。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sz w:val="24"/>
          <w:szCs w:val="24"/>
        </w:rPr>
        <w:t>县级以上各级人民政府及其有关部门对报告重大事故隐患或者举报安全生产违法行为的有功人员，给予奖励。具体奖励办法由国务院安全生产监督管理部门会同国务院财政部门制定。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sz w:val="24"/>
          <w:szCs w:val="24"/>
        </w:rPr>
        <w:t>新闻、出版、广播、电影、电视等单位有进行安全生产公益宣传教育的义务，有对违反安全生产法律、法规的行为进行舆论监督的权利。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sz w:val="24"/>
          <w:szCs w:val="24"/>
        </w:rPr>
        <w:t>负有安全生产监督管理职责的部门应当建立安全生产违法行为信息库，如实记录生产经营单位的安全生产违法行为信息；对违法行为情节严重的生产经营单位，应当向社会公告，并通报行业主管部门、投资主管部门、国土资源主管部门、证券监督管理机构以及有关金融机构。</w:t>
      </w:r>
    </w:p>
    <w:p>
      <w:pPr>
        <w:pStyle w:val="63"/>
        <w:spacing w:before="218" w:after="218" w:line="412" w:lineRule="exact"/>
        <w:rPr>
          <w:b/>
        </w:rPr>
      </w:pPr>
      <w:r>
        <w:t xml:space="preserve">第五章 </w:t>
      </w:r>
      <w:r>
        <w:rPr>
          <w:rFonts w:hint="eastAsia"/>
        </w:rPr>
        <w:t xml:space="preserve"> </w:t>
      </w:r>
      <w:r>
        <w:t>生产安全事故的应急救援与调查处理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sz w:val="24"/>
          <w:szCs w:val="24"/>
        </w:rPr>
        <w:t>国家加强生产安全事故应急能力建设，在重点行业、领域建立应急救援基地和应急救援队伍，鼓励生产经营单位和其他社会力量建立应急救援队伍，配备相应的应急救援装备和物资，提高应急救援的专业化水平。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国务院安全生产监督管理部门建立全国统一的生产安全事故应急救援信息系统，国务院有关部门建立健全相关行业、领域的生产安全事故应急救援信息系统。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第七十七条  </w:t>
      </w:r>
      <w:r>
        <w:rPr>
          <w:rFonts w:asciiTheme="minorEastAsia" w:hAnsiTheme="minorEastAsia" w:eastAsiaTheme="minorEastAsia"/>
          <w:sz w:val="24"/>
          <w:szCs w:val="24"/>
        </w:rPr>
        <w:t>县级以上地方各级人民政府应当组织有关部门制定本行政区域内生产安全事故应急救援预案，建立应急救援体系。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第七十八条  </w:t>
      </w:r>
      <w:r>
        <w:rPr>
          <w:rFonts w:asciiTheme="minorEastAsia" w:hAnsiTheme="minorEastAsia" w:eastAsiaTheme="minorEastAsia"/>
          <w:sz w:val="24"/>
          <w:szCs w:val="24"/>
        </w:rPr>
        <w:t>生产经营单位应当制定本单位生产安全事故应急救援预案，与所在地县级以上地方人民政府组织制定的生产安全事故应急救援预案相衔接，并定期组织演练。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第七十九条  </w:t>
      </w:r>
      <w:r>
        <w:rPr>
          <w:rFonts w:asciiTheme="minorEastAsia" w:hAnsiTheme="minorEastAsia" w:eastAsiaTheme="minorEastAsia"/>
          <w:sz w:val="24"/>
          <w:szCs w:val="24"/>
        </w:rPr>
        <w:t>危险物品的生产、经营、储存单位以及矿山、金属冶炼、城市轨道交通运营、建筑施工单位应当建立应急救援组织；生产经营规模较小的，可以不建立应急救援组织，但应当指定兼职的应急救援人员。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危险物品的生产、经营、储存、运输单位以及矿山、金属冶炼、城市轨道交通运营、建筑施工单位应当配备必要的应急救援器材、设备和物资，并进行经常性维护、保养，保证正常运转。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第八十条  </w:t>
      </w:r>
      <w:r>
        <w:rPr>
          <w:rFonts w:asciiTheme="minorEastAsia" w:hAnsiTheme="minorEastAsia" w:eastAsiaTheme="minorEastAsia"/>
          <w:sz w:val="24"/>
          <w:szCs w:val="24"/>
        </w:rPr>
        <w:t>生产经营单位发生生产安全事故后，事故现场有关人员应当立即报告本单位负责人。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第八十一条  </w:t>
      </w:r>
      <w:r>
        <w:rPr>
          <w:rFonts w:asciiTheme="minorEastAsia" w:hAnsiTheme="minorEastAsia" w:eastAsiaTheme="minorEastAsia"/>
          <w:sz w:val="24"/>
          <w:szCs w:val="24"/>
        </w:rPr>
        <w:t>负有安全生产监督管理职责的部门接到事故报告后，应当立即按照国家有关规定上报事故情况。负有安全生产监督管理职责的部门和有关地方人民政府对事故情况不得隐瞒不报、谎报或者迟报。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第八十二条  </w:t>
      </w:r>
      <w:r>
        <w:rPr>
          <w:rFonts w:asciiTheme="minorEastAsia" w:hAnsiTheme="minorEastAsia" w:eastAsiaTheme="minorEastAsia"/>
          <w:sz w:val="24"/>
          <w:szCs w:val="24"/>
        </w:rPr>
        <w:t>有关地方人民政府和负有安全生产监督管理职责的部门的负责人接到生产安全事故报告后，应当按照生产安全事故应急救援预案的要求立即赶到事故现场，组织事故抢救。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参与事故抢救的部门和单位应当服从统一指挥，加强协同联动，采取有效的应急救援措施，并根据事故救援的需要采取警戒、疏散等措施，防止事故扩大和次生灾害的发生，减少人员伤亡和财产损失。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事故抢救过程中应当采取必要措施，避免或者减少对环境造成的危害。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任何单位和个人都应当支持、配合事故抢救，并提供一切便利条件。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第八十三条  </w:t>
      </w:r>
      <w:r>
        <w:rPr>
          <w:rFonts w:asciiTheme="minorEastAsia" w:hAnsiTheme="minorEastAsia" w:eastAsiaTheme="minorEastAsia"/>
          <w:sz w:val="24"/>
          <w:szCs w:val="24"/>
        </w:rPr>
        <w:t>事故调查处理应当按照科学严谨、依法依规、实事求是、注重实效的原则，及时、准确地查清事故原因，查明事故性质和责任，总结事故教训，提出整改措施，并对事故责任者提出处理意见。事故调查报告应当依法及时向社会公布。事故调查和处理的具体办法由国务院制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事故发生单位应当及时全面落实整改措施，负有安全生产监督管理职责的部门应当加强监督检查。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第八十四条  </w:t>
      </w:r>
      <w:r>
        <w:rPr>
          <w:rFonts w:asciiTheme="minorEastAsia" w:hAnsiTheme="minorEastAsia" w:eastAsiaTheme="minorEastAsia"/>
          <w:sz w:val="24"/>
          <w:szCs w:val="24"/>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八十七条的规定追究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第八十五条  </w:t>
      </w:r>
      <w:r>
        <w:rPr>
          <w:rFonts w:asciiTheme="minorEastAsia" w:hAnsiTheme="minorEastAsia" w:eastAsiaTheme="minorEastAsia"/>
          <w:sz w:val="24"/>
          <w:szCs w:val="24"/>
        </w:rPr>
        <w:t>任何单位和个人不得阻挠和干涉对事故的依法调查处理。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第八十六条  </w:t>
      </w:r>
      <w:r>
        <w:rPr>
          <w:rFonts w:asciiTheme="minorEastAsia" w:hAnsiTheme="minorEastAsia" w:eastAsiaTheme="minorEastAsia"/>
          <w:sz w:val="24"/>
          <w:szCs w:val="24"/>
        </w:rPr>
        <w:t>县级以上地方各级人民政府安全生产监督管理部门应当定期统计分析本行政区域内发生生产安全事故的情况，并定期向社会公布。</w:t>
      </w:r>
    </w:p>
    <w:p>
      <w:pPr>
        <w:pStyle w:val="63"/>
        <w:spacing w:before="218" w:after="218" w:line="412" w:lineRule="exact"/>
        <w:rPr>
          <w:b/>
        </w:rPr>
      </w:pPr>
      <w:r>
        <w:t xml:space="preserve">第六章 </w:t>
      </w:r>
      <w:r>
        <w:rPr>
          <w:rFonts w:hint="eastAsia"/>
        </w:rPr>
        <w:t xml:space="preserve"> </w:t>
      </w:r>
      <w:r>
        <w:t>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第八十七条  </w:t>
      </w:r>
      <w:r>
        <w:rPr>
          <w:rFonts w:asciiTheme="minorEastAsia" w:hAnsiTheme="minorEastAsia" w:eastAsiaTheme="minorEastAsia"/>
          <w:sz w:val="24"/>
          <w:szCs w:val="24"/>
        </w:rPr>
        <w:t>负有安全生产监督管理职责的部门的工作人员，有下列行为之一的，给予降级或者撤职的处分；构成犯罪的，依照刑法有关规定追究刑事责任：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（一）对不符合法定安全生产条件的涉及安全生产的事项予以批准或者验收通过的；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（二）发现未依法取得批准、验收的单位擅自从事有关活动或者接到举报后不予取缔或者不依法予以处理的；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（三）对已经依法取得批准的单位不履行监督管理职责，发现其不再具备安全生产条件而不撤销原批准或者发现安全生产违法行为不予查处的；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（四）在监督检查中发现重大事故隐患，不依法及时处理的。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负有安全生产监督管理职责的部门的工作人员有前款规定以外的滥用职权、玩忽职守、徇私舞弊行为的，依法给予处分；构成犯罪的，依照刑法有关规定追究刑事责任。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第八十八条  </w:t>
      </w:r>
      <w:r>
        <w:rPr>
          <w:rFonts w:asciiTheme="minorEastAsia" w:hAnsiTheme="minorEastAsia" w:eastAsiaTheme="minorEastAsia"/>
          <w:sz w:val="24"/>
          <w:szCs w:val="24"/>
        </w:rPr>
        <w:t>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第八十九条  </w:t>
      </w:r>
      <w:r>
        <w:rPr>
          <w:rFonts w:asciiTheme="minorEastAsia" w:hAnsiTheme="minorEastAsia" w:eastAsiaTheme="minorEastAsia"/>
          <w:sz w:val="24"/>
          <w:szCs w:val="24"/>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对有前款违法行为的机构，吊销其相应资质。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第九十条  </w:t>
      </w:r>
      <w:r>
        <w:rPr>
          <w:rFonts w:asciiTheme="minorEastAsia" w:hAnsiTheme="minorEastAsia" w:eastAsiaTheme="minorEastAsia"/>
          <w:sz w:val="24"/>
          <w:szCs w:val="24"/>
        </w:rPr>
        <w:t>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有前款违法行为，导致发生生产安全事故的，对生产经营单位的主要负责人给予撤职处分，对个人经营的投资人处二万元以上二十万元以下的罚款；构成犯罪的，依照刑法有关规定追究刑事责任。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第九十一条  </w:t>
      </w:r>
      <w:r>
        <w:rPr>
          <w:rFonts w:asciiTheme="minorEastAsia" w:hAnsiTheme="minorEastAsia" w:eastAsiaTheme="minorEastAsia"/>
          <w:sz w:val="24"/>
          <w:szCs w:val="24"/>
        </w:rPr>
        <w:t>生产经营单位的主要负责人未履行本法规定的安全生产管理职责的，责令限期改正；逾期未改正的，处二万元以上五万元以下的罚款，责令生产经营单位停产停业整顿。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生产经营单位的主要负责人有前款违法行为，导致发生生产安全事故的，给予撤职处分；构成犯罪的，依照刑法有关规定追究刑事责任。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第九十二条  </w:t>
      </w:r>
      <w:r>
        <w:rPr>
          <w:rFonts w:asciiTheme="minorEastAsia" w:hAnsiTheme="minorEastAsia" w:eastAsiaTheme="minorEastAsia"/>
          <w:sz w:val="24"/>
          <w:szCs w:val="24"/>
        </w:rPr>
        <w:t>生产经营单位的主要负责人未履行本法规定的安全生产管理职责，导致发生生产安全事故的，由安全生产监督管理部门依照下列规定处以罚款：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（一）发生一般事故的，处上一年年收入百分之三十的罚款；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（二）发生较大事故的，处上一年年收入百分之四十的罚款；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（三）发生重大事故的，处上一年年收入百分之六十的罚款；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（四）发生特别重大事故的，处上一年年收入百分之八十的罚款。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第九十三条  </w:t>
      </w:r>
      <w:r>
        <w:rPr>
          <w:rFonts w:asciiTheme="minorEastAsia" w:hAnsiTheme="minorEastAsia" w:eastAsiaTheme="minorEastAsia"/>
          <w:sz w:val="24"/>
          <w:szCs w:val="24"/>
        </w:rPr>
        <w:t>生产经营单位的安全生产管理人员未履行本法规定的安全生产管理职责的，责令限期改正；导致发生生产安全事故的，暂停或者撤销其与安全生产有关的资格；构成犯罪的，依照刑法有关规定追究刑事责任。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第九十四条  </w:t>
      </w:r>
      <w:r>
        <w:rPr>
          <w:rFonts w:asciiTheme="minorEastAsia" w:hAnsiTheme="minorEastAsia" w:eastAsiaTheme="minorEastAsia"/>
          <w:sz w:val="24"/>
          <w:szCs w:val="24"/>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（一）未按照规定设置安全生产管理机构或者配备安全生产管理人员的；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（二）危险物品的生产、经营、储存单位以及矿山、金属冶炼、建筑施工、道路运输单位的主要负责人和安全生产管理人员未按照规定经考核合格的；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（三）未按照规定对从业人员、被派遣劳动者、实习学生进行安全生产教育和培训，或者未按照规定如实告知有关的安全生产事项的；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（四）未如实记录安全生产教育和培训情况的；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（五）未将事故隐患排查治理情况如实记录或者未向从业人员通报的；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（六）未按照规定制定生产安全事故应急救援预案或者未定期组织演练的；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（七）特种作业人员未按照规定经专门的安全作业培训并取得相应资格，上岗作业的。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第九十五条  </w:t>
      </w:r>
      <w:r>
        <w:rPr>
          <w:rFonts w:asciiTheme="minorEastAsia" w:hAnsiTheme="minorEastAsia" w:eastAsiaTheme="minorEastAsia"/>
          <w:sz w:val="24"/>
          <w:szCs w:val="24"/>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（一）未按照规定对矿山、金属冶炼建设项目或者用于生产、储存、装卸危险物品的建设项目进行安全评价的；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（二）矿山、金属冶炼建设项目或者用于生产、储存、装卸危险物品的建设项目没有安全设施设计或者安全设施设计未按照规定报经有关部门审查同意的；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（三）矿山、金属冶炼建设项目或者用于生产、储存、装卸危险物品的建设项目的施工单位未按照批准的安全设施设计施工的；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（四）矿山、金属冶炼建设项目或者用于生产、储存危险物品的建设项目竣工投入生产或者使用前，安全设施未经验收合格的。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第九十六条  </w:t>
      </w:r>
      <w:r>
        <w:rPr>
          <w:rFonts w:asciiTheme="minorEastAsia" w:hAnsiTheme="minorEastAsia" w:eastAsiaTheme="minorEastAsia"/>
          <w:sz w:val="24"/>
          <w:szCs w:val="24"/>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（一）未在有较大危险因素的生产经营场所和有关设施、设备上设置明显的安全警示标志的；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（二）安全设备的安装、使用、检测、改造和报废不符合国家标准或者行业标准的；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（三）未对安全设备进行经常性维护、保养和定期检测的；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（四）未为从业人员提供符合国家标准或者行业标准的劳动防护用品的；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（五）危险物品的容器、运输工具，以及涉及人身安全、危险性较大的海洋石油开采特种设备和矿山井下特种设备未经具有专业资质的机构检测、检验合格，取得安全使用证或者安全标志，投入使用的；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（六）使用应当淘汰的危及生产安全的工艺、设备的。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第九十七条  </w:t>
      </w:r>
      <w:r>
        <w:rPr>
          <w:rFonts w:asciiTheme="minorEastAsia" w:hAnsiTheme="minorEastAsia" w:eastAsiaTheme="minorEastAsia"/>
          <w:sz w:val="24"/>
          <w:szCs w:val="24"/>
        </w:rPr>
        <w:t>未经依法批准，擅自生产、经营、运输、储存、使用危险物品或者处置废弃危险物品的，依照有关危险物品安全管理的法律、行政法规的规定予以处罚；构成犯罪的，依照刑法有关规定追究刑事责任。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第九十八条  </w:t>
      </w:r>
      <w:r>
        <w:rPr>
          <w:rFonts w:asciiTheme="minorEastAsia" w:hAnsiTheme="minorEastAsia" w:eastAsiaTheme="minorEastAsia"/>
          <w:sz w:val="24"/>
          <w:szCs w:val="24"/>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（一）生产、经营、运输、储存、使用危险物品或者处置废弃危险物品，未建立专门安全管理制度、未采取可靠的安全措施的；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（二）对重大危险源未登记建档，或者未进行评估、监控，或者未制定应急预案的；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（三）进行爆破、吊装以及国务院安全生产监督管理部门会同国务院有关部门规定的其他危险作业，未安排专门人员进行现场安全管理的；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（四）未建立事故隐患排查治理制度的。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第九十九条  </w:t>
      </w:r>
      <w:r>
        <w:rPr>
          <w:rFonts w:asciiTheme="minorEastAsia" w:hAnsiTheme="minorEastAsia" w:eastAsiaTheme="minorEastAsia"/>
          <w:sz w:val="24"/>
          <w:szCs w:val="24"/>
        </w:rPr>
        <w:t>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第一百条  </w:t>
      </w:r>
      <w:r>
        <w:rPr>
          <w:rFonts w:asciiTheme="minorEastAsia" w:hAnsiTheme="minorEastAsia" w:eastAsiaTheme="minorEastAsia"/>
          <w:sz w:val="24"/>
          <w:szCs w:val="24"/>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第一百零一条  </w:t>
      </w:r>
      <w:r>
        <w:rPr>
          <w:rFonts w:asciiTheme="minorEastAsia" w:hAnsiTheme="minorEastAsia" w:eastAsiaTheme="minorEastAsia"/>
          <w:sz w:val="24"/>
          <w:szCs w:val="24"/>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第一百零二条  </w:t>
      </w:r>
      <w:r>
        <w:rPr>
          <w:rFonts w:asciiTheme="minorEastAsia" w:hAnsiTheme="minorEastAsia" w:eastAsiaTheme="minorEastAsia"/>
          <w:sz w:val="24"/>
          <w:szCs w:val="24"/>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（一）生产、经营、储存、使用危险物品的车间、商店、仓库与员工宿舍在同一座建筑内，或者与员工宿舍的距离不符合安全要求的；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（二）生产经营场所和员工宿舍未设有符合紧急疏散需要、标志明显、保持畅通的出口，或者锁闭、封堵生产经营场所或者员工宿舍出口的。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第一百零三条  </w:t>
      </w:r>
      <w:r>
        <w:rPr>
          <w:rFonts w:asciiTheme="minorEastAsia" w:hAnsiTheme="minorEastAsia" w:eastAsiaTheme="minorEastAsia"/>
          <w:sz w:val="24"/>
          <w:szCs w:val="24"/>
        </w:rPr>
        <w:t>生产经营单位与从业人员订立协议，免除或者减轻其对从业人员因生产安全事故伤亡依法应承担的责任的，该协议无效；对生产经营单位的主要负责人、个人经营的投资人处二万元以上十万元以下的罚款。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第一百零四条  </w:t>
      </w:r>
      <w:r>
        <w:rPr>
          <w:rFonts w:asciiTheme="minorEastAsia" w:hAnsiTheme="minorEastAsia" w:eastAsiaTheme="minorEastAsia"/>
          <w:sz w:val="24"/>
          <w:szCs w:val="24"/>
        </w:rPr>
        <w:t>生产经营单位的从业人员不服从管理，违反安全生产规章制度或者操作规程的，由生产经营单位给予批评教育，依照有关规章制度给予处分；构成犯罪的，依照刑法有关规定追究刑事责任。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第一百零五条  </w:t>
      </w:r>
      <w:r>
        <w:rPr>
          <w:rFonts w:asciiTheme="minorEastAsia" w:hAnsiTheme="minorEastAsia" w:eastAsiaTheme="minorEastAsia"/>
          <w:sz w:val="24"/>
          <w:szCs w:val="24"/>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第一百零六条  </w:t>
      </w:r>
      <w:r>
        <w:rPr>
          <w:rFonts w:asciiTheme="minorEastAsia" w:hAnsiTheme="minorEastAsia" w:eastAsiaTheme="minorEastAsia"/>
          <w:sz w:val="24"/>
          <w:szCs w:val="24"/>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生产经营单位的主要负责人对生产安全事故隐瞒不报、谎报或者迟报的，依照前款规定处罚。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第一百零七条  </w:t>
      </w:r>
      <w:r>
        <w:rPr>
          <w:rFonts w:asciiTheme="minorEastAsia" w:hAnsiTheme="minorEastAsia" w:eastAsiaTheme="minorEastAsia"/>
          <w:sz w:val="24"/>
          <w:szCs w:val="24"/>
        </w:rPr>
        <w:t>有关地方人民政府、负有安全生产监督管理职责的部门，对生产安全事故隐瞒不报、谎报或者迟报的，对直接负责的主管人员和其他直接责任人员依法给予处分；构成犯罪的，依照刑法有关规定追究刑事责任。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第一百零八条  </w:t>
      </w:r>
      <w:r>
        <w:rPr>
          <w:rFonts w:asciiTheme="minorEastAsia" w:hAnsiTheme="minorEastAsia" w:eastAsiaTheme="minorEastAsia"/>
          <w:sz w:val="24"/>
          <w:szCs w:val="24"/>
        </w:rPr>
        <w:t>生产经营单位不具备本法和其他有关法律、行政法规和国家标准或者行业标准规定的安全生产条件，经停产停业整顿仍不具备安全生产条件的，予以关闭；有关部门应当依法吊销其有关证照。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第一百零九条  </w:t>
      </w:r>
      <w:r>
        <w:rPr>
          <w:rFonts w:asciiTheme="minorEastAsia" w:hAnsiTheme="minorEastAsia" w:eastAsiaTheme="minorEastAsia"/>
          <w:sz w:val="24"/>
          <w:szCs w:val="24"/>
        </w:rPr>
        <w:t>发生生产安全事故，对负有责任的生产经营单位除要求其依法承担相应的赔偿等责任外，由安全生产监督管理部门依照下列规定处以罚款: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（一）发生一般事故的，处二十万元以上五十万元以下的罚款；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（二）发生较大事故的，处五十万元以上一百万元以下的罚款；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（三）发生重大事故的，处一百万元以上五百万元以下的罚款；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（四）发生特别重大事故的，处五百万元以上一千万元以下的罚款；情节特别严重的，处一千万元以上二千万元以下的罚款。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第一百一十条  </w:t>
      </w:r>
      <w:r>
        <w:rPr>
          <w:rFonts w:asciiTheme="minorEastAsia" w:hAnsiTheme="minorEastAsia" w:eastAsiaTheme="minorEastAsia"/>
          <w:sz w:val="24"/>
          <w:szCs w:val="24"/>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第一百一十一条  </w:t>
      </w:r>
      <w:r>
        <w:rPr>
          <w:rFonts w:asciiTheme="minorEastAsia" w:hAnsiTheme="minorEastAsia" w:eastAsiaTheme="minorEastAsia"/>
          <w:sz w:val="24"/>
          <w:szCs w:val="24"/>
        </w:rPr>
        <w:t>生产经营单位发生生产安全事故造成人员伤亡、他人财产损失的，应当依法承担赔偿责任；拒不承担或者其负责人逃匿的，由人民法院依法强制执行。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生产安全事故的责任人未依法承担赔偿责任，经人民法院依法采取执行措施后，仍不能对受害人给予足额赔偿的，应当继续履行赔偿义务；受害人发现责任人有其他财产的，可以随时请求人民法院执行。</w:t>
      </w:r>
    </w:p>
    <w:p>
      <w:pPr>
        <w:pStyle w:val="63"/>
        <w:spacing w:before="218" w:after="218" w:line="412" w:lineRule="exact"/>
        <w:rPr>
          <w:b/>
        </w:rPr>
      </w:pPr>
      <w:r>
        <w:t xml:space="preserve">第七章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第一百一十二条  </w:t>
      </w:r>
      <w:r>
        <w:rPr>
          <w:rFonts w:asciiTheme="minorEastAsia" w:hAnsiTheme="minorEastAsia" w:eastAsiaTheme="minorEastAsia"/>
          <w:sz w:val="24"/>
          <w:szCs w:val="24"/>
        </w:rPr>
        <w:t>本法下列用语的含义：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危险物品，是指易燃易爆物品、危险化学品、放射性物品等能够危及人身安全和财产安全的物品。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重大危险源，是指长期地或者临时地生产、搬运、使用或者储存危险物品，且危险物品的数量等于或者超过临界量的单元（包括场所和设施）。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第一百一十三条  </w:t>
      </w:r>
      <w:r>
        <w:rPr>
          <w:rFonts w:asciiTheme="minorEastAsia" w:hAnsiTheme="minorEastAsia" w:eastAsiaTheme="minorEastAsia"/>
          <w:sz w:val="24"/>
          <w:szCs w:val="24"/>
        </w:rPr>
        <w:t>本法规定的生产安全一般事故、较大事故、重大事故、特别重大事故的划分标准由国务院规定。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国务院安全生产监督管理部门和其他负有安全生产监督管理职责的部门应当根据各自的职责分工，制定相关行业、领域重大事故隐患的判定标准。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第一百一十四条  </w:t>
      </w:r>
      <w:r>
        <w:rPr>
          <w:rFonts w:asciiTheme="minorEastAsia" w:hAnsiTheme="minorEastAsia" w:eastAsiaTheme="minorEastAsia"/>
          <w:sz w:val="24"/>
          <w:szCs w:val="24"/>
        </w:rPr>
        <w:t>本法自2014年12月1日起施行。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494" w:name="_Toc28252295"/>
      <w:bookmarkStart w:id="1495" w:name="_Toc20959"/>
      <w:bookmarkStart w:id="1496" w:name="_Toc28251013"/>
      <w:bookmarkStart w:id="1497" w:name="_Toc25648308"/>
      <w:bookmarkStart w:id="1498" w:name="_Toc28157085"/>
      <w:bookmarkStart w:id="1499" w:name="_Toc25653809"/>
      <w:bookmarkStart w:id="1500" w:name="_Toc26348063"/>
      <w:bookmarkStart w:id="1501" w:name="_Toc18315892"/>
      <w:r>
        <w:t>中华人民共和国道路交通安全法</w:t>
      </w:r>
      <w:bookmarkEnd w:id="1494"/>
      <w:bookmarkEnd w:id="1495"/>
      <w:bookmarkEnd w:id="1496"/>
      <w:bookmarkEnd w:id="1497"/>
      <w:bookmarkEnd w:id="1498"/>
      <w:bookmarkEnd w:id="1499"/>
      <w:bookmarkEnd w:id="1500"/>
      <w:bookmarkEnd w:id="1501"/>
    </w:p>
    <w:p>
      <w:pPr>
        <w:pStyle w:val="62"/>
      </w:pPr>
      <w:r>
        <w:t>（</w:t>
      </w:r>
      <w:bookmarkStart w:id="1502" w:name="OLE_LINK152"/>
      <w:r>
        <w:t>2003年10月28日中华人民共和国主席令第8号公布，根据2007年12月29日第十届全国人民代表大会常务委员会第三十一次会议《关于修改〈中华人民共和国道路交通安全法〉的决定》第一次修订，根据2011年4月22日第十一届全国人民代表大会常务委员会第二十次会议《关于修改〈中华人民共和国道路交通安全法〉的决定》第二次</w:t>
      </w:r>
      <w:bookmarkEnd w:id="1502"/>
      <w:r>
        <w:t>修订）</w:t>
      </w:r>
    </w:p>
    <w:p>
      <w:pPr>
        <w:pStyle w:val="63"/>
        <w:spacing w:before="218" w:after="218" w:line="412" w:lineRule="exact"/>
        <w:rPr>
          <w:b/>
        </w:rPr>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为了维护道路交通秩序，预防和减少交通事故，保护人身安全，保护公民、法人和其他组织的财产安全及其他合法权益，提高通行效率，制定本法。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中华人民共和国境内的车辆驾驶人、行人、乘车人以及与道路交通活动有关的单位和个人，都应当遵守本法。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道路交通安全工作，应当遵循依法管理、方便群众的原则，保障道路交通有序、安全、畅通。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各级人民政府应当保障道路交通安全管理工作与经济建设和社会发展相适应。</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县级以上地方各级人民政府应当适应道路交通发展的需要，依据道路交通安全法律、法规和国家有关政策，制定道路交通安全管理规划，并组织实施。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国务院公安部门负责全国道路交通安全管理工作。县级以上地方各级人民政府公安机关交通管理部门负责本行政区域内的道路交通安全管理工作。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县级以上各级人民政府交通、建设管理部门依据各自职责，负责有关的道路交通工作。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各级人民政府应当经常进行道路交通安全教育，提高公民的道路交通安全意识。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公安机关交通管理部门及其交通警察执行职务时，应当加强道路交通安全法律、法规的宣传，并模范遵守道路交通安全法律、法规。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机关、部队、企业事业单位、社会团体以及其他组织，应当对本单位的人员进行道路交通安全教育。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教育行政部门、学校应当将道路交通安全教育纳入法制教育的内容。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新闻、出版、广播、电视等有关单位，有进行道路交通安全教育的义务。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对道路交通安全管理工作，应当加强科学研究，推广、使用先进的管理方法、技术、设备。</w:t>
      </w:r>
    </w:p>
    <w:p>
      <w:pPr>
        <w:pStyle w:val="63"/>
        <w:spacing w:before="218" w:after="218" w:line="412" w:lineRule="exact"/>
      </w:pPr>
      <w:r>
        <w:t>第二章  车辆和驾驶人</w:t>
      </w:r>
    </w:p>
    <w:p>
      <w:pPr>
        <w:pStyle w:val="64"/>
        <w:spacing w:before="156" w:after="156"/>
      </w:pPr>
      <w:r>
        <w:t>第一节  机动车、非机动车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国家对机动车实行登记制度。机动车经公安机关交通管理部门登记后，方可上道路行驶。尚未登记的机动车，需要临时上道路行驶的，应当取得临时通行牌证。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申请机动车登记，应当提交以下证明、凭证: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（一）机动车所有人的身份证明；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（二）机动车来历证明；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（三）机动车整车出厂合格证明或者进口机动车进口凭证；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（四）车辆购置税的完税证明或者免税凭证；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（五）法律、行政法规规定应当在机动车登记时提交的其他证明、凭证。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交通管理部门应当自受理申请之日起五个工作日内完成机动车登记审查工作，对符合前款规定条件的，应当发放机动车登记证书、号牌和行驶证；对不符合前款规定条件的，应当向申请人说明不予登记的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公安机关交通管理部门以外的任何单位或者个人不得发放机动车号牌或者要求机动车悬挂其他号牌，本法另有规定的除外。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机动车登记证书、号牌、行驶证的式样由国务院公安部门规定并监制。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准予登记的机动车应当符合机动车国家安全技术标准。申请机动车登记时，应当接受对该机动车的安全技术检验。但是，经国家机动车产品主管部门依据机动车国家安全技术标准认定的企业生产的机动车型，该车型的新车在出厂时经检验符合机动车国家安全技术标准，获得检验合格证的，免予安全技术检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驾驶机动车上道路行驶，应当悬挂机动车号牌，放置检验合格标志、保险标志，并随车携带机动车行驶证。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机动车号牌应当按照规定悬挂并保持清晰、完整，不得故意遮挡、污损。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任何单位和个人不得收缴、扣留机动车号牌。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有下列情形之一的，应当办理相应的登记: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（一）机动车所有权发生转移的；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（二）机动车登记内容变更的；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（三）机动车用作抵押的；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（四）机动车报废的。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对机动车的安全技术检验实行社会化。具体办法由国务院规定。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机动车安全技术检验实行社会化的地方，任何单位不得要求机动车到指定的场所进行检验。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公安机关交通管理部门、机动车安全技术检验机构不得要求机动车到指定的场所进行维修、保养。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机动车安全技术检验机构对机动车检验收取费用，应当严格执行国务院价格主管部门核定的收费标准。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国家实行机动车强制报废制度，根据机动车的安全技术状况和不同用途，规定不同的报废标准。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应当报废的机动车必须及时办理注销登记。</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达到报废标准的机动车不得上道路行驶。报废的大型客、货车及其他营运车辆应当在公安机关交通管理部门的监督下解体。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警车、消防车、救护车、工程救险车应当按照规定喷涂标志图案，安装警报器、标志灯具。其他机动车不得喷涂、安装、使用上述车辆专用的或者与其相类似的标志图案、警报器或者标志灯具。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警车、消防车、救护车、工程救险车应当严格按照规定的用途和条件使用。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公路监督检查的专用车辆，应当依照公路法的规定，设置统一的标志和示警灯。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任何单位或者个人不得有下列行为: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（一）拼装机动车或者擅自改变机动车已登记的结构、构造或者特征；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（二）改变机动车型号、发动机号、车架号或者车辆识别代号；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（三）伪造、变造或者使用伪造、变造的机动车登记证书、号牌、行驶证、检验合格标志、保险标志；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（四）使用其他机动车的登记证书、号牌、行驶证、检验合格标志、保险标志。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国家实行机动车第三者责任强制保险制度，设立道路交通事故社会救助基金。具体办法由国务院规定。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依法应当登记的非机动车，经公安机关交通管理部门登记后，方可上道路行驶。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依法应当登记的非机动车的种类，由省、自治区、直辖市人民政府根据当地实际情况规定。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非机动车的外形尺寸、质量、制动器、车铃和夜间反光装置，应当符合非机动车安全技术标准。</w:t>
      </w:r>
    </w:p>
    <w:p>
      <w:pPr>
        <w:pStyle w:val="64"/>
        <w:spacing w:before="156" w:after="156"/>
      </w:pPr>
      <w:r>
        <w:t>第二节  机动车驾驶人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驾驶机动车，应当依法取得机动车驾驶证。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申请机动车驾驶证，应当符合国务院公安部门规定的驾驶许可条件；经考试合格后，由公安机关交通管理部门发给相应类别的机动车驾驶证。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持有境外机动车驾驶证的人，符合国务院公安部门规定的驾驶许可条件，经公安机关交通管理部门考核合格的，可以发给中国的机动车驾驶证。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驾驶人应当按照驾驶证载明的准驾车型驾驶机动车；驾驶机动车时，应当随身携带机动车驾驶证。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公安机关交通管理部门以外的任何单位或者个人，不得收缴、扣留机动车驾驶证。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机动车的驾驶培训实行社会化，由交通主管部门对驾驶培训学校、驾驶培训班实行资格管理，其中专门的拖拉机驾驶培训学校、驾驶培训班由农业（农业机械）主管部门实行资格管理。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驾驶培训学校、驾驶培训班应当严格按照国家有关规定，对学员进行道路交通安全法律、法规、驾驶技能的培训，确保培训质量。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任何国家机关以及驾驶培训和考试主管部门不得举办或者参与举办驾驶培训学校、驾驶培训班。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驾驶人驾驶机动车上道路行驶前，应当对机动车的安全技术性能进行认真检查；不得驾驶安全设施不全或者机件不符合技术标准等具有安全隐患的机动车。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机动车驾驶人应当遵守道路交通安全法律、法规的规定，按照操作规范安全驾驶、文明驾驶。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饮酒、服用国家管制的精神药品或者麻醉药品，或者患有妨碍安全驾驶机动车的疾病，或者过度疲劳影响安全驾驶的，不得驾驶机动车。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任何人不得强迫、指使、纵容驾驶人违反道路交通安全法律、法规和机动车安全驾驶要求驾驶机动车。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公安机关交通管理部门依照法律、行政法规的规定，定期对机动车驾驶证实施审验。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公安机关交通管理部门对机动车驾驶人违反道路交通安全法律、法规的行为，除依法给予行政处罚外，实行累积记分制度。公安机关交通管理部门对累积记分达到规定分值的机动车驾驶人，扣留机动车驾驶证，对其进行道路交通安全法律、法规教育，重新考试；考试合格的，发还其机动车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对遵守道路交通安全法律、法规，在一年内无累积记分的机动车驾驶人，可以延长机动车驾驶证的审验期。具体办法由国务院公安部门规定。</w:t>
      </w:r>
    </w:p>
    <w:p>
      <w:pPr>
        <w:pStyle w:val="63"/>
        <w:spacing w:before="218" w:after="218" w:line="412" w:lineRule="exact"/>
        <w:rPr>
          <w:b/>
        </w:rPr>
      </w:pPr>
      <w:r>
        <w:t>第三章  道路通行条件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全国实行统一的道路交通信号。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交通信号包括交通信号灯、交通标志、交通标线和交通警察的指挥。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交通信号灯、交通标志、交通标线的设置应当符合道路交通安全、畅通的要求和国家标准，并保持清晰、醒目、准确、完好。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根据通行需要，应当及时增设、调换、更新道路交通信号。增设、调换、更新限制性的道路交通信号，应当提前向社会公告，广泛进行宣传。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交通信号灯由红灯、绿灯、黄灯组成。红灯表示禁止通行，绿灯表示准许通行，黄灯表示警示。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铁路与道路平面交叉的道口，应当设置警示灯、警示标志或者安全防护设施。无人看守的铁路道口，应当在距道口一定距离处设置警示标志。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任何单位和个人不得擅自设置、移动、占用、损毁交通信号灯、交通标志、交通标线。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道路两侧及隔离带上种植的树木或者其他植物，设置的广告牌、管线等，应当与交通设施保持必要的距离，不得遮挡路灯、交通信号灯、交通标志，不得妨碍安全视距，不得影响通行。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道路、停车场和道路配套设施的规划、设计、建设，应当符合道路交通安全、畅通的要求，并根据交通需求及时调整。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交通管理部门发现已经投入使用的道路存在交通事故频发路段，或者停车场、道路配套设施存在交通安全严重隐患的，应当及时向当地人民政府报告，并提出防范交通事故、消除隐患的建议，当地人民政府应当及时作出处理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道路出现坍塌、坑漕、水毁、隆起等损毁或者交通信号灯、交通标志、交通标线等交通设施损毁、灭失的，道路、交通设施的养护部门或者管理部门应当设置警示标志并及时修复。</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公安机关交通管理部门发现前款情形，危及交通安全，尚未设置警示标志的，应当及时采取安全措施，疏导交通，并通知道路、交通设施的养护部门或者管理部门。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未经许可，任何单位和个人不得占用道路从事非交通活动。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因工程建设需要占用、挖掘道路，或者跨越、穿越道路架设、增设管线设施，应当事先征得道路主管部门的同意；影响交通安全的，还应当征得公安机关交通管理部门的同意。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对未中断交通的施工作业道路，公安机关交通管理部门应当加强交通安全监督检查，维护道路交通秩序。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新建、改建、扩建的公共建筑、商业街区、居住区、大（中）型建筑等，应当配建、增建停车场；停车泊位不足的，应当及时改建或者扩建；投入使用的停车场不得擅自停止使用或者改作他用。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在城市道路范围内，在不影响行人、车辆通行的情况下，政府有关部门可以施划停车泊位。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学校、幼儿园、医院、养老院门前的道路没有行人过街设施的，应当施划人行横道线，设置提示标志。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城市主要道路的人行道，应当按照规划设置盲道。盲道的设置应当符合国家标准。</w:t>
      </w:r>
    </w:p>
    <w:p>
      <w:pPr>
        <w:pStyle w:val="63"/>
        <w:spacing w:before="218" w:after="218" w:line="412" w:lineRule="exact"/>
      </w:pPr>
      <w:r>
        <w:t>第四章  道路通行规定</w:t>
      </w:r>
    </w:p>
    <w:p>
      <w:pPr>
        <w:pStyle w:val="64"/>
        <w:spacing w:before="156" w:after="156"/>
      </w:pPr>
      <w:r>
        <w:t>第一节  一般规定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机动车、非机动车实行右侧通行。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根据道路条件和通行需要，道路划分为机动车道、非机动车道和人行道的，机动车、非机动车、行人实行分道通行。没有划分机动车道、非机动车道和人行道的，机动车在道路中间通行，非机动车和行人在道路两侧通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道路划设专用车道的，在专用车道内，只准许规定的车辆通行，其他车辆不得进入专用车道内行驶。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车辆、行人应当按照交通信号通行；遇有交通警察现场指挥时，应当按照交通警察的指挥通行；在没有交通信号的道路上，应当在确保安全、畅通的原则下通行。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遇有自然灾害、恶劣气象条件或者重大交通事故等严重影响交通安全的情形，采取其他措施难以保证交通安全时，公安机关交通管理部门可以实行交通管制。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有关道路通行的其他具体规定，由国务院规定。</w:t>
      </w:r>
    </w:p>
    <w:p>
      <w:pPr>
        <w:pStyle w:val="64"/>
        <w:spacing w:before="156" w:after="156"/>
      </w:pPr>
      <w:r>
        <w:t>第二节  机动车通行规定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机动车上道路行驶，不得超过限速标志标明的最高时速。在没有限速标志的路段，应当保持安全车速。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夜间行驶或者在容易发生危险的路段行驶，以及遇有沙尘、冰雹、雨、雪、雾、结冰等气象条件时，应当降低行驶速度。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同车道行驶的机动车，后车应当与前车保持足以采取紧急制动措施的安全距离。有下列情形之一的，不得超车: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（一）前车正在左转弯、掉头、超车的；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（二）与对面来车有会车可能的；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（三）前车为执行紧急任务的警车、消防车、救护车、工程救险车的；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（四）行经铁路道口、交叉路口、窄桥、弯道、陡坡、隧道、人行横道、市区交通流量大的路段等没有超车条件的。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机动车通过交叉路口，应当按照交通信号灯、交通标志、交通标线或者交通警察的指挥通过；通过没有交通信号灯、交通标志、交通标线或者交通警察指挥的交叉路口时，应当减速慢行，并让行人和优先通行的车辆先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机动车遇有前方车辆停车排队等候或者缓慢行驶时，不得借道超车或者占用对面车道，不得穿插等候的车辆。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在车道减少的路段、路口，或者在没有交通信号灯、交通标志、交通标线或者交通警察指挥的交叉路口遇到停车排队等候或者缓慢行驶时，机动车应当依次交替通行。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机动车通过铁路道口时，应当按照交通信号或者管理人员的指挥通行；没有交通信号或者管理人员的，应当减速或者停车，在确认安全后通过。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机动车行经人行横道时，应当减速行驶；遇行人正在通过人行横道，应当停车让行。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机动车行经没有交通信号的道路时，遇行人横过道路，应当避让。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机动车载物应当符合核定的载质量，严禁超载；载物的长、宽、高不得违反装载要求，不得遗洒、飘散载运物。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机动车运载超限的不可解体的物品，影响交通安全的，应当按照公安机关交通管理部门指定的时间、路线、速度行驶，悬挂明显标志。在公路上运载超限的不可解体的物品，并应当依照公路法的规定执行。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机动车载运爆炸物品、易燃易爆化学物品以及剧毒、放射性等危险物品，应当经公安机关批准后，按指定的时间、路线、速度行驶，悬挂警示标志并采取必要的安全措施。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机动车载人不得超过核定的人数，客运机动车不得违反规定载货。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禁止货运机动车载客。</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货运机动车需要附载作业人员的，应当设置保护作业人员的安全措施。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机动车行驶时，驾驶人、乘坐人员应当按规定使用安全带，摩托车驾驶人及乘坐人员应当按规定戴安全头盔。</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机动车在道路上发生故障，需要停车排除故障时，驾驶人应当立即开启危险报警闪光灯，将机动车移至不妨碍交通的地方停放；难以移动的，应当持续开启危险报警闪光灯，并在来车方向设置警告标志等措施扩大示警距离，必要时迅速报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警车、消防车、救护车、工程救险车执行紧急任务时，可以使用警报器、标志灯具；在确保安全的前提下，不受行驶路线、行驶方向、行驶速度和信号灯的限制，其他车辆和行人应当让行。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警车、消防车、救护车、工程救险车非执行紧急任务时，不得使用警报器、标志灯具，不享有前款规定的道路优先通行权。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道路养护车辆、工程作业车进行作业时，在不影响过往车辆通行的前提下，其行驶路线和方向不受交通标志、标线限制，过往车辆和人员应当注意避让。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洒水车、清扫车等机动车应当按照安全作业标准作业；在不影响其他车辆通行的情况下，可以不受车辆分道行驶的限制，但是不得逆向行驶。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高速公路、大中城市中心城区内的道路，禁止拖拉机通行。其他禁止拖拉机通行的道路，由省、自治区、直辖市人民政府根据当地实际情况规定。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在允许拖拉机通行的道路上，拖拉机可以从事货运，但是不得用于载人。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机动车应当在规定地点停放。禁止在人行道上停放机动车；但是，依照本法第三十三条规定施划的停车泊位除外。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在道路上临时停车的，不得妨碍其他车辆和行人通行。</w:t>
      </w:r>
    </w:p>
    <w:p>
      <w:pPr>
        <w:pStyle w:val="64"/>
        <w:spacing w:before="156" w:after="156"/>
      </w:pPr>
      <w:r>
        <w:t>第三节  非机动车通行规定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驾驶非机动车在道路上行驶应当遵守有关交通安全的规定。非机动车应当在非机动车道内行驶；在没有非机动车道的道路上，应当靠车行道的右侧行驶。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残疾人机动轮椅车、电动自行车在非机动车道内行驶时，最高时速不得超过十五公里。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非机动车应当在规定地点停放。未设停放地点的，非机动车停放不得妨碍其他车辆和行人通行。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驾驭畜力车，应当使用驯服的牲畜；驾驭畜力车横过道路时，驾驭人应当下车牵引牲畜；驾驭人离开车辆时，应当拴系牲畜。</w:t>
      </w:r>
    </w:p>
    <w:p>
      <w:pPr>
        <w:pStyle w:val="64"/>
        <w:spacing w:before="156" w:after="156"/>
      </w:pPr>
      <w:r>
        <w:t>第四节  行人和乘车人通行规定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行人应当在人行道内行走，没有人行道的靠路边行走。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行人通过路口或者横过道路，应当走人行横道或者过街设施；通过有交通信号灯的人行横道，应当按照交通信号灯指示通行；通过没有交通信号灯、人行横道的路口，或者在没有过街设施的路段横过道路，应当在确认安全后通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行人不得跨越、倚坐道路隔离设施，不得扒车、强行拦车或者实施妨碍道路交通安全的其他行为。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学龄前儿童以及不能辨认或者不能控制自己行为的精神疾病患者、智力障碍者在道路上通行，应当由其监护人、监护人委托的人或者对其负有管理、保护职责的人带领。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盲人在道路上通行，应当使用盲杖或者采取其他导盲手段，车辆应当避让盲人。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行人通过铁路道口时，应当按照交通信号或者管理人员的指挥通行；没有交通信号和管理人员的，应当在确认无火车驶临后，迅速通过。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乘车人不得携带易燃易爆等危险物品，不得向车外抛洒物品，不得有影响驾驶人安全驾驶的行为。</w:t>
      </w:r>
    </w:p>
    <w:p>
      <w:pPr>
        <w:pStyle w:val="64"/>
        <w:spacing w:before="156" w:after="156"/>
      </w:pPr>
      <w:r>
        <w:t>第五节  高速公路的特别规定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行人、非机动车、拖拉机、轮式专用机械车、铰接式客车、全挂拖斗车以及其他设计最高时速低于七十公里的机动车，不得进入高速公路。高速公路限速标志标明的最高时速不得超过一百二十公里。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机动车在高速公路上发生故障时，应当依照本法第五十二条的有关规定办理；但是，警告标志应当设置在故障车来车方向一百五十米以外，车上人员应当迅速转移到右侧路肩上或者应急车道内，并且迅速报警。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机动车在高速公路上发生故障或者交通事故，无法正常行驶的，应当由救援车、清障车拖曳、牵引。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任何单位、个人不得在高速公路上拦截检查行驶的车辆，公安机关的人民警察依法执行紧急公务除外。</w:t>
      </w:r>
    </w:p>
    <w:p>
      <w:pPr>
        <w:pStyle w:val="63"/>
        <w:spacing w:before="218" w:after="218" w:line="412" w:lineRule="exact"/>
        <w:rPr>
          <w:b/>
        </w:rPr>
      </w:pPr>
      <w:r>
        <w:t>第五章  交通事故处理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在道路上发生交通事故，车辆驾驶人应当立即停车，保护现场；造成人身伤亡的，车辆驾驶人应当立即抢救受伤人员，并迅速报告执勤的交通警察或者公安机关交通管理部门。因抢救受伤人员变动现场的，应当标明位置。乘车人、过往车辆驾驶人、过往行人应当予以协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在道路上发生交通事故，未造成人身伤亡，当事人对事实及成因无争议的，可以即行撤离现场，恢复交通，自行协商处理损害赔偿事宜；不即行撤离现场的，应当迅速报告执勤的交通警察或者公安机关交通管理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在道路上发生交通事故，仅造成轻微财产损失，并且基本事实清楚的，当事人应当先撤离现场再进行协商处理。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车辆发生交通事故后逃逸的，事故现场目击人员和其他知情人员应当向公安机关交通管理部门或者交通警察举报。举报属实的，公安机关交通管理部门应当给予奖励。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公安机关交通管理部门接到交通事故报警后，应当立即派交通警察赶赴现场，先组织抢救受伤人员，并采取措施，尽快恢复交通。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交通警察应当对交通事故现场进行勘验、检查，收集证据；因收集证据的需要，可以扣留事故车辆，但是应当妥善保管，以备核查。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对当事人的生理、精神状况等专业性较强的检验，公安机关交通管理部门应当委托专门机构进行鉴定。鉴定结论应当由鉴定人签名。</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sz w:val="24"/>
          <w:szCs w:val="24"/>
        </w:rPr>
        <w:t>公安机关交通管理部门应当根据交通事故现场勘验、检查、调查情况和有关的检验、鉴定结论，及时制作交通事故认定书，作为处理交通事故的证据。交通事故认定书应当载明交通事故的基本事实、成因和当事人的责任，并送达当事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sz w:val="24"/>
          <w:szCs w:val="24"/>
        </w:rPr>
        <w:t>对交通事故损害赔偿的争议，当事人可以请求公安机关交通管理部门调解，也可以直接向人民法院提起民事诉讼。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经公安机关交通管理部门调解，当事人未达成协议或者调解书生效后不履行的，当事人可以向人民法院提起民事诉讼。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sz w:val="24"/>
          <w:szCs w:val="24"/>
        </w:rPr>
        <w:t>医疗机构对交通事故中的受伤人员应当及时抢救，不得因抢救费用未及时支付而拖延救治。肇事车辆参加机动车第三者责任强制保险的，由保险公司在责任限额范围内支付抢救费用；抢救费用超过责任限额的，未参加机动车第三者责任强制保险或者肇事后逃逸的，由道路交通事故社会救助基金先行垫付部分或者全部抢救费用，道路交通事故社会救助基金管理机构有权向交通事故责任人追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sz w:val="24"/>
          <w:szCs w:val="24"/>
        </w:rPr>
        <w:t>机动车发生交通事故造成人身伤亡、财产损失的，由保险公司在机动车第三者责任强制保险责任限额范围内予以赔偿；不足的部分，按照下列规定承担赔偿责任: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（一）机动车之间发生交通事故的，由有过错的一方承担赔偿责任；双方都有过错的，按照各自过错的比例分担责任。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机动车与非机动车驾驶人、行人之间发生交通事故，非机动车驾驶人、行人没有过错的，由机动车一方承担赔偿责任；有证据证明非机动车驾驶人、行人有过错的，根据过错程度适当减轻机动车一方的赔偿责任；机动车一方没有过错的，承担不超过百分之十的赔偿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交通事故的损失是由非机动车驾驶人、行人故意碰撞机动车造成的，机动车一方不承担赔偿责任。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第七十七条  </w:t>
      </w:r>
      <w:r>
        <w:rPr>
          <w:rFonts w:asciiTheme="minorEastAsia" w:hAnsiTheme="minorEastAsia" w:eastAsiaTheme="minorEastAsia"/>
          <w:sz w:val="24"/>
          <w:szCs w:val="24"/>
        </w:rPr>
        <w:t>车辆在道路以外通行时发生的事故，公安机关交通管理部门接到报案的，参照本法有关规定办理。</w:t>
      </w:r>
    </w:p>
    <w:p>
      <w:pPr>
        <w:pStyle w:val="63"/>
        <w:spacing w:before="218" w:after="218" w:line="412" w:lineRule="exact"/>
        <w:rPr>
          <w:b/>
        </w:rPr>
      </w:pPr>
      <w:r>
        <w:t>第六章  执法监督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第七十八条  </w:t>
      </w:r>
      <w:r>
        <w:rPr>
          <w:rFonts w:asciiTheme="minorEastAsia" w:hAnsiTheme="minorEastAsia" w:eastAsiaTheme="minorEastAsia"/>
          <w:sz w:val="24"/>
          <w:szCs w:val="24"/>
        </w:rPr>
        <w:t>公安机关交通管理部门应当加强对交通警察的管理，提高交通警察的素质和管理道路交通的水平。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公安机关交通管理部门应当对交通警察进行法制和交通安全管理业务培训、考核。交通警察经考核不合格的，不得上岗执行职务。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第七十九条  </w:t>
      </w:r>
      <w:r>
        <w:rPr>
          <w:rFonts w:asciiTheme="minorEastAsia" w:hAnsiTheme="minorEastAsia" w:eastAsiaTheme="minorEastAsia"/>
          <w:sz w:val="24"/>
          <w:szCs w:val="24"/>
        </w:rPr>
        <w:t>公安机关交通管理部门及其交通警察实施道路交通安全管理，应当依据法定的职权和程序，简化办事手续，做到公正、严格、文明、高效。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第八十条  </w:t>
      </w:r>
      <w:r>
        <w:rPr>
          <w:rFonts w:asciiTheme="minorEastAsia" w:hAnsiTheme="minorEastAsia" w:eastAsiaTheme="minorEastAsia"/>
          <w:sz w:val="24"/>
          <w:szCs w:val="24"/>
        </w:rPr>
        <w:t>交通警察执行职务时，应当按照规定着装，佩带人民警察标志，持有人民警察证件，保持警容严整，举止端庄，指挥规范。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第八十一条  </w:t>
      </w:r>
      <w:r>
        <w:rPr>
          <w:rFonts w:asciiTheme="minorEastAsia" w:hAnsiTheme="minorEastAsia" w:eastAsiaTheme="minorEastAsia"/>
          <w:sz w:val="24"/>
          <w:szCs w:val="24"/>
        </w:rPr>
        <w:t>依照本法发放牌证等收取工本费，应当严格执行国务院价格主管部门核定的收费标准，并全部上缴国库。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第八十二条  </w:t>
      </w:r>
      <w:r>
        <w:rPr>
          <w:rFonts w:asciiTheme="minorEastAsia" w:hAnsiTheme="minorEastAsia" w:eastAsiaTheme="minorEastAsia"/>
          <w:sz w:val="24"/>
          <w:szCs w:val="24"/>
        </w:rPr>
        <w:t>公安机关交通管理部门依法实施罚款的行政处罚，应当依照有关法律、行政法规的规定，实施罚款决定与罚款收缴分离；收缴的罚款以及依法没收的违法所得，应当全部上缴国库。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第八十三条  </w:t>
      </w:r>
      <w:r>
        <w:rPr>
          <w:rFonts w:asciiTheme="minorEastAsia" w:hAnsiTheme="minorEastAsia" w:eastAsiaTheme="minorEastAsia"/>
          <w:sz w:val="24"/>
          <w:szCs w:val="24"/>
        </w:rPr>
        <w:t>交通警察调查处理道路交通安全违法行为和交通事故，有下列情形之一的，应当回避: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（一）是本案的当事人或者当事人的近亲属；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（二）本人或者其近亲属与本案有利害关系；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（三）与本案当事人有其他关系，可能影响案件的公正处理。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第八十四条  </w:t>
      </w:r>
      <w:r>
        <w:rPr>
          <w:rFonts w:asciiTheme="minorEastAsia" w:hAnsiTheme="minorEastAsia" w:eastAsiaTheme="minorEastAsia"/>
          <w:sz w:val="24"/>
          <w:szCs w:val="24"/>
        </w:rPr>
        <w:t>公安机关交通管理部门及其交通警察的行政执法活动，应当接受行政监察机关依法实施的监督。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公安机关督察部门应当对公安机关交通管理部门及其交通警察执行法律、法规和遵守纪律的情况依法进行监督。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上级公安机关交通管理部门应当对下级公安机关交通管理部门的执法活动进行监督。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第八十五条  </w:t>
      </w:r>
      <w:r>
        <w:rPr>
          <w:rFonts w:asciiTheme="minorEastAsia" w:hAnsiTheme="minorEastAsia" w:eastAsiaTheme="minorEastAsia"/>
          <w:sz w:val="24"/>
          <w:szCs w:val="24"/>
        </w:rPr>
        <w:t>公安机关交通管理部门及其交通警察执行职务，应当自觉接受社会和公民的监督。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任何单位和个人都有权对公安机关交通管理部门及其交通警察不严格执法以及违法违纪行为进行检举、控告。收到检举、控告的机关，应当依据职责及时查处。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第八十六条  </w:t>
      </w:r>
      <w:r>
        <w:rPr>
          <w:rFonts w:asciiTheme="minorEastAsia" w:hAnsiTheme="minorEastAsia" w:eastAsiaTheme="minorEastAsia"/>
          <w:sz w:val="24"/>
          <w:szCs w:val="24"/>
        </w:rPr>
        <w:t>任何单位不得给公安机关交通管理部门下达或者变相下达罚款指标；公安机关交通管理部门不得以罚款数额作为考核交通警察的标准。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公安机关交通管理部门及其交通警察对超越法律、法规规定的指令，有权拒绝执行，并同时向上级机关报告。</w:t>
      </w:r>
    </w:p>
    <w:p>
      <w:pPr>
        <w:pStyle w:val="63"/>
        <w:spacing w:before="218" w:after="218" w:line="412" w:lineRule="exact"/>
        <w:rPr>
          <w:b/>
        </w:rPr>
      </w:pPr>
      <w:r>
        <w:t>第七章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第八十七条  </w:t>
      </w:r>
      <w:r>
        <w:rPr>
          <w:rFonts w:asciiTheme="minorEastAsia" w:hAnsiTheme="minorEastAsia" w:eastAsiaTheme="minorEastAsia"/>
          <w:sz w:val="24"/>
          <w:szCs w:val="24"/>
        </w:rPr>
        <w:t>公安机关交通管理部门及其交通警察对道路交通安全违法行为，应当及时纠正。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公安机关交通管理部门及其交通警察应当依据事实和本法的有关规定对道路交通安全违法行为予以处罚。对于情节轻微，未影响道路通行的，指出违法行为，给予口头警告后放行。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第八十八条  </w:t>
      </w:r>
      <w:r>
        <w:rPr>
          <w:rFonts w:asciiTheme="minorEastAsia" w:hAnsiTheme="minorEastAsia" w:eastAsiaTheme="minorEastAsia"/>
          <w:sz w:val="24"/>
          <w:szCs w:val="24"/>
        </w:rPr>
        <w:t>对道路交通安全违法行为的处罚种类包括:警告、罚款、暂扣或者吊销机动车驾驶证、拘留。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第八十九条  </w:t>
      </w:r>
      <w:r>
        <w:rPr>
          <w:rFonts w:asciiTheme="minorEastAsia" w:hAnsiTheme="minorEastAsia" w:eastAsiaTheme="minorEastAsia"/>
          <w:sz w:val="24"/>
          <w:szCs w:val="24"/>
        </w:rPr>
        <w:t>行人、乘车人、非机动车驾驶人违反道路交通安全法律、法规关于道路通行规定的，处警告或者五元以上五十元以下罚款；非机动车驾驶人拒绝接受罚款处罚的，可以扣留其非机动车。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第九十条  </w:t>
      </w:r>
      <w:r>
        <w:rPr>
          <w:rFonts w:asciiTheme="minorEastAsia" w:hAnsiTheme="minorEastAsia" w:eastAsiaTheme="minorEastAsia"/>
          <w:sz w:val="24"/>
          <w:szCs w:val="24"/>
        </w:rPr>
        <w:t>机动车驾驶人违反道路交通安全法律、法规关于道路通行规定的，处警告或者二十元以上二百元以下罚款。本法另有规定的，依照规定处罚。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第九十一条  </w:t>
      </w:r>
      <w:r>
        <w:rPr>
          <w:rFonts w:asciiTheme="minorEastAsia" w:hAnsiTheme="minorEastAsia" w:eastAsiaTheme="minorEastAsia"/>
          <w:sz w:val="24"/>
          <w:szCs w:val="24"/>
        </w:rPr>
        <w:t>饮酒后驾驶机动车的，处暂扣六个月机动车驾驶证，并处一千元以上二千元以下罚款。因饮酒后驾驶机动车被处罚，再次饮酒后驾驶机动车的，处十日以下拘留，并处一千元以上二千元以下罚款，吊销机动车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醉酒驾驶机动车的，由公安机关交通管理部门约束至酒醒，吊销机动车驾驶证，依法追究刑事责任；五年内不得重新取得机动车驾驶证。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饮酒后驾驶营运机动车的，处十五日拘留，并处五千元罚款，吊销机动车驾驶证，五年内不得重新取得机动车驾驶证。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醉酒驾驶营运机动车的，由公安机关交通管理部门约束至酒醒，吊销机动车驾驶证，依法追究刑事责任；十年内不得重新取得机动车驾驶证，重新取得机动车驾驶证后，不得驾驶营运机动车。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饮酒后或者醉酒驾驶机动车发生重大交通事故，构成犯罪的，依法追究刑事责任，并由公安机关交通管理部门吊销机动车驾驶证，终生不得重新取得机动车驾驶证。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第九十二条  </w:t>
      </w:r>
      <w:r>
        <w:rPr>
          <w:rFonts w:asciiTheme="minorEastAsia" w:hAnsiTheme="minorEastAsia" w:eastAsiaTheme="minorEastAsia"/>
          <w:sz w:val="24"/>
          <w:szCs w:val="24"/>
        </w:rPr>
        <w:t>公路客运车辆载客超过额定乘员的，处二百元以上五百元以下罚款；超过额定乘员百分之二十或者违反规定载货的，处五百元以上二千元以下罚款。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货运机动车超过核定载质量的，处二百元以上五百元以下罚款；超过核定载质量百分之三十或者违反规定载客的，处五百元以上二千元以下罚款。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有前两款行为的，由公安机关交通管理部门扣留机动车至违法状态消除。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运输单位的车辆有本条第一款、第二款规定的情形，经处罚不改的，对直接负责的主管人员处二千元以上五千元以下罚款。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第九十三条  </w:t>
      </w:r>
      <w:r>
        <w:rPr>
          <w:rFonts w:asciiTheme="minorEastAsia" w:hAnsiTheme="minorEastAsia" w:eastAsiaTheme="minorEastAsia"/>
          <w:sz w:val="24"/>
          <w:szCs w:val="24"/>
        </w:rPr>
        <w:t>对违反道路交通安全法律、法规关于机动车停放、临时停车规定的，可以指出违法行为，并予以口头警告，令其立即驶离。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机动车驾驶人不在现场或者虽在现场但拒绝立即驶离，妨碍其他车辆、行人通行的，处二十元以上二百元以下罚款，并可以将该机动车拖移至不妨碍交通的地点或者公安机关交通管理部门指定的地点停放。公安机关交通管理部门拖车不得向当事人收取费用，并应当及时告知当事人停放地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因采取不正确的方法拖车造成机动车损坏的，应当依法承担补偿责任。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第九十四条  </w:t>
      </w:r>
      <w:r>
        <w:rPr>
          <w:rFonts w:asciiTheme="minorEastAsia" w:hAnsiTheme="minorEastAsia" w:eastAsiaTheme="minorEastAsia"/>
          <w:sz w:val="24"/>
          <w:szCs w:val="24"/>
        </w:rPr>
        <w:t>机动车安全技术检验机构实施机动车安全技术检验超过国务院价格主管部门核定的收费标准收取费用的，退还多收取的费用，并由价格主管部门依照《中华人民共和国价格法》的有关规定给予处罚。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机动车安全技术检验机构不按照机动车国家安全技术标准进行检验，出具虚假检验结果的，由公安机关交通管理部门处所收检验费用五倍以上十倍以下罚款，并依法撤销其检验资格；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第九十五条  </w:t>
      </w:r>
      <w:r>
        <w:rPr>
          <w:rFonts w:asciiTheme="minorEastAsia" w:hAnsiTheme="minorEastAsia" w:eastAsiaTheme="minorEastAsia"/>
          <w:sz w:val="24"/>
          <w:szCs w:val="24"/>
        </w:rPr>
        <w:t>上道路行驶的机动车未悬挂机动车号牌，未放置检验合格标志、保险标志，或者未随</w:t>
      </w:r>
      <w:r>
        <w:rPr>
          <w:rFonts w:asciiTheme="minorEastAsia" w:hAnsiTheme="minorEastAsia" w:eastAsiaTheme="minorEastAsia"/>
          <w:spacing w:val="-4"/>
          <w:sz w:val="24"/>
          <w:szCs w:val="24"/>
        </w:rPr>
        <w:t>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故意遮挡、污损或者不按规定安装机动车号牌的，依照本法第九十条的规定予以处罚。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第九十六条  </w:t>
      </w:r>
      <w:r>
        <w:rPr>
          <w:rFonts w:asciiTheme="minorEastAsia" w:hAnsiTheme="minorEastAsia" w:eastAsiaTheme="minorEastAsia"/>
          <w:sz w:val="24"/>
          <w:szCs w:val="24"/>
        </w:rPr>
        <w:t>伪造、变造或者使用伪造、变造的机动车登记证书、号牌、行驶证、驾驶证的，由公安机关交通管理部门予以收缴，扣留该机动车，处十五日以下拘留，并处二千元以上五千元以下罚款；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伪造、变造或者使用伪造、变造的检验合格标志、保险标志的，由公安机关交通管理部门予以收缴，扣留该机动车，处十日以下拘留，并处一千元以上三千元以下罚款；构成犯罪的，依法追究刑事责任。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使用其他车辆的机动车登记证书、号牌、行驶证、检验合格标志、保险标志的，由公安机关交通管理部门予以收缴，扣留该机动车，处二千元以上五千元以下罚款。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当事人提供相应的合法证明或者补办相应手续的，应当及时退还机动车。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第九十七条  </w:t>
      </w:r>
      <w:r>
        <w:rPr>
          <w:rFonts w:asciiTheme="minorEastAsia" w:hAnsiTheme="minorEastAsia" w:eastAsiaTheme="minorEastAsia"/>
          <w:sz w:val="24"/>
          <w:szCs w:val="24"/>
        </w:rPr>
        <w:t>非法安装警报器、标志灯具的，由公安机关交通管理部门强制拆除，予以收缴，并处二百元以上二千元以下罚款。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第九十八条  </w:t>
      </w:r>
      <w:r>
        <w:rPr>
          <w:rFonts w:asciiTheme="minorEastAsia" w:hAnsiTheme="minorEastAsia" w:eastAsiaTheme="minorEastAsia"/>
          <w:sz w:val="24"/>
          <w:szCs w:val="24"/>
        </w:rPr>
        <w:t>机动车所有人、管理人未按照国家规定投保机动车第三者责任强制保险的，由公安机关交通管理部门扣留车辆至依照规定投保后，并处依照规定投保最低责任限额应缴纳的保险费的二倍罚款。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依照前款缴纳的罚款全部纳入道路交通事故社会救助基金。具体办法由国务院规定。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第九十九条  </w:t>
      </w:r>
      <w:r>
        <w:rPr>
          <w:rFonts w:asciiTheme="minorEastAsia" w:hAnsiTheme="minorEastAsia" w:eastAsiaTheme="minorEastAsia"/>
          <w:sz w:val="24"/>
          <w:szCs w:val="24"/>
        </w:rPr>
        <w:t>有下列行为之一的，由公安机关交通管理部门处二百元以上二千元以下罚款: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（一）未取得机动车驾驶证、机动车驾驶证被吊销或者机动车驾驶证被暂扣期间驾驶机动车的；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（二）将机动车交由未取得机动车驾驶证或者机动车驾驶证被吊销、暂扣的人驾驶的；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（三）造成交通事故后逃逸，尚不构成犯罪的；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（四）机动车行驶超过规定时速百分之五十的；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（五）强迫机动车驾驶人违反道路交通安全法律、法规和机动车安全驾驶要求驾驶机动车，造成交通事故，尚不构成犯罪的；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（六）违反交通管制的规定强行通行，不听劝阻的；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（七）故意损毁、移动、涂改交通设施，造成危害后果，尚不构成犯罪的；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（八）非法拦截、扣留机动车辆，不听劝阻，造成交通严重阻塞或者较大财产损失的。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行为人有前款第二项、第四项情形之一的，可以并处吊销机动车驾驶证；有第一项、第三项、第五项至第八项情形之一的，可以并处十五日以下拘留。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第一百条  </w:t>
      </w:r>
      <w:r>
        <w:rPr>
          <w:rFonts w:asciiTheme="minorEastAsia" w:hAnsiTheme="minorEastAsia" w:eastAsiaTheme="minorEastAsia"/>
          <w:sz w:val="24"/>
          <w:szCs w:val="24"/>
        </w:rPr>
        <w:t>驾驶拼装的机动车或者已达到报废标准的机动车上道路行驶的，公安机关交通管理部门应当予以收缴，强制报废。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对驾驶前款所列机动车上道路行驶的驾驶人，处二百元以上二千元以下罚款，并吊销机动车驾驶证。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出售已达到报废标准的机动车的，没收违法所得，处销售金额等额的罚款，对该机动车依照本条第一款的规定处理。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第一百零一条  </w:t>
      </w:r>
      <w:r>
        <w:rPr>
          <w:rFonts w:asciiTheme="minorEastAsia" w:hAnsiTheme="minorEastAsia" w:eastAsiaTheme="minorEastAsia"/>
          <w:sz w:val="24"/>
          <w:szCs w:val="24"/>
        </w:rPr>
        <w:t>违反道路交通安全法律、法规的规定，发生重大交通事故，构成犯罪的，依法追究刑事责任，并由公安机关交通管理部门吊销机动车驾驶证。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造成交通事故后逃逸的，由公安机关交通管理部门吊销机动车驾驶证，且终生不得重新取得机动车驾驶证。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第一百零二条  </w:t>
      </w:r>
      <w:r>
        <w:rPr>
          <w:rFonts w:asciiTheme="minorEastAsia" w:hAnsiTheme="minorEastAsia" w:eastAsiaTheme="minorEastAsia"/>
          <w:sz w:val="24"/>
          <w:szCs w:val="24"/>
        </w:rPr>
        <w:t>对六个月内发生二次以上特大交通事故负有主要责任或者全部责任的专业运输单位，由公安机关交通管理部门责令消除安全隐患，未消除安全隐患的机动车，禁止上道路行驶。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第一百零三条  </w:t>
      </w:r>
      <w:r>
        <w:rPr>
          <w:rFonts w:asciiTheme="minorEastAsia" w:hAnsiTheme="minorEastAsia" w:eastAsiaTheme="minorEastAsia"/>
          <w:sz w:val="24"/>
          <w:szCs w:val="24"/>
        </w:rPr>
        <w:t>国家机动车产品主管部门未按照机动车国家安全技术标准严格审查，许可不合格机动车型投入生产的，对负有责任的主管人员和其他直接责任人员给予降级或者撤职的行政处分。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机动车生产企业经国家机动车产品主管部门许可生产的机动车型，不执行机动车国家安全技术标准或者不严格进行机动车成品质量检验，致使质量不合格的机动车出厂销售的，由质量技术监督部门依照《中华人民共和国产品质量法》的有关规定给予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生产、销售拼装的机动车或者生产、销售擅自改装的机动车的，依照本条第三款的规定处罚。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有本条第二款、第三款、第四款所列违法行为，生产或者销售不符合机动车国家安全技术标准的机动车，构成犯罪的，依法追究刑事责任。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第一百零四条  </w:t>
      </w:r>
      <w:r>
        <w:rPr>
          <w:rFonts w:asciiTheme="minorEastAsia" w:hAnsiTheme="minorEastAsia" w:eastAsiaTheme="minorEastAsia"/>
          <w:sz w:val="24"/>
          <w:szCs w:val="24"/>
        </w:rPr>
        <w:t>未经批准，擅自挖掘道路、占用道路施工或者从事其他影响道路交通安全活动的，由道路主管部门责令停止违法行为，并恢复原状，可以依法给予罚款；致使通行的人员、车辆及其他财产遭受损失的，依法承担赔偿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有前款行为，影响道路交通安全活动的，公安机关交通管理部门可以责令停止违法行为，迅速恢复交通。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第一百零五条  </w:t>
      </w:r>
      <w:r>
        <w:rPr>
          <w:rFonts w:asciiTheme="minorEastAsia" w:hAnsiTheme="minorEastAsia" w:eastAsiaTheme="minorEastAsia"/>
          <w:sz w:val="24"/>
          <w:szCs w:val="24"/>
        </w:rPr>
        <w:t>道路施工作业或者道路出现损毁，未及时设置警示标志、未采取防护措施，或者应当设置交通信号灯、交通标志、交通标线而没有设置或者应当及时变更交通信号灯、交通标志、交通标线而没有及时变更，致使通行的人员、车辆及其他财产遭受损失的，负有相关职责的单位应当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第一百零六条  </w:t>
      </w:r>
      <w:r>
        <w:rPr>
          <w:rFonts w:asciiTheme="minorEastAsia" w:hAnsiTheme="minorEastAsia" w:eastAsiaTheme="minorEastAsia"/>
          <w:sz w:val="24"/>
          <w:szCs w:val="24"/>
        </w:rPr>
        <w:t>在道路两侧及隔离带上种植树木、其他植物或者设置广告牌、管线等，遮挡路灯、交通信号灯、交通标志，妨碍安全视距的，由公安机关交通管理部门责令行为人排除妨碍；拒不执行的，处二百元以上二千元以下罚款，并强制排除妨碍，所需费用由行为人负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第一百零七条  </w:t>
      </w:r>
      <w:r>
        <w:rPr>
          <w:rFonts w:asciiTheme="minorEastAsia" w:hAnsiTheme="minorEastAsia" w:eastAsiaTheme="minorEastAsia"/>
          <w:sz w:val="24"/>
          <w:szCs w:val="24"/>
        </w:rPr>
        <w:t>对道路交通违法行为人予以警告、二百元以下罚款，交通警察可以当场作出行政处罚决定，并出具行政处罚决定书。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行政处罚决定书应当载明当事人的违法事实、行政处罚的依据、处罚内容、时间、地点以及处罚机关名称，并由执法人员签名或者盖章。</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第一百零八条  </w:t>
      </w:r>
      <w:r>
        <w:rPr>
          <w:rFonts w:asciiTheme="minorEastAsia" w:hAnsiTheme="minorEastAsia" w:eastAsiaTheme="minorEastAsia"/>
          <w:sz w:val="24"/>
          <w:szCs w:val="24"/>
        </w:rPr>
        <w:t>当事人应当自收到罚款的行政处罚决定书之日起十五日内，到指定的银行缴纳罚款。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对行人、乘车人和非机动车驾驶人的罚款，当事人无异议的，可以当场予以收缴罚款。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罚款应当开具省、自治区、直辖市财政部门统一制发的罚款收据；不出具财政部门统一制发的罚款收据的，当事人有权拒绝缴纳罚款。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第一百零九条  </w:t>
      </w:r>
      <w:r>
        <w:rPr>
          <w:rFonts w:asciiTheme="minorEastAsia" w:hAnsiTheme="minorEastAsia" w:eastAsiaTheme="minorEastAsia"/>
          <w:sz w:val="24"/>
          <w:szCs w:val="24"/>
        </w:rPr>
        <w:t>当事人逾期不履行行政处罚决定的，作出行政处罚决定的行政机关可以采取下列措施: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（一）到期不缴纳罚款的，每日按罚款数额的百分之三加处罚款；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（二）申请人民法院强制执行。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第一百一十条  </w:t>
      </w:r>
      <w:r>
        <w:rPr>
          <w:rFonts w:asciiTheme="minorEastAsia" w:hAnsiTheme="minorEastAsia" w:eastAsiaTheme="minorEastAsia"/>
          <w:sz w:val="24"/>
          <w:szCs w:val="24"/>
        </w:rPr>
        <w:t>执行职务的交通警察认为应当对道路交通违法行为人给予暂扣或者吊销机动车驾驶证处罚的，可以先予扣留机动车驾驶证，并在二十四小时内将案件移交公安机关交通管理部门处理。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道路交通违法行为人应当在十五日内到公安机关交通管理部门接受处理。无正当理由逾期未接受处理的，吊销机动车驾驶证。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公安机关交通管理部门暂扣或者吊销机动车驾驶证的，应当出具行政处罚决定书。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第一百一十一条  </w:t>
      </w:r>
      <w:r>
        <w:rPr>
          <w:rFonts w:asciiTheme="minorEastAsia" w:hAnsiTheme="minorEastAsia" w:eastAsiaTheme="minorEastAsia"/>
          <w:sz w:val="24"/>
          <w:szCs w:val="24"/>
        </w:rPr>
        <w:t>对违反本法规定予以拘留的行政处罚，由县、市公安局、公安分局或者相当于县一级的公安机关裁决。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第一百一十二条  </w:t>
      </w:r>
      <w:r>
        <w:rPr>
          <w:rFonts w:asciiTheme="minorEastAsia" w:hAnsiTheme="minorEastAsia" w:eastAsiaTheme="minorEastAsia"/>
          <w:sz w:val="24"/>
          <w:szCs w:val="24"/>
        </w:rPr>
        <w:t>公安机关交通管理部门扣留机动车、非机动车，应当当场出具凭证，并告知当事人在规定期限内到公安机关交通管理部门接受处理。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公安机关交通管理部门对被扣留的车辆应当妥善保管，不得使用。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逾期不来接受处理，并且经公告三个月仍不来接受处理的，对扣留的车辆依法处理。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第一百一十三条  </w:t>
      </w:r>
      <w:r>
        <w:rPr>
          <w:rFonts w:asciiTheme="minorEastAsia" w:hAnsiTheme="minorEastAsia" w:eastAsiaTheme="minorEastAsia"/>
          <w:sz w:val="24"/>
          <w:szCs w:val="24"/>
        </w:rPr>
        <w:t>暂扣机动车驾驶证的期限从处罚决定生效之日起计算；处罚决定生效前先予扣留机动车驾驶证的，扣留一日折抵暂扣期限一日。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吊销机动车驾驶证后重新申请领取机动车驾驶证的期限，按照机动车驾驶证管理规定办理。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第一百一十四条  </w:t>
      </w:r>
      <w:r>
        <w:rPr>
          <w:rFonts w:asciiTheme="minorEastAsia" w:hAnsiTheme="minorEastAsia" w:eastAsiaTheme="minorEastAsia"/>
          <w:sz w:val="24"/>
          <w:szCs w:val="24"/>
        </w:rPr>
        <w:t>公安机关交通管理部门根据交通技术监控记录资料，可以对违法的机动车所有人或者管理人依法予以处罚。对能够确定驾驶人的，可以依照本法的规定依法予以处罚。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第一百一十五条  </w:t>
      </w:r>
      <w:r>
        <w:rPr>
          <w:rFonts w:asciiTheme="minorEastAsia" w:hAnsiTheme="minorEastAsia" w:eastAsiaTheme="minorEastAsia"/>
          <w:sz w:val="24"/>
          <w:szCs w:val="24"/>
        </w:rPr>
        <w:t>交通警察有下列行为之一的，依法给予行政处分: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（一）为不符合法定条件的机动车发放机动车登记证书、号牌、行驶证、检验合格标志的；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（二）批准不符合法定条件的机动车安装、使用警车、消防车、救护车、工程救险车的警报器、标志灯具，喷涂标志图案的；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（三）为不符合驾驶许可条件、未经考试或者考试不合格人员发放机动车驾驶证的；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（四）不执行罚款决定与罚款收缴分离制度或者不按规定将依法收取的费用、收缴的罚款及没收的违法所得全部上缴国库的；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（五）举办或者参与举办驾驶学校或者驾驶培训班、机动车修理厂或者收费停车场等经营活动的；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（六）利用职务上的便利收受他人财物或者谋取其他利益的；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（七）违法扣留车辆、机动车行驶证、驾驶证、车辆号牌的；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（八）使用依法扣留的车辆的；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（九）当场收取罚款不开具罚款收据或者不如实填写罚款额的；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（十）徇私舞弊，不公正处理交通事故的；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（十一）故意刁难，拖延办理机动车牌证的；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（十二）非执行紧急任务时使用警报器、标志灯具的；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（十三）违反规定拦截、检查正常行驶的车辆的；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（十四）非执行紧急公务时拦截搭乘机动车的；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（十五）不履行法定职责的。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公安机关交通管理部门有前款所列行为之一的，对直接负责的主管人员和其他直接责任人员给予相应的行政处分。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第一百一十六条  </w:t>
      </w:r>
      <w:r>
        <w:rPr>
          <w:rFonts w:asciiTheme="minorEastAsia" w:hAnsiTheme="minorEastAsia" w:eastAsiaTheme="minorEastAsia"/>
          <w:sz w:val="24"/>
          <w:szCs w:val="24"/>
        </w:rPr>
        <w:t>依照本法第一百一十五条的规定，给予交通警察行政处分的，在作出行政处分决定前，可以停止其执行职务；必要时，可以予以禁闭。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依照本法第一百一十五条的规定，交通警察受到降级或者撤职行政处分的，可以予以辞退。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交通警察受到开除处分或者被辞退的，应当取消警衔；受到撤职以下行政处分的交通警察，应当降低警衔。</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第一百一十七条  </w:t>
      </w:r>
      <w:r>
        <w:rPr>
          <w:rFonts w:asciiTheme="minorEastAsia" w:hAnsiTheme="minorEastAsia" w:eastAsiaTheme="minorEastAsia"/>
          <w:sz w:val="24"/>
          <w:szCs w:val="24"/>
        </w:rPr>
        <w:t>交通警察利用职权非法占有公共财物，索取、收受贿赂，或者滥用职权、玩忽职守，构成犯罪的，依法追究刑事责任。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第一百一十八条  </w:t>
      </w:r>
      <w:r>
        <w:rPr>
          <w:rFonts w:asciiTheme="minorEastAsia" w:hAnsiTheme="minorEastAsia" w:eastAsiaTheme="minorEastAsia"/>
          <w:sz w:val="24"/>
          <w:szCs w:val="24"/>
        </w:rPr>
        <w:t>公安机关交通管理部门及其交通警察有本法第一百一十五条所列行为之一，给当事人造成损失的，应当依法承担赔偿责任。</w:t>
      </w:r>
    </w:p>
    <w:p>
      <w:pPr>
        <w:pStyle w:val="63"/>
        <w:spacing w:before="218" w:after="218" w:line="412" w:lineRule="exact"/>
      </w:pPr>
      <w:r>
        <w:t>第八章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第一百一十九条  </w:t>
      </w:r>
      <w:r>
        <w:rPr>
          <w:rFonts w:asciiTheme="minorEastAsia" w:hAnsiTheme="minorEastAsia" w:eastAsiaTheme="minorEastAsia"/>
          <w:sz w:val="24"/>
          <w:szCs w:val="24"/>
        </w:rPr>
        <w:t>本法中下列用语的含义: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（一）“道路”，是指公路、城市道路和虽在单位管辖范围但允许社会机动车通行的地方，包括广场、公共停车场等用于公众通行的场所。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（二）“车辆”，是指机动车和非机动车。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（三）“机动车”，是指以动力装置驱动或者牵引，上道路行驶的供人员乘用或者用于运送物品以及进行工程专项作业的轮式车辆。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（四）“非机动车”，是指以人力或者畜力驱动，上道路行驶的交通工具，以及虽有动力装置驱动但设计最高时速、空车质量、外形尺寸符合有关国家标准的残疾人机动轮椅车、电动自行车等交通工具。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（五）“交通事故”，是指车辆在道路上因过错或者意外造成的人身伤亡或者财产损失的事件。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第一百二十条  </w:t>
      </w:r>
      <w:r>
        <w:rPr>
          <w:rFonts w:asciiTheme="minorEastAsia" w:hAnsiTheme="minorEastAsia" w:eastAsiaTheme="minorEastAsia"/>
          <w:sz w:val="24"/>
          <w:szCs w:val="24"/>
        </w:rPr>
        <w:t>中国人民解放军和中国人民武装警察部队在编机动车牌证、在编机动车检验以及机动车驾驶人考核工作，由中国人民解放军、中国人民武装警察部队有关部门负责。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第一百二十一条  </w:t>
      </w:r>
      <w:r>
        <w:rPr>
          <w:rFonts w:asciiTheme="minorEastAsia" w:hAnsiTheme="minorEastAsia" w:eastAsiaTheme="minorEastAsia"/>
          <w:sz w:val="24"/>
          <w:szCs w:val="24"/>
        </w:rPr>
        <w:t>对上道路行驶的拖拉机，由农业（农业机械）主管部门行使本法第八条、第九条、第十三条、第十九条、第二十三条规定的公安机关交通管理部门的管理职权。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农业（农业机械）主管部门依照前款规定行使职权，应当遵守本法有关规定，并接受公安机关交通管理部门的监督；对违反规定的，依照本法有关规定追究法律责任。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本法施行前由农业（农业机械）主管部门发放的机动车牌证，在本法施行后继续有效。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第一百二十二条  </w:t>
      </w:r>
      <w:r>
        <w:rPr>
          <w:rFonts w:asciiTheme="minorEastAsia" w:hAnsiTheme="minorEastAsia" w:eastAsiaTheme="minorEastAsia"/>
          <w:sz w:val="24"/>
          <w:szCs w:val="24"/>
        </w:rPr>
        <w:t>国家对入境的境外机动车的道路交通安全实施统一管理。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第一百二十三条  </w:t>
      </w:r>
      <w:r>
        <w:rPr>
          <w:rFonts w:asciiTheme="minorEastAsia" w:hAnsiTheme="minorEastAsia" w:eastAsiaTheme="minorEastAsia"/>
          <w:sz w:val="24"/>
          <w:szCs w:val="24"/>
        </w:rPr>
        <w:t>省、自治区、直辖市人民代表大会常务委员会可以根据本地区的实际情况，在本法规定的罚款幅度内，规定具体的执行标准。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第一百二十四条  </w:t>
      </w:r>
      <w:r>
        <w:rPr>
          <w:rFonts w:asciiTheme="minorEastAsia" w:hAnsiTheme="minorEastAsia" w:eastAsiaTheme="minorEastAsia"/>
          <w:sz w:val="24"/>
          <w:szCs w:val="24"/>
        </w:rPr>
        <w:t>本法自2004年5月1日起施行</w:t>
      </w: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503" w:name="_Toc25653810"/>
      <w:bookmarkStart w:id="1504" w:name="_Toc28252296"/>
      <w:bookmarkStart w:id="1505" w:name="_Toc466579966"/>
      <w:bookmarkStart w:id="1506" w:name="_Toc26348064"/>
      <w:bookmarkStart w:id="1507" w:name="_Toc28251014"/>
      <w:bookmarkStart w:id="1508" w:name="_Toc28157086"/>
      <w:bookmarkStart w:id="1509" w:name="_Toc5777"/>
      <w:bookmarkStart w:id="1510" w:name="_Toc18315893"/>
      <w:bookmarkStart w:id="1511" w:name="_Toc25648309"/>
      <w:r>
        <w:t>中华人民共和国农业机械化促进法</w:t>
      </w:r>
      <w:bookmarkEnd w:id="1503"/>
      <w:bookmarkEnd w:id="1504"/>
      <w:bookmarkEnd w:id="1505"/>
      <w:bookmarkEnd w:id="1506"/>
      <w:bookmarkEnd w:id="1507"/>
      <w:bookmarkEnd w:id="1508"/>
      <w:bookmarkEnd w:id="1509"/>
      <w:bookmarkEnd w:id="1510"/>
      <w:bookmarkEnd w:id="1511"/>
    </w:p>
    <w:p>
      <w:pPr>
        <w:pStyle w:val="62"/>
      </w:pPr>
      <w:r>
        <w:t>（2004年6月25日中华人民共和国主席令第16号公布，根据2018年10月26日中华人民共和国主席令第16号公布、自公布之日起施行的《全国人民代表大会常务委员会关于修改〈中华人民共和国野生动物保护法〉等十五部法律的决定》修订）</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为了鼓励、扶持农民和农业生产经营组织使用先进适用的农业机械，促进农业机械化，建设现代农业，制定本法。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本法所称农业机械化，是指运用先进适用的农业机械装备农业，改善农业生产经营条件，不断提高农业的生产技术水平和经济效益、生态效益的过程。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本法所称农业机械，是指用于农业生产及其产品初加工等相关农事活动的机械、设备。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县级以上人民政府应当把推进农业机械化纳入国民经济和社会发展计划，采取财政支持和实施国家规定的税收优惠政策以及金融扶持等措施，逐步提高对农业机械化的资金投入，充分发挥市场机制的作用，按照因地制宜、经济有效、保障安全、保护环境的原则，促进农业机械化的发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国家引导、支持农民和农业生产经营组织自主选择先进适用的农业机械。任何单位和个人不得强迫农民和农业生产经营组织购买其指定的农业机械产品。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国家采取措施，开展农业机械化科技知识的宣传和教育，培养农业机械化专业人才，推进农业机械化信息服务，提高农业机械化水平。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国务院农业行政主管部门和其他负责农业机械化有关工作的部门，按照各自的职责分工，密切配合，共同做好农业机械化促进工作。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县级以上地方人民政府主管农业机械化工作的部门和其他有关部门，按照各自的职责分工，密切配合，共同做好本行政区域的农业机械化促进工作。</w:t>
      </w:r>
    </w:p>
    <w:p>
      <w:pPr>
        <w:pStyle w:val="63"/>
        <w:spacing w:before="218" w:after="218" w:line="412" w:lineRule="exact"/>
        <w:rPr>
          <w:b/>
        </w:rPr>
      </w:pPr>
      <w:r>
        <w:t xml:space="preserve">第二章 </w:t>
      </w:r>
      <w:r>
        <w:rPr>
          <w:rFonts w:hint="eastAsia"/>
        </w:rPr>
        <w:t xml:space="preserve"> </w:t>
      </w:r>
      <w:r>
        <w:t>科研开发</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省级以上人民政府及其有关部门应当组织有关单位采取技术攻关、试验、示范等措施，促进基础性、关键性、公益性农业机械科学研究和先进适用的农业机械的推广应用。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支持有关科研机构和院校加强农业机械化科学技术研究，根据不同的农业生产条件和农民需求，研究开发先进适用的农业机械；支持农业机械科研、教学与生产、推广相结合，促进农业机械与农业生产技术的发展要求相适应。</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国家支持农业机械生产者开发先进适用的农业机械，采用先进技术、先进工艺和先进材料，提高农业机械产品的质量和技术水平，降低生产成本，提供系列化、标准化、多功能和质量优良、节约能源、价格合理的农业机械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国家支持引进、利用先进的农业机械、关键零配件和技术，鼓励引进外资从事农业机械的研究、开发、生产和经营。</w:t>
      </w:r>
    </w:p>
    <w:p>
      <w:pPr>
        <w:pStyle w:val="63"/>
        <w:spacing w:before="218" w:after="218" w:line="412" w:lineRule="exact"/>
        <w:rPr>
          <w:b/>
        </w:rPr>
      </w:pPr>
      <w:r>
        <w:t xml:space="preserve">第三章 </w:t>
      </w:r>
      <w:r>
        <w:rPr>
          <w:rFonts w:hint="eastAsia"/>
        </w:rPr>
        <w:t xml:space="preserve"> </w:t>
      </w:r>
      <w:r>
        <w:t>质量保障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国家</w:t>
      </w:r>
      <w:r>
        <w:rPr>
          <w:rFonts w:asciiTheme="minorEastAsia" w:hAnsiTheme="minorEastAsia" w:eastAsiaTheme="minorEastAsia"/>
          <w:spacing w:val="6"/>
          <w:sz w:val="24"/>
          <w:szCs w:val="24"/>
        </w:rPr>
        <w:t>加强农业机械化标准体系建设，制定和完善农业机械产品质量、维修质量和作业质量等标准。对农业机械产品涉及人身安全、农产品质量安全和环境保护的技术要求，应当按照有关法律、行政法规的规定制定强制执行的技术规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市场监督管理部门应当依法组织对农业机械产品质量的监督抽查，加强对农业机械产品市场的监督管理工作。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w:t>
      </w:r>
      <w:r>
        <w:rPr>
          <w:rFonts w:asciiTheme="minorEastAsia" w:hAnsiTheme="minorEastAsia" w:eastAsiaTheme="minorEastAsia"/>
          <w:spacing w:val="-4"/>
          <w:sz w:val="24"/>
          <w:szCs w:val="24"/>
        </w:rPr>
        <w:t>农业行政主管部门和省级人民政府主管农业机械化工作的部门根据农业机械使用者的投诉情况和农业生产的实际需要，可以组织对在用的特定种类农业机械产品的适用性、安全性、可靠性和售后服务状况进行调查，并公布调查结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农业机械生产者、销售者应当对其生产、销售的农业机械产品质量负责，并按照国家有关规定承担零配件供应和培训等售后服务责任。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农业机械生产者应当按照国家标准、行业标准和保障人身安全的要求，在其生产的农业机械产品上设置必要的安全防护装置、警示标志和中文警示说明。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业机械产品不符合质量要求的，农业机械生产者、销售者应当负责修理、更换、退货；给农业机械使用者造成农业生产损失或者其他损失的，应当依法赔偿损失。农业机械使用者有权要求农业机械销售者先予赔偿。农业机械销售者赔偿后，属于农业机械生产者的责任的，农业机械销售者有权向农业机械生产者追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因农业机械存在缺陷造成人身伤害、财产损失的，农业机械生产者、销售者应当依法赔偿损失。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列入依法必须经过认证的产品目录的农业机械产品，未经认证并标注认证标志，禁止出厂、销售和进口。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禁止生产、销售不符合国家技术规范强制性要求的农业机械产品。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禁止利用残次零配件和报废机具的部件拼装农业机械产品。</w:t>
      </w:r>
    </w:p>
    <w:p>
      <w:pPr>
        <w:pStyle w:val="63"/>
        <w:spacing w:before="218" w:after="218" w:line="412" w:lineRule="exact"/>
        <w:rPr>
          <w:b/>
        </w:rPr>
      </w:pPr>
      <w:r>
        <w:t>第四章</w:t>
      </w:r>
      <w:r>
        <w:rPr>
          <w:rFonts w:hint="eastAsia"/>
        </w:rPr>
        <w:t xml:space="preserve"> </w:t>
      </w:r>
      <w:r>
        <w:t xml:space="preserve"> 推广使用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国家支持向农民和农业生产经营组织推广先进适用的农业机械产品。推广农业机械产品，应当适应当地农业发展的需要，并依照农业技术推广法的规定，在推广地区经过试验证明具有先进性和适用性。</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机械生产者或者销售者，可以委托农业机械试验鉴定机构，对其定型生产或者销售的农业机械产品进行适用性、安全性和可靠性检测，作出技术评价。农业机械试验鉴定机构应当公布具有适用性、安全性和可靠性的农业机械产品的检测结果，为农民和农业生产经营组织选购先进适用的农业机械提供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县级以上人民政府可以根据实际情况，在不同的农业区域建立农业机械化示范基地，并鼓励农业机械生产者、经营者等建立农业机械示范点，引导农民和农业生产经营组织使用先进适用的农业机械。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国务院农业行政主管部门会同国务院财政部门、经济综合宏观调控部门，根据促进农业结构调整、保护自然资源与生态环境、推广农业新技术与加快农机具更新的原则，确定、公布国家支持推广的先进适用的农业机械产品目录，并定期调整。省级人民政府主管农业机械化工作的部门会同同级财政部门、经济综合宏观调控部门根据上述原则，确定、公布省级人民政府支持推广的先进适用的农业机械产品目录，并定期调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列入前款目录的产品，应当由农业机械生产者自愿提出申请，并通过农业机械试验鉴定机构进行的先进性、适用性、安全性和可靠性鉴定。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国家鼓励和支持农民合作使用农业机械，提高农业机械利用率和作业效率，降低作业成本。</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国家支持和保护农民在坚持家庭承包经营的基础上，自愿组织区域化、标准化种植，提高农业机械的作业水平。任何单位和个人不得以区域化、标准化种植为借口，侵犯农民的土地承包经营权。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国务院农业行政主管部门和县级以上地方人民政府主管农业机械化工作的部门，应当按照安全生产、预防为主的方针，加强对农业机械安全使用的宣传、教育和管理。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农业机械使用者作业时，应当按照安全操作规程操作农业机械，在有危险的部位和作业现场设置防护装置或者警示标志。</w:t>
      </w:r>
    </w:p>
    <w:p>
      <w:pPr>
        <w:pStyle w:val="63"/>
        <w:spacing w:before="218" w:after="218" w:line="412" w:lineRule="exact"/>
        <w:rPr>
          <w:b/>
        </w:rPr>
      </w:pPr>
      <w:r>
        <w:t xml:space="preserve">第五章 </w:t>
      </w:r>
      <w:r>
        <w:rPr>
          <w:rFonts w:hint="eastAsia"/>
        </w:rPr>
        <w:t xml:space="preserve"> </w:t>
      </w:r>
      <w:r>
        <w:t>社会化服务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民、农业机械作业组织可以按照双方自愿、平等协商的原则，为本地或者外地的农民和农业生产经营组织提供各项有偿农业机械作业服务。有偿农业机械作业应当符合国家或者地方规定的农业机械作业质量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国家鼓励跨行政区域开展农业机械作业服务。各级人民政府及其有关部门应当支持农业机械跨行政区域作业，维护作业秩序，提供便利和服务，并依法实施安全监督管理。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各级人民政府应当采取措施，鼓励和扶持发展多种形式的农业机械服务组织，推进农业机械化信息网络建设，完善农业机械化服务体系。农业机械服务组织应当根据农民、农业生产经营组织的需求，提供农业机械示范推广、实用技术培训、维修、信息、中介等社会化服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国家设立的基层农业机械技术推广机构应当以试验示范基地为依托，为农民和农业生产经营组织无偿提供公益性农业机械技术的推广、培训等服务。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从事农业机械维修，应当具备与维修业务相适应的仪器、设备和具有农业机械维修职业技能的技术人员，保证维修质量。维修质量不合格的，维修者应当免费重新修理；造成人身伤害或者财产损失的，维修者应当依法承担赔偿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农业</w:t>
      </w:r>
      <w:r>
        <w:rPr>
          <w:rFonts w:asciiTheme="minorEastAsia" w:hAnsiTheme="minorEastAsia" w:eastAsiaTheme="minorEastAsia"/>
          <w:spacing w:val="-4"/>
          <w:sz w:val="24"/>
          <w:szCs w:val="24"/>
        </w:rPr>
        <w:t>机械生产者、经营者、维修者可以依照法律、行政法规的规定，自愿成立行业协会，实行行业自律，为会员提供服务，维护会员的合法权益。</w:t>
      </w:r>
    </w:p>
    <w:p>
      <w:pPr>
        <w:pStyle w:val="63"/>
        <w:spacing w:before="218" w:after="218" w:line="412" w:lineRule="exact"/>
        <w:rPr>
          <w:b/>
        </w:rPr>
      </w:pPr>
      <w:r>
        <w:t xml:space="preserve">第六章 </w:t>
      </w:r>
      <w:r>
        <w:rPr>
          <w:rFonts w:hint="eastAsia"/>
        </w:rPr>
        <w:t xml:space="preserve"> </w:t>
      </w:r>
      <w:r>
        <w:t>扶持措施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国家采取措施，鼓励和支持农业机械生产者增加新产品、新技术、新工艺的研究开发投入，并对农业机械的科研开发和制造实施税收优惠政策。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中央和地方财政预算安排的科技开发资金应当对农业机械工业的技术创新给予支持。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中央财政、省级财政应当分别安排专项资金，对农民和农业生产经营组织购买国家支持推广的先进适用的农业机械给予补贴。补贴资金的使用应当遵循公开、公正、及时、有效的原则，可以向农民和农业生产经营组织发放，也可以采用贴息方式支持金融机构向农民和农业生产经营组织购买先进适用的农业机械提供贷款。具体办法由国务院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从事农业机械生产作业服务的收入，按照国家规定给予税收优惠。</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国家根据农业和农村经济发展的需要，对农业机械的农业生产作业用燃油安排财政补贴。燃油补贴应当向直接从事农业机械作业的农民和农业生产经营组织发放。具体办法由国务院规定。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地方各级人民政府应当采取措施加强农村机耕道路等农业机械化基础设施的建设和维护，为农业机械化创造条件。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县级以上地方人民政府主管农业机械化工作的部门应当建立农业机械化信息搜集、整理、发布制度，为农民和农业生产经营组织免费提供信息服务。</w:t>
      </w:r>
    </w:p>
    <w:p>
      <w:pPr>
        <w:pStyle w:val="63"/>
        <w:spacing w:before="218" w:after="218" w:line="412" w:lineRule="exact"/>
        <w:rPr>
          <w:b/>
        </w:rPr>
      </w:pPr>
      <w:r>
        <w:t xml:space="preserve">第七章 </w:t>
      </w:r>
      <w:r>
        <w:rPr>
          <w:rFonts w:hint="eastAsia"/>
        </w:rPr>
        <w:t xml:space="preserve"> </w:t>
      </w:r>
      <w:r>
        <w:t>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违反本法第十五条规定的，依照产品质量法的有关规定予以处罚；构成犯罪的，依法追究刑事责任。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农业机械驾驶、操作人员违反国家规定的安全操作规程，违章作业的，责令改正，依照有关法律、行政法规的规定予以处罚；构成犯罪的，依法追究刑事责任。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农业机械试验鉴定机构在鉴定工作中不按照规定为农业机械生产者、销售者进行鉴定，或者伪造鉴定结果、出具虚假证明，给农业机械使用者造成损失的，依法承担赔偿责任。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国务院农业行政主管部门和县级以上地方人民政府主管农业机械化工作的部门违反本法规定，强制或者变相强制农业机械生产者、销售者对其生产、销售的农业机械产品进行鉴定的，由上级主管机关或者监察机关责令限期改正，并对直接负责的主管人员和其他直接责任人员给予行政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违反本法第二十七条、第二十八条规定，截留、挪用有关补贴资金的，由上级主管机关责令限期归还被截留、挪用的资金，没收非法所得，并由上级主管机关、监察机关或者所在单位对直接负责的主管人员和其他直接责任人员给予行政处分；构成犯罪的，依法追究刑事责任。</w:t>
      </w:r>
    </w:p>
    <w:p>
      <w:pPr>
        <w:pStyle w:val="63"/>
        <w:spacing w:before="218" w:after="218" w:line="412" w:lineRule="exact"/>
        <w:rPr>
          <w:b/>
        </w:rPr>
      </w:pPr>
      <w:r>
        <w:t>第八章</w:t>
      </w:r>
      <w:r>
        <w:rPr>
          <w:rFonts w:hint="eastAsia"/>
        </w:rPr>
        <w:t xml:space="preserve"> </w:t>
      </w:r>
      <w:r>
        <w:t xml:space="preserve">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本法自2004年11月1日起施行。</w:t>
      </w: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512" w:name="_Toc28252297"/>
      <w:bookmarkStart w:id="1513" w:name="_Toc26348065"/>
      <w:bookmarkStart w:id="1514" w:name="_Toc28251015"/>
      <w:bookmarkStart w:id="1515" w:name="_Toc25648310"/>
      <w:bookmarkStart w:id="1516" w:name="_Toc25653811"/>
      <w:bookmarkStart w:id="1517" w:name="_Toc28157087"/>
      <w:bookmarkStart w:id="1518" w:name="_Toc12721703"/>
      <w:bookmarkStart w:id="1519" w:name="_Toc12798031"/>
      <w:r>
        <w:rPr>
          <w:rFonts w:hint="eastAsia"/>
        </w:rPr>
        <w:t>北京市农业机械化促进条例</w:t>
      </w:r>
      <w:bookmarkEnd w:id="1512"/>
      <w:bookmarkEnd w:id="1513"/>
      <w:bookmarkEnd w:id="1514"/>
      <w:bookmarkEnd w:id="1515"/>
      <w:bookmarkEnd w:id="1516"/>
      <w:bookmarkEnd w:id="1517"/>
    </w:p>
    <w:p>
      <w:pPr>
        <w:pStyle w:val="62"/>
        <w:rPr>
          <w:rStyle w:val="30"/>
          <w:rFonts w:ascii="Tahoma" w:hAnsi="Tahoma" w:cs="Tahoma"/>
        </w:rPr>
      </w:pPr>
      <w:r>
        <w:rPr>
          <w:shd w:val="clear" w:color="auto" w:fill="FFFFFF"/>
        </w:rPr>
        <w:t>（2010年12月23日北京市第十三届人民代表大会常务委员会第二十二次会议通过，根据2016年11月25日北京市第十四届人民代表大会常务委员会第三十一次会议通过的《关于修改部分地方性法规的决定》修正，根据2019年7月26日北京市第十五届人民代表大会常务委员会第十四次会议通过的《关于修改〈北京市河湖保护管理条例〉〈北京市农业机械化促进条例〉等十一部地方性法规的决定》修正）</w:t>
      </w:r>
    </w:p>
    <w:p>
      <w:pPr>
        <w:pStyle w:val="63"/>
        <w:spacing w:before="218" w:after="218" w:line="412" w:lineRule="exact"/>
      </w:pPr>
      <w:r>
        <w:rPr>
          <w:rStyle w:val="30"/>
          <w:b w:val="0"/>
          <w:bCs/>
          <w:szCs w:val="21"/>
        </w:rPr>
        <w:t>第一章  总</w:t>
      </w:r>
      <w:r>
        <w:rPr>
          <w:rStyle w:val="30"/>
          <w:rFonts w:hint="eastAsia"/>
          <w:b w:val="0"/>
          <w:bCs/>
          <w:szCs w:val="24"/>
        </w:rPr>
        <w:t xml:space="preserve">  </w:t>
      </w:r>
      <w:r>
        <w:rPr>
          <w:rStyle w:val="30"/>
          <w:b w:val="0"/>
          <w:bCs/>
          <w:szCs w:val="21"/>
        </w:rPr>
        <w:t>则</w:t>
      </w:r>
    </w:p>
    <w:p>
      <w:pPr>
        <w:pStyle w:val="3"/>
        <w:topLinePunct/>
        <w:spacing w:line="412" w:lineRule="exact"/>
        <w:ind w:firstLine="482"/>
        <w:rPr>
          <w:rFonts w:ascii="Tahoma" w:hAnsi="Tahoma" w:cs="Tahoma"/>
          <w:sz w:val="24"/>
          <w:szCs w:val="24"/>
        </w:rPr>
      </w:pPr>
      <w:r>
        <w:rPr>
          <w:rFonts w:ascii="Tahoma" w:hAnsi="Tahoma" w:cs="Tahoma"/>
          <w:b/>
          <w:sz w:val="24"/>
          <w:szCs w:val="24"/>
        </w:rPr>
        <w:t>第一条</w:t>
      </w:r>
      <w:r>
        <w:rPr>
          <w:rFonts w:ascii="Tahoma" w:hAnsi="Tahoma" w:cs="Tahoma"/>
          <w:sz w:val="24"/>
          <w:szCs w:val="24"/>
        </w:rPr>
        <w:t xml:space="preserve">  为了鼓励、扶持农民和农业生产经营组织使用先进适用的农业机械，促进本市农业机械化，建设都市型现代农业，根据《中华人民共和国农业机械化促进法》，结合本市实际情况，制定本条例。</w:t>
      </w:r>
    </w:p>
    <w:p>
      <w:pPr>
        <w:pStyle w:val="3"/>
        <w:topLinePunct/>
        <w:spacing w:line="412" w:lineRule="exact"/>
        <w:ind w:firstLine="482"/>
        <w:rPr>
          <w:rFonts w:ascii="Tahoma" w:hAnsi="Tahoma" w:cs="Tahoma"/>
          <w:sz w:val="24"/>
          <w:szCs w:val="24"/>
        </w:rPr>
      </w:pPr>
      <w:r>
        <w:rPr>
          <w:rFonts w:ascii="Tahoma" w:hAnsi="Tahoma" w:cs="Tahoma"/>
          <w:b/>
          <w:sz w:val="24"/>
          <w:szCs w:val="24"/>
        </w:rPr>
        <w:t>第二条</w:t>
      </w:r>
      <w:r>
        <w:rPr>
          <w:rFonts w:ascii="Tahoma" w:hAnsi="Tahoma" w:cs="Tahoma"/>
          <w:sz w:val="24"/>
          <w:szCs w:val="24"/>
        </w:rPr>
        <w:t xml:space="preserve">  本条</w:t>
      </w:r>
      <w:r>
        <w:rPr>
          <w:rFonts w:ascii="Tahoma" w:hAnsi="Tahoma" w:cs="Tahoma"/>
          <w:spacing w:val="-4"/>
          <w:sz w:val="24"/>
          <w:szCs w:val="24"/>
        </w:rPr>
        <w:t>例所称农业机械化，是指运用先进适用的农业机械装备农业，改善农业生产经营条件，不断提高农业的生产技术水平和经济效益、生态效益的过程。</w:t>
      </w:r>
    </w:p>
    <w:p>
      <w:pPr>
        <w:pStyle w:val="3"/>
        <w:topLinePunct/>
        <w:spacing w:line="412" w:lineRule="exact"/>
        <w:ind w:firstLine="480"/>
        <w:rPr>
          <w:rFonts w:ascii="Tahoma" w:hAnsi="Tahoma" w:cs="Tahoma"/>
          <w:sz w:val="24"/>
          <w:szCs w:val="24"/>
        </w:rPr>
      </w:pPr>
      <w:r>
        <w:rPr>
          <w:rFonts w:ascii="Tahoma" w:hAnsi="Tahoma" w:cs="Tahoma"/>
          <w:sz w:val="24"/>
          <w:szCs w:val="24"/>
        </w:rPr>
        <w:t>本条例所称农业机械，是指用于农业生产及其产品初加工等相关农事活动的机械、设备。</w:t>
      </w:r>
    </w:p>
    <w:p>
      <w:pPr>
        <w:pStyle w:val="3"/>
        <w:topLinePunct/>
        <w:spacing w:line="412" w:lineRule="exact"/>
        <w:ind w:firstLine="482"/>
        <w:rPr>
          <w:rFonts w:ascii="Tahoma" w:hAnsi="Tahoma" w:cs="Tahoma"/>
          <w:sz w:val="24"/>
          <w:szCs w:val="24"/>
        </w:rPr>
      </w:pPr>
      <w:r>
        <w:rPr>
          <w:rFonts w:ascii="Tahoma" w:hAnsi="Tahoma" w:cs="Tahoma"/>
          <w:b/>
          <w:sz w:val="24"/>
          <w:szCs w:val="24"/>
        </w:rPr>
        <w:t>第三条</w:t>
      </w:r>
      <w:r>
        <w:rPr>
          <w:rFonts w:ascii="Tahoma" w:hAnsi="Tahoma" w:cs="Tahoma"/>
          <w:sz w:val="24"/>
          <w:szCs w:val="24"/>
        </w:rPr>
        <w:t xml:space="preserve">  市和区人民政府应当加强对农业机械化工作的领导，将推进农业机械化纳入国民经济和社会发展规划，确定农业机械化发展目标，加大政策扶持和资金投入，充分发挥市场机制的作用，按照因地制宜、经济有效、保障安全、保护环境的原则，促进农业机械化的发展。</w:t>
      </w:r>
    </w:p>
    <w:p>
      <w:pPr>
        <w:pStyle w:val="3"/>
        <w:topLinePunct/>
        <w:spacing w:line="412" w:lineRule="exact"/>
        <w:ind w:firstLine="480"/>
        <w:rPr>
          <w:rFonts w:ascii="Tahoma" w:hAnsi="Tahoma" w:cs="Tahoma"/>
          <w:sz w:val="24"/>
          <w:szCs w:val="24"/>
        </w:rPr>
      </w:pPr>
      <w:r>
        <w:rPr>
          <w:rFonts w:ascii="Tahoma" w:hAnsi="Tahoma" w:cs="Tahoma"/>
          <w:sz w:val="24"/>
          <w:szCs w:val="24"/>
        </w:rPr>
        <w:t>乡、镇人民政府负责本行政区域内农业机械化工作，做好对农民和农业生产经营组织的服务和指导，确定专门人员开展促进农业机械化的具体工作。</w:t>
      </w:r>
    </w:p>
    <w:p>
      <w:pPr>
        <w:pStyle w:val="3"/>
        <w:topLinePunct/>
        <w:spacing w:line="412" w:lineRule="exact"/>
        <w:ind w:firstLine="482"/>
        <w:rPr>
          <w:rFonts w:ascii="Tahoma" w:hAnsi="Tahoma" w:cs="Tahoma"/>
          <w:sz w:val="24"/>
          <w:szCs w:val="24"/>
        </w:rPr>
      </w:pPr>
      <w:r>
        <w:rPr>
          <w:rFonts w:ascii="Tahoma" w:hAnsi="Tahoma" w:cs="Tahoma"/>
          <w:b/>
          <w:sz w:val="24"/>
          <w:szCs w:val="24"/>
        </w:rPr>
        <w:t>第四条</w:t>
      </w:r>
      <w:r>
        <w:rPr>
          <w:rFonts w:ascii="Tahoma" w:hAnsi="Tahoma" w:cs="Tahoma"/>
          <w:sz w:val="24"/>
          <w:szCs w:val="24"/>
        </w:rPr>
        <w:t xml:space="preserve">  市和区人民政府农业机械化主管部门（以下简称市和区农业机械化主管部门）负责本行政区域的农业机械化促进和农业机械安全监督管理工作。</w:t>
      </w:r>
    </w:p>
    <w:p>
      <w:pPr>
        <w:pStyle w:val="3"/>
        <w:topLinePunct/>
        <w:spacing w:line="412" w:lineRule="exact"/>
        <w:ind w:firstLine="480"/>
        <w:rPr>
          <w:rFonts w:ascii="Tahoma" w:hAnsi="Tahoma" w:cs="Tahoma"/>
          <w:sz w:val="24"/>
          <w:szCs w:val="24"/>
        </w:rPr>
      </w:pPr>
      <w:r>
        <w:rPr>
          <w:rFonts w:ascii="Tahoma" w:hAnsi="Tahoma" w:cs="Tahoma"/>
          <w:sz w:val="24"/>
          <w:szCs w:val="24"/>
        </w:rPr>
        <w:t>市和区人民政府有关部门应当按照各自的职责分工，共同做好农业机械化促进和农业机械安全监督管理工作。</w:t>
      </w:r>
    </w:p>
    <w:p>
      <w:pPr>
        <w:pStyle w:val="3"/>
        <w:topLinePunct/>
        <w:spacing w:line="412" w:lineRule="exact"/>
        <w:ind w:firstLine="482"/>
        <w:rPr>
          <w:rFonts w:ascii="Tahoma" w:hAnsi="Tahoma" w:cs="Tahoma"/>
          <w:sz w:val="24"/>
          <w:szCs w:val="24"/>
        </w:rPr>
      </w:pPr>
      <w:r>
        <w:rPr>
          <w:rFonts w:ascii="Tahoma" w:hAnsi="Tahoma" w:cs="Tahoma"/>
          <w:b/>
          <w:sz w:val="24"/>
          <w:szCs w:val="24"/>
        </w:rPr>
        <w:t>第五条</w:t>
      </w:r>
      <w:r>
        <w:rPr>
          <w:rFonts w:ascii="Tahoma" w:hAnsi="Tahoma" w:cs="Tahoma"/>
          <w:sz w:val="24"/>
          <w:szCs w:val="24"/>
        </w:rPr>
        <w:t xml:space="preserve">  鼓励和支持开发、推广先进适用、安全可靠、节能环保的农业机械。</w:t>
      </w:r>
    </w:p>
    <w:p>
      <w:pPr>
        <w:pStyle w:val="3"/>
        <w:topLinePunct/>
        <w:spacing w:line="412" w:lineRule="exact"/>
        <w:ind w:firstLine="480"/>
        <w:rPr>
          <w:rFonts w:ascii="Tahoma" w:hAnsi="Tahoma" w:cs="Tahoma"/>
          <w:sz w:val="24"/>
          <w:szCs w:val="24"/>
        </w:rPr>
      </w:pPr>
      <w:r>
        <w:rPr>
          <w:rFonts w:ascii="Tahoma" w:hAnsi="Tahoma" w:cs="Tahoma"/>
          <w:sz w:val="24"/>
          <w:szCs w:val="24"/>
        </w:rPr>
        <w:t>从事农业机械科研开发、推广、生产、销售、维修、作业和示范基地建设的单位和个人，依法享受政府扶持、税收优惠和金融支持等政策。</w:t>
      </w:r>
    </w:p>
    <w:p>
      <w:pPr>
        <w:widowControl/>
        <w:spacing w:before="156" w:after="156"/>
        <w:ind w:firstLine="210"/>
        <w:rPr>
          <w:rStyle w:val="30"/>
          <w:rFonts w:ascii="黑体" w:hAnsi="黑体" w:eastAsia="黑体" w:cs="Times New Roman"/>
          <w:b w:val="0"/>
          <w:sz w:val="28"/>
          <w:szCs w:val="21"/>
        </w:rPr>
      </w:pPr>
      <w:r>
        <w:rPr>
          <w:rStyle w:val="30"/>
          <w:b w:val="0"/>
          <w:bCs w:val="0"/>
          <w:szCs w:val="21"/>
        </w:rPr>
        <w:br w:type="page"/>
      </w:r>
    </w:p>
    <w:p>
      <w:pPr>
        <w:pStyle w:val="63"/>
        <w:spacing w:before="218" w:after="218" w:line="412" w:lineRule="exact"/>
      </w:pPr>
      <w:r>
        <w:rPr>
          <w:rStyle w:val="30"/>
          <w:b w:val="0"/>
          <w:bCs/>
          <w:szCs w:val="21"/>
        </w:rPr>
        <w:t>第二章  科研开发与推广</w:t>
      </w:r>
    </w:p>
    <w:p>
      <w:pPr>
        <w:pStyle w:val="3"/>
        <w:topLinePunct/>
        <w:spacing w:line="412" w:lineRule="exact"/>
        <w:ind w:firstLine="482"/>
        <w:rPr>
          <w:rFonts w:ascii="Tahoma" w:hAnsi="Tahoma" w:cs="Tahoma"/>
          <w:sz w:val="24"/>
          <w:szCs w:val="24"/>
        </w:rPr>
      </w:pPr>
      <w:r>
        <w:rPr>
          <w:rFonts w:ascii="Tahoma" w:hAnsi="Tahoma" w:cs="Tahoma"/>
          <w:b/>
          <w:sz w:val="24"/>
          <w:szCs w:val="24"/>
        </w:rPr>
        <w:t>第六条</w:t>
      </w:r>
      <w:r>
        <w:rPr>
          <w:rFonts w:ascii="Tahoma" w:hAnsi="Tahoma" w:cs="Tahoma"/>
          <w:sz w:val="24"/>
          <w:szCs w:val="24"/>
        </w:rPr>
        <w:t xml:space="preserve">  市人民政府及其有关部门应当组织科研机构、院校和企业，开展基础性、关键性、公益性的农业机械化技术攻关，支持开发节能减排、低碳和适应都市型现代农业发展的农业机械化新技术、新产品、新工艺。</w:t>
      </w:r>
    </w:p>
    <w:p>
      <w:pPr>
        <w:pStyle w:val="3"/>
        <w:topLinePunct/>
        <w:spacing w:line="412" w:lineRule="exact"/>
        <w:ind w:firstLine="482"/>
        <w:rPr>
          <w:rFonts w:ascii="Tahoma" w:hAnsi="Tahoma" w:cs="Tahoma"/>
          <w:sz w:val="24"/>
          <w:szCs w:val="24"/>
        </w:rPr>
      </w:pPr>
      <w:r>
        <w:rPr>
          <w:rFonts w:ascii="Tahoma" w:hAnsi="Tahoma" w:cs="Tahoma"/>
          <w:b/>
          <w:sz w:val="24"/>
          <w:szCs w:val="24"/>
        </w:rPr>
        <w:t>第七条</w:t>
      </w:r>
      <w:r>
        <w:rPr>
          <w:rFonts w:ascii="Tahoma" w:hAnsi="Tahoma" w:cs="Tahoma"/>
          <w:sz w:val="24"/>
          <w:szCs w:val="24"/>
        </w:rPr>
        <w:t xml:space="preserve">  市农业机械化主管部门根据农业发展规划和农业生产需要，组织制定本市农业机械化科研开发项目计划。科技、财政部门应当在资金安排、项目组织、创新奖励等方面对农业机械化科研开发项目的技术攻关予以支持。</w:t>
      </w:r>
    </w:p>
    <w:p>
      <w:pPr>
        <w:pStyle w:val="3"/>
        <w:topLinePunct/>
        <w:spacing w:line="412" w:lineRule="exact"/>
        <w:ind w:firstLine="482"/>
        <w:rPr>
          <w:rFonts w:ascii="Tahoma" w:hAnsi="Tahoma" w:cs="Tahoma"/>
          <w:sz w:val="24"/>
          <w:szCs w:val="24"/>
        </w:rPr>
      </w:pPr>
      <w:r>
        <w:rPr>
          <w:rFonts w:ascii="Tahoma" w:hAnsi="Tahoma" w:cs="Tahoma"/>
          <w:b/>
          <w:sz w:val="24"/>
          <w:szCs w:val="24"/>
        </w:rPr>
        <w:t>第八条</w:t>
      </w:r>
      <w:r>
        <w:rPr>
          <w:rFonts w:ascii="Tahoma" w:hAnsi="Tahoma" w:cs="Tahoma"/>
          <w:sz w:val="24"/>
          <w:szCs w:val="24"/>
        </w:rPr>
        <w:t xml:space="preserve">  鼓励农业机械技术人员和使用者根据农业生产实际需要，开展技术改进和技术革新活动，提高农业机械化水平和农业生产效率。市和区农业机械化主管部门应当会同财政、科技等有关部门予以支持。</w:t>
      </w:r>
    </w:p>
    <w:p>
      <w:pPr>
        <w:pStyle w:val="3"/>
        <w:topLinePunct/>
        <w:spacing w:line="412" w:lineRule="exact"/>
        <w:ind w:firstLine="482"/>
        <w:rPr>
          <w:rFonts w:ascii="Tahoma" w:hAnsi="Tahoma" w:cs="Tahoma"/>
          <w:sz w:val="24"/>
          <w:szCs w:val="24"/>
        </w:rPr>
      </w:pPr>
      <w:r>
        <w:rPr>
          <w:rFonts w:ascii="Tahoma" w:hAnsi="Tahoma" w:cs="Tahoma"/>
          <w:b/>
          <w:sz w:val="24"/>
          <w:szCs w:val="24"/>
        </w:rPr>
        <w:t>第九条</w:t>
      </w:r>
      <w:r>
        <w:rPr>
          <w:rFonts w:ascii="Tahoma" w:hAnsi="Tahoma" w:cs="Tahoma"/>
          <w:sz w:val="24"/>
          <w:szCs w:val="24"/>
        </w:rPr>
        <w:t xml:space="preserve">  农业机械生产者或者销售者，可以委托农业机械试验鉴定机构，对其定型生产或者销售的农业机械产品进行适用性、安全性、可靠性检测，作出技术评价。</w:t>
      </w:r>
    </w:p>
    <w:p>
      <w:pPr>
        <w:pStyle w:val="3"/>
        <w:topLinePunct/>
        <w:spacing w:line="412" w:lineRule="exact"/>
        <w:ind w:firstLine="480"/>
        <w:rPr>
          <w:rFonts w:ascii="Tahoma" w:hAnsi="Tahoma" w:cs="Tahoma"/>
          <w:sz w:val="24"/>
          <w:szCs w:val="24"/>
        </w:rPr>
      </w:pPr>
      <w:r>
        <w:rPr>
          <w:rFonts w:ascii="Tahoma" w:hAnsi="Tahoma" w:cs="Tahoma"/>
          <w:sz w:val="24"/>
          <w:szCs w:val="24"/>
        </w:rPr>
        <w:t>农业机械试验鉴定机构应当公布具有适用性、安全性、可靠性的农业机械产品的检测结果，为农民和农业生产经营组织选购先进适用农业机械提供信息。</w:t>
      </w:r>
    </w:p>
    <w:p>
      <w:pPr>
        <w:pStyle w:val="3"/>
        <w:topLinePunct/>
        <w:spacing w:line="412" w:lineRule="exact"/>
        <w:ind w:firstLine="482"/>
        <w:rPr>
          <w:rFonts w:ascii="Tahoma" w:hAnsi="Tahoma" w:cs="Tahoma"/>
          <w:sz w:val="24"/>
          <w:szCs w:val="24"/>
        </w:rPr>
      </w:pPr>
      <w:r>
        <w:rPr>
          <w:rFonts w:ascii="Tahoma" w:hAnsi="Tahoma" w:cs="Tahoma"/>
          <w:b/>
          <w:sz w:val="24"/>
          <w:szCs w:val="24"/>
        </w:rPr>
        <w:t>第十条</w:t>
      </w:r>
      <w:r>
        <w:rPr>
          <w:rFonts w:ascii="Tahoma" w:hAnsi="Tahoma" w:cs="Tahoma"/>
          <w:sz w:val="24"/>
          <w:szCs w:val="24"/>
        </w:rPr>
        <w:t xml:space="preserve">  市农业机械化主管部门所属的农业机械试验鉴定机构应当提供农业机械推广鉴定服务，按照国家规定受理农业机械生产者或者销售者提出的推广鉴定申请，对其定型生产或者销售的农业机械产品进行适用性、安全性、可靠性检测，如实出具试验鉴定报告。通过推广鉴定的农业机械的相关信息由市农业机械化主管部门予以公告。</w:t>
      </w:r>
    </w:p>
    <w:p>
      <w:pPr>
        <w:pStyle w:val="3"/>
        <w:topLinePunct/>
        <w:spacing w:line="412" w:lineRule="exact"/>
        <w:ind w:firstLine="482"/>
        <w:rPr>
          <w:rFonts w:ascii="Tahoma" w:hAnsi="Tahoma" w:cs="Tahoma"/>
          <w:sz w:val="24"/>
          <w:szCs w:val="24"/>
        </w:rPr>
      </w:pPr>
      <w:r>
        <w:rPr>
          <w:rFonts w:ascii="Tahoma" w:hAnsi="Tahoma" w:cs="Tahoma"/>
          <w:b/>
          <w:sz w:val="24"/>
          <w:szCs w:val="24"/>
        </w:rPr>
        <w:t>第十一条</w:t>
      </w:r>
      <w:r>
        <w:rPr>
          <w:rFonts w:ascii="Tahoma" w:hAnsi="Tahoma" w:cs="Tahoma"/>
          <w:sz w:val="24"/>
          <w:szCs w:val="24"/>
        </w:rPr>
        <w:t xml:space="preserve">  市和区农业机械化主管部门应当组织制定农业机械化推广计划。农业机械化重点推广项目应当列入同级人民政府的科技发展计划。农业机械化推广工作由农业机械技术推广机构组织实施。</w:t>
      </w:r>
    </w:p>
    <w:p>
      <w:pPr>
        <w:pStyle w:val="3"/>
        <w:topLinePunct/>
        <w:spacing w:line="412" w:lineRule="exact"/>
        <w:ind w:firstLine="482"/>
        <w:rPr>
          <w:rFonts w:ascii="Tahoma" w:hAnsi="Tahoma" w:cs="Tahoma"/>
          <w:sz w:val="24"/>
          <w:szCs w:val="24"/>
        </w:rPr>
      </w:pPr>
      <w:r>
        <w:rPr>
          <w:rFonts w:ascii="Tahoma" w:hAnsi="Tahoma" w:cs="Tahoma"/>
          <w:b/>
          <w:sz w:val="24"/>
          <w:szCs w:val="24"/>
        </w:rPr>
        <w:t>第十二条</w:t>
      </w:r>
      <w:r>
        <w:rPr>
          <w:rFonts w:ascii="Tahoma" w:hAnsi="Tahoma" w:cs="Tahoma"/>
          <w:sz w:val="24"/>
          <w:szCs w:val="24"/>
        </w:rPr>
        <w:t xml:space="preserve">  市和区人民政府应当通过建立农业机械化示范基地，加快农业机械化新技术、新产品的引进和试验，为农民和农业生产经营组织使用先进适用的农业机械提供示范服务。</w:t>
      </w:r>
    </w:p>
    <w:p>
      <w:pPr>
        <w:pStyle w:val="3"/>
        <w:topLinePunct/>
        <w:spacing w:line="412" w:lineRule="exact"/>
        <w:ind w:firstLine="480"/>
        <w:rPr>
          <w:rFonts w:ascii="Tahoma" w:hAnsi="Tahoma" w:cs="Tahoma"/>
          <w:sz w:val="24"/>
          <w:szCs w:val="24"/>
        </w:rPr>
      </w:pPr>
      <w:r>
        <w:rPr>
          <w:rFonts w:ascii="Tahoma" w:hAnsi="Tahoma" w:cs="Tahoma"/>
          <w:sz w:val="24"/>
          <w:szCs w:val="24"/>
        </w:rPr>
        <w:t>本市农业机械化示范基地建设标准，由市农业机械化主管部门会同有关部门制定并公布。</w:t>
      </w:r>
    </w:p>
    <w:p>
      <w:pPr>
        <w:pStyle w:val="3"/>
        <w:topLinePunct/>
        <w:spacing w:line="412" w:lineRule="exact"/>
        <w:ind w:firstLine="482"/>
        <w:rPr>
          <w:rFonts w:ascii="Tahoma" w:hAnsi="Tahoma" w:cs="Tahoma"/>
          <w:sz w:val="24"/>
          <w:szCs w:val="24"/>
        </w:rPr>
      </w:pPr>
      <w:r>
        <w:rPr>
          <w:rFonts w:ascii="Tahoma" w:hAnsi="Tahoma" w:cs="Tahoma"/>
          <w:b/>
          <w:sz w:val="24"/>
          <w:szCs w:val="24"/>
        </w:rPr>
        <w:t>第十三条</w:t>
      </w:r>
      <w:r>
        <w:rPr>
          <w:rFonts w:ascii="Tahoma" w:hAnsi="Tahoma" w:cs="Tahoma"/>
          <w:sz w:val="24"/>
          <w:szCs w:val="24"/>
        </w:rPr>
        <w:t xml:space="preserve">  支持在本市举办农业机械化高科技产品展览会、演示会或者技术交流研讨活动。</w:t>
      </w:r>
    </w:p>
    <w:p>
      <w:pPr>
        <w:pStyle w:val="63"/>
        <w:spacing w:before="218" w:after="218" w:line="412" w:lineRule="exact"/>
      </w:pPr>
      <w:r>
        <w:rPr>
          <w:rStyle w:val="30"/>
          <w:b w:val="0"/>
          <w:bCs/>
          <w:szCs w:val="21"/>
        </w:rPr>
        <w:t>第三章  质量保障</w:t>
      </w:r>
    </w:p>
    <w:p>
      <w:pPr>
        <w:pStyle w:val="3"/>
        <w:topLinePunct/>
        <w:spacing w:line="412" w:lineRule="exact"/>
        <w:ind w:firstLine="482"/>
        <w:rPr>
          <w:rFonts w:ascii="Tahoma" w:hAnsi="Tahoma" w:cs="Tahoma"/>
          <w:sz w:val="24"/>
          <w:szCs w:val="24"/>
        </w:rPr>
      </w:pPr>
      <w:r>
        <w:rPr>
          <w:rFonts w:ascii="Tahoma" w:hAnsi="Tahoma" w:cs="Tahoma"/>
          <w:b/>
          <w:sz w:val="24"/>
          <w:szCs w:val="24"/>
        </w:rPr>
        <w:t>第十四条</w:t>
      </w:r>
      <w:r>
        <w:rPr>
          <w:rFonts w:ascii="Tahoma" w:hAnsi="Tahoma" w:cs="Tahoma"/>
          <w:sz w:val="24"/>
          <w:szCs w:val="24"/>
        </w:rPr>
        <w:t xml:space="preserve">  农业机械生产者、维修者、作业者应当执行农业机械产品质量、维修质量和作业质量的国家标准或者行业标准。</w:t>
      </w:r>
    </w:p>
    <w:p>
      <w:pPr>
        <w:pStyle w:val="3"/>
        <w:topLinePunct/>
        <w:spacing w:line="412" w:lineRule="exact"/>
        <w:ind w:firstLine="480"/>
        <w:rPr>
          <w:rFonts w:ascii="Tahoma" w:hAnsi="Tahoma" w:cs="Tahoma"/>
          <w:sz w:val="24"/>
          <w:szCs w:val="24"/>
        </w:rPr>
      </w:pPr>
      <w:r>
        <w:rPr>
          <w:rFonts w:ascii="Tahoma" w:hAnsi="Tahoma" w:cs="Tahoma"/>
          <w:sz w:val="24"/>
          <w:szCs w:val="24"/>
        </w:rPr>
        <w:t>本市根据都市型现代农业的需要，建立和完善农业机械维修质量和作业质量标准。没有国家标准或者行业标准，又需要在本市范围内统一农业机械技术要求的，市农业机械化主管部门应当会同市场监督管理部门及时制定地方标准。</w:t>
      </w:r>
    </w:p>
    <w:p>
      <w:pPr>
        <w:pStyle w:val="3"/>
        <w:topLinePunct/>
        <w:spacing w:line="412" w:lineRule="exact"/>
        <w:ind w:firstLine="482"/>
        <w:rPr>
          <w:rFonts w:ascii="Tahoma" w:hAnsi="Tahoma" w:cs="Tahoma"/>
          <w:sz w:val="24"/>
          <w:szCs w:val="24"/>
        </w:rPr>
      </w:pPr>
      <w:r>
        <w:rPr>
          <w:rFonts w:ascii="Tahoma" w:hAnsi="Tahoma" w:cs="Tahoma"/>
          <w:b/>
          <w:sz w:val="24"/>
          <w:szCs w:val="24"/>
        </w:rPr>
        <w:t>第十五条</w:t>
      </w:r>
      <w:r>
        <w:rPr>
          <w:rFonts w:ascii="Tahoma" w:hAnsi="Tahoma" w:cs="Tahoma"/>
          <w:sz w:val="24"/>
          <w:szCs w:val="24"/>
        </w:rPr>
        <w:t xml:space="preserve">  市场监督管理部门应当依法组织对农业机械产品质量的监督抽查，加强对农业机械产品市场的监督管理工作。</w:t>
      </w:r>
    </w:p>
    <w:p>
      <w:pPr>
        <w:pStyle w:val="3"/>
        <w:topLinePunct/>
        <w:spacing w:line="412" w:lineRule="exact"/>
        <w:ind w:firstLine="480"/>
        <w:rPr>
          <w:rFonts w:ascii="Tahoma" w:hAnsi="Tahoma" w:cs="Tahoma"/>
          <w:sz w:val="24"/>
          <w:szCs w:val="24"/>
        </w:rPr>
      </w:pPr>
      <w:r>
        <w:rPr>
          <w:rFonts w:ascii="Tahoma" w:hAnsi="Tahoma" w:cs="Tahoma"/>
          <w:sz w:val="24"/>
          <w:szCs w:val="24"/>
        </w:rPr>
        <w:t>市农业机械化主管部门可以根据农业机械使用者的投诉情况或者农业生产的实际需要，组织对在用的特定种类农业机械产品的适用性、安全性、可靠性和售后服务状况进行调查，并公布调查结果。</w:t>
      </w:r>
    </w:p>
    <w:p>
      <w:pPr>
        <w:pStyle w:val="3"/>
        <w:topLinePunct/>
        <w:spacing w:line="412" w:lineRule="exact"/>
        <w:ind w:firstLine="482"/>
        <w:rPr>
          <w:rFonts w:ascii="Tahoma" w:hAnsi="Tahoma" w:cs="Tahoma"/>
          <w:sz w:val="24"/>
          <w:szCs w:val="24"/>
        </w:rPr>
      </w:pPr>
      <w:r>
        <w:rPr>
          <w:rFonts w:ascii="Tahoma" w:hAnsi="Tahoma" w:cs="Tahoma"/>
          <w:b/>
          <w:sz w:val="24"/>
          <w:szCs w:val="24"/>
        </w:rPr>
        <w:t>第十六条</w:t>
      </w:r>
      <w:r>
        <w:rPr>
          <w:rFonts w:ascii="Tahoma" w:hAnsi="Tahoma" w:cs="Tahoma"/>
          <w:sz w:val="24"/>
          <w:szCs w:val="24"/>
        </w:rPr>
        <w:t xml:space="preserve">  农业机械生产者、销售者应当对其生产、销售的农业机械产品质量负责，按照国家有关规定为使用者提供零配件供应、培训等售后服务，并承担相应的维修、更换、退货责任。</w:t>
      </w:r>
    </w:p>
    <w:p>
      <w:pPr>
        <w:pStyle w:val="3"/>
        <w:topLinePunct/>
        <w:spacing w:line="412" w:lineRule="exact"/>
        <w:ind w:firstLine="480"/>
        <w:rPr>
          <w:rFonts w:ascii="Tahoma" w:hAnsi="Tahoma" w:cs="Tahoma"/>
          <w:sz w:val="24"/>
          <w:szCs w:val="24"/>
        </w:rPr>
      </w:pPr>
      <w:r>
        <w:rPr>
          <w:rFonts w:ascii="Tahoma" w:hAnsi="Tahoma" w:cs="Tahoma"/>
          <w:sz w:val="24"/>
          <w:szCs w:val="24"/>
        </w:rPr>
        <w:t>销售、使用的农业机械产品，应当符合本市相关环保要求。</w:t>
      </w:r>
    </w:p>
    <w:p>
      <w:pPr>
        <w:pStyle w:val="3"/>
        <w:topLinePunct/>
        <w:spacing w:line="412" w:lineRule="exact"/>
        <w:ind w:firstLine="482"/>
        <w:rPr>
          <w:rFonts w:ascii="Tahoma" w:hAnsi="Tahoma" w:cs="Tahoma"/>
          <w:sz w:val="24"/>
          <w:szCs w:val="24"/>
        </w:rPr>
      </w:pPr>
      <w:r>
        <w:rPr>
          <w:rFonts w:ascii="Tahoma" w:hAnsi="Tahoma" w:cs="Tahoma"/>
          <w:b/>
          <w:sz w:val="24"/>
          <w:szCs w:val="24"/>
        </w:rPr>
        <w:t>第十七条</w:t>
      </w:r>
      <w:r>
        <w:rPr>
          <w:rFonts w:ascii="Tahoma" w:hAnsi="Tahoma" w:cs="Tahoma"/>
          <w:sz w:val="24"/>
          <w:szCs w:val="24"/>
        </w:rPr>
        <w:t xml:space="preserve">  从事农业机械维修经营的，应当依法办理工商登记手续。</w:t>
      </w:r>
    </w:p>
    <w:p>
      <w:pPr>
        <w:pStyle w:val="3"/>
        <w:topLinePunct/>
        <w:spacing w:line="412" w:lineRule="exact"/>
        <w:ind w:firstLine="482"/>
        <w:rPr>
          <w:rFonts w:ascii="Tahoma" w:hAnsi="Tahoma" w:cs="Tahoma"/>
          <w:sz w:val="24"/>
          <w:szCs w:val="24"/>
        </w:rPr>
      </w:pPr>
      <w:r>
        <w:rPr>
          <w:rFonts w:ascii="Tahoma" w:hAnsi="Tahoma" w:cs="Tahoma"/>
          <w:b/>
          <w:sz w:val="24"/>
          <w:szCs w:val="24"/>
        </w:rPr>
        <w:t>第十八条</w:t>
      </w:r>
      <w:r>
        <w:rPr>
          <w:rFonts w:ascii="Tahoma" w:hAnsi="Tahoma" w:cs="Tahoma"/>
          <w:sz w:val="24"/>
          <w:szCs w:val="24"/>
        </w:rPr>
        <w:t xml:space="preserve">  农业机械维修者应当执行国家有关技术标准、规范，履行与用户签订的维修协议，保证维修质量，并按照国家有关规定对维修质量承担相应的责任。</w:t>
      </w:r>
    </w:p>
    <w:p>
      <w:pPr>
        <w:pStyle w:val="3"/>
        <w:topLinePunct/>
        <w:spacing w:line="412" w:lineRule="exact"/>
        <w:ind w:firstLine="482"/>
        <w:rPr>
          <w:rFonts w:ascii="Tahoma" w:hAnsi="Tahoma" w:cs="Tahoma"/>
          <w:sz w:val="24"/>
          <w:szCs w:val="24"/>
        </w:rPr>
      </w:pPr>
      <w:r>
        <w:rPr>
          <w:rFonts w:ascii="Tahoma" w:hAnsi="Tahoma" w:cs="Tahoma"/>
          <w:b/>
          <w:sz w:val="24"/>
          <w:szCs w:val="24"/>
        </w:rPr>
        <w:t>第十九条</w:t>
      </w:r>
      <w:r>
        <w:rPr>
          <w:rFonts w:ascii="Tahoma" w:hAnsi="Tahoma" w:cs="Tahoma"/>
          <w:sz w:val="24"/>
          <w:szCs w:val="24"/>
        </w:rPr>
        <w:t xml:space="preserve">  提供农业机械作业服务的组织或者个人，应当按照相关作业质量标准确保作业质量；没有相关作业质量标准的，当事人双方可以约定作业验收条件。</w:t>
      </w:r>
    </w:p>
    <w:p>
      <w:pPr>
        <w:pStyle w:val="3"/>
        <w:topLinePunct/>
        <w:spacing w:line="412" w:lineRule="exact"/>
        <w:ind w:firstLine="480"/>
        <w:rPr>
          <w:rFonts w:ascii="Tahoma" w:hAnsi="Tahoma" w:cs="Tahoma"/>
          <w:sz w:val="24"/>
          <w:szCs w:val="24"/>
        </w:rPr>
      </w:pPr>
      <w:r>
        <w:rPr>
          <w:rFonts w:ascii="Tahoma" w:hAnsi="Tahoma" w:cs="Tahoma"/>
          <w:sz w:val="24"/>
          <w:szCs w:val="24"/>
        </w:rPr>
        <w:t>提供有偿农业机械作业服务的组织或者个人作业质量不符合标准或者未达到约定验收条件，造成经济损失的，应当依法赔偿。</w:t>
      </w:r>
    </w:p>
    <w:p>
      <w:pPr>
        <w:pStyle w:val="3"/>
        <w:topLinePunct/>
        <w:spacing w:line="412" w:lineRule="exact"/>
        <w:ind w:firstLine="482"/>
        <w:rPr>
          <w:rFonts w:ascii="Tahoma" w:hAnsi="Tahoma" w:cs="Tahoma"/>
          <w:sz w:val="24"/>
          <w:szCs w:val="24"/>
        </w:rPr>
      </w:pPr>
      <w:r>
        <w:rPr>
          <w:rFonts w:ascii="Tahoma" w:hAnsi="Tahoma" w:cs="Tahoma"/>
          <w:b/>
          <w:sz w:val="24"/>
          <w:szCs w:val="24"/>
        </w:rPr>
        <w:t>第二十条</w:t>
      </w:r>
      <w:r>
        <w:rPr>
          <w:rFonts w:ascii="Tahoma" w:hAnsi="Tahoma" w:cs="Tahoma"/>
          <w:sz w:val="24"/>
          <w:szCs w:val="24"/>
        </w:rPr>
        <w:t xml:space="preserve">  因农业机械产品质量、维修质量和作业质量发生争议的，当事人可以协商解决；协商不成的，可以向当地区农业机械化主管部门或者其他有关部门申请调解，也可以直接向人民法院提起诉讼。</w:t>
      </w:r>
    </w:p>
    <w:p>
      <w:pPr>
        <w:pStyle w:val="63"/>
        <w:spacing w:before="218" w:after="218" w:line="412" w:lineRule="exact"/>
        <w:rPr>
          <w:rStyle w:val="30"/>
          <w:b w:val="0"/>
          <w:bCs/>
          <w:szCs w:val="21"/>
        </w:rPr>
      </w:pPr>
      <w:r>
        <w:rPr>
          <w:rStyle w:val="30"/>
          <w:b w:val="0"/>
          <w:bCs/>
          <w:szCs w:val="21"/>
        </w:rPr>
        <w:t>第四章  社会化服务</w:t>
      </w:r>
    </w:p>
    <w:p>
      <w:pPr>
        <w:pStyle w:val="3"/>
        <w:topLinePunct/>
        <w:spacing w:line="412" w:lineRule="exact"/>
        <w:ind w:firstLine="482"/>
        <w:rPr>
          <w:rFonts w:ascii="Tahoma" w:hAnsi="Tahoma" w:cs="Tahoma"/>
          <w:sz w:val="24"/>
          <w:szCs w:val="24"/>
        </w:rPr>
      </w:pPr>
      <w:r>
        <w:rPr>
          <w:rFonts w:ascii="Tahoma" w:hAnsi="Tahoma" w:cs="Tahoma"/>
          <w:b/>
          <w:sz w:val="24"/>
          <w:szCs w:val="24"/>
        </w:rPr>
        <w:t>第二十一条</w:t>
      </w:r>
      <w:r>
        <w:rPr>
          <w:rFonts w:ascii="Tahoma" w:hAnsi="Tahoma" w:cs="Tahoma"/>
          <w:sz w:val="24"/>
          <w:szCs w:val="24"/>
        </w:rPr>
        <w:t xml:space="preserve">  市和区人民政府应当采取措施，鼓励和扶持多种形式的农业机械服务组织的发展，推进农业机械化信息网络建设，完善农业机械化服务体系。</w:t>
      </w:r>
    </w:p>
    <w:p>
      <w:pPr>
        <w:pStyle w:val="3"/>
        <w:topLinePunct/>
        <w:spacing w:line="412" w:lineRule="exact"/>
        <w:ind w:firstLine="480"/>
        <w:rPr>
          <w:rFonts w:ascii="Tahoma" w:hAnsi="Tahoma" w:cs="Tahoma"/>
          <w:sz w:val="24"/>
          <w:szCs w:val="24"/>
        </w:rPr>
      </w:pPr>
      <w:r>
        <w:rPr>
          <w:rFonts w:ascii="Tahoma" w:hAnsi="Tahoma" w:cs="Tahoma"/>
          <w:sz w:val="24"/>
          <w:szCs w:val="24"/>
        </w:rPr>
        <w:t>农业机械服务组织可以根据农民、农业生产经营组织的需求，提供农业机械示范推广、维修、实用技术培训、信息咨询、中介等社会化服务。</w:t>
      </w:r>
    </w:p>
    <w:p>
      <w:pPr>
        <w:pStyle w:val="3"/>
        <w:topLinePunct/>
        <w:spacing w:line="412" w:lineRule="exact"/>
        <w:ind w:firstLine="482"/>
        <w:rPr>
          <w:rFonts w:ascii="Tahoma" w:hAnsi="Tahoma" w:cs="Tahoma"/>
          <w:sz w:val="24"/>
          <w:szCs w:val="24"/>
        </w:rPr>
      </w:pPr>
      <w:r>
        <w:rPr>
          <w:rFonts w:ascii="Tahoma" w:hAnsi="Tahoma" w:cs="Tahoma"/>
          <w:b/>
          <w:sz w:val="24"/>
          <w:szCs w:val="24"/>
        </w:rPr>
        <w:t>第二十二条</w:t>
      </w:r>
      <w:r>
        <w:rPr>
          <w:rFonts w:ascii="Tahoma" w:hAnsi="Tahoma" w:cs="Tahoma"/>
          <w:sz w:val="24"/>
          <w:szCs w:val="24"/>
        </w:rPr>
        <w:t xml:space="preserve">  支持农业生产经营者通过机械、土地、资本、技术等要素进行联合，在自愿的基础上，依法设立农业机械作业服务合作社。</w:t>
      </w:r>
    </w:p>
    <w:p>
      <w:pPr>
        <w:pStyle w:val="3"/>
        <w:topLinePunct/>
        <w:spacing w:line="412" w:lineRule="exact"/>
        <w:ind w:firstLine="480"/>
        <w:rPr>
          <w:rFonts w:ascii="Tahoma" w:hAnsi="Tahoma" w:cs="Tahoma"/>
          <w:sz w:val="24"/>
          <w:szCs w:val="24"/>
        </w:rPr>
      </w:pPr>
      <w:r>
        <w:rPr>
          <w:rFonts w:ascii="Tahoma" w:hAnsi="Tahoma" w:cs="Tahoma"/>
          <w:sz w:val="24"/>
          <w:szCs w:val="24"/>
        </w:rPr>
        <w:t>鼓励农民共同使用、合作经营农业机械，扩大作业规模，提高农业机械利用率和作业效率。</w:t>
      </w:r>
    </w:p>
    <w:p>
      <w:pPr>
        <w:pStyle w:val="3"/>
        <w:topLinePunct/>
        <w:spacing w:line="412" w:lineRule="exact"/>
        <w:ind w:firstLine="482"/>
        <w:rPr>
          <w:rFonts w:ascii="Tahoma" w:hAnsi="Tahoma" w:cs="Tahoma"/>
          <w:sz w:val="24"/>
          <w:szCs w:val="24"/>
        </w:rPr>
      </w:pPr>
      <w:r>
        <w:rPr>
          <w:rFonts w:ascii="Tahoma" w:hAnsi="Tahoma" w:cs="Tahoma"/>
          <w:b/>
          <w:sz w:val="24"/>
          <w:szCs w:val="24"/>
        </w:rPr>
        <w:t>第二十三条</w:t>
      </w:r>
      <w:r>
        <w:rPr>
          <w:rFonts w:ascii="Tahoma" w:hAnsi="Tahoma" w:cs="Tahoma"/>
          <w:sz w:val="24"/>
          <w:szCs w:val="24"/>
        </w:rPr>
        <w:t xml:space="preserve">  市农业机械化主管部门应当建立全市统一的农业机械化信息服务平台，健全信息搜集、发布制度，为单位和个人购买、使用、租赁、流转、维修农业机械和跨行政区域作业提供信息服务。</w:t>
      </w:r>
    </w:p>
    <w:p>
      <w:pPr>
        <w:pStyle w:val="3"/>
        <w:topLinePunct/>
        <w:spacing w:line="412" w:lineRule="exact"/>
        <w:ind w:firstLine="482"/>
        <w:rPr>
          <w:rFonts w:ascii="Tahoma" w:hAnsi="Tahoma" w:cs="Tahoma"/>
          <w:sz w:val="24"/>
          <w:szCs w:val="24"/>
        </w:rPr>
      </w:pPr>
      <w:r>
        <w:rPr>
          <w:rFonts w:ascii="Tahoma" w:hAnsi="Tahoma" w:cs="Tahoma"/>
          <w:b/>
          <w:sz w:val="24"/>
          <w:szCs w:val="24"/>
        </w:rPr>
        <w:t>第二十四条</w:t>
      </w:r>
      <w:r>
        <w:rPr>
          <w:rFonts w:ascii="Tahoma" w:hAnsi="Tahoma" w:cs="Tahoma"/>
          <w:sz w:val="24"/>
          <w:szCs w:val="24"/>
        </w:rPr>
        <w:t xml:space="preserve">  市和区农业机械化主管部门应当为农业机械跨行政区域作业做好服务工作，提供作业信息，维护作业秩序，依法实施安全监督管理。</w:t>
      </w:r>
    </w:p>
    <w:p>
      <w:pPr>
        <w:pStyle w:val="3"/>
        <w:topLinePunct/>
        <w:spacing w:line="412" w:lineRule="exact"/>
        <w:ind w:firstLine="480"/>
        <w:rPr>
          <w:rFonts w:ascii="Tahoma" w:hAnsi="Tahoma" w:cs="Tahoma"/>
          <w:sz w:val="24"/>
          <w:szCs w:val="24"/>
        </w:rPr>
      </w:pPr>
      <w:r>
        <w:rPr>
          <w:rFonts w:ascii="Tahoma" w:hAnsi="Tahoma" w:cs="Tahoma"/>
          <w:sz w:val="24"/>
          <w:szCs w:val="24"/>
        </w:rPr>
        <w:t>公安</w:t>
      </w:r>
      <w:r>
        <w:rPr>
          <w:rFonts w:ascii="Tahoma" w:hAnsi="Tahoma" w:cs="Tahoma"/>
          <w:spacing w:val="-2"/>
          <w:sz w:val="24"/>
          <w:szCs w:val="24"/>
        </w:rPr>
        <w:t>、交通等部门应当根据农业机械跨行政区域作业实际需要，采取有效措施，合理安排跨行政区域作业的农业机械运行时间和路线，并提供相关保障和服务。</w:t>
      </w:r>
    </w:p>
    <w:p>
      <w:pPr>
        <w:pStyle w:val="3"/>
        <w:topLinePunct/>
        <w:spacing w:line="412" w:lineRule="exact"/>
        <w:ind w:firstLine="482"/>
        <w:rPr>
          <w:rFonts w:ascii="Tahoma" w:hAnsi="Tahoma" w:cs="Tahoma"/>
          <w:sz w:val="24"/>
          <w:szCs w:val="24"/>
        </w:rPr>
      </w:pPr>
      <w:r>
        <w:rPr>
          <w:rFonts w:ascii="Tahoma" w:hAnsi="Tahoma" w:cs="Tahoma"/>
          <w:b/>
          <w:sz w:val="24"/>
          <w:szCs w:val="24"/>
        </w:rPr>
        <w:t>第二十五条</w:t>
      </w:r>
      <w:r>
        <w:rPr>
          <w:rFonts w:ascii="Tahoma" w:hAnsi="Tahoma" w:cs="Tahoma"/>
          <w:sz w:val="24"/>
          <w:szCs w:val="24"/>
        </w:rPr>
        <w:t xml:space="preserve">  市和区农业机械化主管部门应当组织农业机械技术推广机构和农业机械化学校，结合本地区农业生产实际，开展农业机械推广和科普宣传活动，做好农业机械化从业人员的培训和继续教育工作，提高农民对先进生产工具及技术的接受能力和安全操作水平。</w:t>
      </w:r>
    </w:p>
    <w:p>
      <w:pPr>
        <w:pStyle w:val="3"/>
        <w:topLinePunct/>
        <w:spacing w:line="412" w:lineRule="exact"/>
        <w:ind w:firstLine="482"/>
        <w:rPr>
          <w:rFonts w:ascii="Tahoma" w:hAnsi="Tahoma" w:cs="Tahoma"/>
          <w:sz w:val="24"/>
          <w:szCs w:val="24"/>
        </w:rPr>
      </w:pPr>
      <w:r>
        <w:rPr>
          <w:rFonts w:ascii="Tahoma" w:hAnsi="Tahoma" w:cs="Tahoma"/>
          <w:b/>
          <w:sz w:val="24"/>
          <w:szCs w:val="24"/>
        </w:rPr>
        <w:t>第二十六条</w:t>
      </w:r>
      <w:r>
        <w:rPr>
          <w:rFonts w:ascii="Tahoma" w:hAnsi="Tahoma" w:cs="Tahoma"/>
          <w:sz w:val="24"/>
          <w:szCs w:val="24"/>
        </w:rPr>
        <w:t xml:space="preserve">  鼓励有关高等院校、中等职业学校和培训机构通过远程教育、现场观摩、广播网络等多种形式，开展农业机械化专业人才和农业机械作业、维修、管理等高技术人员培养工作。</w:t>
      </w:r>
    </w:p>
    <w:p>
      <w:pPr>
        <w:pStyle w:val="3"/>
        <w:topLinePunct/>
        <w:spacing w:line="412" w:lineRule="exact"/>
        <w:ind w:firstLine="482"/>
        <w:rPr>
          <w:rFonts w:ascii="Tahoma" w:hAnsi="Tahoma" w:cs="Tahoma"/>
          <w:sz w:val="24"/>
          <w:szCs w:val="24"/>
        </w:rPr>
      </w:pPr>
      <w:r>
        <w:rPr>
          <w:rFonts w:ascii="Tahoma" w:hAnsi="Tahoma" w:cs="Tahoma"/>
          <w:b/>
          <w:sz w:val="24"/>
          <w:szCs w:val="24"/>
        </w:rPr>
        <w:t>第二十七条</w:t>
      </w:r>
      <w:r>
        <w:rPr>
          <w:rFonts w:ascii="Tahoma" w:hAnsi="Tahoma" w:cs="Tahoma"/>
          <w:sz w:val="24"/>
          <w:szCs w:val="24"/>
        </w:rPr>
        <w:t xml:space="preserve">  农业机械生产者、销售者、维修者可以依法自愿成立行业协会，实行行业自律。</w:t>
      </w:r>
    </w:p>
    <w:p>
      <w:pPr>
        <w:pStyle w:val="3"/>
        <w:topLinePunct/>
        <w:spacing w:line="412" w:lineRule="exact"/>
        <w:ind w:firstLine="480"/>
        <w:rPr>
          <w:rFonts w:ascii="Tahoma" w:hAnsi="Tahoma" w:cs="Tahoma"/>
          <w:sz w:val="24"/>
          <w:szCs w:val="24"/>
        </w:rPr>
      </w:pPr>
      <w:r>
        <w:rPr>
          <w:rFonts w:ascii="Tahoma" w:hAnsi="Tahoma" w:cs="Tahoma"/>
          <w:sz w:val="24"/>
          <w:szCs w:val="24"/>
        </w:rPr>
        <w:t>行业协会应当为成员提供农业机械化的相关信息咨询、技术指导、市场营销、宣传培训等服务，维护成员和行业的合法权益。</w:t>
      </w:r>
    </w:p>
    <w:p>
      <w:pPr>
        <w:pStyle w:val="63"/>
        <w:spacing w:before="218" w:after="218" w:line="412" w:lineRule="exact"/>
        <w:rPr>
          <w:rStyle w:val="30"/>
          <w:b w:val="0"/>
          <w:bCs/>
        </w:rPr>
      </w:pPr>
      <w:r>
        <w:rPr>
          <w:rStyle w:val="30"/>
          <w:b w:val="0"/>
          <w:bCs/>
          <w:szCs w:val="21"/>
        </w:rPr>
        <w:t>第五章  扶持措施</w:t>
      </w:r>
    </w:p>
    <w:p>
      <w:pPr>
        <w:pStyle w:val="3"/>
        <w:topLinePunct/>
        <w:spacing w:line="412" w:lineRule="exact"/>
        <w:ind w:firstLine="482"/>
        <w:rPr>
          <w:rFonts w:ascii="Tahoma" w:hAnsi="Tahoma" w:cs="Tahoma"/>
          <w:sz w:val="24"/>
          <w:szCs w:val="24"/>
        </w:rPr>
      </w:pPr>
      <w:r>
        <w:rPr>
          <w:rFonts w:ascii="Tahoma" w:hAnsi="Tahoma" w:cs="Tahoma"/>
          <w:b/>
          <w:sz w:val="24"/>
          <w:szCs w:val="24"/>
        </w:rPr>
        <w:t>第二十八条</w:t>
      </w:r>
      <w:r>
        <w:rPr>
          <w:rFonts w:ascii="Tahoma" w:hAnsi="Tahoma" w:cs="Tahoma"/>
          <w:sz w:val="24"/>
          <w:szCs w:val="24"/>
        </w:rPr>
        <w:t xml:space="preserve">  市和区人民政府应当安排资金，用于下列农业机械化发展相关事项：</w:t>
      </w:r>
    </w:p>
    <w:p>
      <w:pPr>
        <w:pStyle w:val="3"/>
        <w:topLinePunct/>
        <w:spacing w:line="412" w:lineRule="exact"/>
        <w:ind w:firstLine="480"/>
        <w:rPr>
          <w:rFonts w:ascii="Tahoma" w:hAnsi="Tahoma" w:cs="Tahoma"/>
          <w:sz w:val="24"/>
          <w:szCs w:val="24"/>
        </w:rPr>
      </w:pPr>
      <w:r>
        <w:rPr>
          <w:rFonts w:ascii="Tahoma" w:hAnsi="Tahoma" w:cs="Tahoma"/>
          <w:sz w:val="24"/>
          <w:szCs w:val="24"/>
        </w:rPr>
        <w:t>（一）农业机械科研开发与推广；</w:t>
      </w:r>
    </w:p>
    <w:p>
      <w:pPr>
        <w:pStyle w:val="3"/>
        <w:topLinePunct/>
        <w:spacing w:line="412" w:lineRule="exact"/>
        <w:ind w:firstLine="480"/>
        <w:rPr>
          <w:rFonts w:ascii="Tahoma" w:hAnsi="Tahoma" w:cs="Tahoma"/>
          <w:sz w:val="24"/>
          <w:szCs w:val="24"/>
        </w:rPr>
      </w:pPr>
      <w:r>
        <w:rPr>
          <w:rFonts w:ascii="Tahoma" w:hAnsi="Tahoma" w:cs="Tahoma"/>
          <w:sz w:val="24"/>
          <w:szCs w:val="24"/>
        </w:rPr>
        <w:t>（二）农业机械化从业人员教育培训；</w:t>
      </w:r>
    </w:p>
    <w:p>
      <w:pPr>
        <w:pStyle w:val="3"/>
        <w:topLinePunct/>
        <w:spacing w:line="412" w:lineRule="exact"/>
        <w:ind w:firstLine="480"/>
        <w:rPr>
          <w:rFonts w:ascii="Tahoma" w:hAnsi="Tahoma" w:cs="Tahoma"/>
          <w:sz w:val="24"/>
          <w:szCs w:val="24"/>
        </w:rPr>
      </w:pPr>
      <w:r>
        <w:rPr>
          <w:rFonts w:ascii="Tahoma" w:hAnsi="Tahoma" w:cs="Tahoma"/>
          <w:sz w:val="24"/>
          <w:szCs w:val="24"/>
        </w:rPr>
        <w:t>（三）农业机械购置补贴和贷款贴息；</w:t>
      </w:r>
    </w:p>
    <w:p>
      <w:pPr>
        <w:pStyle w:val="3"/>
        <w:topLinePunct/>
        <w:spacing w:line="412" w:lineRule="exact"/>
        <w:ind w:firstLine="480"/>
        <w:rPr>
          <w:rFonts w:ascii="Tahoma" w:hAnsi="Tahoma" w:cs="Tahoma"/>
          <w:sz w:val="24"/>
          <w:szCs w:val="24"/>
        </w:rPr>
      </w:pPr>
      <w:r>
        <w:rPr>
          <w:rFonts w:ascii="Tahoma" w:hAnsi="Tahoma" w:cs="Tahoma"/>
          <w:sz w:val="24"/>
          <w:szCs w:val="24"/>
        </w:rPr>
        <w:t>（四）农业机械生产作业用燃油补贴；</w:t>
      </w:r>
    </w:p>
    <w:p>
      <w:pPr>
        <w:pStyle w:val="3"/>
        <w:topLinePunct/>
        <w:spacing w:line="412" w:lineRule="exact"/>
        <w:ind w:firstLine="480"/>
        <w:rPr>
          <w:rFonts w:ascii="Tahoma" w:hAnsi="Tahoma" w:cs="Tahoma"/>
          <w:sz w:val="24"/>
          <w:szCs w:val="24"/>
        </w:rPr>
      </w:pPr>
      <w:r>
        <w:rPr>
          <w:rFonts w:ascii="Tahoma" w:hAnsi="Tahoma" w:cs="Tahoma"/>
          <w:sz w:val="24"/>
          <w:szCs w:val="24"/>
        </w:rPr>
        <w:t>（五）农业机械维修服务体系建设；</w:t>
      </w:r>
    </w:p>
    <w:p>
      <w:pPr>
        <w:pStyle w:val="3"/>
        <w:topLinePunct/>
        <w:spacing w:line="412" w:lineRule="exact"/>
        <w:ind w:firstLine="480"/>
        <w:rPr>
          <w:rFonts w:ascii="Tahoma" w:hAnsi="Tahoma" w:cs="Tahoma"/>
          <w:sz w:val="24"/>
          <w:szCs w:val="24"/>
        </w:rPr>
      </w:pPr>
      <w:r>
        <w:rPr>
          <w:rFonts w:ascii="Tahoma" w:hAnsi="Tahoma" w:cs="Tahoma"/>
          <w:sz w:val="24"/>
          <w:szCs w:val="24"/>
        </w:rPr>
        <w:t>（六）农业机械化基础设施建设；</w:t>
      </w:r>
    </w:p>
    <w:p>
      <w:pPr>
        <w:pStyle w:val="3"/>
        <w:topLinePunct/>
        <w:spacing w:line="412" w:lineRule="exact"/>
        <w:ind w:firstLine="480"/>
        <w:rPr>
          <w:rFonts w:ascii="Tahoma" w:hAnsi="Tahoma" w:cs="Tahoma"/>
          <w:sz w:val="24"/>
          <w:szCs w:val="24"/>
        </w:rPr>
      </w:pPr>
      <w:r>
        <w:rPr>
          <w:rFonts w:ascii="Tahoma" w:hAnsi="Tahoma" w:cs="Tahoma"/>
          <w:sz w:val="24"/>
          <w:szCs w:val="24"/>
        </w:rPr>
        <w:t>（七）其他促进农业机械化发展的事项。</w:t>
      </w:r>
    </w:p>
    <w:p>
      <w:pPr>
        <w:pStyle w:val="3"/>
        <w:topLinePunct/>
        <w:spacing w:line="412" w:lineRule="exact"/>
        <w:ind w:firstLine="480"/>
        <w:rPr>
          <w:rFonts w:ascii="Tahoma" w:hAnsi="Tahoma" w:cs="Tahoma"/>
          <w:sz w:val="24"/>
          <w:szCs w:val="24"/>
        </w:rPr>
      </w:pPr>
      <w:r>
        <w:rPr>
          <w:rFonts w:ascii="Tahoma" w:hAnsi="Tahoma" w:cs="Tahoma"/>
          <w:sz w:val="24"/>
          <w:szCs w:val="24"/>
        </w:rPr>
        <w:t>市和区人民政府应当加强对农业机械化扶持资金使用情况的监督。</w:t>
      </w:r>
    </w:p>
    <w:p>
      <w:pPr>
        <w:pStyle w:val="3"/>
        <w:topLinePunct/>
        <w:spacing w:line="412" w:lineRule="exact"/>
        <w:ind w:firstLine="482"/>
        <w:rPr>
          <w:rFonts w:ascii="Tahoma" w:hAnsi="Tahoma" w:cs="Tahoma"/>
          <w:sz w:val="24"/>
          <w:szCs w:val="24"/>
        </w:rPr>
      </w:pPr>
      <w:r>
        <w:rPr>
          <w:rFonts w:ascii="Tahoma" w:hAnsi="Tahoma" w:cs="Tahoma"/>
          <w:b/>
          <w:sz w:val="24"/>
          <w:szCs w:val="24"/>
        </w:rPr>
        <w:t>第二十九条</w:t>
      </w:r>
      <w:r>
        <w:rPr>
          <w:rFonts w:ascii="Tahoma" w:hAnsi="Tahoma" w:cs="Tahoma"/>
          <w:sz w:val="24"/>
          <w:szCs w:val="24"/>
        </w:rPr>
        <w:t xml:space="preserve">  鼓励和支持农业机械生产者增加新技术、新产品、新工艺的研究开发投入。农业机械的科研开发和生产活动，依法享受税收优惠。</w:t>
      </w:r>
    </w:p>
    <w:p>
      <w:pPr>
        <w:pStyle w:val="3"/>
        <w:topLinePunct/>
        <w:spacing w:line="412" w:lineRule="exact"/>
        <w:ind w:firstLine="482"/>
        <w:rPr>
          <w:rFonts w:ascii="Tahoma" w:hAnsi="Tahoma" w:cs="Tahoma"/>
          <w:sz w:val="24"/>
          <w:szCs w:val="24"/>
        </w:rPr>
      </w:pPr>
      <w:r>
        <w:rPr>
          <w:rFonts w:ascii="Tahoma" w:hAnsi="Tahoma" w:cs="Tahoma"/>
          <w:b/>
          <w:sz w:val="24"/>
          <w:szCs w:val="24"/>
        </w:rPr>
        <w:t>第三十条</w:t>
      </w:r>
      <w:r>
        <w:rPr>
          <w:rFonts w:ascii="Tahoma" w:hAnsi="Tahoma" w:cs="Tahoma"/>
          <w:sz w:val="24"/>
          <w:szCs w:val="24"/>
        </w:rPr>
        <w:t xml:space="preserve">  鼓励农民和农业生产经营组织购买先进适用的农业机械。市农业机械化主管部门会同财政部门，按照国家有关规定制定并公布本市农业机械购置补贴的机具品目及补贴额。</w:t>
      </w:r>
    </w:p>
    <w:p>
      <w:pPr>
        <w:pStyle w:val="3"/>
        <w:topLinePunct/>
        <w:spacing w:line="412" w:lineRule="exact"/>
        <w:ind w:firstLine="480"/>
        <w:rPr>
          <w:rFonts w:ascii="Tahoma" w:hAnsi="Tahoma" w:cs="Tahoma"/>
          <w:sz w:val="24"/>
          <w:szCs w:val="24"/>
        </w:rPr>
      </w:pPr>
      <w:r>
        <w:rPr>
          <w:rFonts w:ascii="Tahoma" w:hAnsi="Tahoma" w:cs="Tahoma"/>
          <w:sz w:val="24"/>
          <w:szCs w:val="24"/>
        </w:rPr>
        <w:t>具有较大规模的农业机械作业服务合作社及其他农业机械作业服务组织购买农业机械产品，可以按照有关规定享受扶持政策。</w:t>
      </w:r>
    </w:p>
    <w:p>
      <w:pPr>
        <w:pStyle w:val="3"/>
        <w:topLinePunct/>
        <w:spacing w:line="412" w:lineRule="exact"/>
        <w:ind w:firstLine="482"/>
        <w:rPr>
          <w:rFonts w:ascii="Tahoma" w:hAnsi="Tahoma" w:cs="Tahoma"/>
          <w:sz w:val="24"/>
          <w:szCs w:val="24"/>
        </w:rPr>
      </w:pPr>
      <w:r>
        <w:rPr>
          <w:rFonts w:ascii="Tahoma" w:hAnsi="Tahoma" w:cs="Tahoma"/>
          <w:b/>
          <w:sz w:val="24"/>
          <w:szCs w:val="24"/>
        </w:rPr>
        <w:t>第三十一条</w:t>
      </w:r>
      <w:r>
        <w:rPr>
          <w:rFonts w:ascii="Tahoma" w:hAnsi="Tahoma" w:cs="Tahoma"/>
          <w:sz w:val="24"/>
          <w:szCs w:val="24"/>
        </w:rPr>
        <w:t xml:space="preserve">  市和区农业机械化主管部门应当组织有关部门和燃油供应单位采取措施，对季节性农业机械生产作业用燃油优先予以保障。</w:t>
      </w:r>
    </w:p>
    <w:p>
      <w:pPr>
        <w:pStyle w:val="3"/>
        <w:topLinePunct/>
        <w:spacing w:line="412" w:lineRule="exact"/>
        <w:ind w:firstLine="482"/>
        <w:rPr>
          <w:rFonts w:ascii="Tahoma" w:hAnsi="Tahoma" w:cs="Tahoma"/>
          <w:sz w:val="24"/>
          <w:szCs w:val="24"/>
        </w:rPr>
      </w:pPr>
      <w:r>
        <w:rPr>
          <w:rFonts w:ascii="Tahoma" w:hAnsi="Tahoma" w:cs="Tahoma"/>
          <w:b/>
          <w:sz w:val="24"/>
          <w:szCs w:val="24"/>
        </w:rPr>
        <w:t>第三十二条</w:t>
      </w:r>
      <w:r>
        <w:rPr>
          <w:rFonts w:ascii="Tahoma" w:hAnsi="Tahoma" w:cs="Tahoma"/>
          <w:sz w:val="24"/>
          <w:szCs w:val="24"/>
        </w:rPr>
        <w:t xml:space="preserve">  政策性金融机构应当采取多种形式为农民和农业机械作业服务组织购买先进适用的农业机械提供信贷服务，扩大购置农业机械信贷规模，加大扶持力度。</w:t>
      </w:r>
    </w:p>
    <w:p>
      <w:pPr>
        <w:pStyle w:val="3"/>
        <w:topLinePunct/>
        <w:spacing w:line="412" w:lineRule="exact"/>
        <w:ind w:firstLine="480"/>
        <w:rPr>
          <w:rFonts w:ascii="Tahoma" w:hAnsi="Tahoma" w:cs="Tahoma"/>
          <w:sz w:val="24"/>
          <w:szCs w:val="24"/>
        </w:rPr>
      </w:pPr>
      <w:r>
        <w:rPr>
          <w:rFonts w:ascii="Tahoma" w:hAnsi="Tahoma" w:cs="Tahoma"/>
          <w:sz w:val="24"/>
          <w:szCs w:val="24"/>
        </w:rPr>
        <w:t>鼓励商业性金融机构开展购置农业机械信贷服务，对农民和农业机械作业服务组织提供资金支持。</w:t>
      </w:r>
    </w:p>
    <w:p>
      <w:pPr>
        <w:pStyle w:val="3"/>
        <w:topLinePunct/>
        <w:spacing w:line="412" w:lineRule="exact"/>
        <w:ind w:firstLine="482"/>
        <w:rPr>
          <w:rFonts w:ascii="Tahoma" w:hAnsi="Tahoma" w:cs="Tahoma"/>
          <w:sz w:val="24"/>
          <w:szCs w:val="24"/>
        </w:rPr>
      </w:pPr>
      <w:r>
        <w:rPr>
          <w:rFonts w:ascii="Tahoma" w:hAnsi="Tahoma" w:cs="Tahoma"/>
          <w:b/>
          <w:sz w:val="24"/>
          <w:szCs w:val="24"/>
        </w:rPr>
        <w:t>第三十三条</w:t>
      </w:r>
      <w:r>
        <w:rPr>
          <w:rFonts w:ascii="Tahoma" w:hAnsi="Tahoma" w:cs="Tahoma"/>
          <w:sz w:val="24"/>
          <w:szCs w:val="24"/>
        </w:rPr>
        <w:t xml:space="preserve">  建立和完善农业机械保险制度，将农业机械保险纳入本市政策性农业保险范围。</w:t>
      </w:r>
    </w:p>
    <w:p>
      <w:pPr>
        <w:pStyle w:val="3"/>
        <w:topLinePunct/>
        <w:spacing w:line="412" w:lineRule="exact"/>
        <w:ind w:firstLine="480"/>
        <w:rPr>
          <w:rFonts w:ascii="Tahoma" w:hAnsi="Tahoma" w:cs="Tahoma"/>
          <w:sz w:val="24"/>
          <w:szCs w:val="24"/>
        </w:rPr>
      </w:pPr>
      <w:r>
        <w:rPr>
          <w:rFonts w:ascii="Tahoma" w:hAnsi="Tahoma" w:cs="Tahoma"/>
          <w:sz w:val="24"/>
          <w:szCs w:val="24"/>
        </w:rPr>
        <w:t>鼓励各类保险机构研究开发适合本市农业机械特点的保险产品。</w:t>
      </w:r>
    </w:p>
    <w:p>
      <w:pPr>
        <w:pStyle w:val="3"/>
        <w:topLinePunct/>
        <w:spacing w:line="412" w:lineRule="exact"/>
        <w:ind w:firstLine="482"/>
        <w:rPr>
          <w:rFonts w:ascii="Tahoma" w:hAnsi="Tahoma" w:cs="Tahoma"/>
          <w:sz w:val="24"/>
          <w:szCs w:val="24"/>
        </w:rPr>
      </w:pPr>
      <w:r>
        <w:rPr>
          <w:rFonts w:ascii="Tahoma" w:hAnsi="Tahoma" w:cs="Tahoma"/>
          <w:b/>
          <w:sz w:val="24"/>
          <w:szCs w:val="24"/>
        </w:rPr>
        <w:t>第三十四条</w:t>
      </w:r>
      <w:r>
        <w:rPr>
          <w:rFonts w:ascii="Tahoma" w:hAnsi="Tahoma" w:cs="Tahoma"/>
          <w:sz w:val="24"/>
          <w:szCs w:val="24"/>
        </w:rPr>
        <w:t xml:space="preserve">  本市各级人民政府应当采取措施，加强农村机耕道路和农业机械存放场库等农业机械化基础设施建设和维护，改善农业机械作业、通行条件。</w:t>
      </w:r>
    </w:p>
    <w:p>
      <w:pPr>
        <w:pStyle w:val="3"/>
        <w:topLinePunct/>
        <w:spacing w:line="412" w:lineRule="exact"/>
        <w:ind w:firstLine="480"/>
        <w:rPr>
          <w:rFonts w:ascii="Tahoma" w:hAnsi="Tahoma" w:cs="Tahoma"/>
          <w:sz w:val="24"/>
          <w:szCs w:val="24"/>
        </w:rPr>
      </w:pPr>
      <w:r>
        <w:rPr>
          <w:rFonts w:ascii="Tahoma" w:hAnsi="Tahoma" w:cs="Tahoma"/>
          <w:sz w:val="24"/>
          <w:szCs w:val="24"/>
        </w:rPr>
        <w:t>农业机械存放场库、维修保养车间等农业机械化基础设施用地，应当符合土地利用总体规划和城乡规划；未使用建筑材料硬化地面或者虽使用建筑材料但未破坏土地并易于复垦的，按照设施农用地进行管理。农业机械化基础设施用地不得挪作他用。</w:t>
      </w:r>
    </w:p>
    <w:p>
      <w:pPr>
        <w:pStyle w:val="3"/>
        <w:topLinePunct/>
        <w:spacing w:line="412" w:lineRule="exact"/>
        <w:ind w:firstLine="480"/>
        <w:rPr>
          <w:rFonts w:ascii="Tahoma" w:hAnsi="Tahoma" w:cs="Tahoma"/>
          <w:sz w:val="24"/>
          <w:szCs w:val="24"/>
        </w:rPr>
      </w:pPr>
      <w:r>
        <w:rPr>
          <w:rFonts w:ascii="Tahoma" w:hAnsi="Tahoma" w:cs="Tahoma"/>
          <w:sz w:val="24"/>
          <w:szCs w:val="24"/>
        </w:rPr>
        <w:t>村民委员会对农业机械存放场库、维修保养车间等农业机械化基础设施用地和建设，应当给予配合和支持。</w:t>
      </w:r>
    </w:p>
    <w:p>
      <w:pPr>
        <w:pStyle w:val="3"/>
        <w:topLinePunct/>
        <w:spacing w:line="412" w:lineRule="exact"/>
        <w:ind w:firstLine="482"/>
        <w:rPr>
          <w:rFonts w:ascii="Tahoma" w:hAnsi="Tahoma" w:cs="Tahoma"/>
          <w:sz w:val="24"/>
          <w:szCs w:val="24"/>
        </w:rPr>
      </w:pPr>
      <w:r>
        <w:rPr>
          <w:rFonts w:ascii="Tahoma" w:hAnsi="Tahoma" w:cs="Tahoma"/>
          <w:b/>
          <w:sz w:val="24"/>
          <w:szCs w:val="24"/>
        </w:rPr>
        <w:t>第三十五条</w:t>
      </w:r>
      <w:r>
        <w:rPr>
          <w:rFonts w:ascii="Tahoma" w:hAnsi="Tahoma" w:cs="Tahoma"/>
          <w:sz w:val="24"/>
          <w:szCs w:val="24"/>
        </w:rPr>
        <w:t xml:space="preserve">  市和区农业机械化主管部门应当加强农业机械维修服务体系建设，扶持社会力量及农业机械生产企业兴办农业机械维修服务站点，为农业机械的维修、保养提供便利。</w:t>
      </w:r>
    </w:p>
    <w:p>
      <w:pPr>
        <w:pStyle w:val="3"/>
        <w:topLinePunct/>
        <w:spacing w:line="412" w:lineRule="exact"/>
        <w:ind w:firstLine="480"/>
        <w:rPr>
          <w:rFonts w:ascii="Tahoma" w:hAnsi="Tahoma" w:cs="Tahoma"/>
          <w:sz w:val="24"/>
          <w:szCs w:val="24"/>
        </w:rPr>
      </w:pPr>
      <w:r>
        <w:rPr>
          <w:rFonts w:ascii="Tahoma" w:hAnsi="Tahoma" w:cs="Tahoma"/>
          <w:sz w:val="24"/>
          <w:szCs w:val="24"/>
        </w:rPr>
        <w:t>从事农业机械维修经营活动的，依法享受税收优惠。</w:t>
      </w:r>
    </w:p>
    <w:p>
      <w:pPr>
        <w:pStyle w:val="63"/>
        <w:spacing w:before="218" w:after="218" w:line="412" w:lineRule="exact"/>
      </w:pPr>
      <w:r>
        <w:rPr>
          <w:rStyle w:val="30"/>
          <w:b w:val="0"/>
          <w:bCs/>
          <w:szCs w:val="21"/>
        </w:rPr>
        <w:t>第六章  安全监督管理</w:t>
      </w:r>
    </w:p>
    <w:p>
      <w:pPr>
        <w:pStyle w:val="3"/>
        <w:topLinePunct/>
        <w:spacing w:line="412" w:lineRule="exact"/>
        <w:ind w:firstLine="482"/>
        <w:rPr>
          <w:rFonts w:ascii="Tahoma" w:hAnsi="Tahoma" w:cs="Tahoma"/>
          <w:sz w:val="24"/>
          <w:szCs w:val="24"/>
        </w:rPr>
      </w:pPr>
      <w:r>
        <w:rPr>
          <w:rFonts w:ascii="Tahoma" w:hAnsi="Tahoma" w:cs="Tahoma"/>
          <w:b/>
          <w:sz w:val="24"/>
          <w:szCs w:val="24"/>
        </w:rPr>
        <w:t>第三十六条</w:t>
      </w:r>
      <w:r>
        <w:rPr>
          <w:rFonts w:ascii="Tahoma" w:hAnsi="Tahoma" w:cs="Tahoma"/>
          <w:sz w:val="24"/>
          <w:szCs w:val="24"/>
        </w:rPr>
        <w:t xml:space="preserve">  本市完善农业机械安全监督管理体系，建立健全农业机械安全生产责任制。市和区农业机械化主管部门应当与同级应急管理、公安、市场监督管理等部门建立定期通报和工作协调制度，依法做好农业机械安全监督管理工作。</w:t>
      </w:r>
    </w:p>
    <w:p>
      <w:pPr>
        <w:pStyle w:val="3"/>
        <w:topLinePunct/>
        <w:spacing w:line="412" w:lineRule="exact"/>
        <w:ind w:firstLine="482"/>
        <w:rPr>
          <w:rFonts w:ascii="Tahoma" w:hAnsi="Tahoma" w:cs="Tahoma"/>
          <w:sz w:val="24"/>
          <w:szCs w:val="24"/>
        </w:rPr>
      </w:pPr>
      <w:r>
        <w:rPr>
          <w:rFonts w:ascii="Tahoma" w:hAnsi="Tahoma" w:cs="Tahoma"/>
          <w:b/>
          <w:sz w:val="24"/>
          <w:szCs w:val="24"/>
        </w:rPr>
        <w:t>第三十七条</w:t>
      </w:r>
      <w:r>
        <w:rPr>
          <w:rFonts w:ascii="Tahoma" w:hAnsi="Tahoma" w:cs="Tahoma"/>
          <w:sz w:val="24"/>
          <w:szCs w:val="24"/>
        </w:rPr>
        <w:t xml:space="preserve">  本市农业机械使用操作的安全监督管理及其行政处罚、安全事故处理，由市和区农业机械安全监督管理机构实施。</w:t>
      </w:r>
    </w:p>
    <w:p>
      <w:pPr>
        <w:pStyle w:val="3"/>
        <w:topLinePunct/>
        <w:spacing w:line="412" w:lineRule="exact"/>
        <w:ind w:firstLine="480"/>
        <w:rPr>
          <w:rFonts w:ascii="Tahoma" w:hAnsi="Tahoma" w:cs="Tahoma"/>
          <w:sz w:val="24"/>
          <w:szCs w:val="24"/>
        </w:rPr>
      </w:pPr>
      <w:r>
        <w:rPr>
          <w:rFonts w:ascii="Tahoma" w:hAnsi="Tahoma" w:cs="Tahoma"/>
          <w:sz w:val="24"/>
          <w:szCs w:val="24"/>
        </w:rPr>
        <w:t>市和区农业机械安全监督管理机构应当定期对危及人身财产安全的农业机械进行免费实地安全检验。安全检验的农业机械目录及相关检验标准由市农业机械化主管部门制定。</w:t>
      </w:r>
    </w:p>
    <w:p>
      <w:pPr>
        <w:pStyle w:val="3"/>
        <w:topLinePunct/>
        <w:spacing w:line="412" w:lineRule="exact"/>
        <w:ind w:firstLine="482"/>
        <w:rPr>
          <w:rFonts w:ascii="Tahoma" w:hAnsi="Tahoma" w:cs="Tahoma"/>
          <w:sz w:val="24"/>
          <w:szCs w:val="24"/>
        </w:rPr>
      </w:pPr>
      <w:r>
        <w:rPr>
          <w:rFonts w:ascii="Tahoma" w:hAnsi="Tahoma" w:cs="Tahoma"/>
          <w:b/>
          <w:sz w:val="24"/>
          <w:szCs w:val="24"/>
        </w:rPr>
        <w:t>第三十八条</w:t>
      </w:r>
      <w:r>
        <w:rPr>
          <w:rFonts w:ascii="Tahoma" w:hAnsi="Tahoma" w:cs="Tahoma"/>
          <w:sz w:val="24"/>
          <w:szCs w:val="24"/>
        </w:rPr>
        <w:t xml:space="preserve">  本市按照国家有关规定，实行农业机械的淘汰和报废制度，具体办法由市农业机械化主管部门会同有关部门制定。</w:t>
      </w:r>
    </w:p>
    <w:p>
      <w:pPr>
        <w:pStyle w:val="3"/>
        <w:topLinePunct/>
        <w:spacing w:line="412" w:lineRule="exact"/>
        <w:ind w:firstLine="480"/>
        <w:rPr>
          <w:rFonts w:ascii="Tahoma" w:hAnsi="Tahoma" w:cs="Tahoma"/>
          <w:sz w:val="24"/>
          <w:szCs w:val="24"/>
        </w:rPr>
      </w:pPr>
      <w:r>
        <w:rPr>
          <w:rFonts w:ascii="Tahoma" w:hAnsi="Tahoma" w:cs="Tahoma"/>
          <w:sz w:val="24"/>
          <w:szCs w:val="24"/>
        </w:rPr>
        <w:t>明令淘汰和达到报废条件的农业机械应当停止使用并依法实行回收。</w:t>
      </w:r>
    </w:p>
    <w:p>
      <w:pPr>
        <w:pStyle w:val="3"/>
        <w:topLinePunct/>
        <w:spacing w:line="412" w:lineRule="exact"/>
        <w:ind w:firstLine="480"/>
        <w:rPr>
          <w:rFonts w:ascii="Tahoma" w:hAnsi="Tahoma" w:cs="Tahoma"/>
          <w:sz w:val="24"/>
          <w:szCs w:val="24"/>
        </w:rPr>
      </w:pPr>
      <w:r>
        <w:rPr>
          <w:rFonts w:ascii="Tahoma" w:hAnsi="Tahoma" w:cs="Tahoma"/>
          <w:sz w:val="24"/>
          <w:szCs w:val="24"/>
        </w:rPr>
        <w:t>市和区农业机械化主管部门应当监督回收单位对回收的农业机械进行解体或者销毁。</w:t>
      </w:r>
    </w:p>
    <w:p>
      <w:pPr>
        <w:pStyle w:val="3"/>
        <w:topLinePunct/>
        <w:spacing w:line="412" w:lineRule="exact"/>
        <w:ind w:firstLine="482"/>
        <w:rPr>
          <w:rFonts w:ascii="Tahoma" w:hAnsi="Tahoma" w:cs="Tahoma"/>
          <w:sz w:val="24"/>
          <w:szCs w:val="24"/>
        </w:rPr>
      </w:pPr>
      <w:r>
        <w:rPr>
          <w:rFonts w:ascii="Tahoma" w:hAnsi="Tahoma" w:cs="Tahoma"/>
          <w:b/>
          <w:sz w:val="24"/>
          <w:szCs w:val="24"/>
        </w:rPr>
        <w:t>第三十九条</w:t>
      </w:r>
      <w:r>
        <w:rPr>
          <w:rFonts w:ascii="Tahoma" w:hAnsi="Tahoma" w:cs="Tahoma"/>
          <w:sz w:val="24"/>
          <w:szCs w:val="24"/>
        </w:rPr>
        <w:t xml:space="preserve">  农业生产经营组织应当制定农业机械安全管理制度，定期对农业机械进行必要的安全检查，排除安全事故隐患，并对农业机械操作人员及相关人员进行农业机械安全知识教育和操作培训，提高其安全意识和安全操作技能。</w:t>
      </w:r>
    </w:p>
    <w:p>
      <w:pPr>
        <w:pStyle w:val="3"/>
        <w:topLinePunct/>
        <w:spacing w:line="412" w:lineRule="exact"/>
        <w:ind w:firstLine="480"/>
        <w:rPr>
          <w:rFonts w:ascii="Tahoma" w:hAnsi="Tahoma" w:cs="Tahoma"/>
          <w:sz w:val="24"/>
          <w:szCs w:val="24"/>
        </w:rPr>
      </w:pPr>
      <w:r>
        <w:rPr>
          <w:rFonts w:ascii="Tahoma" w:hAnsi="Tahoma" w:cs="Tahoma"/>
          <w:sz w:val="24"/>
          <w:szCs w:val="24"/>
        </w:rPr>
        <w:t>农业机械所有人不得将农业机械提供给未依法取得相应操作证件的人员操作，不得将明知存在安全事故隐患的农业机械出租、出借给他人使用。</w:t>
      </w:r>
    </w:p>
    <w:p>
      <w:pPr>
        <w:pStyle w:val="3"/>
        <w:topLinePunct/>
        <w:spacing w:line="412" w:lineRule="exact"/>
        <w:ind w:firstLine="482"/>
        <w:rPr>
          <w:rFonts w:ascii="Tahoma" w:hAnsi="Tahoma" w:cs="Tahoma"/>
          <w:sz w:val="24"/>
          <w:szCs w:val="24"/>
        </w:rPr>
      </w:pPr>
      <w:r>
        <w:rPr>
          <w:rFonts w:ascii="Tahoma" w:hAnsi="Tahoma" w:cs="Tahoma"/>
          <w:b/>
          <w:sz w:val="24"/>
          <w:szCs w:val="24"/>
        </w:rPr>
        <w:t>第四十条</w:t>
      </w:r>
      <w:r>
        <w:rPr>
          <w:rFonts w:ascii="Tahoma" w:hAnsi="Tahoma" w:cs="Tahoma"/>
          <w:sz w:val="24"/>
          <w:szCs w:val="24"/>
        </w:rPr>
        <w:t xml:space="preserve">  农业机械操作人员在农业机械作业前，应当对农业机械进行安全查验；在作业过程中，应当严格执行农业机械安全生产规章制度和安全技术操作规程，正确佩戴和使用劳动防护用品。农业机械操作人员有权拒绝违章指挥和强令冒险作业。</w:t>
      </w:r>
    </w:p>
    <w:p>
      <w:pPr>
        <w:pStyle w:val="3"/>
        <w:topLinePunct/>
        <w:spacing w:line="412" w:lineRule="exact"/>
        <w:ind w:firstLine="480"/>
        <w:rPr>
          <w:rFonts w:ascii="Tahoma" w:hAnsi="Tahoma" w:cs="Tahoma"/>
          <w:sz w:val="24"/>
          <w:szCs w:val="24"/>
        </w:rPr>
      </w:pPr>
      <w:r>
        <w:rPr>
          <w:rFonts w:ascii="Tahoma" w:hAnsi="Tahoma" w:cs="Tahoma"/>
          <w:sz w:val="24"/>
          <w:szCs w:val="24"/>
        </w:rPr>
        <w:t>拖拉机、联合收割机操作人员及其他应当依法取得相应操作证件的农业机械操作人员，在农业机械作业过程中，应当随身携带本人合法、有效的操作证件。</w:t>
      </w:r>
    </w:p>
    <w:p>
      <w:pPr>
        <w:pStyle w:val="3"/>
        <w:topLinePunct/>
        <w:spacing w:line="412" w:lineRule="exact"/>
        <w:ind w:firstLine="482"/>
        <w:rPr>
          <w:rFonts w:ascii="Tahoma" w:hAnsi="Tahoma" w:cs="Tahoma"/>
          <w:sz w:val="24"/>
          <w:szCs w:val="24"/>
        </w:rPr>
      </w:pPr>
      <w:r>
        <w:rPr>
          <w:rFonts w:ascii="Tahoma" w:hAnsi="Tahoma" w:cs="Tahoma"/>
          <w:b/>
          <w:sz w:val="24"/>
          <w:szCs w:val="24"/>
        </w:rPr>
        <w:t>第四十一条</w:t>
      </w:r>
      <w:r>
        <w:rPr>
          <w:rFonts w:ascii="Tahoma" w:hAnsi="Tahoma" w:cs="Tahoma"/>
          <w:sz w:val="24"/>
          <w:szCs w:val="24"/>
        </w:rPr>
        <w:t xml:space="preserve">  投入使用的农业机械，应当确保安全防护装置、警示标志等安全设施完好。</w:t>
      </w:r>
    </w:p>
    <w:p>
      <w:pPr>
        <w:pStyle w:val="3"/>
        <w:topLinePunct/>
        <w:spacing w:line="412" w:lineRule="exact"/>
        <w:ind w:firstLine="480"/>
        <w:rPr>
          <w:rFonts w:ascii="Tahoma" w:hAnsi="Tahoma" w:cs="Tahoma"/>
          <w:sz w:val="24"/>
          <w:szCs w:val="24"/>
        </w:rPr>
      </w:pPr>
      <w:r>
        <w:rPr>
          <w:rFonts w:ascii="Tahoma" w:hAnsi="Tahoma" w:cs="Tahoma"/>
          <w:sz w:val="24"/>
          <w:szCs w:val="24"/>
        </w:rPr>
        <w:t>禁止改装、拆除农业机械安全设施。</w:t>
      </w:r>
    </w:p>
    <w:p>
      <w:pPr>
        <w:pStyle w:val="63"/>
        <w:spacing w:before="218" w:after="218" w:line="412" w:lineRule="exact"/>
      </w:pPr>
      <w:r>
        <w:rPr>
          <w:rStyle w:val="30"/>
          <w:b w:val="0"/>
          <w:bCs/>
          <w:szCs w:val="21"/>
        </w:rPr>
        <w:t>第七章  法律责任</w:t>
      </w:r>
    </w:p>
    <w:p>
      <w:pPr>
        <w:pStyle w:val="3"/>
        <w:topLinePunct/>
        <w:spacing w:line="412" w:lineRule="exact"/>
        <w:ind w:firstLine="482"/>
        <w:rPr>
          <w:rFonts w:ascii="Tahoma" w:hAnsi="Tahoma" w:cs="Tahoma"/>
          <w:sz w:val="24"/>
          <w:szCs w:val="24"/>
        </w:rPr>
      </w:pPr>
      <w:r>
        <w:rPr>
          <w:rFonts w:ascii="Tahoma" w:hAnsi="Tahoma" w:cs="Tahoma"/>
          <w:b/>
          <w:sz w:val="24"/>
          <w:szCs w:val="24"/>
        </w:rPr>
        <w:t>第四十二条</w:t>
      </w:r>
      <w:r>
        <w:rPr>
          <w:rFonts w:ascii="Tahoma" w:hAnsi="Tahoma" w:cs="Tahoma"/>
          <w:sz w:val="24"/>
          <w:szCs w:val="24"/>
        </w:rPr>
        <w:t xml:space="preserve">  违反本条例的行为，相关法律、行政法规对其法律责任有规定的，适用其规定；没有规定的，依照本条例规定执行。</w:t>
      </w:r>
    </w:p>
    <w:p>
      <w:pPr>
        <w:pStyle w:val="3"/>
        <w:topLinePunct/>
        <w:spacing w:line="412" w:lineRule="exact"/>
        <w:ind w:firstLine="482"/>
        <w:rPr>
          <w:rFonts w:ascii="Tahoma" w:hAnsi="Tahoma" w:cs="Tahoma"/>
          <w:sz w:val="24"/>
          <w:szCs w:val="24"/>
        </w:rPr>
      </w:pPr>
      <w:r>
        <w:rPr>
          <w:rFonts w:ascii="Tahoma" w:hAnsi="Tahoma" w:cs="Tahoma"/>
          <w:b/>
          <w:sz w:val="24"/>
          <w:szCs w:val="24"/>
        </w:rPr>
        <w:t>第四十三条</w:t>
      </w:r>
      <w:r>
        <w:rPr>
          <w:rFonts w:ascii="Tahoma" w:hAnsi="Tahoma" w:cs="Tahoma"/>
          <w:sz w:val="24"/>
          <w:szCs w:val="24"/>
        </w:rPr>
        <w:t xml:space="preserve">  市和区农业机械化主管部门以及农业机械鉴定、技术推广、安全监督管理等机构工作人员，在农业机械化促进和安全监督管理工作中玩忽职守、滥用职权、徇私舞弊的，由所在单位或者上级主管部门给予行政处分；构成犯罪的，依法追究刑事责任。</w:t>
      </w:r>
    </w:p>
    <w:p>
      <w:pPr>
        <w:pStyle w:val="3"/>
        <w:topLinePunct/>
        <w:spacing w:line="412" w:lineRule="exact"/>
        <w:ind w:firstLine="482"/>
        <w:rPr>
          <w:rFonts w:ascii="Tahoma" w:hAnsi="Tahoma" w:cs="Tahoma"/>
          <w:sz w:val="24"/>
          <w:szCs w:val="24"/>
        </w:rPr>
      </w:pPr>
      <w:r>
        <w:rPr>
          <w:rFonts w:ascii="Tahoma" w:hAnsi="Tahoma" w:cs="Tahoma"/>
          <w:b/>
          <w:sz w:val="24"/>
          <w:szCs w:val="24"/>
        </w:rPr>
        <w:t>第四十四条</w:t>
      </w:r>
      <w:r>
        <w:rPr>
          <w:rFonts w:ascii="Tahoma" w:hAnsi="Tahoma" w:cs="Tahoma"/>
          <w:sz w:val="24"/>
          <w:szCs w:val="24"/>
        </w:rPr>
        <w:t xml:space="preserve">  违反本条例第三十九条第二款规定，农业机械所有人将农业机械提供给未依法取得相应操作证件的人员操作或者将明知存在安全事故隐患的农业机械出租、出借给他人使用，导致发生农业机械安全事故的，应当依法承担相应法律责任。</w:t>
      </w:r>
    </w:p>
    <w:p>
      <w:pPr>
        <w:pStyle w:val="3"/>
        <w:topLinePunct/>
        <w:spacing w:line="412" w:lineRule="exact"/>
        <w:ind w:firstLine="482"/>
        <w:rPr>
          <w:rFonts w:ascii="Tahoma" w:hAnsi="Tahoma" w:cs="Tahoma"/>
          <w:sz w:val="24"/>
          <w:szCs w:val="24"/>
        </w:rPr>
      </w:pPr>
      <w:r>
        <w:rPr>
          <w:rFonts w:ascii="Tahoma" w:hAnsi="Tahoma" w:cs="Tahoma"/>
          <w:b/>
          <w:sz w:val="24"/>
          <w:szCs w:val="24"/>
        </w:rPr>
        <w:t>第四十五条</w:t>
      </w:r>
      <w:r>
        <w:rPr>
          <w:rFonts w:ascii="Tahoma" w:hAnsi="Tahoma" w:cs="Tahoma"/>
          <w:sz w:val="24"/>
          <w:szCs w:val="24"/>
        </w:rPr>
        <w:t xml:space="preserve">  违反本条例第四十条第二款规定，拖拉机、联合收割机操作人员及其他应当依法取得相应操作证件的农业机械操作人员，在作业过程中未随身携带本人合法、有效操作证件的，由农业机械安全监督管理机构给予警告，责令改正，可以并处50元以上100元以下罚款。</w:t>
      </w:r>
    </w:p>
    <w:p>
      <w:pPr>
        <w:pStyle w:val="3"/>
        <w:topLinePunct/>
        <w:spacing w:line="412" w:lineRule="exact"/>
        <w:ind w:firstLine="482"/>
        <w:rPr>
          <w:rFonts w:ascii="Tahoma" w:hAnsi="Tahoma" w:cs="Tahoma"/>
          <w:sz w:val="24"/>
          <w:szCs w:val="24"/>
        </w:rPr>
      </w:pPr>
      <w:r>
        <w:rPr>
          <w:rFonts w:ascii="Tahoma" w:hAnsi="Tahoma" w:cs="Tahoma"/>
          <w:b/>
          <w:sz w:val="24"/>
          <w:szCs w:val="24"/>
        </w:rPr>
        <w:t>第四十六条</w:t>
      </w:r>
      <w:r>
        <w:rPr>
          <w:rFonts w:ascii="Tahoma" w:hAnsi="Tahoma" w:cs="Tahoma"/>
          <w:sz w:val="24"/>
          <w:szCs w:val="24"/>
        </w:rPr>
        <w:t xml:space="preserve">  违反本条例第四十一条第二款规定，改装、拆除农业机械安全设施的，由农业机械安全监督管理机构给予警告，责令限期改正；逾期不改正的，责令停止使用，并处200元以上500元以下罚款。</w:t>
      </w:r>
    </w:p>
    <w:p>
      <w:pPr>
        <w:pStyle w:val="63"/>
        <w:spacing w:before="218" w:after="218" w:line="412" w:lineRule="exact"/>
      </w:pPr>
      <w:r>
        <w:rPr>
          <w:rStyle w:val="30"/>
          <w:b w:val="0"/>
          <w:bCs/>
          <w:szCs w:val="21"/>
        </w:rPr>
        <w:t>第八章  附</w:t>
      </w:r>
      <w:r>
        <w:rPr>
          <w:rStyle w:val="30"/>
          <w:rFonts w:hint="eastAsia"/>
          <w:b w:val="0"/>
          <w:bCs/>
          <w:szCs w:val="21"/>
        </w:rPr>
        <w:t xml:space="preserve">  </w:t>
      </w:r>
      <w:r>
        <w:rPr>
          <w:rStyle w:val="30"/>
          <w:b w:val="0"/>
          <w:bCs/>
          <w:szCs w:val="21"/>
        </w:rPr>
        <w:t>则</w:t>
      </w:r>
    </w:p>
    <w:p>
      <w:pPr>
        <w:pStyle w:val="3"/>
        <w:topLinePunct/>
        <w:spacing w:line="412" w:lineRule="exact"/>
        <w:ind w:firstLine="482"/>
        <w:rPr>
          <w:rFonts w:ascii="Tahoma" w:hAnsi="Tahoma" w:cs="Tahoma"/>
          <w:sz w:val="24"/>
          <w:szCs w:val="24"/>
        </w:rPr>
      </w:pPr>
      <w:r>
        <w:rPr>
          <w:rFonts w:ascii="Tahoma" w:hAnsi="Tahoma" w:cs="Tahoma"/>
          <w:b/>
          <w:sz w:val="24"/>
          <w:szCs w:val="24"/>
        </w:rPr>
        <w:t>第四十七条</w:t>
      </w:r>
      <w:r>
        <w:rPr>
          <w:rFonts w:ascii="Tahoma" w:hAnsi="Tahoma" w:cs="Tahoma"/>
          <w:sz w:val="24"/>
          <w:szCs w:val="24"/>
        </w:rPr>
        <w:t xml:space="preserve">  本条例自2011年3月1日起施行。1997年7月18日北京市第十届人民代表大会常务委员会第三十八次会议通过、2001年5月18日北京市第十一届人民代表大会常务委员会第二十六次会议修改的《北京市农业机械管理条例》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ahoma" w:hAnsi="Tahoma" w:cs="Tahom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bookmarkEnd w:id="1518"/>
    <w:bookmarkEnd w:id="1519"/>
    <w:p>
      <w:pPr>
        <w:pStyle w:val="61"/>
      </w:pPr>
      <w:bookmarkStart w:id="1520" w:name="_Toc25653812"/>
      <w:bookmarkStart w:id="1521" w:name="_Toc25648311"/>
      <w:bookmarkStart w:id="1522" w:name="_Toc28252298"/>
      <w:bookmarkStart w:id="1523" w:name="_Toc26348066"/>
      <w:bookmarkStart w:id="1524" w:name="_Toc28157088"/>
      <w:bookmarkStart w:id="1525" w:name="_Toc28251016"/>
      <w:r>
        <w:rPr>
          <w:rFonts w:hint="eastAsia"/>
        </w:rPr>
        <w:t>农业机械安全监督管理条例</w:t>
      </w:r>
      <w:bookmarkEnd w:id="1520"/>
      <w:bookmarkEnd w:id="1521"/>
      <w:bookmarkEnd w:id="1522"/>
      <w:bookmarkEnd w:id="1523"/>
      <w:bookmarkEnd w:id="1524"/>
      <w:bookmarkEnd w:id="1525"/>
    </w:p>
    <w:p>
      <w:pPr>
        <w:pStyle w:val="62"/>
      </w:pPr>
      <w:r>
        <w:rPr>
          <w:rFonts w:hint="eastAsia"/>
        </w:rPr>
        <w:t>（2009年9月17日中华人民共和国国务院令第563号公布，根据2016年2月6日中华人民共和国国务院令第666号公布的《国务院关于修改部分行政法规的决定》第一次修正，根据2019年3月2日中华人民共和国国务院令第709号公布的《国务院关于修改部分行政法规的决定》第二次修正</w:t>
      </w:r>
      <w:r>
        <w:rPr>
          <w:rFonts w:hint="eastAsia"/>
          <w:spacing w:val="-4"/>
        </w:rPr>
        <w:t>）</w:t>
      </w:r>
    </w:p>
    <w:p>
      <w:pPr>
        <w:pStyle w:val="63"/>
        <w:spacing w:before="218" w:after="218" w:line="412" w:lineRule="exact"/>
      </w:pPr>
      <w:r>
        <w:rPr>
          <w:rFonts w:hint="eastAsia"/>
        </w:rPr>
        <w:t>第一章</w:t>
      </w:r>
      <w:r>
        <w:t xml:space="preserve">  </w:t>
      </w:r>
      <w:r>
        <w:rPr>
          <w:rFonts w:hint="eastAsia"/>
        </w:rPr>
        <w:t>总</w:t>
      </w:r>
      <w:r>
        <w:t xml:space="preserve">  </w:t>
      </w:r>
      <w:r>
        <w:rPr>
          <w:rFonts w:hint="eastAsia"/>
        </w:rPr>
        <w:t>则</w:t>
      </w:r>
    </w:p>
    <w:p>
      <w:pPr>
        <w:pStyle w:val="3"/>
        <w:topLinePunct/>
        <w:spacing w:line="412" w:lineRule="exact"/>
        <w:ind w:firstLine="482"/>
        <w:rPr>
          <w:sz w:val="24"/>
          <w:szCs w:val="24"/>
        </w:rPr>
      </w:pPr>
      <w:r>
        <w:rPr>
          <w:rStyle w:val="30"/>
          <w:rFonts w:hint="eastAsia" w:cs="宋体"/>
          <w:sz w:val="24"/>
          <w:szCs w:val="24"/>
        </w:rPr>
        <w:t>第一条</w:t>
      </w:r>
      <w:r>
        <w:rPr>
          <w:sz w:val="24"/>
          <w:szCs w:val="24"/>
        </w:rPr>
        <w:t xml:space="preserve">  </w:t>
      </w:r>
      <w:r>
        <w:rPr>
          <w:rFonts w:hint="eastAsia" w:cs="宋体"/>
          <w:sz w:val="24"/>
          <w:szCs w:val="24"/>
        </w:rPr>
        <w:t>为了加强农业机械安全监督管理，预防和减少农业机械事故，保障人民生命和财产安全，制定本条例。</w:t>
      </w:r>
    </w:p>
    <w:p>
      <w:pPr>
        <w:pStyle w:val="3"/>
        <w:topLinePunct/>
        <w:spacing w:line="412" w:lineRule="exact"/>
        <w:ind w:firstLine="482"/>
        <w:rPr>
          <w:sz w:val="24"/>
          <w:szCs w:val="24"/>
        </w:rPr>
      </w:pPr>
      <w:r>
        <w:rPr>
          <w:rStyle w:val="30"/>
          <w:rFonts w:hint="eastAsia" w:cs="宋体"/>
          <w:sz w:val="24"/>
          <w:szCs w:val="24"/>
        </w:rPr>
        <w:t>第二条</w:t>
      </w:r>
      <w:r>
        <w:rPr>
          <w:sz w:val="24"/>
          <w:szCs w:val="24"/>
        </w:rPr>
        <w:t xml:space="preserve">  </w:t>
      </w:r>
      <w:r>
        <w:rPr>
          <w:rFonts w:hint="eastAsia" w:cs="宋体"/>
          <w:sz w:val="24"/>
          <w:szCs w:val="24"/>
        </w:rPr>
        <w:t>在中华人民共和国境内从事农业机械的生产、销售、维修、使用操作以及安全监督管理等活动，应当遵守本条例。</w:t>
      </w:r>
    </w:p>
    <w:p>
      <w:pPr>
        <w:pStyle w:val="3"/>
        <w:topLinePunct/>
        <w:spacing w:line="412" w:lineRule="exact"/>
        <w:ind w:firstLine="480"/>
        <w:rPr>
          <w:sz w:val="24"/>
          <w:szCs w:val="24"/>
        </w:rPr>
      </w:pPr>
      <w:r>
        <w:rPr>
          <w:rFonts w:hint="eastAsia" w:cs="宋体"/>
          <w:sz w:val="24"/>
          <w:szCs w:val="24"/>
        </w:rPr>
        <w:t>本条例所称农业机械，是指用于农业生产及其产品初加工等相关农事活动的机械、设备。</w:t>
      </w:r>
    </w:p>
    <w:p>
      <w:pPr>
        <w:pStyle w:val="3"/>
        <w:topLinePunct/>
        <w:spacing w:line="412" w:lineRule="exact"/>
        <w:ind w:firstLine="482"/>
        <w:rPr>
          <w:sz w:val="24"/>
          <w:szCs w:val="24"/>
        </w:rPr>
      </w:pPr>
      <w:r>
        <w:rPr>
          <w:rStyle w:val="30"/>
          <w:rFonts w:hint="eastAsia" w:cs="宋体"/>
          <w:sz w:val="24"/>
          <w:szCs w:val="24"/>
        </w:rPr>
        <w:t>第三条</w:t>
      </w:r>
      <w:r>
        <w:rPr>
          <w:sz w:val="24"/>
          <w:szCs w:val="24"/>
        </w:rPr>
        <w:t xml:space="preserve">  </w:t>
      </w:r>
      <w:r>
        <w:rPr>
          <w:rFonts w:hint="eastAsia" w:cs="宋体"/>
          <w:sz w:val="24"/>
          <w:szCs w:val="24"/>
        </w:rPr>
        <w:t>农业机械安全监督管理应当遵循以人为本、预防事故、保障安全、促进发展的原则。</w:t>
      </w:r>
    </w:p>
    <w:p>
      <w:pPr>
        <w:pStyle w:val="3"/>
        <w:topLinePunct/>
        <w:spacing w:line="412" w:lineRule="exact"/>
        <w:ind w:firstLine="482"/>
        <w:rPr>
          <w:sz w:val="24"/>
          <w:szCs w:val="24"/>
        </w:rPr>
      </w:pPr>
      <w:r>
        <w:rPr>
          <w:rStyle w:val="30"/>
          <w:rFonts w:hint="eastAsia" w:cs="宋体"/>
          <w:sz w:val="24"/>
          <w:szCs w:val="24"/>
        </w:rPr>
        <w:t>第四条</w:t>
      </w:r>
      <w:r>
        <w:rPr>
          <w:sz w:val="24"/>
          <w:szCs w:val="24"/>
        </w:rPr>
        <w:t xml:space="preserve">  </w:t>
      </w:r>
      <w:r>
        <w:rPr>
          <w:rFonts w:hint="eastAsia" w:cs="宋体"/>
          <w:sz w:val="24"/>
          <w:szCs w:val="24"/>
        </w:rPr>
        <w:t>县级以上人民政府应当加强对农业机械安全监督管理工作的领导，完善农业机械安全监督管理体系，增加对农民购买农业机械的补贴，保障农业机械安全的财政投入，建立健全农业机械安全生产责任制。</w:t>
      </w:r>
    </w:p>
    <w:p>
      <w:pPr>
        <w:pStyle w:val="3"/>
        <w:topLinePunct/>
        <w:spacing w:line="412" w:lineRule="exact"/>
        <w:ind w:firstLine="482"/>
        <w:rPr>
          <w:sz w:val="24"/>
          <w:szCs w:val="24"/>
        </w:rPr>
      </w:pPr>
      <w:r>
        <w:rPr>
          <w:rStyle w:val="30"/>
          <w:rFonts w:hint="eastAsia" w:cs="宋体"/>
          <w:sz w:val="24"/>
          <w:szCs w:val="24"/>
        </w:rPr>
        <w:t>第五条</w:t>
      </w:r>
      <w:r>
        <w:rPr>
          <w:sz w:val="24"/>
          <w:szCs w:val="24"/>
        </w:rPr>
        <w:t xml:space="preserve">  </w:t>
      </w:r>
      <w:r>
        <w:rPr>
          <w:rFonts w:hint="eastAsia" w:cs="宋体"/>
          <w:sz w:val="24"/>
          <w:szCs w:val="24"/>
        </w:rPr>
        <w:t>国务院有关部门和地方各级人民政府、有关部门应当加强农业机械安全法律、法规、标准和知识的宣传教育。</w:t>
      </w:r>
    </w:p>
    <w:p>
      <w:pPr>
        <w:pStyle w:val="3"/>
        <w:topLinePunct/>
        <w:spacing w:line="412" w:lineRule="exact"/>
        <w:ind w:firstLine="480"/>
        <w:rPr>
          <w:sz w:val="24"/>
          <w:szCs w:val="24"/>
        </w:rPr>
      </w:pPr>
      <w:r>
        <w:rPr>
          <w:rFonts w:hint="eastAsia" w:cs="宋体"/>
          <w:sz w:val="24"/>
          <w:szCs w:val="24"/>
        </w:rPr>
        <w:t>农业生产经营组织、农业机械所有人应当对农业机械操作人员及相关人员进行农业机械安全使用教育，提高其安全意识。</w:t>
      </w:r>
    </w:p>
    <w:p>
      <w:pPr>
        <w:pStyle w:val="3"/>
        <w:topLinePunct/>
        <w:spacing w:line="412" w:lineRule="exact"/>
        <w:ind w:firstLine="482"/>
        <w:rPr>
          <w:sz w:val="24"/>
          <w:szCs w:val="24"/>
        </w:rPr>
      </w:pPr>
      <w:r>
        <w:rPr>
          <w:rStyle w:val="30"/>
          <w:rFonts w:hint="eastAsia" w:cs="宋体"/>
          <w:sz w:val="24"/>
          <w:szCs w:val="24"/>
        </w:rPr>
        <w:t>第六条</w:t>
      </w:r>
      <w:r>
        <w:rPr>
          <w:sz w:val="24"/>
          <w:szCs w:val="24"/>
        </w:rPr>
        <w:t xml:space="preserve">  </w:t>
      </w:r>
      <w:r>
        <w:rPr>
          <w:rFonts w:hint="eastAsia" w:cs="宋体"/>
          <w:sz w:val="24"/>
          <w:szCs w:val="24"/>
        </w:rPr>
        <w:t>国家鼓励和支持开发、生产、推广、应用先进适用、安全可靠、节能环保的农业机械，建立健全农业机械安全技术标准和安全操作规程。</w:t>
      </w:r>
    </w:p>
    <w:p>
      <w:pPr>
        <w:pStyle w:val="3"/>
        <w:topLinePunct/>
        <w:spacing w:line="412" w:lineRule="exact"/>
        <w:ind w:firstLine="482"/>
        <w:rPr>
          <w:sz w:val="24"/>
          <w:szCs w:val="24"/>
        </w:rPr>
      </w:pPr>
      <w:r>
        <w:rPr>
          <w:rStyle w:val="30"/>
          <w:rFonts w:hint="eastAsia" w:cs="宋体"/>
          <w:sz w:val="24"/>
          <w:szCs w:val="24"/>
        </w:rPr>
        <w:t>第七条</w:t>
      </w:r>
      <w:r>
        <w:rPr>
          <w:sz w:val="24"/>
          <w:szCs w:val="24"/>
        </w:rPr>
        <w:t xml:space="preserve">  </w:t>
      </w:r>
      <w:r>
        <w:rPr>
          <w:rFonts w:hint="eastAsia" w:cs="宋体"/>
          <w:sz w:val="24"/>
          <w:szCs w:val="24"/>
        </w:rPr>
        <w:t>国家鼓励农业机械操作人员、维修技术人员参加职业技能培训和依法成立安全互助组织，提高农业机械安全操作水平。</w:t>
      </w:r>
    </w:p>
    <w:p>
      <w:pPr>
        <w:pStyle w:val="3"/>
        <w:topLinePunct/>
        <w:spacing w:line="412" w:lineRule="exact"/>
        <w:ind w:firstLine="482"/>
        <w:rPr>
          <w:sz w:val="24"/>
          <w:szCs w:val="24"/>
        </w:rPr>
      </w:pPr>
      <w:r>
        <w:rPr>
          <w:rStyle w:val="30"/>
          <w:rFonts w:hint="eastAsia" w:cs="宋体"/>
          <w:sz w:val="24"/>
          <w:szCs w:val="24"/>
        </w:rPr>
        <w:t>第八条</w:t>
      </w:r>
      <w:r>
        <w:rPr>
          <w:sz w:val="24"/>
          <w:szCs w:val="24"/>
        </w:rPr>
        <w:t xml:space="preserve">  </w:t>
      </w:r>
      <w:r>
        <w:rPr>
          <w:rFonts w:hint="eastAsia" w:cs="宋体"/>
          <w:sz w:val="24"/>
          <w:szCs w:val="24"/>
        </w:rPr>
        <w:t>国家建立落后农业机械淘汰制度和危及人身财产安全的农业机械报废制度，并对淘汰和报废的农业机械依法实行回收。</w:t>
      </w:r>
    </w:p>
    <w:p>
      <w:pPr>
        <w:pStyle w:val="3"/>
        <w:topLinePunct/>
        <w:spacing w:line="412" w:lineRule="exact"/>
        <w:ind w:firstLine="482"/>
        <w:rPr>
          <w:sz w:val="24"/>
          <w:szCs w:val="24"/>
        </w:rPr>
      </w:pPr>
      <w:r>
        <w:rPr>
          <w:rStyle w:val="30"/>
          <w:rFonts w:hint="eastAsia" w:cs="宋体"/>
          <w:sz w:val="24"/>
          <w:szCs w:val="24"/>
        </w:rPr>
        <w:t>第九条</w:t>
      </w:r>
      <w:r>
        <w:rPr>
          <w:sz w:val="24"/>
          <w:szCs w:val="24"/>
        </w:rPr>
        <w:t xml:space="preserve">  </w:t>
      </w:r>
      <w:r>
        <w:rPr>
          <w:rFonts w:hint="eastAsia" w:cs="宋体"/>
          <w:sz w:val="24"/>
          <w:szCs w:val="24"/>
        </w:rPr>
        <w:t>国务院农业机械化主管部门、工业主管部门、市场监督管理部门等有关部门依照本条例和国务院规定的职责，负责农业机械安全监督管理工作。</w:t>
      </w:r>
    </w:p>
    <w:p>
      <w:pPr>
        <w:pStyle w:val="3"/>
        <w:topLinePunct/>
        <w:spacing w:line="412" w:lineRule="exact"/>
        <w:ind w:firstLine="480"/>
        <w:rPr>
          <w:sz w:val="24"/>
          <w:szCs w:val="24"/>
        </w:rPr>
      </w:pPr>
      <w:r>
        <w:rPr>
          <w:rFonts w:hint="eastAsia" w:cs="宋体"/>
          <w:sz w:val="24"/>
          <w:szCs w:val="24"/>
        </w:rPr>
        <w:t>县级以上地方人民政府农业机械化主管部门、工业主管部门和市场监督管理部门等有关部门按照各自职责，负责本行政区域的农业机械安全监督管理工作。</w:t>
      </w:r>
    </w:p>
    <w:p>
      <w:pPr>
        <w:pStyle w:val="63"/>
        <w:spacing w:before="218" w:after="218" w:line="412" w:lineRule="exact"/>
      </w:pPr>
      <w:r>
        <w:rPr>
          <w:rFonts w:hint="eastAsia"/>
        </w:rPr>
        <w:t>第二章</w:t>
      </w:r>
      <w:r>
        <w:t xml:space="preserve">  </w:t>
      </w:r>
      <w:r>
        <w:rPr>
          <w:rFonts w:hint="eastAsia"/>
        </w:rPr>
        <w:t>生产、销售和维修</w:t>
      </w:r>
    </w:p>
    <w:p>
      <w:pPr>
        <w:pStyle w:val="3"/>
        <w:topLinePunct/>
        <w:spacing w:line="412" w:lineRule="exact"/>
        <w:ind w:firstLine="482"/>
        <w:rPr>
          <w:sz w:val="24"/>
          <w:szCs w:val="24"/>
        </w:rPr>
      </w:pPr>
      <w:r>
        <w:rPr>
          <w:rStyle w:val="30"/>
          <w:rFonts w:hint="eastAsia" w:cs="宋体"/>
          <w:sz w:val="24"/>
          <w:szCs w:val="24"/>
        </w:rPr>
        <w:t>第十条</w:t>
      </w:r>
      <w:r>
        <w:rPr>
          <w:sz w:val="24"/>
          <w:szCs w:val="24"/>
        </w:rPr>
        <w:t xml:space="preserve">  </w:t>
      </w:r>
      <w:r>
        <w:rPr>
          <w:rFonts w:hint="eastAsia" w:cs="宋体"/>
          <w:sz w:val="24"/>
          <w:szCs w:val="24"/>
        </w:rPr>
        <w:t>国务院工业主管部门负责制定并组织实施农业机械工业产业政策和有关规划。</w:t>
      </w:r>
    </w:p>
    <w:p>
      <w:pPr>
        <w:pStyle w:val="3"/>
        <w:topLinePunct/>
        <w:spacing w:line="412" w:lineRule="exact"/>
        <w:ind w:firstLine="480"/>
        <w:rPr>
          <w:sz w:val="24"/>
          <w:szCs w:val="24"/>
        </w:rPr>
      </w:pPr>
      <w:r>
        <w:rPr>
          <w:rFonts w:hint="eastAsia" w:cs="宋体"/>
          <w:sz w:val="24"/>
          <w:szCs w:val="24"/>
        </w:rPr>
        <w:t>国务院标准化主管部门负责制定发布农业机械安全技术国家标准，并根据实际情况及时修订。农业机械安全技术标准是强制执行的标准。</w:t>
      </w:r>
    </w:p>
    <w:p>
      <w:pPr>
        <w:pStyle w:val="3"/>
        <w:topLinePunct/>
        <w:spacing w:line="412" w:lineRule="exact"/>
        <w:ind w:firstLine="482"/>
        <w:rPr>
          <w:sz w:val="24"/>
          <w:szCs w:val="24"/>
        </w:rPr>
      </w:pPr>
      <w:r>
        <w:rPr>
          <w:rStyle w:val="30"/>
          <w:rFonts w:hint="eastAsia" w:cs="宋体"/>
          <w:sz w:val="24"/>
          <w:szCs w:val="24"/>
        </w:rPr>
        <w:t>第十一条</w:t>
      </w:r>
      <w:r>
        <w:rPr>
          <w:rStyle w:val="30"/>
          <w:sz w:val="24"/>
          <w:szCs w:val="24"/>
        </w:rPr>
        <w:t xml:space="preserve"> </w:t>
      </w:r>
      <w:r>
        <w:rPr>
          <w:sz w:val="24"/>
          <w:szCs w:val="24"/>
        </w:rPr>
        <w:t xml:space="preserve"> </w:t>
      </w:r>
      <w:r>
        <w:rPr>
          <w:rFonts w:hint="eastAsia" w:cs="宋体"/>
          <w:sz w:val="24"/>
          <w:szCs w:val="24"/>
        </w:rPr>
        <w:t>农业机械生产者应当依据农业机械工业产业政策和有关规划，按照农业机械安全技术标准组织生产，并建立健全质量保障控制体系。</w:t>
      </w:r>
    </w:p>
    <w:p>
      <w:pPr>
        <w:pStyle w:val="3"/>
        <w:topLinePunct/>
        <w:spacing w:line="412" w:lineRule="exact"/>
        <w:ind w:firstLine="480"/>
        <w:rPr>
          <w:sz w:val="24"/>
          <w:szCs w:val="24"/>
        </w:rPr>
      </w:pPr>
      <w:r>
        <w:rPr>
          <w:rFonts w:hint="eastAsia" w:cs="宋体"/>
          <w:sz w:val="24"/>
          <w:szCs w:val="24"/>
        </w:rPr>
        <w:t>对依法实行工业产品生产许可证管理的农业机械，其生产者应当取得相应资质，并按照许可的范围和条件组织生产。</w:t>
      </w:r>
    </w:p>
    <w:p>
      <w:pPr>
        <w:pStyle w:val="3"/>
        <w:topLinePunct/>
        <w:spacing w:line="412" w:lineRule="exact"/>
        <w:ind w:firstLine="482"/>
        <w:rPr>
          <w:sz w:val="24"/>
          <w:szCs w:val="24"/>
        </w:rPr>
      </w:pPr>
      <w:r>
        <w:rPr>
          <w:rStyle w:val="30"/>
          <w:rFonts w:hint="eastAsia" w:cs="宋体"/>
          <w:sz w:val="24"/>
          <w:szCs w:val="24"/>
        </w:rPr>
        <w:t>第十二条</w:t>
      </w:r>
      <w:r>
        <w:rPr>
          <w:sz w:val="24"/>
          <w:szCs w:val="24"/>
        </w:rPr>
        <w:t xml:space="preserve">  </w:t>
      </w:r>
      <w:r>
        <w:rPr>
          <w:rFonts w:hint="eastAsia" w:cs="宋体"/>
          <w:sz w:val="24"/>
          <w:szCs w:val="24"/>
        </w:rPr>
        <w:t>农业机械生产者应当按照农业机械安全技术标准对生产的农业机械进行检验；农业机械经检验合格并附具详尽的安全操作说明书和标注安全警示标志后，方可出厂销售；依法必须进行认证的农业机械，在出厂前应当标注认证标志。</w:t>
      </w:r>
    </w:p>
    <w:p>
      <w:pPr>
        <w:pStyle w:val="3"/>
        <w:topLinePunct/>
        <w:spacing w:line="412" w:lineRule="exact"/>
        <w:ind w:firstLine="480"/>
        <w:rPr>
          <w:sz w:val="24"/>
          <w:szCs w:val="24"/>
        </w:rPr>
      </w:pPr>
      <w:r>
        <w:rPr>
          <w:rFonts w:hint="eastAsia" w:cs="宋体"/>
          <w:sz w:val="24"/>
          <w:szCs w:val="24"/>
        </w:rPr>
        <w:t>上道路行驶的拖拉机，依法必须经过认证的，在出厂前应当标注认证标志，并符合机动车国家安全技术标准。</w:t>
      </w:r>
    </w:p>
    <w:p>
      <w:pPr>
        <w:pStyle w:val="3"/>
        <w:topLinePunct/>
        <w:spacing w:line="412" w:lineRule="exact"/>
        <w:ind w:firstLine="480"/>
        <w:rPr>
          <w:sz w:val="24"/>
          <w:szCs w:val="24"/>
        </w:rPr>
      </w:pPr>
      <w:r>
        <w:rPr>
          <w:rFonts w:hint="eastAsia" w:cs="宋体"/>
          <w:sz w:val="24"/>
          <w:szCs w:val="24"/>
        </w:rPr>
        <w:t>农业机械生产者应当建立产品出厂记录制度，如实记录农业机械的名称、规格、数量、生产日期、生产批号、检验合格证号、购货者名称及联系方式、销售日期等内容。出厂记录保存期限不得少于</w:t>
      </w:r>
      <w:r>
        <w:rPr>
          <w:sz w:val="24"/>
          <w:szCs w:val="24"/>
        </w:rPr>
        <w:t>3</w:t>
      </w:r>
      <w:r>
        <w:rPr>
          <w:rFonts w:hint="eastAsia" w:cs="宋体"/>
          <w:sz w:val="24"/>
          <w:szCs w:val="24"/>
        </w:rPr>
        <w:t>年。</w:t>
      </w:r>
    </w:p>
    <w:p>
      <w:pPr>
        <w:pStyle w:val="3"/>
        <w:topLinePunct/>
        <w:spacing w:line="412" w:lineRule="exact"/>
        <w:ind w:firstLine="482"/>
        <w:rPr>
          <w:sz w:val="24"/>
          <w:szCs w:val="24"/>
        </w:rPr>
      </w:pPr>
      <w:r>
        <w:rPr>
          <w:rStyle w:val="30"/>
          <w:rFonts w:hint="eastAsia" w:cs="宋体"/>
          <w:sz w:val="24"/>
          <w:szCs w:val="24"/>
        </w:rPr>
        <w:t>第十三条</w:t>
      </w:r>
      <w:r>
        <w:rPr>
          <w:sz w:val="24"/>
          <w:szCs w:val="24"/>
        </w:rPr>
        <w:t xml:space="preserve">  </w:t>
      </w:r>
      <w:r>
        <w:rPr>
          <w:rFonts w:hint="eastAsia" w:cs="宋体"/>
          <w:sz w:val="24"/>
          <w:szCs w:val="24"/>
        </w:rPr>
        <w:t>进口的农业机械应当符合我国农业机械安全技术标准，并依法由出入境检验检疫机构检验合格。依法必须进行认证的农业机械，还应当由出入境检验检疫机构进行入境验证。</w:t>
      </w:r>
    </w:p>
    <w:p>
      <w:pPr>
        <w:pStyle w:val="3"/>
        <w:topLinePunct/>
        <w:spacing w:line="412" w:lineRule="exact"/>
        <w:ind w:firstLine="482"/>
        <w:rPr>
          <w:sz w:val="24"/>
          <w:szCs w:val="24"/>
        </w:rPr>
      </w:pPr>
      <w:r>
        <w:rPr>
          <w:rStyle w:val="30"/>
          <w:rFonts w:hint="eastAsia" w:cs="宋体"/>
          <w:sz w:val="24"/>
          <w:szCs w:val="24"/>
        </w:rPr>
        <w:t>第十四条</w:t>
      </w:r>
      <w:r>
        <w:rPr>
          <w:sz w:val="24"/>
          <w:szCs w:val="24"/>
        </w:rPr>
        <w:t xml:space="preserve">  </w:t>
      </w:r>
      <w:r>
        <w:rPr>
          <w:rFonts w:hint="eastAsia" w:cs="宋体"/>
          <w:sz w:val="24"/>
          <w:szCs w:val="24"/>
        </w:rPr>
        <w:t>农业机械销售者对购进的农业机械应当查验产品合格证明。对依法实行工业产品生产许可证管理、依法必须进行认证的农业机械，还应当验明相应的证明文件或者标志。</w:t>
      </w:r>
    </w:p>
    <w:p>
      <w:pPr>
        <w:pStyle w:val="3"/>
        <w:topLinePunct/>
        <w:spacing w:line="412" w:lineRule="exact"/>
        <w:ind w:firstLine="480"/>
        <w:rPr>
          <w:sz w:val="24"/>
          <w:szCs w:val="24"/>
        </w:rPr>
      </w:pPr>
      <w:r>
        <w:rPr>
          <w:rFonts w:hint="eastAsia" w:cs="宋体"/>
          <w:sz w:val="24"/>
          <w:szCs w:val="24"/>
        </w:rPr>
        <w:t>农业机械销售者应当建立销售记录制度，如实记录农业机械的名称、规格、生产批号、供货者名称及联系方式、销售流向等内容。销售记录保存期限不得少于</w:t>
      </w:r>
      <w:r>
        <w:rPr>
          <w:sz w:val="24"/>
          <w:szCs w:val="24"/>
        </w:rPr>
        <w:t>3</w:t>
      </w:r>
      <w:r>
        <w:rPr>
          <w:rFonts w:hint="eastAsia" w:cs="宋体"/>
          <w:sz w:val="24"/>
          <w:szCs w:val="24"/>
        </w:rPr>
        <w:t>年。</w:t>
      </w:r>
    </w:p>
    <w:p>
      <w:pPr>
        <w:pStyle w:val="3"/>
        <w:topLinePunct/>
        <w:spacing w:line="412" w:lineRule="exact"/>
        <w:ind w:firstLine="480"/>
        <w:rPr>
          <w:sz w:val="24"/>
          <w:szCs w:val="24"/>
        </w:rPr>
      </w:pPr>
      <w:r>
        <w:rPr>
          <w:rFonts w:hint="eastAsia" w:cs="宋体"/>
          <w:sz w:val="24"/>
          <w:szCs w:val="24"/>
        </w:rPr>
        <w:t>农业机械销售者应当向购买者说明农业机械操作方法和安全注意事项，并依法开具销售发票。</w:t>
      </w:r>
    </w:p>
    <w:p>
      <w:pPr>
        <w:pStyle w:val="3"/>
        <w:topLinePunct/>
        <w:spacing w:line="412" w:lineRule="exact"/>
        <w:ind w:firstLine="482"/>
        <w:rPr>
          <w:sz w:val="24"/>
          <w:szCs w:val="24"/>
        </w:rPr>
      </w:pPr>
      <w:r>
        <w:rPr>
          <w:rStyle w:val="30"/>
          <w:rFonts w:hint="eastAsia" w:cs="宋体"/>
          <w:sz w:val="24"/>
          <w:szCs w:val="24"/>
        </w:rPr>
        <w:t>第十五条</w:t>
      </w:r>
      <w:r>
        <w:rPr>
          <w:sz w:val="24"/>
          <w:szCs w:val="24"/>
        </w:rPr>
        <w:t xml:space="preserve">  </w:t>
      </w:r>
      <w:r>
        <w:rPr>
          <w:rFonts w:hint="eastAsia" w:cs="宋体"/>
          <w:sz w:val="24"/>
          <w:szCs w:val="24"/>
        </w:rPr>
        <w:t>农业机械生产者、销售者应当建立健全农业机械销售服务体系，依法承担产品质量责任。</w:t>
      </w:r>
    </w:p>
    <w:p>
      <w:pPr>
        <w:pStyle w:val="3"/>
        <w:topLinePunct/>
        <w:spacing w:line="412" w:lineRule="exact"/>
        <w:ind w:firstLine="482"/>
        <w:rPr>
          <w:sz w:val="24"/>
          <w:szCs w:val="24"/>
        </w:rPr>
      </w:pPr>
      <w:r>
        <w:rPr>
          <w:rStyle w:val="30"/>
          <w:rFonts w:hint="eastAsia" w:cs="宋体"/>
          <w:sz w:val="24"/>
          <w:szCs w:val="24"/>
        </w:rPr>
        <w:t>第十六条</w:t>
      </w:r>
      <w:r>
        <w:rPr>
          <w:sz w:val="24"/>
          <w:szCs w:val="24"/>
        </w:rPr>
        <w:t xml:space="preserve">  </w:t>
      </w:r>
      <w:r>
        <w:rPr>
          <w:rFonts w:hint="eastAsia" w:cs="宋体"/>
          <w:sz w:val="24"/>
          <w:szCs w:val="24"/>
        </w:rPr>
        <w:t>农业机械生产者、销售者发现其生产、销售的农业机械存在设计、制造等缺陷，可能对人身财产安全造成损害的，应当立即停止生产、销售，及时报告当地市场监督管理部门，通知农业机械使用者停止使用。农业机械生产者应当及时召回存在设计、制造等缺陷的农业机械。</w:t>
      </w:r>
    </w:p>
    <w:p>
      <w:pPr>
        <w:pStyle w:val="3"/>
        <w:topLinePunct/>
        <w:spacing w:line="412" w:lineRule="exact"/>
        <w:ind w:firstLine="480"/>
        <w:rPr>
          <w:sz w:val="24"/>
          <w:szCs w:val="24"/>
        </w:rPr>
      </w:pPr>
      <w:r>
        <w:rPr>
          <w:rFonts w:hint="eastAsia" w:cs="宋体"/>
          <w:sz w:val="24"/>
          <w:szCs w:val="24"/>
        </w:rPr>
        <w:t>农业机械生产者、销售者不履行本条第一款义务的，市场监督管理部门可以责令生产者召回农业机械，责令销售者停止销售农业机械。</w:t>
      </w:r>
    </w:p>
    <w:p>
      <w:pPr>
        <w:pStyle w:val="3"/>
        <w:topLinePunct/>
        <w:spacing w:line="412" w:lineRule="exact"/>
        <w:ind w:firstLine="482"/>
        <w:rPr>
          <w:sz w:val="24"/>
          <w:szCs w:val="24"/>
        </w:rPr>
      </w:pPr>
      <w:r>
        <w:rPr>
          <w:rStyle w:val="30"/>
          <w:rFonts w:hint="eastAsia" w:cs="宋体"/>
          <w:sz w:val="24"/>
          <w:szCs w:val="24"/>
        </w:rPr>
        <w:t>第十七条</w:t>
      </w:r>
      <w:r>
        <w:rPr>
          <w:sz w:val="24"/>
          <w:szCs w:val="24"/>
        </w:rPr>
        <w:t xml:space="preserve">  </w:t>
      </w:r>
      <w:r>
        <w:rPr>
          <w:rFonts w:hint="eastAsia" w:cs="宋体"/>
          <w:sz w:val="24"/>
          <w:szCs w:val="24"/>
        </w:rPr>
        <w:t>禁止生产、销售下列农业机械：</w:t>
      </w:r>
    </w:p>
    <w:p>
      <w:pPr>
        <w:pStyle w:val="3"/>
        <w:topLinePunct/>
        <w:spacing w:line="412" w:lineRule="exact"/>
        <w:ind w:firstLine="480"/>
        <w:rPr>
          <w:sz w:val="24"/>
          <w:szCs w:val="24"/>
        </w:rPr>
      </w:pPr>
      <w:r>
        <w:rPr>
          <w:rFonts w:hint="eastAsia" w:cs="宋体"/>
          <w:sz w:val="24"/>
          <w:szCs w:val="24"/>
        </w:rPr>
        <w:t>（一）不符合农业机械安全技术标准的；</w:t>
      </w:r>
    </w:p>
    <w:p>
      <w:pPr>
        <w:pStyle w:val="3"/>
        <w:topLinePunct/>
        <w:spacing w:line="412" w:lineRule="exact"/>
        <w:ind w:firstLine="480"/>
        <w:rPr>
          <w:sz w:val="24"/>
          <w:szCs w:val="24"/>
        </w:rPr>
      </w:pPr>
      <w:r>
        <w:rPr>
          <w:rFonts w:hint="eastAsia" w:cs="宋体"/>
          <w:sz w:val="24"/>
          <w:szCs w:val="24"/>
        </w:rPr>
        <w:t>（二）依法实行工业产品生产许可证管理而未取得许可证的；</w:t>
      </w:r>
    </w:p>
    <w:p>
      <w:pPr>
        <w:pStyle w:val="3"/>
        <w:topLinePunct/>
        <w:spacing w:line="412" w:lineRule="exact"/>
        <w:ind w:firstLine="480"/>
        <w:rPr>
          <w:sz w:val="24"/>
          <w:szCs w:val="24"/>
        </w:rPr>
      </w:pPr>
      <w:r>
        <w:rPr>
          <w:rFonts w:hint="eastAsia" w:cs="宋体"/>
          <w:sz w:val="24"/>
          <w:szCs w:val="24"/>
        </w:rPr>
        <w:t>（三）依法必须进行认证而未经认证的；</w:t>
      </w:r>
    </w:p>
    <w:p>
      <w:pPr>
        <w:pStyle w:val="3"/>
        <w:topLinePunct/>
        <w:spacing w:line="412" w:lineRule="exact"/>
        <w:ind w:firstLine="480"/>
        <w:rPr>
          <w:sz w:val="24"/>
          <w:szCs w:val="24"/>
        </w:rPr>
      </w:pPr>
      <w:r>
        <w:rPr>
          <w:rFonts w:hint="eastAsia" w:cs="宋体"/>
          <w:sz w:val="24"/>
          <w:szCs w:val="24"/>
        </w:rPr>
        <w:t>（四）利用残次零配件或者报废农业机械的发动机、方向机、变速器、车架等部件拼装的；</w:t>
      </w:r>
    </w:p>
    <w:p>
      <w:pPr>
        <w:pStyle w:val="3"/>
        <w:topLinePunct/>
        <w:spacing w:line="412" w:lineRule="exact"/>
        <w:ind w:firstLine="480"/>
        <w:rPr>
          <w:sz w:val="24"/>
          <w:szCs w:val="24"/>
        </w:rPr>
      </w:pPr>
      <w:r>
        <w:rPr>
          <w:rFonts w:hint="eastAsia" w:cs="宋体"/>
          <w:sz w:val="24"/>
          <w:szCs w:val="24"/>
        </w:rPr>
        <w:t>（五）国家明令淘汰的。</w:t>
      </w:r>
    </w:p>
    <w:p>
      <w:pPr>
        <w:pStyle w:val="3"/>
        <w:topLinePunct/>
        <w:spacing w:line="412" w:lineRule="exact"/>
        <w:ind w:firstLine="482"/>
        <w:rPr>
          <w:sz w:val="24"/>
          <w:szCs w:val="24"/>
        </w:rPr>
      </w:pPr>
      <w:r>
        <w:rPr>
          <w:rStyle w:val="30"/>
          <w:rFonts w:hint="eastAsia" w:cs="宋体"/>
          <w:sz w:val="24"/>
          <w:szCs w:val="24"/>
        </w:rPr>
        <w:t>第十八条</w:t>
      </w:r>
      <w:r>
        <w:rPr>
          <w:sz w:val="24"/>
          <w:szCs w:val="24"/>
        </w:rPr>
        <w:t xml:space="preserve">  </w:t>
      </w:r>
      <w:r>
        <w:rPr>
          <w:rFonts w:hint="eastAsia" w:cs="宋体"/>
          <w:sz w:val="24"/>
          <w:szCs w:val="24"/>
        </w:rPr>
        <w:t>从事农业机械维修经营，应当有必要的维修场地，有必要的维修设施、设备和检测仪器，有相应的维修技术人员，有安全防护和环境保护措施。</w:t>
      </w:r>
    </w:p>
    <w:p>
      <w:pPr>
        <w:pStyle w:val="3"/>
        <w:topLinePunct/>
        <w:spacing w:line="412" w:lineRule="exact"/>
        <w:ind w:firstLine="482"/>
        <w:rPr>
          <w:sz w:val="24"/>
          <w:szCs w:val="24"/>
        </w:rPr>
      </w:pPr>
      <w:r>
        <w:rPr>
          <w:rStyle w:val="30"/>
          <w:rFonts w:hint="eastAsia" w:cs="宋体"/>
          <w:sz w:val="24"/>
          <w:szCs w:val="24"/>
        </w:rPr>
        <w:t>第十九条</w:t>
      </w:r>
      <w:r>
        <w:rPr>
          <w:sz w:val="24"/>
          <w:szCs w:val="24"/>
        </w:rPr>
        <w:t xml:space="preserve">  </w:t>
      </w:r>
      <w:r>
        <w:rPr>
          <w:rFonts w:hint="eastAsia" w:cs="宋体"/>
          <w:sz w:val="24"/>
          <w:szCs w:val="24"/>
        </w:rPr>
        <w:t>农业机械维修经营者应当遵守国家有关维修质量安全技术规范和维修质量保证期的规定，确保维修质量。</w:t>
      </w:r>
    </w:p>
    <w:p>
      <w:pPr>
        <w:pStyle w:val="3"/>
        <w:topLinePunct/>
        <w:spacing w:line="412" w:lineRule="exact"/>
        <w:ind w:firstLine="480"/>
        <w:rPr>
          <w:sz w:val="24"/>
          <w:szCs w:val="24"/>
        </w:rPr>
      </w:pPr>
      <w:r>
        <w:rPr>
          <w:rFonts w:hint="eastAsia" w:cs="宋体"/>
          <w:sz w:val="24"/>
          <w:szCs w:val="24"/>
        </w:rPr>
        <w:t>从事农业机械维修不得有下列行为：</w:t>
      </w:r>
    </w:p>
    <w:p>
      <w:pPr>
        <w:pStyle w:val="3"/>
        <w:topLinePunct/>
        <w:spacing w:line="412" w:lineRule="exact"/>
        <w:ind w:firstLine="480"/>
        <w:rPr>
          <w:sz w:val="24"/>
          <w:szCs w:val="24"/>
        </w:rPr>
      </w:pPr>
      <w:r>
        <w:rPr>
          <w:rFonts w:hint="eastAsia" w:cs="宋体"/>
          <w:sz w:val="24"/>
          <w:szCs w:val="24"/>
        </w:rPr>
        <w:t>（一）使用不符合农业机械安全技术标准的零配件；</w:t>
      </w:r>
    </w:p>
    <w:p>
      <w:pPr>
        <w:pStyle w:val="3"/>
        <w:topLinePunct/>
        <w:spacing w:line="412" w:lineRule="exact"/>
        <w:ind w:firstLine="480"/>
        <w:rPr>
          <w:sz w:val="24"/>
          <w:szCs w:val="24"/>
        </w:rPr>
      </w:pPr>
      <w:r>
        <w:rPr>
          <w:rFonts w:hint="eastAsia" w:cs="宋体"/>
          <w:sz w:val="24"/>
          <w:szCs w:val="24"/>
        </w:rPr>
        <w:t>（二）拼装、改装农业机械整机；</w:t>
      </w:r>
    </w:p>
    <w:p>
      <w:pPr>
        <w:pStyle w:val="3"/>
        <w:topLinePunct/>
        <w:spacing w:line="412" w:lineRule="exact"/>
        <w:ind w:firstLine="480"/>
        <w:rPr>
          <w:sz w:val="24"/>
          <w:szCs w:val="24"/>
        </w:rPr>
      </w:pPr>
      <w:r>
        <w:rPr>
          <w:rFonts w:hint="eastAsia" w:cs="宋体"/>
          <w:sz w:val="24"/>
          <w:szCs w:val="24"/>
        </w:rPr>
        <w:t>（三）承揽维修已经达到报废条件的农业机械；</w:t>
      </w:r>
    </w:p>
    <w:p>
      <w:pPr>
        <w:pStyle w:val="3"/>
        <w:topLinePunct/>
        <w:spacing w:line="412" w:lineRule="exact"/>
        <w:ind w:firstLine="480"/>
        <w:rPr>
          <w:sz w:val="24"/>
          <w:szCs w:val="24"/>
        </w:rPr>
      </w:pPr>
      <w:r>
        <w:rPr>
          <w:rFonts w:hint="eastAsia" w:cs="宋体"/>
          <w:sz w:val="24"/>
          <w:szCs w:val="24"/>
        </w:rPr>
        <w:t>（四）法律、法规和国务院农业机械化主管部门规定的其他禁止性行为。</w:t>
      </w:r>
    </w:p>
    <w:p>
      <w:pPr>
        <w:pStyle w:val="63"/>
        <w:spacing w:before="218" w:after="218" w:line="412" w:lineRule="exact"/>
      </w:pPr>
      <w:r>
        <w:rPr>
          <w:rFonts w:hint="eastAsia"/>
        </w:rPr>
        <w:t>第三章</w:t>
      </w:r>
      <w:r>
        <w:t xml:space="preserve">  </w:t>
      </w:r>
      <w:r>
        <w:rPr>
          <w:rFonts w:hint="eastAsia"/>
        </w:rPr>
        <w:t>使用操作</w:t>
      </w:r>
    </w:p>
    <w:p>
      <w:pPr>
        <w:pStyle w:val="3"/>
        <w:topLinePunct/>
        <w:spacing w:line="412" w:lineRule="exact"/>
        <w:ind w:firstLine="482"/>
        <w:rPr>
          <w:sz w:val="24"/>
          <w:szCs w:val="24"/>
        </w:rPr>
      </w:pPr>
      <w:r>
        <w:rPr>
          <w:rStyle w:val="30"/>
          <w:rFonts w:hint="eastAsia" w:cs="宋体"/>
          <w:sz w:val="24"/>
          <w:szCs w:val="24"/>
        </w:rPr>
        <w:t>第二十条</w:t>
      </w:r>
      <w:r>
        <w:rPr>
          <w:sz w:val="24"/>
          <w:szCs w:val="24"/>
        </w:rPr>
        <w:t xml:space="preserve">  </w:t>
      </w:r>
      <w:r>
        <w:rPr>
          <w:rFonts w:hint="eastAsia" w:cs="宋体"/>
          <w:sz w:val="24"/>
          <w:szCs w:val="24"/>
        </w:rPr>
        <w:t>农业机械操作人员可以参加农业机械操作人员的技能培训，可以向有关农业机械化主管部门、人力资源和社会保障部门申请职业技能鉴定，获取相应等级的国家职业资格证书。</w:t>
      </w:r>
    </w:p>
    <w:p>
      <w:pPr>
        <w:pStyle w:val="3"/>
        <w:topLinePunct/>
        <w:spacing w:line="412" w:lineRule="exact"/>
        <w:ind w:firstLine="482"/>
        <w:rPr>
          <w:sz w:val="24"/>
          <w:szCs w:val="24"/>
        </w:rPr>
      </w:pPr>
      <w:r>
        <w:rPr>
          <w:rStyle w:val="30"/>
          <w:rFonts w:hint="eastAsia" w:cs="宋体"/>
          <w:sz w:val="24"/>
          <w:szCs w:val="24"/>
        </w:rPr>
        <w:t>第二十一条</w:t>
      </w:r>
      <w:r>
        <w:rPr>
          <w:sz w:val="24"/>
          <w:szCs w:val="24"/>
        </w:rPr>
        <w:t xml:space="preserve">  </w:t>
      </w:r>
      <w:r>
        <w:rPr>
          <w:rFonts w:hint="eastAsia" w:cs="宋体"/>
          <w:sz w:val="24"/>
          <w:szCs w:val="24"/>
        </w:rPr>
        <w:t>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w:t>
      </w:r>
      <w:r>
        <w:rPr>
          <w:sz w:val="24"/>
          <w:szCs w:val="24"/>
        </w:rPr>
        <w:t>2</w:t>
      </w:r>
      <w:r>
        <w:rPr>
          <w:rFonts w:hint="eastAsia" w:cs="宋体"/>
          <w:sz w:val="24"/>
          <w:szCs w:val="24"/>
        </w:rPr>
        <w:t>个工作日内予以登记并核发相应的证书和牌照。</w:t>
      </w:r>
    </w:p>
    <w:p>
      <w:pPr>
        <w:pStyle w:val="3"/>
        <w:topLinePunct/>
        <w:spacing w:line="412" w:lineRule="exact"/>
        <w:ind w:firstLine="480"/>
        <w:rPr>
          <w:sz w:val="24"/>
          <w:szCs w:val="24"/>
        </w:rPr>
      </w:pPr>
      <w:r>
        <w:rPr>
          <w:rFonts w:hint="eastAsia" w:cs="宋体"/>
          <w:sz w:val="24"/>
          <w:szCs w:val="24"/>
        </w:rPr>
        <w:t>拖拉机、联合收割机使用期间登记事项发生变更的，其所有人应当按照国务院农业机械化主管部门的规定申请变更登记。</w:t>
      </w:r>
    </w:p>
    <w:p>
      <w:pPr>
        <w:pStyle w:val="3"/>
        <w:topLinePunct/>
        <w:spacing w:line="412" w:lineRule="exact"/>
        <w:ind w:firstLine="482"/>
        <w:rPr>
          <w:sz w:val="24"/>
          <w:szCs w:val="24"/>
        </w:rPr>
      </w:pPr>
      <w:r>
        <w:rPr>
          <w:rStyle w:val="30"/>
          <w:rFonts w:hint="eastAsia" w:cs="宋体"/>
          <w:sz w:val="24"/>
          <w:szCs w:val="24"/>
        </w:rPr>
        <w:t>第二十二条</w:t>
      </w:r>
      <w:r>
        <w:rPr>
          <w:sz w:val="24"/>
          <w:szCs w:val="24"/>
        </w:rPr>
        <w:t xml:space="preserve">  </w:t>
      </w:r>
      <w:r>
        <w:rPr>
          <w:rFonts w:hint="eastAsia" w:cs="宋体"/>
          <w:sz w:val="24"/>
          <w:szCs w:val="24"/>
        </w:rPr>
        <w:t>拖拉机、联合收割机操作人员经过培训后，应当按照国务院农业机械化主管部门的规定，参加县级人民政府农业机械化主管部门组织的考试。考试合格的，农业机械化主管部门应当在</w:t>
      </w:r>
      <w:r>
        <w:rPr>
          <w:sz w:val="24"/>
          <w:szCs w:val="24"/>
        </w:rPr>
        <w:t>2</w:t>
      </w:r>
      <w:r>
        <w:rPr>
          <w:rFonts w:hint="eastAsia" w:cs="宋体"/>
          <w:sz w:val="24"/>
          <w:szCs w:val="24"/>
        </w:rPr>
        <w:t>个工作日内核发相应的操作证件。</w:t>
      </w:r>
    </w:p>
    <w:p>
      <w:pPr>
        <w:pStyle w:val="3"/>
        <w:topLinePunct/>
        <w:spacing w:line="412" w:lineRule="exact"/>
        <w:ind w:firstLine="480"/>
        <w:rPr>
          <w:sz w:val="24"/>
          <w:szCs w:val="24"/>
        </w:rPr>
      </w:pPr>
      <w:r>
        <w:rPr>
          <w:rFonts w:hint="eastAsia" w:cs="宋体"/>
          <w:sz w:val="24"/>
          <w:szCs w:val="24"/>
        </w:rPr>
        <w:t>拖拉机、联合收割机操作证件有效期为</w:t>
      </w:r>
      <w:r>
        <w:rPr>
          <w:sz w:val="24"/>
          <w:szCs w:val="24"/>
        </w:rPr>
        <w:t>6</w:t>
      </w:r>
      <w:r>
        <w:rPr>
          <w:rFonts w:hint="eastAsia" w:cs="宋体"/>
          <w:sz w:val="24"/>
          <w:szCs w:val="24"/>
        </w:rPr>
        <w:t>年；有效期满，拖拉机、联合收割机操作人员可以向原发证机关申请续展。未满</w:t>
      </w:r>
      <w:r>
        <w:rPr>
          <w:sz w:val="24"/>
          <w:szCs w:val="24"/>
        </w:rPr>
        <w:t>18</w:t>
      </w:r>
      <w:r>
        <w:rPr>
          <w:rFonts w:hint="eastAsia" w:cs="宋体"/>
          <w:sz w:val="24"/>
          <w:szCs w:val="24"/>
        </w:rPr>
        <w:t>周岁不得操作拖拉机、联合收割机。操作人员年满</w:t>
      </w:r>
      <w:r>
        <w:rPr>
          <w:sz w:val="24"/>
          <w:szCs w:val="24"/>
        </w:rPr>
        <w:t>70</w:t>
      </w:r>
      <w:r>
        <w:rPr>
          <w:rFonts w:hint="eastAsia" w:cs="宋体"/>
          <w:sz w:val="24"/>
          <w:szCs w:val="24"/>
        </w:rPr>
        <w:t>周岁的，县级人民政府农业机械化主管部门应当注销其操作证件。</w:t>
      </w:r>
    </w:p>
    <w:p>
      <w:pPr>
        <w:pStyle w:val="3"/>
        <w:topLinePunct/>
        <w:spacing w:line="412" w:lineRule="exact"/>
        <w:ind w:firstLine="482"/>
        <w:rPr>
          <w:sz w:val="24"/>
          <w:szCs w:val="24"/>
        </w:rPr>
      </w:pPr>
      <w:r>
        <w:rPr>
          <w:rStyle w:val="30"/>
          <w:rFonts w:hint="eastAsia" w:cs="宋体"/>
          <w:sz w:val="24"/>
          <w:szCs w:val="24"/>
        </w:rPr>
        <w:t>第二十三条</w:t>
      </w:r>
      <w:r>
        <w:rPr>
          <w:sz w:val="24"/>
          <w:szCs w:val="24"/>
        </w:rPr>
        <w:t xml:space="preserve">  </w:t>
      </w:r>
      <w:r>
        <w:rPr>
          <w:rFonts w:hint="eastAsia" w:cs="宋体"/>
          <w:sz w:val="24"/>
          <w:szCs w:val="24"/>
        </w:rPr>
        <w:t>拖拉机</w:t>
      </w:r>
      <w:r>
        <w:rPr>
          <w:rFonts w:hint="eastAsia" w:cs="宋体"/>
          <w:spacing w:val="-4"/>
          <w:sz w:val="24"/>
          <w:szCs w:val="24"/>
        </w:rPr>
        <w:t>、联合收割机应当悬挂牌照。拖拉机上道路行驶，联合收割机因转场作业、维修、安全检验等需要转移的，其操作人员应当携带操作证件。</w:t>
      </w:r>
    </w:p>
    <w:p>
      <w:pPr>
        <w:pStyle w:val="3"/>
        <w:topLinePunct/>
        <w:spacing w:line="412" w:lineRule="exact"/>
        <w:ind w:firstLine="480"/>
        <w:rPr>
          <w:sz w:val="24"/>
          <w:szCs w:val="24"/>
        </w:rPr>
      </w:pPr>
      <w:r>
        <w:rPr>
          <w:rFonts w:hint="eastAsia" w:cs="宋体"/>
          <w:sz w:val="24"/>
          <w:szCs w:val="24"/>
        </w:rPr>
        <w:t>拖拉机、联合收割机操作人员不得有下列行为：</w:t>
      </w:r>
    </w:p>
    <w:p>
      <w:pPr>
        <w:pStyle w:val="3"/>
        <w:topLinePunct/>
        <w:spacing w:line="412" w:lineRule="exact"/>
        <w:ind w:firstLine="480"/>
        <w:rPr>
          <w:sz w:val="24"/>
          <w:szCs w:val="24"/>
        </w:rPr>
      </w:pPr>
      <w:r>
        <w:rPr>
          <w:rFonts w:hint="eastAsia" w:cs="宋体"/>
          <w:sz w:val="24"/>
          <w:szCs w:val="24"/>
        </w:rPr>
        <w:t>（一）操作与本人操作证件规定不相符的拖拉机、联合收割机；</w:t>
      </w:r>
    </w:p>
    <w:p>
      <w:pPr>
        <w:pStyle w:val="3"/>
        <w:topLinePunct/>
        <w:spacing w:line="412" w:lineRule="exact"/>
        <w:ind w:firstLine="480"/>
        <w:rPr>
          <w:sz w:val="24"/>
          <w:szCs w:val="24"/>
        </w:rPr>
      </w:pPr>
      <w:r>
        <w:rPr>
          <w:rFonts w:hint="eastAsia" w:cs="宋体"/>
          <w:sz w:val="24"/>
          <w:szCs w:val="24"/>
        </w:rPr>
        <w:t>（二）操作未按照规定登记、检验或者检验不合格、安全设施不全、机件失效的拖拉机、联合收割机；</w:t>
      </w:r>
    </w:p>
    <w:p>
      <w:pPr>
        <w:pStyle w:val="3"/>
        <w:topLinePunct/>
        <w:spacing w:line="412" w:lineRule="exact"/>
        <w:ind w:firstLine="480"/>
        <w:rPr>
          <w:sz w:val="24"/>
          <w:szCs w:val="24"/>
        </w:rPr>
      </w:pPr>
      <w:r>
        <w:rPr>
          <w:rFonts w:hint="eastAsia" w:cs="宋体"/>
          <w:sz w:val="24"/>
          <w:szCs w:val="24"/>
        </w:rPr>
        <w:t>（三）使用国家管制的精神药品、麻醉品后操作拖拉机、联合收割机；</w:t>
      </w:r>
    </w:p>
    <w:p>
      <w:pPr>
        <w:pStyle w:val="3"/>
        <w:topLinePunct/>
        <w:spacing w:line="412" w:lineRule="exact"/>
        <w:ind w:firstLine="480"/>
        <w:rPr>
          <w:sz w:val="24"/>
          <w:szCs w:val="24"/>
        </w:rPr>
      </w:pPr>
      <w:r>
        <w:rPr>
          <w:rFonts w:hint="eastAsia" w:cs="宋体"/>
          <w:sz w:val="24"/>
          <w:szCs w:val="24"/>
        </w:rPr>
        <w:t>（四）患有妨碍安全操作的疾病操作拖拉机、联合收割机；</w:t>
      </w:r>
    </w:p>
    <w:p>
      <w:pPr>
        <w:pStyle w:val="3"/>
        <w:topLinePunct/>
        <w:spacing w:line="412" w:lineRule="exact"/>
        <w:ind w:firstLine="480"/>
        <w:rPr>
          <w:sz w:val="24"/>
          <w:szCs w:val="24"/>
        </w:rPr>
      </w:pPr>
      <w:r>
        <w:rPr>
          <w:rFonts w:hint="eastAsia" w:cs="宋体"/>
          <w:sz w:val="24"/>
          <w:szCs w:val="24"/>
        </w:rPr>
        <w:t>（五）国务院农业机械化主管部门规定的其他禁止行为。</w:t>
      </w:r>
    </w:p>
    <w:p>
      <w:pPr>
        <w:pStyle w:val="3"/>
        <w:topLinePunct/>
        <w:spacing w:line="412" w:lineRule="exact"/>
        <w:ind w:firstLine="480"/>
        <w:rPr>
          <w:sz w:val="24"/>
          <w:szCs w:val="24"/>
        </w:rPr>
      </w:pPr>
      <w:r>
        <w:rPr>
          <w:rFonts w:hint="eastAsia" w:cs="宋体"/>
          <w:sz w:val="24"/>
          <w:szCs w:val="24"/>
        </w:rPr>
        <w:t>禁止使用拖拉机、联合收割机违反规定载人。</w:t>
      </w:r>
    </w:p>
    <w:p>
      <w:pPr>
        <w:pStyle w:val="3"/>
        <w:topLinePunct/>
        <w:spacing w:line="412" w:lineRule="exact"/>
        <w:ind w:firstLine="482"/>
        <w:rPr>
          <w:sz w:val="24"/>
          <w:szCs w:val="24"/>
        </w:rPr>
      </w:pPr>
      <w:r>
        <w:rPr>
          <w:rStyle w:val="30"/>
          <w:rFonts w:hint="eastAsia" w:cs="宋体"/>
          <w:sz w:val="24"/>
          <w:szCs w:val="24"/>
        </w:rPr>
        <w:t>第二十四条</w:t>
      </w:r>
      <w:r>
        <w:rPr>
          <w:sz w:val="24"/>
          <w:szCs w:val="24"/>
        </w:rPr>
        <w:t xml:space="preserve">  </w:t>
      </w:r>
      <w:r>
        <w:rPr>
          <w:rFonts w:hint="eastAsia" w:cs="宋体"/>
          <w:sz w:val="24"/>
          <w:szCs w:val="24"/>
        </w:rPr>
        <w:t>农业机械操作人员作业前，应当对农业机械进行安全查验；作业时，应当遵守国务院农业机械化主管部门和省、自治区、直辖市人民政府农业机械化主管部门制定的安全操作规程。</w:t>
      </w:r>
    </w:p>
    <w:p>
      <w:pPr>
        <w:pStyle w:val="63"/>
        <w:spacing w:before="218" w:after="218" w:line="412" w:lineRule="exact"/>
      </w:pPr>
      <w:r>
        <w:rPr>
          <w:rFonts w:hint="eastAsia"/>
        </w:rPr>
        <w:t>第四章</w:t>
      </w:r>
      <w:r>
        <w:t xml:space="preserve">  </w:t>
      </w:r>
      <w:r>
        <w:rPr>
          <w:rFonts w:hint="eastAsia"/>
        </w:rPr>
        <w:t>事故处理</w:t>
      </w:r>
    </w:p>
    <w:p>
      <w:pPr>
        <w:pStyle w:val="3"/>
        <w:topLinePunct/>
        <w:spacing w:line="412" w:lineRule="exact"/>
        <w:ind w:firstLine="482"/>
        <w:rPr>
          <w:sz w:val="24"/>
          <w:szCs w:val="24"/>
        </w:rPr>
      </w:pPr>
      <w:r>
        <w:rPr>
          <w:rStyle w:val="30"/>
          <w:rFonts w:hint="eastAsia" w:cs="宋体"/>
          <w:sz w:val="24"/>
          <w:szCs w:val="24"/>
        </w:rPr>
        <w:t>第二十五条</w:t>
      </w:r>
      <w:r>
        <w:rPr>
          <w:rStyle w:val="30"/>
          <w:sz w:val="24"/>
          <w:szCs w:val="24"/>
        </w:rPr>
        <w:t xml:space="preserve"> </w:t>
      </w:r>
      <w:r>
        <w:rPr>
          <w:sz w:val="24"/>
          <w:szCs w:val="24"/>
        </w:rPr>
        <w:t xml:space="preserve"> </w:t>
      </w:r>
      <w:r>
        <w:rPr>
          <w:rFonts w:hint="eastAsia" w:cs="宋体"/>
          <w:sz w:val="24"/>
          <w:szCs w:val="24"/>
        </w:rPr>
        <w:t>县级以上地方人民政府农业机械化主管部门负责农业机械事故责任的认定和调解处理。</w:t>
      </w:r>
    </w:p>
    <w:p>
      <w:pPr>
        <w:pStyle w:val="3"/>
        <w:topLinePunct/>
        <w:spacing w:line="412" w:lineRule="exact"/>
        <w:ind w:firstLine="480"/>
        <w:rPr>
          <w:sz w:val="24"/>
          <w:szCs w:val="24"/>
        </w:rPr>
      </w:pPr>
      <w:r>
        <w:rPr>
          <w:rFonts w:hint="eastAsia" w:cs="宋体"/>
          <w:sz w:val="24"/>
          <w:szCs w:val="24"/>
        </w:rPr>
        <w:t>本条例所称农业机械事故，是指农业机械在作业或者转移等过程中造成人身伤亡、财产损失的事件。</w:t>
      </w:r>
    </w:p>
    <w:p>
      <w:pPr>
        <w:pStyle w:val="3"/>
        <w:topLinePunct/>
        <w:spacing w:line="412" w:lineRule="exact"/>
        <w:ind w:firstLine="480"/>
        <w:rPr>
          <w:sz w:val="24"/>
          <w:szCs w:val="24"/>
        </w:rPr>
      </w:pPr>
      <w:r>
        <w:rPr>
          <w:rFonts w:hint="eastAsia" w:cs="宋体"/>
          <w:sz w:val="24"/>
          <w:szCs w:val="24"/>
        </w:rPr>
        <w:t>农业机械在道路上发生的交通事故，由公安机关交通管理部门依照道路交通安全法律、法规处理；拖拉机在道路以外通行时发生的事故，公安机关交通管理部门接到报案的，参照道路交通安全法律、法规处理。农业机械事故造成公路及其附属设施损坏的，由交通主管部门依照公路法律、法规处理。</w:t>
      </w:r>
    </w:p>
    <w:p>
      <w:pPr>
        <w:pStyle w:val="3"/>
        <w:topLinePunct/>
        <w:spacing w:line="412" w:lineRule="exact"/>
        <w:ind w:firstLine="482"/>
        <w:rPr>
          <w:sz w:val="24"/>
          <w:szCs w:val="24"/>
        </w:rPr>
      </w:pPr>
      <w:r>
        <w:rPr>
          <w:rStyle w:val="30"/>
          <w:rFonts w:hint="eastAsia" w:cs="宋体"/>
          <w:sz w:val="24"/>
          <w:szCs w:val="24"/>
        </w:rPr>
        <w:t>第二十六条</w:t>
      </w:r>
      <w:r>
        <w:rPr>
          <w:sz w:val="24"/>
          <w:szCs w:val="24"/>
        </w:rPr>
        <w:t xml:space="preserve">  </w:t>
      </w:r>
      <w:r>
        <w:rPr>
          <w:rFonts w:hint="eastAsia" w:cs="宋体"/>
          <w:sz w:val="24"/>
          <w:szCs w:val="24"/>
        </w:rPr>
        <w:t>在道路以外发生的农业机械事故，操作人员和现场其他人员应当立即停止作业或者停止农业机械的转移，保护现场，造成人员伤害的，应当向事故发生地农业机械化主管部门报告；造成人员死亡的，还应当向事故发生地公安机关报告。造成人身伤害的，应当立即采取措施，抢救受伤人员。因抢救受伤人员变动现场的，应当标明位置。</w:t>
      </w:r>
    </w:p>
    <w:p>
      <w:pPr>
        <w:pStyle w:val="3"/>
        <w:topLinePunct/>
        <w:spacing w:line="412" w:lineRule="exact"/>
        <w:ind w:firstLine="480"/>
        <w:rPr>
          <w:sz w:val="24"/>
          <w:szCs w:val="24"/>
        </w:rPr>
      </w:pPr>
      <w:r>
        <w:rPr>
          <w:rFonts w:hint="eastAsia" w:cs="宋体"/>
          <w:sz w:val="24"/>
          <w:szCs w:val="24"/>
        </w:rPr>
        <w:t>接到报告的农业机械化主管部门和公安机关应当立即派人赶赴现场进行勘验、检查，收集证据，组织抢救受伤人员，尽快恢复正常的生产秩序。</w:t>
      </w:r>
    </w:p>
    <w:p>
      <w:pPr>
        <w:pStyle w:val="3"/>
        <w:topLinePunct/>
        <w:spacing w:line="412" w:lineRule="exact"/>
        <w:ind w:firstLine="482"/>
        <w:rPr>
          <w:sz w:val="24"/>
          <w:szCs w:val="24"/>
        </w:rPr>
      </w:pPr>
      <w:r>
        <w:rPr>
          <w:rStyle w:val="30"/>
          <w:rFonts w:hint="eastAsia" w:cs="宋体"/>
          <w:sz w:val="24"/>
          <w:szCs w:val="24"/>
        </w:rPr>
        <w:t>第二十七条</w:t>
      </w:r>
      <w:r>
        <w:rPr>
          <w:sz w:val="24"/>
          <w:szCs w:val="24"/>
        </w:rPr>
        <w:t xml:space="preserve">  </w:t>
      </w:r>
      <w:r>
        <w:rPr>
          <w:rFonts w:hint="eastAsia" w:cs="宋体"/>
          <w:sz w:val="24"/>
          <w:szCs w:val="24"/>
        </w:rPr>
        <w:t>对经过现场勘验、检查的农业机械事故，农业机械化主管部门应当在</w:t>
      </w:r>
      <w:r>
        <w:rPr>
          <w:sz w:val="24"/>
          <w:szCs w:val="24"/>
        </w:rPr>
        <w:t>10</w:t>
      </w:r>
      <w:r>
        <w:rPr>
          <w:rFonts w:hint="eastAsia" w:cs="宋体"/>
          <w:sz w:val="24"/>
          <w:szCs w:val="24"/>
        </w:rPr>
        <w:t>个工作日内制作完成农业机械事故认定书；需要进行农业机械鉴定的，应当自收到农业机械鉴定机构出具的鉴定结论之日起</w:t>
      </w:r>
      <w:r>
        <w:rPr>
          <w:sz w:val="24"/>
          <w:szCs w:val="24"/>
        </w:rPr>
        <w:t>5</w:t>
      </w:r>
      <w:r>
        <w:rPr>
          <w:rFonts w:hint="eastAsia" w:cs="宋体"/>
          <w:sz w:val="24"/>
          <w:szCs w:val="24"/>
        </w:rPr>
        <w:t>个工作日内制作农业机械事故认定书。</w:t>
      </w:r>
    </w:p>
    <w:p>
      <w:pPr>
        <w:pStyle w:val="3"/>
        <w:topLinePunct/>
        <w:spacing w:line="412" w:lineRule="exact"/>
        <w:ind w:firstLine="480"/>
        <w:rPr>
          <w:sz w:val="24"/>
          <w:szCs w:val="24"/>
        </w:rPr>
      </w:pPr>
      <w:r>
        <w:rPr>
          <w:rFonts w:hint="eastAsia" w:cs="宋体"/>
          <w:sz w:val="24"/>
          <w:szCs w:val="24"/>
        </w:rPr>
        <w:t>农业机械事故认定书应当载明农业机械事故的基本事实、成因和当事人的责任，并在制作完成农业机械事故认定书之日起</w:t>
      </w:r>
      <w:r>
        <w:rPr>
          <w:sz w:val="24"/>
          <w:szCs w:val="24"/>
        </w:rPr>
        <w:t>3</w:t>
      </w:r>
      <w:r>
        <w:rPr>
          <w:rFonts w:hint="eastAsia" w:cs="宋体"/>
          <w:sz w:val="24"/>
          <w:szCs w:val="24"/>
        </w:rPr>
        <w:t>个工作日内送达当事人。</w:t>
      </w:r>
    </w:p>
    <w:p>
      <w:pPr>
        <w:pStyle w:val="3"/>
        <w:topLinePunct/>
        <w:spacing w:line="412" w:lineRule="exact"/>
        <w:ind w:firstLine="482"/>
        <w:rPr>
          <w:sz w:val="24"/>
          <w:szCs w:val="24"/>
        </w:rPr>
      </w:pPr>
      <w:r>
        <w:rPr>
          <w:rStyle w:val="30"/>
          <w:rFonts w:hint="eastAsia" w:cs="宋体"/>
          <w:sz w:val="24"/>
          <w:szCs w:val="24"/>
        </w:rPr>
        <w:t>第二十八条</w:t>
      </w:r>
      <w:r>
        <w:rPr>
          <w:sz w:val="24"/>
          <w:szCs w:val="24"/>
        </w:rPr>
        <w:t xml:space="preserve">  </w:t>
      </w:r>
      <w:r>
        <w:rPr>
          <w:rFonts w:hint="eastAsia" w:cs="宋体"/>
          <w:sz w:val="24"/>
          <w:szCs w:val="24"/>
        </w:rPr>
        <w:t>当事人对农业机械事故损害赔偿有争议，请求调解的，应当自收到事故认定书之日起</w:t>
      </w:r>
      <w:r>
        <w:rPr>
          <w:sz w:val="24"/>
          <w:szCs w:val="24"/>
        </w:rPr>
        <w:t>10</w:t>
      </w:r>
      <w:r>
        <w:rPr>
          <w:rFonts w:hint="eastAsia" w:cs="宋体"/>
          <w:sz w:val="24"/>
          <w:szCs w:val="24"/>
        </w:rPr>
        <w:t>个工作日内向农业机械化主管部门书面提出调解申请。</w:t>
      </w:r>
    </w:p>
    <w:p>
      <w:pPr>
        <w:pStyle w:val="3"/>
        <w:topLinePunct/>
        <w:spacing w:line="412" w:lineRule="exact"/>
        <w:ind w:firstLine="480"/>
        <w:rPr>
          <w:sz w:val="24"/>
          <w:szCs w:val="24"/>
        </w:rPr>
      </w:pPr>
      <w:r>
        <w:rPr>
          <w:rFonts w:hint="eastAsia" w:cs="宋体"/>
          <w:sz w:val="24"/>
          <w:szCs w:val="24"/>
        </w:rPr>
        <w:t>调解达成协议的，农业机械化主管部门应当制作调解书送交各方当事人。调解书经各方当事人共同签字后生效。调解不能达成协议或者当事人向人民法院提起诉讼的，农业机械化主管部门应当终止调解并书面通知当事人。调解达成协议后当事人反悔的，可以向人民法院提起诉讼。</w:t>
      </w:r>
    </w:p>
    <w:p>
      <w:pPr>
        <w:pStyle w:val="3"/>
        <w:topLinePunct/>
        <w:spacing w:line="412" w:lineRule="exact"/>
        <w:ind w:firstLine="482"/>
        <w:rPr>
          <w:sz w:val="24"/>
          <w:szCs w:val="24"/>
        </w:rPr>
      </w:pPr>
      <w:r>
        <w:rPr>
          <w:rStyle w:val="30"/>
          <w:rFonts w:hint="eastAsia" w:cs="宋体"/>
          <w:sz w:val="24"/>
          <w:szCs w:val="24"/>
        </w:rPr>
        <w:t>第二十九条</w:t>
      </w:r>
      <w:r>
        <w:rPr>
          <w:sz w:val="24"/>
          <w:szCs w:val="24"/>
        </w:rPr>
        <w:t xml:space="preserve">  </w:t>
      </w:r>
      <w:r>
        <w:rPr>
          <w:rFonts w:hint="eastAsia" w:cs="宋体"/>
          <w:sz w:val="24"/>
          <w:szCs w:val="24"/>
        </w:rPr>
        <w:t>农业机械化主管部门应当为当事人处理农业机械事故损害赔偿等后续事宜提供帮助和便利。因农业机械产品质量原因导致事故的，农业机械化主管部门应当依法出具有关证明材料。</w:t>
      </w:r>
    </w:p>
    <w:p>
      <w:pPr>
        <w:pStyle w:val="3"/>
        <w:topLinePunct/>
        <w:spacing w:line="412" w:lineRule="exact"/>
        <w:ind w:firstLine="480"/>
        <w:rPr>
          <w:sz w:val="24"/>
          <w:szCs w:val="24"/>
        </w:rPr>
      </w:pPr>
      <w:r>
        <w:rPr>
          <w:rFonts w:hint="eastAsia" w:cs="宋体"/>
          <w:sz w:val="24"/>
          <w:szCs w:val="24"/>
        </w:rPr>
        <w:t>农业机械化主管部门应当定期将农业机械事故统计情况及说明材料报送上级农业机械化主管部门并抄送同级安全生产监督管理部门。</w:t>
      </w:r>
    </w:p>
    <w:p>
      <w:pPr>
        <w:pStyle w:val="3"/>
        <w:topLinePunct/>
        <w:spacing w:line="412" w:lineRule="exact"/>
        <w:ind w:firstLine="480"/>
        <w:rPr>
          <w:sz w:val="24"/>
          <w:szCs w:val="24"/>
        </w:rPr>
      </w:pPr>
      <w:r>
        <w:rPr>
          <w:rFonts w:hint="eastAsia" w:cs="宋体"/>
          <w:sz w:val="24"/>
          <w:szCs w:val="24"/>
        </w:rPr>
        <w:t>农业机械事故构成生产安全事故的，应当依照相关法律、行政法规的规定调查处理并追究责任。</w:t>
      </w:r>
    </w:p>
    <w:p>
      <w:pPr>
        <w:pStyle w:val="63"/>
        <w:spacing w:before="218" w:after="218" w:line="412" w:lineRule="exact"/>
      </w:pPr>
      <w:r>
        <w:rPr>
          <w:rFonts w:hint="eastAsia"/>
        </w:rPr>
        <w:t>第五章</w:t>
      </w:r>
      <w:r>
        <w:t xml:space="preserve">  </w:t>
      </w:r>
      <w:r>
        <w:rPr>
          <w:rFonts w:hint="eastAsia"/>
        </w:rPr>
        <w:t>服务与监督</w:t>
      </w:r>
    </w:p>
    <w:p>
      <w:pPr>
        <w:pStyle w:val="3"/>
        <w:topLinePunct/>
        <w:spacing w:line="412" w:lineRule="exact"/>
        <w:ind w:firstLine="482"/>
        <w:rPr>
          <w:sz w:val="24"/>
          <w:szCs w:val="24"/>
        </w:rPr>
      </w:pPr>
      <w:r>
        <w:rPr>
          <w:rStyle w:val="30"/>
          <w:rFonts w:hint="eastAsia" w:cs="宋体"/>
          <w:sz w:val="24"/>
          <w:szCs w:val="24"/>
        </w:rPr>
        <w:t>第三十条</w:t>
      </w:r>
      <w:r>
        <w:rPr>
          <w:sz w:val="24"/>
          <w:szCs w:val="24"/>
        </w:rPr>
        <w:t xml:space="preserve">  </w:t>
      </w:r>
      <w:r>
        <w:rPr>
          <w:rFonts w:hint="eastAsia" w:cs="宋体"/>
          <w:sz w:val="24"/>
          <w:szCs w:val="24"/>
        </w:rPr>
        <w:t>县级以上地方人民政府农业机械化主管部门应当定期对危及人身财产安全的农业机械进行免费实地安全检验。但是道路交通安全法律对拖拉机的安全检验另有规定的，从其规定。</w:t>
      </w:r>
    </w:p>
    <w:p>
      <w:pPr>
        <w:pStyle w:val="3"/>
        <w:topLinePunct/>
        <w:spacing w:line="412" w:lineRule="exact"/>
        <w:ind w:firstLine="480"/>
        <w:rPr>
          <w:sz w:val="24"/>
          <w:szCs w:val="24"/>
        </w:rPr>
      </w:pPr>
      <w:r>
        <w:rPr>
          <w:rFonts w:hint="eastAsia" w:cs="宋体"/>
          <w:sz w:val="24"/>
          <w:szCs w:val="24"/>
        </w:rPr>
        <w:t>拖拉机、联合收割机的安全检验为每年</w:t>
      </w:r>
      <w:r>
        <w:rPr>
          <w:sz w:val="24"/>
          <w:szCs w:val="24"/>
        </w:rPr>
        <w:t>1</w:t>
      </w:r>
      <w:r>
        <w:rPr>
          <w:rFonts w:hint="eastAsia" w:cs="宋体"/>
          <w:sz w:val="24"/>
          <w:szCs w:val="24"/>
        </w:rPr>
        <w:t>次。</w:t>
      </w:r>
    </w:p>
    <w:p>
      <w:pPr>
        <w:pStyle w:val="3"/>
        <w:topLinePunct/>
        <w:spacing w:line="412" w:lineRule="exact"/>
        <w:ind w:firstLine="480"/>
        <w:rPr>
          <w:sz w:val="24"/>
          <w:szCs w:val="24"/>
        </w:rPr>
      </w:pPr>
      <w:r>
        <w:rPr>
          <w:rFonts w:hint="eastAsia" w:cs="宋体"/>
          <w:sz w:val="24"/>
          <w:szCs w:val="24"/>
        </w:rPr>
        <w:t>实施安全技术检验的机构应当对检验结果承担法律责任。</w:t>
      </w:r>
    </w:p>
    <w:p>
      <w:pPr>
        <w:pStyle w:val="3"/>
        <w:topLinePunct/>
        <w:spacing w:line="412" w:lineRule="exact"/>
        <w:ind w:firstLine="482"/>
        <w:rPr>
          <w:sz w:val="24"/>
          <w:szCs w:val="24"/>
        </w:rPr>
      </w:pPr>
      <w:r>
        <w:rPr>
          <w:rStyle w:val="30"/>
          <w:rFonts w:hint="eastAsia" w:cs="宋体"/>
          <w:sz w:val="24"/>
          <w:szCs w:val="24"/>
        </w:rPr>
        <w:t>第三十一条</w:t>
      </w:r>
      <w:r>
        <w:rPr>
          <w:sz w:val="24"/>
          <w:szCs w:val="24"/>
        </w:rPr>
        <w:t xml:space="preserve">  </w:t>
      </w:r>
      <w:r>
        <w:rPr>
          <w:rFonts w:hint="eastAsia" w:cs="宋体"/>
          <w:sz w:val="24"/>
          <w:szCs w:val="24"/>
        </w:rPr>
        <w:t>农业机械化主管部门在安全检验中发现农业机械存在事故隐患的，应当告知其所有人停止使用并及时排除隐患。</w:t>
      </w:r>
    </w:p>
    <w:p>
      <w:pPr>
        <w:pStyle w:val="3"/>
        <w:topLinePunct/>
        <w:spacing w:line="412" w:lineRule="exact"/>
        <w:ind w:firstLine="480"/>
        <w:rPr>
          <w:sz w:val="24"/>
          <w:szCs w:val="24"/>
        </w:rPr>
      </w:pPr>
      <w:r>
        <w:rPr>
          <w:rFonts w:hint="eastAsia" w:cs="宋体"/>
          <w:sz w:val="24"/>
          <w:szCs w:val="24"/>
        </w:rPr>
        <w:t>实施安全检验的农业机械化主管部门应当对安全检验情况进行汇总，建立农业机械安全监督管理档案。</w:t>
      </w:r>
    </w:p>
    <w:p>
      <w:pPr>
        <w:pStyle w:val="3"/>
        <w:topLinePunct/>
        <w:spacing w:line="412" w:lineRule="exact"/>
        <w:ind w:firstLine="482"/>
        <w:rPr>
          <w:sz w:val="24"/>
          <w:szCs w:val="24"/>
        </w:rPr>
      </w:pPr>
      <w:r>
        <w:rPr>
          <w:rStyle w:val="30"/>
          <w:rFonts w:hint="eastAsia" w:cs="宋体"/>
          <w:sz w:val="24"/>
          <w:szCs w:val="24"/>
        </w:rPr>
        <w:t>第三十二条</w:t>
      </w:r>
      <w:r>
        <w:rPr>
          <w:sz w:val="24"/>
          <w:szCs w:val="24"/>
        </w:rPr>
        <w:t xml:space="preserve">  </w:t>
      </w:r>
      <w:r>
        <w:rPr>
          <w:rFonts w:hint="eastAsia" w:cs="宋体"/>
          <w:sz w:val="24"/>
          <w:szCs w:val="24"/>
        </w:rPr>
        <w:t>联合收割机跨行政区域作业前，当地县级人民政府农业机械化主管部门应当会同有关部门，对跨行政区域作业的联合收割机进行必要的安全检查，并对操作人员进行安全教育。</w:t>
      </w:r>
    </w:p>
    <w:p>
      <w:pPr>
        <w:pStyle w:val="3"/>
        <w:topLinePunct/>
        <w:spacing w:line="412" w:lineRule="exact"/>
        <w:ind w:firstLine="482"/>
        <w:rPr>
          <w:sz w:val="24"/>
          <w:szCs w:val="24"/>
        </w:rPr>
      </w:pPr>
      <w:r>
        <w:rPr>
          <w:rStyle w:val="30"/>
          <w:rFonts w:hint="eastAsia" w:cs="宋体"/>
          <w:sz w:val="24"/>
          <w:szCs w:val="24"/>
        </w:rPr>
        <w:t>第三十三条</w:t>
      </w:r>
      <w:r>
        <w:rPr>
          <w:sz w:val="24"/>
          <w:szCs w:val="24"/>
        </w:rPr>
        <w:t xml:space="preserve">  </w:t>
      </w:r>
      <w:r>
        <w:rPr>
          <w:rFonts w:hint="eastAsia" w:cs="宋体"/>
          <w:sz w:val="24"/>
          <w:szCs w:val="24"/>
        </w:rPr>
        <w:t>国务院农业机械化主管部门应当定期对农业机械安全使用状况进行分析评估，发布相关信息。</w:t>
      </w:r>
    </w:p>
    <w:p>
      <w:pPr>
        <w:pStyle w:val="3"/>
        <w:topLinePunct/>
        <w:spacing w:line="412" w:lineRule="exact"/>
        <w:ind w:firstLine="482"/>
        <w:rPr>
          <w:sz w:val="24"/>
          <w:szCs w:val="24"/>
        </w:rPr>
      </w:pPr>
      <w:r>
        <w:rPr>
          <w:rStyle w:val="30"/>
          <w:rFonts w:hint="eastAsia" w:cs="宋体"/>
          <w:sz w:val="24"/>
          <w:szCs w:val="24"/>
        </w:rPr>
        <w:t>第三十四条</w:t>
      </w:r>
      <w:r>
        <w:rPr>
          <w:sz w:val="24"/>
          <w:szCs w:val="24"/>
        </w:rPr>
        <w:t xml:space="preserve">  </w:t>
      </w:r>
      <w:r>
        <w:rPr>
          <w:rFonts w:hint="eastAsia" w:cs="宋体"/>
          <w:sz w:val="24"/>
          <w:szCs w:val="24"/>
        </w:rPr>
        <w:t>国务院工业主管部门应当定期对农业机械生产行业运行态势进行监测和分析，并按照先进适用、安全可靠、节能环保的要求，会同国务院农业机械化主管部门、市场监督管理部门等有关部门制定、公布国家明令淘汰的农业机械产品目录。</w:t>
      </w:r>
    </w:p>
    <w:p>
      <w:pPr>
        <w:pStyle w:val="3"/>
        <w:topLinePunct/>
        <w:spacing w:line="412" w:lineRule="exact"/>
        <w:ind w:firstLine="482"/>
        <w:rPr>
          <w:sz w:val="24"/>
          <w:szCs w:val="24"/>
        </w:rPr>
      </w:pPr>
      <w:r>
        <w:rPr>
          <w:rStyle w:val="30"/>
          <w:rFonts w:hint="eastAsia" w:cs="宋体"/>
          <w:sz w:val="24"/>
          <w:szCs w:val="24"/>
        </w:rPr>
        <w:t>第三十五条</w:t>
      </w:r>
      <w:r>
        <w:rPr>
          <w:sz w:val="24"/>
          <w:szCs w:val="24"/>
        </w:rPr>
        <w:t xml:space="preserve">  </w:t>
      </w:r>
      <w:r>
        <w:rPr>
          <w:rFonts w:hint="eastAsia" w:cs="宋体"/>
          <w:sz w:val="24"/>
          <w:szCs w:val="24"/>
        </w:rPr>
        <w:t>危及人身财产安全的农业机械达到报废条件的，应当停止使用，予以报废。农业机械的报废条件由国务院农业机械化主管部门会同国务院市场监督管理部门、工业主管部门规定。</w:t>
      </w:r>
    </w:p>
    <w:p>
      <w:pPr>
        <w:pStyle w:val="3"/>
        <w:topLinePunct/>
        <w:spacing w:line="412" w:lineRule="exact"/>
        <w:ind w:firstLine="480"/>
        <w:rPr>
          <w:sz w:val="24"/>
          <w:szCs w:val="24"/>
        </w:rPr>
      </w:pPr>
      <w:r>
        <w:rPr>
          <w:rFonts w:hint="eastAsia" w:cs="宋体"/>
          <w:sz w:val="24"/>
          <w:szCs w:val="24"/>
        </w:rPr>
        <w:t>县级人民政府农业机械化主管部门对达到报废条件的危及人身财产安全的农业机械，应当书面告知其所有人。</w:t>
      </w:r>
    </w:p>
    <w:p>
      <w:pPr>
        <w:pStyle w:val="3"/>
        <w:topLinePunct/>
        <w:spacing w:line="412" w:lineRule="exact"/>
        <w:ind w:firstLine="482"/>
        <w:rPr>
          <w:sz w:val="24"/>
          <w:szCs w:val="24"/>
        </w:rPr>
      </w:pPr>
      <w:r>
        <w:rPr>
          <w:rStyle w:val="30"/>
          <w:rFonts w:hint="eastAsia" w:cs="宋体"/>
          <w:sz w:val="24"/>
          <w:szCs w:val="24"/>
        </w:rPr>
        <w:t>第三十六条</w:t>
      </w:r>
      <w:r>
        <w:rPr>
          <w:sz w:val="24"/>
          <w:szCs w:val="24"/>
        </w:rPr>
        <w:t xml:space="preserve">  </w:t>
      </w:r>
      <w:r>
        <w:rPr>
          <w:rFonts w:hint="eastAsia" w:cs="宋体"/>
          <w:sz w:val="24"/>
          <w:szCs w:val="24"/>
        </w:rPr>
        <w:t>国家对达到报废条件或者正在使用的国家已经明令淘汰的农业机械实行回收。农业机械回收办法由国务院农业机械化主管部门会同国务院财政部门、商务主管部门制定。</w:t>
      </w:r>
    </w:p>
    <w:p>
      <w:pPr>
        <w:pStyle w:val="3"/>
        <w:topLinePunct/>
        <w:spacing w:line="412" w:lineRule="exact"/>
        <w:ind w:firstLine="482"/>
        <w:rPr>
          <w:sz w:val="24"/>
          <w:szCs w:val="24"/>
        </w:rPr>
      </w:pPr>
      <w:r>
        <w:rPr>
          <w:rStyle w:val="30"/>
          <w:rFonts w:hint="eastAsia" w:cs="宋体"/>
          <w:sz w:val="24"/>
          <w:szCs w:val="24"/>
        </w:rPr>
        <w:t>第三十七条</w:t>
      </w:r>
      <w:r>
        <w:rPr>
          <w:sz w:val="24"/>
          <w:szCs w:val="24"/>
        </w:rPr>
        <w:t xml:space="preserve">  </w:t>
      </w:r>
      <w:r>
        <w:rPr>
          <w:rFonts w:hint="eastAsia" w:cs="宋体"/>
          <w:sz w:val="24"/>
          <w:szCs w:val="24"/>
        </w:rPr>
        <w:t>回收的农业机械由县级人民政府农业机械化主管部门监督回收单位进行解体或者销毁。</w:t>
      </w:r>
    </w:p>
    <w:p>
      <w:pPr>
        <w:pStyle w:val="3"/>
        <w:topLinePunct/>
        <w:spacing w:line="412" w:lineRule="exact"/>
        <w:ind w:firstLine="482"/>
        <w:rPr>
          <w:sz w:val="24"/>
          <w:szCs w:val="24"/>
        </w:rPr>
      </w:pPr>
      <w:r>
        <w:rPr>
          <w:rStyle w:val="30"/>
          <w:rFonts w:hint="eastAsia" w:cs="宋体"/>
          <w:sz w:val="24"/>
          <w:szCs w:val="24"/>
        </w:rPr>
        <w:t>第三十八条</w:t>
      </w:r>
      <w:r>
        <w:rPr>
          <w:sz w:val="24"/>
          <w:szCs w:val="24"/>
        </w:rPr>
        <w:t xml:space="preserve">  </w:t>
      </w:r>
      <w:r>
        <w:rPr>
          <w:rFonts w:hint="eastAsia" w:cs="宋体"/>
          <w:sz w:val="24"/>
          <w:szCs w:val="24"/>
        </w:rPr>
        <w:t>使用操作过程中发现农业机械存在产品质量、维修质量问题的，当事人可以向县级以上地方人民政府农业机械化主管部门或者市场监督管理部门投诉。接到投诉的部门对属于职责范围内的事项，应当依法及时处理；对不属于职责范围内的事项，应当及时移交有权处理的部门，有权处理的部门应当立即处理，不得推诿。</w:t>
      </w:r>
    </w:p>
    <w:p>
      <w:pPr>
        <w:pStyle w:val="3"/>
        <w:topLinePunct/>
        <w:spacing w:line="412" w:lineRule="exact"/>
        <w:ind w:firstLine="480"/>
        <w:rPr>
          <w:sz w:val="24"/>
          <w:szCs w:val="24"/>
        </w:rPr>
      </w:pPr>
      <w:r>
        <w:rPr>
          <w:rFonts w:hint="eastAsia" w:cs="宋体"/>
          <w:sz w:val="24"/>
          <w:szCs w:val="24"/>
        </w:rPr>
        <w:t>县级以上地方人民政府农业机械化主管部门和市场监督管理部门应当定期汇总农业机械产品质量、维修质量投诉情况并逐级上报。</w:t>
      </w:r>
    </w:p>
    <w:p>
      <w:pPr>
        <w:pStyle w:val="3"/>
        <w:topLinePunct/>
        <w:spacing w:line="412" w:lineRule="exact"/>
        <w:ind w:firstLine="482"/>
        <w:rPr>
          <w:sz w:val="24"/>
          <w:szCs w:val="24"/>
        </w:rPr>
      </w:pPr>
      <w:r>
        <w:rPr>
          <w:rStyle w:val="30"/>
          <w:rFonts w:hint="eastAsia" w:cs="宋体"/>
          <w:sz w:val="24"/>
          <w:szCs w:val="24"/>
        </w:rPr>
        <w:t>第三十九条</w:t>
      </w:r>
      <w:r>
        <w:rPr>
          <w:sz w:val="24"/>
          <w:szCs w:val="24"/>
        </w:rPr>
        <w:t xml:space="preserve">  </w:t>
      </w:r>
      <w:r>
        <w:rPr>
          <w:rFonts w:hint="eastAsia" w:cs="宋体"/>
          <w:sz w:val="24"/>
          <w:szCs w:val="24"/>
        </w:rPr>
        <w:t>国务院农业机械化主管部门和省、自治区、直辖市人民政府农业机械化主管部门应当根据投诉情况和农业安全生产需要，组织开展在用的特定种类农业机械的安全鉴定和重点检查，并公布结果。</w:t>
      </w:r>
    </w:p>
    <w:p>
      <w:pPr>
        <w:pStyle w:val="3"/>
        <w:topLinePunct/>
        <w:spacing w:line="412" w:lineRule="exact"/>
        <w:ind w:firstLine="482"/>
        <w:rPr>
          <w:sz w:val="24"/>
          <w:szCs w:val="24"/>
        </w:rPr>
      </w:pPr>
      <w:r>
        <w:rPr>
          <w:rStyle w:val="30"/>
          <w:rFonts w:hint="eastAsia" w:cs="宋体"/>
          <w:sz w:val="24"/>
          <w:szCs w:val="24"/>
        </w:rPr>
        <w:t>第四十条</w:t>
      </w:r>
      <w:r>
        <w:rPr>
          <w:sz w:val="24"/>
          <w:szCs w:val="24"/>
        </w:rPr>
        <w:t xml:space="preserve">  </w:t>
      </w:r>
      <w:r>
        <w:rPr>
          <w:rFonts w:hint="eastAsia" w:cs="宋体"/>
          <w:sz w:val="24"/>
          <w:szCs w:val="24"/>
        </w:rPr>
        <w:t>农业机械安全监督管理执法人员在农田、场院等场所进行农业机械安全监督检查时，可以采取下列措施：</w:t>
      </w:r>
    </w:p>
    <w:p>
      <w:pPr>
        <w:pStyle w:val="3"/>
        <w:topLinePunct/>
        <w:spacing w:line="412" w:lineRule="exact"/>
        <w:ind w:firstLine="480"/>
        <w:rPr>
          <w:sz w:val="24"/>
          <w:szCs w:val="24"/>
        </w:rPr>
      </w:pPr>
      <w:r>
        <w:rPr>
          <w:rFonts w:hint="eastAsia" w:cs="宋体"/>
          <w:sz w:val="24"/>
          <w:szCs w:val="24"/>
        </w:rPr>
        <w:t>（一）向有关单位和个人了解情况，查阅、复制有关资料；</w:t>
      </w:r>
    </w:p>
    <w:p>
      <w:pPr>
        <w:pStyle w:val="3"/>
        <w:topLinePunct/>
        <w:spacing w:line="412" w:lineRule="exact"/>
        <w:ind w:firstLine="480"/>
        <w:rPr>
          <w:sz w:val="24"/>
          <w:szCs w:val="24"/>
        </w:rPr>
      </w:pPr>
      <w:r>
        <w:rPr>
          <w:rFonts w:hint="eastAsia" w:cs="宋体"/>
          <w:sz w:val="24"/>
          <w:szCs w:val="24"/>
        </w:rPr>
        <w:t>（二）查验拖拉机、联合收割机证书、牌照及有关操作证件；</w:t>
      </w:r>
    </w:p>
    <w:p>
      <w:pPr>
        <w:pStyle w:val="3"/>
        <w:topLinePunct/>
        <w:spacing w:line="412" w:lineRule="exact"/>
        <w:ind w:firstLine="480"/>
        <w:rPr>
          <w:sz w:val="24"/>
          <w:szCs w:val="24"/>
        </w:rPr>
      </w:pPr>
      <w:r>
        <w:rPr>
          <w:rFonts w:hint="eastAsia" w:cs="宋体"/>
          <w:sz w:val="24"/>
          <w:szCs w:val="24"/>
        </w:rPr>
        <w:t>（三）检查危及人身财产安全的农业机械的安全状况，对存在重大事故隐患的农业机械，责令当事人立即停止作业或者停止农业机械的转移，并进行维修；</w:t>
      </w:r>
    </w:p>
    <w:p>
      <w:pPr>
        <w:pStyle w:val="3"/>
        <w:topLinePunct/>
        <w:spacing w:line="412" w:lineRule="exact"/>
        <w:ind w:firstLine="480"/>
        <w:rPr>
          <w:sz w:val="24"/>
          <w:szCs w:val="24"/>
        </w:rPr>
      </w:pPr>
      <w:r>
        <w:rPr>
          <w:rFonts w:hint="eastAsia" w:cs="宋体"/>
          <w:sz w:val="24"/>
          <w:szCs w:val="24"/>
        </w:rPr>
        <w:t>（四）责令农业机械操作人员改正违规操作行为。</w:t>
      </w:r>
    </w:p>
    <w:p>
      <w:pPr>
        <w:pStyle w:val="3"/>
        <w:topLinePunct/>
        <w:spacing w:line="412" w:lineRule="exact"/>
        <w:ind w:firstLine="482"/>
        <w:rPr>
          <w:sz w:val="24"/>
          <w:szCs w:val="24"/>
        </w:rPr>
      </w:pPr>
      <w:r>
        <w:rPr>
          <w:rStyle w:val="30"/>
          <w:rFonts w:hint="eastAsia" w:cs="宋体"/>
          <w:sz w:val="24"/>
          <w:szCs w:val="24"/>
        </w:rPr>
        <w:t>第四十一条</w:t>
      </w:r>
      <w:r>
        <w:rPr>
          <w:sz w:val="24"/>
          <w:szCs w:val="24"/>
        </w:rPr>
        <w:t xml:space="preserve">  </w:t>
      </w:r>
      <w:r>
        <w:rPr>
          <w:rFonts w:hint="eastAsia" w:cs="宋体"/>
          <w:sz w:val="24"/>
          <w:szCs w:val="24"/>
        </w:rPr>
        <w:t>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p>
    <w:p>
      <w:pPr>
        <w:pStyle w:val="3"/>
        <w:topLinePunct/>
        <w:spacing w:line="412" w:lineRule="exact"/>
        <w:ind w:firstLine="482"/>
        <w:rPr>
          <w:sz w:val="24"/>
          <w:szCs w:val="24"/>
        </w:rPr>
      </w:pPr>
      <w:r>
        <w:rPr>
          <w:rStyle w:val="30"/>
          <w:rFonts w:hint="eastAsia" w:cs="宋体"/>
          <w:sz w:val="24"/>
          <w:szCs w:val="24"/>
        </w:rPr>
        <w:t>第四十二条</w:t>
      </w:r>
      <w:r>
        <w:rPr>
          <w:sz w:val="24"/>
          <w:szCs w:val="24"/>
        </w:rPr>
        <w:t xml:space="preserve">  </w:t>
      </w:r>
      <w:r>
        <w:rPr>
          <w:rFonts w:hint="eastAsia" w:cs="宋体"/>
          <w:sz w:val="24"/>
          <w:szCs w:val="24"/>
        </w:rPr>
        <w:t>农业机械安全监督管理执法人员进行安全监督检查时，应当佩戴统一标志，出示行政执法证件。农业机械安全监督检查、事故勘察车辆应当在车身喷涂统一标识。</w:t>
      </w:r>
    </w:p>
    <w:p>
      <w:pPr>
        <w:pStyle w:val="3"/>
        <w:topLinePunct/>
        <w:spacing w:line="412" w:lineRule="exact"/>
        <w:ind w:firstLine="482"/>
        <w:rPr>
          <w:sz w:val="24"/>
          <w:szCs w:val="24"/>
        </w:rPr>
      </w:pPr>
      <w:r>
        <w:rPr>
          <w:rStyle w:val="30"/>
          <w:rFonts w:hint="eastAsia" w:cs="宋体"/>
          <w:sz w:val="24"/>
          <w:szCs w:val="24"/>
        </w:rPr>
        <w:t>第四十三条</w:t>
      </w:r>
      <w:r>
        <w:rPr>
          <w:sz w:val="24"/>
          <w:szCs w:val="24"/>
        </w:rPr>
        <w:t xml:space="preserve">  </w:t>
      </w:r>
      <w:r>
        <w:rPr>
          <w:rFonts w:hint="eastAsia" w:cs="宋体"/>
          <w:sz w:val="24"/>
          <w:szCs w:val="24"/>
        </w:rPr>
        <w:t>农业机械化主管部门不得为农业机械指定维修经营者。</w:t>
      </w:r>
    </w:p>
    <w:p>
      <w:pPr>
        <w:pStyle w:val="3"/>
        <w:topLinePunct/>
        <w:spacing w:line="412" w:lineRule="exact"/>
        <w:ind w:firstLine="482"/>
        <w:rPr>
          <w:sz w:val="24"/>
          <w:szCs w:val="24"/>
        </w:rPr>
      </w:pPr>
      <w:r>
        <w:rPr>
          <w:rStyle w:val="30"/>
          <w:rFonts w:hint="eastAsia" w:cs="宋体"/>
          <w:sz w:val="24"/>
          <w:szCs w:val="24"/>
        </w:rPr>
        <w:t>第四十四条</w:t>
      </w:r>
      <w:r>
        <w:rPr>
          <w:sz w:val="24"/>
          <w:szCs w:val="24"/>
        </w:rPr>
        <w:t xml:space="preserve">  </w:t>
      </w:r>
      <w:r>
        <w:rPr>
          <w:rFonts w:hint="eastAsia" w:cs="宋体"/>
          <w:sz w:val="24"/>
          <w:szCs w:val="24"/>
        </w:rPr>
        <w:t>农业机械化主管部门应当定期向同级公安机关交通管理部门通报拖拉机登记、检验以及有关证书、牌照、操作证件发放情况。公安机关交通管理部门应当定期向同级农业机械化主管部门通报农业机械在道路上发生的交通事故及处理情况。</w:t>
      </w:r>
    </w:p>
    <w:p>
      <w:pPr>
        <w:pStyle w:val="63"/>
        <w:spacing w:before="218" w:after="218" w:line="412" w:lineRule="exact"/>
      </w:pPr>
      <w:r>
        <w:rPr>
          <w:rFonts w:hint="eastAsia"/>
        </w:rPr>
        <w:t>第六章</w:t>
      </w:r>
      <w:r>
        <w:t xml:space="preserve">  </w:t>
      </w:r>
      <w:r>
        <w:rPr>
          <w:rFonts w:hint="eastAsia"/>
        </w:rPr>
        <w:t>法律责任</w:t>
      </w:r>
    </w:p>
    <w:p>
      <w:pPr>
        <w:pStyle w:val="3"/>
        <w:topLinePunct/>
        <w:spacing w:line="412" w:lineRule="exact"/>
        <w:ind w:firstLine="482"/>
        <w:rPr>
          <w:sz w:val="24"/>
          <w:szCs w:val="24"/>
        </w:rPr>
      </w:pPr>
      <w:r>
        <w:rPr>
          <w:rStyle w:val="30"/>
          <w:rFonts w:hint="eastAsia" w:cs="宋体"/>
          <w:sz w:val="24"/>
          <w:szCs w:val="24"/>
        </w:rPr>
        <w:t>第四十五条</w:t>
      </w:r>
      <w:r>
        <w:rPr>
          <w:sz w:val="24"/>
          <w:szCs w:val="24"/>
        </w:rPr>
        <w:t xml:space="preserve">  </w:t>
      </w:r>
      <w:r>
        <w:rPr>
          <w:rFonts w:hint="eastAsia" w:cs="宋体"/>
          <w:sz w:val="24"/>
          <w:szCs w:val="24"/>
        </w:rPr>
        <w:t>县级以上地方人民政府农业机械化主管部门、工业主管部门、市场监督管理部门及其工作人员有下列行为之一的，对直接负责的主管人员和其他直接责任人员，依法给予处分，构成犯罪的，依法追究刑事责任：</w:t>
      </w:r>
    </w:p>
    <w:p>
      <w:pPr>
        <w:pStyle w:val="3"/>
        <w:topLinePunct/>
        <w:spacing w:line="412" w:lineRule="exact"/>
        <w:ind w:firstLine="480"/>
        <w:rPr>
          <w:sz w:val="24"/>
          <w:szCs w:val="24"/>
        </w:rPr>
      </w:pPr>
      <w:r>
        <w:rPr>
          <w:rFonts w:hint="eastAsia" w:cs="宋体"/>
          <w:sz w:val="24"/>
          <w:szCs w:val="24"/>
        </w:rPr>
        <w:t>（一）不依法对拖拉机、联合收割机实施安全检验、登记，或者不依法核发拖拉机、联合收割机证书、牌照的；</w:t>
      </w:r>
    </w:p>
    <w:p>
      <w:pPr>
        <w:pStyle w:val="3"/>
        <w:topLinePunct/>
        <w:spacing w:line="412" w:lineRule="exact"/>
        <w:ind w:firstLine="480"/>
        <w:rPr>
          <w:sz w:val="24"/>
          <w:szCs w:val="24"/>
        </w:rPr>
      </w:pPr>
      <w:r>
        <w:rPr>
          <w:rFonts w:hint="eastAsia" w:cs="宋体"/>
          <w:sz w:val="24"/>
          <w:szCs w:val="24"/>
        </w:rPr>
        <w:t>（二）对未经考试合格者核发拖拉机、联合收割机操作证件，或者对经考试合格者拒不核发拖拉机、联合收割机操作证件的；</w:t>
      </w:r>
    </w:p>
    <w:p>
      <w:pPr>
        <w:pStyle w:val="3"/>
        <w:topLinePunct/>
        <w:spacing w:line="412" w:lineRule="exact"/>
        <w:ind w:firstLine="480"/>
        <w:rPr>
          <w:sz w:val="24"/>
          <w:szCs w:val="24"/>
        </w:rPr>
      </w:pPr>
      <w:r>
        <w:rPr>
          <w:rFonts w:hint="eastAsia" w:cs="宋体"/>
          <w:sz w:val="24"/>
          <w:szCs w:val="24"/>
        </w:rPr>
        <w:t>（三）不依法处理农业机械事故，或者不依法出具农业机械事故认定书和其他证明材料的；</w:t>
      </w:r>
    </w:p>
    <w:p>
      <w:pPr>
        <w:pStyle w:val="3"/>
        <w:topLinePunct/>
        <w:spacing w:line="412" w:lineRule="exact"/>
        <w:ind w:firstLine="480"/>
        <w:rPr>
          <w:sz w:val="24"/>
          <w:szCs w:val="24"/>
        </w:rPr>
      </w:pPr>
      <w:r>
        <w:rPr>
          <w:rFonts w:hint="eastAsia" w:cs="宋体"/>
          <w:sz w:val="24"/>
          <w:szCs w:val="24"/>
        </w:rPr>
        <w:t>（四）在农业机械生产、销售等过程中不依法履行监督管理职责的；</w:t>
      </w:r>
    </w:p>
    <w:p>
      <w:pPr>
        <w:pStyle w:val="3"/>
        <w:topLinePunct/>
        <w:spacing w:line="412" w:lineRule="exact"/>
        <w:ind w:firstLine="480"/>
        <w:rPr>
          <w:sz w:val="24"/>
          <w:szCs w:val="24"/>
        </w:rPr>
      </w:pPr>
      <w:r>
        <w:rPr>
          <w:rFonts w:hint="eastAsia" w:cs="宋体"/>
          <w:sz w:val="24"/>
          <w:szCs w:val="24"/>
        </w:rPr>
        <w:t>（五）其他未依照本条例的规定履行职责的行为。</w:t>
      </w:r>
    </w:p>
    <w:p>
      <w:pPr>
        <w:pStyle w:val="3"/>
        <w:topLinePunct/>
        <w:spacing w:line="412" w:lineRule="exact"/>
        <w:ind w:firstLine="482"/>
        <w:rPr>
          <w:sz w:val="24"/>
          <w:szCs w:val="24"/>
        </w:rPr>
      </w:pPr>
      <w:r>
        <w:rPr>
          <w:rStyle w:val="30"/>
          <w:rFonts w:hint="eastAsia" w:cs="宋体"/>
          <w:sz w:val="24"/>
          <w:szCs w:val="24"/>
        </w:rPr>
        <w:t>第四十六条</w:t>
      </w:r>
      <w:r>
        <w:rPr>
          <w:sz w:val="24"/>
          <w:szCs w:val="24"/>
        </w:rPr>
        <w:t xml:space="preserve">  </w:t>
      </w:r>
      <w:r>
        <w:rPr>
          <w:rFonts w:hint="eastAsia" w:cs="宋体"/>
          <w:sz w:val="24"/>
          <w:szCs w:val="24"/>
        </w:rPr>
        <w:t>生产、销售利用残次零配件或者报废农业机械的发动机、方向机、变速器、车架等部件拼装的农业机械的，由县级以上人民政府市场监督管理部门责令停止生产、销售，没收违法所得和违法生产、销售的农业机械，并处违法产品货值金额</w:t>
      </w:r>
      <w:r>
        <w:rPr>
          <w:sz w:val="24"/>
          <w:szCs w:val="24"/>
        </w:rPr>
        <w:t>1</w:t>
      </w:r>
      <w:r>
        <w:rPr>
          <w:rFonts w:hint="eastAsia" w:cs="宋体"/>
          <w:sz w:val="24"/>
          <w:szCs w:val="24"/>
        </w:rPr>
        <w:t>倍以上</w:t>
      </w:r>
      <w:r>
        <w:rPr>
          <w:sz w:val="24"/>
          <w:szCs w:val="24"/>
        </w:rPr>
        <w:t>3</w:t>
      </w:r>
      <w:r>
        <w:rPr>
          <w:rFonts w:hint="eastAsia" w:cs="宋体"/>
          <w:sz w:val="24"/>
          <w:szCs w:val="24"/>
        </w:rPr>
        <w:t>倍以下罚款；情节严重的，吊销营业执照。</w:t>
      </w:r>
    </w:p>
    <w:p>
      <w:pPr>
        <w:pStyle w:val="3"/>
        <w:topLinePunct/>
        <w:spacing w:line="412" w:lineRule="exact"/>
        <w:ind w:firstLine="480"/>
        <w:rPr>
          <w:sz w:val="24"/>
          <w:szCs w:val="24"/>
        </w:rPr>
      </w:pPr>
      <w:r>
        <w:rPr>
          <w:rFonts w:hint="eastAsia" w:cs="宋体"/>
          <w:sz w:val="24"/>
          <w:szCs w:val="24"/>
        </w:rPr>
        <w:t>农业机械生产者、销售者违反工业产品生产许可证管理、认证认可管理、安全技术标准管理以及产品质量管理的，依照有关法律、行政法规处罚。</w:t>
      </w:r>
    </w:p>
    <w:p>
      <w:pPr>
        <w:pStyle w:val="3"/>
        <w:topLinePunct/>
        <w:spacing w:line="412" w:lineRule="exact"/>
        <w:ind w:firstLine="482"/>
        <w:rPr>
          <w:sz w:val="24"/>
          <w:szCs w:val="24"/>
        </w:rPr>
      </w:pPr>
      <w:r>
        <w:rPr>
          <w:rStyle w:val="30"/>
          <w:rFonts w:hint="eastAsia" w:cs="宋体"/>
          <w:sz w:val="24"/>
          <w:szCs w:val="24"/>
        </w:rPr>
        <w:t>第四十七条</w:t>
      </w:r>
      <w:r>
        <w:rPr>
          <w:sz w:val="24"/>
          <w:szCs w:val="24"/>
        </w:rPr>
        <w:t xml:space="preserve">  </w:t>
      </w:r>
      <w:r>
        <w:rPr>
          <w:rFonts w:hint="eastAsia" w:cs="宋体"/>
          <w:sz w:val="24"/>
          <w:szCs w:val="24"/>
        </w:rPr>
        <w:t>农业机械销售者未依照本条例的规定建立、保存销售记录的，由县级以上人民政府市场监督管理部门责令改正，给予警告；拒不改正的，处</w:t>
      </w:r>
      <w:r>
        <w:rPr>
          <w:sz w:val="24"/>
          <w:szCs w:val="24"/>
        </w:rPr>
        <w:t>1000</w:t>
      </w:r>
      <w:r>
        <w:rPr>
          <w:rFonts w:hint="eastAsia" w:cs="宋体"/>
          <w:sz w:val="24"/>
          <w:szCs w:val="24"/>
        </w:rPr>
        <w:t>元以上</w:t>
      </w:r>
      <w:r>
        <w:rPr>
          <w:sz w:val="24"/>
          <w:szCs w:val="24"/>
        </w:rPr>
        <w:t>1</w:t>
      </w:r>
      <w:r>
        <w:rPr>
          <w:rFonts w:hint="eastAsia" w:cs="宋体"/>
          <w:sz w:val="24"/>
          <w:szCs w:val="24"/>
        </w:rPr>
        <w:t>万元以下罚款，并责令停业整顿；情节严重的，吊销营业执照。</w:t>
      </w:r>
    </w:p>
    <w:p>
      <w:pPr>
        <w:pStyle w:val="3"/>
        <w:topLinePunct/>
        <w:spacing w:line="412" w:lineRule="exact"/>
        <w:ind w:firstLine="482"/>
        <w:rPr>
          <w:sz w:val="24"/>
          <w:szCs w:val="24"/>
        </w:rPr>
      </w:pPr>
      <w:r>
        <w:rPr>
          <w:rStyle w:val="30"/>
          <w:rFonts w:hint="eastAsia" w:cs="宋体"/>
          <w:sz w:val="24"/>
          <w:szCs w:val="24"/>
        </w:rPr>
        <w:t>第四十八条</w:t>
      </w:r>
      <w:r>
        <w:rPr>
          <w:sz w:val="24"/>
          <w:szCs w:val="24"/>
        </w:rPr>
        <w:t xml:space="preserve">  </w:t>
      </w:r>
      <w:r>
        <w:rPr>
          <w:rFonts w:hint="eastAsia" w:cs="宋体"/>
          <w:sz w:val="24"/>
          <w:szCs w:val="24"/>
        </w:rPr>
        <w:t>从事农业机械维修经营不符合本条例第十八条规定的，由县级以上地方人民政府农业机械化主管部门责令改正；拒不改正的，处</w:t>
      </w:r>
      <w:r>
        <w:rPr>
          <w:sz w:val="24"/>
          <w:szCs w:val="24"/>
        </w:rPr>
        <w:t>5000</w:t>
      </w:r>
      <w:r>
        <w:rPr>
          <w:rFonts w:hint="eastAsia" w:cs="宋体"/>
          <w:sz w:val="24"/>
          <w:szCs w:val="24"/>
        </w:rPr>
        <w:t>元以上</w:t>
      </w:r>
      <w:r>
        <w:rPr>
          <w:sz w:val="24"/>
          <w:szCs w:val="24"/>
        </w:rPr>
        <w:t>1</w:t>
      </w:r>
      <w:r>
        <w:rPr>
          <w:rFonts w:hint="eastAsia" w:cs="宋体"/>
          <w:sz w:val="24"/>
          <w:szCs w:val="24"/>
        </w:rPr>
        <w:t>万元以下罚款。</w:t>
      </w:r>
    </w:p>
    <w:p>
      <w:pPr>
        <w:pStyle w:val="3"/>
        <w:topLinePunct/>
        <w:spacing w:line="412" w:lineRule="exact"/>
        <w:ind w:firstLine="482"/>
        <w:rPr>
          <w:sz w:val="24"/>
          <w:szCs w:val="24"/>
        </w:rPr>
      </w:pPr>
      <w:r>
        <w:rPr>
          <w:rStyle w:val="30"/>
          <w:rFonts w:hint="eastAsia" w:cs="宋体"/>
          <w:sz w:val="24"/>
          <w:szCs w:val="24"/>
        </w:rPr>
        <w:t>第四十九条</w:t>
      </w:r>
      <w:r>
        <w:rPr>
          <w:sz w:val="24"/>
          <w:szCs w:val="24"/>
        </w:rPr>
        <w:t xml:space="preserve">  </w:t>
      </w:r>
      <w:r>
        <w:rPr>
          <w:rFonts w:hint="eastAsia" w:cs="宋体"/>
          <w:sz w:val="24"/>
          <w:szCs w:val="24"/>
        </w:rPr>
        <w:t>农业机械维修经营者使用不符合农业机械安全技术标准的配件维修农业机械，或者拼装、改装农业机械整机，或者承揽维修已经达到报废条件的农业机械的，由县级以上地方人民政府农业机械化主管部门责令改正，没收违法所得，并处违法经营额</w:t>
      </w:r>
      <w:r>
        <w:rPr>
          <w:sz w:val="24"/>
          <w:szCs w:val="24"/>
        </w:rPr>
        <w:t>1</w:t>
      </w:r>
      <w:r>
        <w:rPr>
          <w:rFonts w:hint="eastAsia" w:cs="宋体"/>
          <w:sz w:val="24"/>
          <w:szCs w:val="24"/>
        </w:rPr>
        <w:t>倍以上</w:t>
      </w:r>
      <w:r>
        <w:rPr>
          <w:sz w:val="24"/>
          <w:szCs w:val="24"/>
        </w:rPr>
        <w:t>2</w:t>
      </w:r>
      <w:r>
        <w:rPr>
          <w:rFonts w:hint="eastAsia" w:cs="宋体"/>
          <w:sz w:val="24"/>
          <w:szCs w:val="24"/>
        </w:rPr>
        <w:t>倍以下罚款；拒不改正的，处违法经营额</w:t>
      </w:r>
      <w:r>
        <w:rPr>
          <w:sz w:val="24"/>
          <w:szCs w:val="24"/>
        </w:rPr>
        <w:t>2</w:t>
      </w:r>
      <w:r>
        <w:rPr>
          <w:rFonts w:hint="eastAsia" w:cs="宋体"/>
          <w:sz w:val="24"/>
          <w:szCs w:val="24"/>
        </w:rPr>
        <w:t>倍以上</w:t>
      </w:r>
      <w:r>
        <w:rPr>
          <w:sz w:val="24"/>
          <w:szCs w:val="24"/>
        </w:rPr>
        <w:t>5</w:t>
      </w:r>
      <w:r>
        <w:rPr>
          <w:rFonts w:hint="eastAsia" w:cs="宋体"/>
          <w:sz w:val="24"/>
          <w:szCs w:val="24"/>
        </w:rPr>
        <w:t>倍以下罚款。</w:t>
      </w:r>
    </w:p>
    <w:p>
      <w:pPr>
        <w:pStyle w:val="3"/>
        <w:topLinePunct/>
        <w:spacing w:line="412" w:lineRule="exact"/>
        <w:ind w:firstLine="482"/>
        <w:rPr>
          <w:sz w:val="24"/>
          <w:szCs w:val="24"/>
        </w:rPr>
      </w:pPr>
      <w:r>
        <w:rPr>
          <w:rStyle w:val="30"/>
          <w:rFonts w:hint="eastAsia" w:cs="宋体"/>
          <w:sz w:val="24"/>
          <w:szCs w:val="24"/>
        </w:rPr>
        <w:t>第五十条</w:t>
      </w:r>
      <w:r>
        <w:rPr>
          <w:sz w:val="24"/>
          <w:szCs w:val="24"/>
        </w:rPr>
        <w:t xml:space="preserve">  </w:t>
      </w:r>
      <w:r>
        <w:rPr>
          <w:rFonts w:hint="eastAsia" w:cs="宋体"/>
          <w:sz w:val="24"/>
          <w:szCs w:val="24"/>
        </w:rPr>
        <w:t>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w:t>
      </w:r>
      <w:r>
        <w:rPr>
          <w:sz w:val="24"/>
          <w:szCs w:val="24"/>
        </w:rPr>
        <w:t>200</w:t>
      </w:r>
      <w:r>
        <w:rPr>
          <w:rFonts w:hint="eastAsia" w:cs="宋体"/>
          <w:sz w:val="24"/>
          <w:szCs w:val="24"/>
        </w:rPr>
        <w:t>元以上</w:t>
      </w:r>
      <w:r>
        <w:rPr>
          <w:sz w:val="24"/>
          <w:szCs w:val="24"/>
        </w:rPr>
        <w:t>2000</w:t>
      </w:r>
      <w:r>
        <w:rPr>
          <w:rFonts w:hint="eastAsia" w:cs="宋体"/>
          <w:sz w:val="24"/>
          <w:szCs w:val="24"/>
        </w:rPr>
        <w:t>元以下罚款。</w:t>
      </w:r>
    </w:p>
    <w:p>
      <w:pPr>
        <w:pStyle w:val="3"/>
        <w:topLinePunct/>
        <w:spacing w:line="412" w:lineRule="exact"/>
        <w:ind w:firstLine="480"/>
        <w:rPr>
          <w:sz w:val="24"/>
          <w:szCs w:val="24"/>
        </w:rPr>
      </w:pPr>
      <w:r>
        <w:rPr>
          <w:rFonts w:hint="eastAsia" w:cs="宋体"/>
          <w:sz w:val="24"/>
          <w:szCs w:val="24"/>
        </w:rPr>
        <w:t>当事人补办相关手续的，应当及时退还扣押的拖拉机、联合收割机。</w:t>
      </w:r>
    </w:p>
    <w:p>
      <w:pPr>
        <w:pStyle w:val="3"/>
        <w:topLinePunct/>
        <w:spacing w:line="412" w:lineRule="exact"/>
        <w:ind w:firstLine="482"/>
        <w:rPr>
          <w:sz w:val="24"/>
          <w:szCs w:val="24"/>
        </w:rPr>
      </w:pPr>
      <w:r>
        <w:rPr>
          <w:rStyle w:val="30"/>
          <w:rFonts w:hint="eastAsia" w:cs="宋体"/>
          <w:sz w:val="24"/>
          <w:szCs w:val="24"/>
        </w:rPr>
        <w:t>第五十一条</w:t>
      </w:r>
      <w:r>
        <w:rPr>
          <w:sz w:val="24"/>
          <w:szCs w:val="24"/>
        </w:rPr>
        <w:t xml:space="preserve">  </w:t>
      </w:r>
      <w:r>
        <w:rPr>
          <w:rFonts w:hint="eastAsia" w:cs="宋体"/>
          <w:sz w:val="24"/>
          <w:szCs w:val="24"/>
        </w:rPr>
        <w:t>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w:t>
      </w:r>
      <w:r>
        <w:rPr>
          <w:sz w:val="24"/>
          <w:szCs w:val="24"/>
        </w:rPr>
        <w:t>200</w:t>
      </w:r>
      <w:r>
        <w:rPr>
          <w:rFonts w:hint="eastAsia" w:cs="宋体"/>
          <w:sz w:val="24"/>
          <w:szCs w:val="24"/>
        </w:rPr>
        <w:t>元以上</w:t>
      </w:r>
      <w:r>
        <w:rPr>
          <w:sz w:val="24"/>
          <w:szCs w:val="24"/>
        </w:rPr>
        <w:t>2000</w:t>
      </w:r>
      <w:r>
        <w:rPr>
          <w:rFonts w:hint="eastAsia" w:cs="宋体"/>
          <w:sz w:val="24"/>
          <w:szCs w:val="24"/>
        </w:rPr>
        <w:t>元以下罚款。</w:t>
      </w:r>
    </w:p>
    <w:p>
      <w:pPr>
        <w:pStyle w:val="3"/>
        <w:topLinePunct/>
        <w:spacing w:line="412" w:lineRule="exact"/>
        <w:ind w:firstLine="482"/>
        <w:rPr>
          <w:sz w:val="24"/>
          <w:szCs w:val="24"/>
        </w:rPr>
      </w:pPr>
      <w:r>
        <w:rPr>
          <w:rStyle w:val="30"/>
          <w:rFonts w:hint="eastAsia" w:cs="宋体"/>
          <w:sz w:val="24"/>
          <w:szCs w:val="24"/>
        </w:rPr>
        <w:t>第五十二条</w:t>
      </w:r>
      <w:r>
        <w:rPr>
          <w:sz w:val="24"/>
          <w:szCs w:val="24"/>
        </w:rPr>
        <w:t xml:space="preserve">  </w:t>
      </w:r>
      <w:r>
        <w:rPr>
          <w:rFonts w:hint="eastAsia" w:cs="宋体"/>
          <w:sz w:val="24"/>
          <w:szCs w:val="24"/>
        </w:rPr>
        <w:t>未取得拖拉机、联合收割机操作证件而操作拖拉机、联合收割机的，由县级以上地方人民政府农业机械化主管部门责令改正，处</w:t>
      </w:r>
      <w:r>
        <w:rPr>
          <w:sz w:val="24"/>
          <w:szCs w:val="24"/>
        </w:rPr>
        <w:t>100</w:t>
      </w:r>
      <w:r>
        <w:rPr>
          <w:rFonts w:hint="eastAsia" w:cs="宋体"/>
          <w:sz w:val="24"/>
          <w:szCs w:val="24"/>
        </w:rPr>
        <w:t>元以上</w:t>
      </w:r>
      <w:r>
        <w:rPr>
          <w:sz w:val="24"/>
          <w:szCs w:val="24"/>
        </w:rPr>
        <w:t>500</w:t>
      </w:r>
      <w:r>
        <w:rPr>
          <w:rFonts w:hint="eastAsia" w:cs="宋体"/>
          <w:sz w:val="24"/>
          <w:szCs w:val="24"/>
        </w:rPr>
        <w:t>元以下罚款。</w:t>
      </w:r>
    </w:p>
    <w:p>
      <w:pPr>
        <w:pStyle w:val="3"/>
        <w:topLinePunct/>
        <w:spacing w:line="412" w:lineRule="exact"/>
        <w:ind w:firstLine="482"/>
        <w:rPr>
          <w:sz w:val="24"/>
          <w:szCs w:val="24"/>
        </w:rPr>
      </w:pPr>
      <w:r>
        <w:rPr>
          <w:rStyle w:val="30"/>
          <w:rFonts w:hint="eastAsia" w:cs="宋体"/>
          <w:sz w:val="24"/>
          <w:szCs w:val="24"/>
        </w:rPr>
        <w:t>第五十三条</w:t>
      </w:r>
      <w:r>
        <w:rPr>
          <w:sz w:val="24"/>
          <w:szCs w:val="24"/>
        </w:rPr>
        <w:t xml:space="preserve">  </w:t>
      </w:r>
      <w:r>
        <w:rPr>
          <w:rFonts w:hint="eastAsia" w:cs="宋体"/>
          <w:sz w:val="24"/>
          <w:szCs w:val="24"/>
        </w:rPr>
        <w:t>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w:t>
      </w:r>
      <w:r>
        <w:rPr>
          <w:sz w:val="24"/>
          <w:szCs w:val="24"/>
        </w:rPr>
        <w:t>100</w:t>
      </w:r>
      <w:r>
        <w:rPr>
          <w:rFonts w:hint="eastAsia" w:cs="宋体"/>
          <w:sz w:val="24"/>
          <w:szCs w:val="24"/>
        </w:rPr>
        <w:t>元以上</w:t>
      </w:r>
      <w:r>
        <w:rPr>
          <w:sz w:val="24"/>
          <w:szCs w:val="24"/>
        </w:rPr>
        <w:t>500</w:t>
      </w:r>
      <w:r>
        <w:rPr>
          <w:rFonts w:hint="eastAsia" w:cs="宋体"/>
          <w:sz w:val="24"/>
          <w:szCs w:val="24"/>
        </w:rPr>
        <w:t>元以下罚款；情节严重的，吊销有关人员的操作证件。</w:t>
      </w:r>
    </w:p>
    <w:p>
      <w:pPr>
        <w:pStyle w:val="3"/>
        <w:topLinePunct/>
        <w:spacing w:line="412" w:lineRule="exact"/>
        <w:ind w:firstLine="482"/>
        <w:rPr>
          <w:sz w:val="24"/>
          <w:szCs w:val="24"/>
        </w:rPr>
      </w:pPr>
      <w:r>
        <w:rPr>
          <w:rStyle w:val="30"/>
          <w:rFonts w:hint="eastAsia" w:cs="宋体"/>
          <w:sz w:val="24"/>
          <w:szCs w:val="24"/>
        </w:rPr>
        <w:t>第五十四条</w:t>
      </w:r>
      <w:r>
        <w:rPr>
          <w:sz w:val="24"/>
          <w:szCs w:val="24"/>
        </w:rPr>
        <w:t xml:space="preserve">  </w:t>
      </w:r>
      <w:r>
        <w:rPr>
          <w:rFonts w:hint="eastAsia" w:cs="宋体"/>
          <w:sz w:val="24"/>
          <w:szCs w:val="24"/>
        </w:rPr>
        <w:t>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p>
    <w:p>
      <w:pPr>
        <w:pStyle w:val="3"/>
        <w:topLinePunct/>
        <w:spacing w:line="412" w:lineRule="exact"/>
        <w:ind w:firstLine="480"/>
        <w:rPr>
          <w:sz w:val="24"/>
          <w:szCs w:val="24"/>
        </w:rPr>
      </w:pPr>
      <w:r>
        <w:rPr>
          <w:rFonts w:hint="eastAsia" w:cs="宋体"/>
          <w:sz w:val="24"/>
          <w:szCs w:val="24"/>
        </w:rPr>
        <w:t>当事人改正违法行为的，应当及时退还扣押的拖拉机、联合收割机的证书、牌照。</w:t>
      </w:r>
    </w:p>
    <w:p>
      <w:pPr>
        <w:pStyle w:val="3"/>
        <w:topLinePunct/>
        <w:spacing w:line="412" w:lineRule="exact"/>
        <w:ind w:firstLine="482"/>
        <w:rPr>
          <w:sz w:val="24"/>
          <w:szCs w:val="24"/>
        </w:rPr>
      </w:pPr>
      <w:r>
        <w:rPr>
          <w:rStyle w:val="30"/>
          <w:rFonts w:hint="eastAsia" w:cs="宋体"/>
          <w:sz w:val="24"/>
          <w:szCs w:val="24"/>
        </w:rPr>
        <w:t>第五十五条</w:t>
      </w:r>
      <w:r>
        <w:rPr>
          <w:sz w:val="24"/>
          <w:szCs w:val="24"/>
        </w:rPr>
        <w:t xml:space="preserve">  </w:t>
      </w:r>
      <w:r>
        <w:rPr>
          <w:rFonts w:hint="eastAsia" w:cs="宋体"/>
          <w:sz w:val="24"/>
          <w:szCs w:val="24"/>
        </w:rPr>
        <w:t>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p>
    <w:p>
      <w:pPr>
        <w:pStyle w:val="3"/>
        <w:topLinePunct/>
        <w:spacing w:line="412" w:lineRule="exact"/>
        <w:ind w:firstLine="480"/>
        <w:rPr>
          <w:sz w:val="24"/>
          <w:szCs w:val="24"/>
        </w:rPr>
      </w:pPr>
      <w:r>
        <w:rPr>
          <w:rFonts w:hint="eastAsia" w:cs="宋体"/>
          <w:sz w:val="24"/>
          <w:szCs w:val="24"/>
        </w:rPr>
        <w:t>事故隐患排除后，应当及时退还扣押的农业机械。</w:t>
      </w:r>
    </w:p>
    <w:p>
      <w:pPr>
        <w:pStyle w:val="3"/>
        <w:topLinePunct/>
        <w:spacing w:line="412" w:lineRule="exact"/>
        <w:ind w:firstLine="482"/>
        <w:rPr>
          <w:sz w:val="24"/>
          <w:szCs w:val="24"/>
        </w:rPr>
      </w:pPr>
      <w:r>
        <w:rPr>
          <w:rStyle w:val="30"/>
          <w:rFonts w:hint="eastAsia" w:cs="宋体"/>
          <w:sz w:val="24"/>
          <w:szCs w:val="24"/>
        </w:rPr>
        <w:t>第五十六条</w:t>
      </w:r>
      <w:r>
        <w:rPr>
          <w:sz w:val="24"/>
          <w:szCs w:val="24"/>
        </w:rPr>
        <w:t xml:space="preserve">  </w:t>
      </w:r>
      <w:r>
        <w:rPr>
          <w:rFonts w:hint="eastAsia" w:cs="宋体"/>
          <w:sz w:val="24"/>
          <w:szCs w:val="24"/>
        </w:rPr>
        <w:t>违反本条例规定，造成他人人身伤亡或者财产损失的，依法承担民事责任；构成违反治安管理行为的，依法给予治安管理处罚；构成犯罪的，依法追究刑事责任。</w:t>
      </w:r>
    </w:p>
    <w:p>
      <w:pPr>
        <w:pStyle w:val="63"/>
        <w:spacing w:before="218" w:after="218" w:line="412" w:lineRule="exact"/>
      </w:pPr>
      <w:r>
        <w:rPr>
          <w:rFonts w:hint="eastAsia"/>
        </w:rPr>
        <w:t>第七章</w:t>
      </w:r>
      <w:r>
        <w:t xml:space="preserve">  </w:t>
      </w:r>
      <w:r>
        <w:rPr>
          <w:rFonts w:hint="eastAsia"/>
        </w:rPr>
        <w:t>附</w:t>
      </w:r>
      <w:r>
        <w:t xml:space="preserve">  </w:t>
      </w:r>
      <w:r>
        <w:rPr>
          <w:rFonts w:hint="eastAsia"/>
        </w:rPr>
        <w:t>则</w:t>
      </w:r>
    </w:p>
    <w:p>
      <w:pPr>
        <w:pStyle w:val="3"/>
        <w:topLinePunct/>
        <w:spacing w:line="412" w:lineRule="exact"/>
        <w:ind w:firstLine="482"/>
        <w:rPr>
          <w:sz w:val="24"/>
          <w:szCs w:val="24"/>
        </w:rPr>
      </w:pPr>
      <w:r>
        <w:rPr>
          <w:rStyle w:val="30"/>
          <w:rFonts w:hint="eastAsia" w:cs="宋体"/>
          <w:sz w:val="24"/>
          <w:szCs w:val="24"/>
        </w:rPr>
        <w:t>第五十七条</w:t>
      </w:r>
      <w:r>
        <w:rPr>
          <w:sz w:val="24"/>
          <w:szCs w:val="24"/>
        </w:rPr>
        <w:t xml:space="preserve">  </w:t>
      </w:r>
      <w:r>
        <w:rPr>
          <w:rFonts w:hint="eastAsia" w:cs="宋体"/>
          <w:sz w:val="24"/>
          <w:szCs w:val="24"/>
        </w:rPr>
        <w:t>本条例所称危及人身财产安全的农业机械，是指对人身财产安全可能造成损害的农业机械，包括拖拉机、联合收割机、机动植保机械、机动脱粒机、饲料粉碎机、插秧机、铡草机等。</w:t>
      </w:r>
    </w:p>
    <w:p>
      <w:pPr>
        <w:pStyle w:val="3"/>
        <w:topLinePunct/>
        <w:spacing w:line="412" w:lineRule="exact"/>
        <w:ind w:firstLine="482"/>
        <w:rPr>
          <w:sz w:val="24"/>
          <w:szCs w:val="24"/>
        </w:rPr>
      </w:pPr>
      <w:r>
        <w:rPr>
          <w:rStyle w:val="30"/>
          <w:rFonts w:hint="eastAsia" w:cs="宋体"/>
          <w:sz w:val="24"/>
          <w:szCs w:val="24"/>
        </w:rPr>
        <w:t>第五十八条</w:t>
      </w:r>
      <w:r>
        <w:rPr>
          <w:sz w:val="24"/>
          <w:szCs w:val="24"/>
        </w:rPr>
        <w:t xml:space="preserve">  </w:t>
      </w:r>
      <w:r>
        <w:rPr>
          <w:rFonts w:hint="eastAsia" w:cs="宋体"/>
          <w:sz w:val="24"/>
          <w:szCs w:val="24"/>
        </w:rPr>
        <w:t>本条例规定的农业机械证书、牌照、操作证件，由国务院农业机械化主管部门会同国务院有关部门统一规定式样，由国务院农业机械化主管部门监制。</w:t>
      </w:r>
    </w:p>
    <w:p>
      <w:pPr>
        <w:pStyle w:val="3"/>
        <w:topLinePunct/>
        <w:spacing w:line="412" w:lineRule="exact"/>
        <w:ind w:firstLine="482"/>
        <w:rPr>
          <w:sz w:val="24"/>
          <w:szCs w:val="24"/>
        </w:rPr>
      </w:pPr>
      <w:r>
        <w:rPr>
          <w:rStyle w:val="30"/>
          <w:rFonts w:hint="eastAsia" w:cs="宋体"/>
          <w:sz w:val="24"/>
          <w:szCs w:val="24"/>
        </w:rPr>
        <w:t>第五十九条</w:t>
      </w:r>
      <w:r>
        <w:rPr>
          <w:sz w:val="24"/>
          <w:szCs w:val="24"/>
        </w:rPr>
        <w:t xml:space="preserve">  </w:t>
      </w:r>
      <w:r>
        <w:rPr>
          <w:rFonts w:hint="eastAsia" w:cs="宋体"/>
          <w:sz w:val="24"/>
          <w:szCs w:val="24"/>
        </w:rPr>
        <w:t>拖拉机操作证件考试收费、安全技术检验收费和牌证的工本费，应当严格执行国务院价格主管部门核定的收费标准。</w:t>
      </w:r>
    </w:p>
    <w:p>
      <w:pPr>
        <w:pStyle w:val="3"/>
        <w:topLinePunct/>
        <w:spacing w:line="412" w:lineRule="exact"/>
        <w:ind w:firstLine="482"/>
        <w:rPr>
          <w:sz w:val="24"/>
          <w:szCs w:val="24"/>
        </w:rPr>
      </w:pPr>
      <w:r>
        <w:rPr>
          <w:rStyle w:val="30"/>
          <w:rFonts w:hint="eastAsia" w:cs="宋体"/>
          <w:sz w:val="24"/>
          <w:szCs w:val="24"/>
        </w:rPr>
        <w:t>第六十条</w:t>
      </w:r>
      <w:r>
        <w:rPr>
          <w:sz w:val="24"/>
          <w:szCs w:val="24"/>
        </w:rPr>
        <w:t xml:space="preserve">  </w:t>
      </w:r>
      <w:r>
        <w:rPr>
          <w:rFonts w:hint="eastAsia" w:cs="宋体"/>
          <w:sz w:val="24"/>
          <w:szCs w:val="24"/>
        </w:rPr>
        <w:t>本条例自</w:t>
      </w:r>
      <w:r>
        <w:rPr>
          <w:sz w:val="24"/>
          <w:szCs w:val="24"/>
        </w:rPr>
        <w:t>2009</w:t>
      </w:r>
      <w:r>
        <w:rPr>
          <w:rFonts w:hint="eastAsia" w:cs="宋体"/>
          <w:sz w:val="24"/>
          <w:szCs w:val="24"/>
        </w:rPr>
        <w:t>年</w:t>
      </w:r>
      <w:r>
        <w:rPr>
          <w:sz w:val="24"/>
          <w:szCs w:val="24"/>
        </w:rPr>
        <w:t>11</w:t>
      </w:r>
      <w:r>
        <w:rPr>
          <w:rFonts w:hint="eastAsia" w:cs="宋体"/>
          <w:sz w:val="24"/>
          <w:szCs w:val="24"/>
        </w:rPr>
        <w:t>月</w:t>
      </w:r>
      <w:r>
        <w:rPr>
          <w:sz w:val="24"/>
          <w:szCs w:val="24"/>
        </w:rPr>
        <w:t>1</w:t>
      </w:r>
      <w:r>
        <w:rPr>
          <w:rFonts w:hint="eastAsia" w:cs="宋体"/>
          <w:sz w:val="24"/>
          <w:szCs w:val="24"/>
        </w:rPr>
        <w:t>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526" w:name="_Toc18315895"/>
      <w:bookmarkStart w:id="1527" w:name="_Toc25648312"/>
      <w:bookmarkStart w:id="1528" w:name="_Toc28251017"/>
      <w:bookmarkStart w:id="1529" w:name="_Toc25653813"/>
      <w:bookmarkStart w:id="1530" w:name="_Toc26348067"/>
      <w:bookmarkStart w:id="1531" w:name="_Toc28157089"/>
      <w:bookmarkStart w:id="1532" w:name="_Toc30739"/>
      <w:bookmarkStart w:id="1533" w:name="_Toc28252299"/>
      <w:r>
        <w:t>北京市农业机械安全监督管理规定</w:t>
      </w:r>
      <w:bookmarkEnd w:id="1526"/>
      <w:bookmarkEnd w:id="1527"/>
      <w:bookmarkEnd w:id="1528"/>
      <w:bookmarkEnd w:id="1529"/>
      <w:bookmarkEnd w:id="1530"/>
      <w:bookmarkEnd w:id="1531"/>
      <w:bookmarkEnd w:id="1532"/>
      <w:bookmarkEnd w:id="1533"/>
    </w:p>
    <w:p>
      <w:pPr>
        <w:pStyle w:val="62"/>
        <w:topLinePunct w:val="0"/>
        <w:ind w:firstLine="0" w:firstLineChars="0"/>
        <w:jc w:val="center"/>
      </w:pPr>
      <w:r>
        <w:t>（2018年2月12日</w:t>
      </w:r>
      <w:bookmarkStart w:id="1534" w:name="OLE_LINK48"/>
      <w:r>
        <w:rPr>
          <w:shd w:val="clear" w:color="auto" w:fill="FFFFFF"/>
        </w:rPr>
        <w:t>北京市</w:t>
      </w:r>
      <w:r>
        <w:t>人民政府令第279号</w:t>
      </w:r>
      <w:bookmarkEnd w:id="1534"/>
      <w:r>
        <w:t>公布）</w:t>
      </w:r>
    </w:p>
    <w:p>
      <w:pPr>
        <w:pStyle w:val="63"/>
        <w:spacing w:before="218" w:after="218" w:line="412" w:lineRule="exact"/>
        <w:rPr>
          <w:b/>
        </w:rPr>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为了加强农业机械安全监督管理，预防和减少农业机械事故，保障人民生命和财产安全，促进首都现代农业发展，根据国务院《农业机械安全监督管理条例》和有关法律、法规，结合本市实际情况，制定本规定。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在本市行政区域内从事农业机械的使用操作及其安全监督管理等活动，应当遵守本规定。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本规定所称农业机械，是指用于农业生产及其产品初加工等相关农事活动的机械、设备。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农业机械安全监督管理应当以人为本，遵循安全第一、预防为主、综合治理的原则，强化和落实农业生产经营组织、农业机械所有人的主体责任，以及各级人民政府及其有关部门的监管责任。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市和区人民政府应当加强对农业机械安全监督管理工作的领导，完善农业机械安全监督管理体系，建立健全农业机械安全生产责任制，将农业机械安全监督管理工作经费列入财政预算，提升农业机械安全监督管理水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乡、镇人民政府和街道办事处应当指定专门人员协助做好农业机械安全监督管理工作。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市和区农业行政部门负责本行政区域的农业机械安全监督管理工作，其所属的农业机械安全监督管理机构（以下简称为农机监理机构）实施具体工作。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财政、安全生产监管、公安交通、环境保护等部门按照各自职责，做好农业机械安全监督管理工作。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市农业行政部门与毗邻省、市有关部门建立农业机械安全监督管理工作区域协作机制，在农业机械的跨区作业、信息共享和技术服务等方面开展协作。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市和区农业行政部门应当与同级安全生产监管、公安交通等部门建立联合执法协调机制，强化农业机械安全监督管理工作。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各级人民政府及其农业、新闻出版广电等行政部门应当加强农业机械安全法律、法规、规章、标准和安全知识的宣传教育。</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农业生产经营组织、农业机械所有人和农业机械操作人员可以依法自愿成立行业协会，实行行业自律，为会员提供市场营销、技术指导和宣传培训等服务，维护会员和行业的合法权益。</w:t>
      </w:r>
    </w:p>
    <w:p>
      <w:pPr>
        <w:pStyle w:val="63"/>
        <w:spacing w:before="218" w:after="218" w:line="412" w:lineRule="exact"/>
        <w:rPr>
          <w:b/>
        </w:rPr>
      </w:pPr>
      <w:r>
        <w:t>第二章</w:t>
      </w:r>
      <w:r>
        <w:rPr>
          <w:rFonts w:hint="eastAsia"/>
        </w:rPr>
        <w:t xml:space="preserve"> </w:t>
      </w:r>
      <w:r>
        <w:t xml:space="preserve"> 安全保障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农业生产经营组织应当加强农业机械使用操作的安全管理，建立健全使用操作的安全规章制度，做好农业机械事故隐患的排查治理工作，推进农业机械安全标准化建设，保障农业机械使用操作的安全。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农业生产经营组织应当对农业机械操作人员进行安全教育和培训，保证农业机械操作人员具备必要的安全知识，熟悉使用操作的安全规章制度和安全操作规程，掌握农业机械事故的应急处理措施。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本市危及人身财产安全的农业机械的安全操作规程，由市农业行政部门组织制定并向社会公布。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农业生产经营组织应当配备专职或者兼职安全管理人员。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农业生产经营组织配备的安全管理人员应当履行下列职责：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（一）组织或者参与拟订本单位农业机械使用操作的安全规章制度；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（二）组织或者参与本单位农业机械操作人员的安全教育和培训；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（三）检查本单位农业机械的安全技术状况；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（四）及时排查并督促消除农业机械事故隐患；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（五）法律、法规规定的其他职责。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农业机械所有人履行下列职责：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（一）定期维护和保养农业机械，确保其安全技术状况良好；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（二）对危及人身财产安全的农业机械定期申请安全检验；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（三）停止使用和报废已经达到国家规定报废条件的农业机械。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业生产经营组织或者农业机械所有人为他人提供农业机械作业服务前，应当与作业服务需求方签订专门的农业机械作业服务安全协议，或者在作业服务合同中约定各自的农业机械作业服务安全责任，并指定专门人员维护农业机械现场作业秩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本市农业机械作业服务安全协议示范文本，由市农业行政部门组织制定并向社会公布。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鼓励农业生产经营组织、农业机械所有人和农业机械作业服务需求方使用农业机械作业服务安全协议示范文本。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业生产经营组织或者农业机械所有人雇用他人操作农业机械的，应当确认所雇用的拖拉机和联合收割机的操作人员持有有效操作证件、其他操作人员具备相应的安全操作技能，不得违章指挥、强令操作人员冒险作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农业机械操作人员有权拒绝违章指挥和强令冒险作业。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农业机械操作人员在作业前，应当对农业机械进行安全查验；作业时，应当遵守安全操作规程。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禁止操作下列农业机械：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（一）未按照规定悬挂牌照的拖拉机或者联合收割机；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（二）改装或者拆卸安全防护装置的危及人身财产安全的农业机械；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（三）拼装或者改装整机的危及人身财产安全的农业机械；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（四）法律、法规规定的其他禁止操作的农业机械。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asciiTheme="minorEastAsia" w:hAnsiTheme="minorEastAsia" w:eastAsiaTheme="minorEastAsia"/>
          <w:sz w:val="24"/>
          <w:szCs w:val="24"/>
        </w:rPr>
        <w:t>农业机械操作人员不得有下列行为：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（一）饮酒后操作危及人身财产安全的农业机械；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（二）拖拉机或者联合收割机在作业或者转移过程中搭乘与操作农业机械无关的人员；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（三）法律、法规规定的其他禁止行为。</w:t>
      </w:r>
    </w:p>
    <w:p>
      <w:pPr>
        <w:pStyle w:val="63"/>
        <w:spacing w:before="218" w:after="218" w:line="412" w:lineRule="exact"/>
        <w:rPr>
          <w:b/>
        </w:rPr>
      </w:pPr>
      <w:r>
        <w:t>第三章</w:t>
      </w:r>
      <w:r>
        <w:rPr>
          <w:rFonts w:hint="eastAsia"/>
        </w:rPr>
        <w:t xml:space="preserve"> </w:t>
      </w:r>
      <w:r>
        <w:t xml:space="preserve"> 事故处理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农业机械在作业或者转移过程中发生事故的，农业机械操作人员和现场其他人员应当及时向事故发生地的区农机监理机构报案。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农机监理机构应当建立值班制度，向社会公布全市统一的值班电话号码，并保持通讯畅通。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发生农业机械事故，未造成人身伤亡，且当事人对事故的事实及其成因无争议的，农机监理机构可以当场作出农业机械事故认定。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发生农业机械事故，未造成人身伤亡，但当事人对事故的事实及其成因有争议的，或者造成人身伤亡的，由农机监理机构依照国务院《农业机械安全监督管理条例》等法规、规章处理。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农机监理机构当场作出农业机械事故认定，应当遵守下列程序：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（一）现场勘验和检查，收集和保存必要的证据；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（二）告知当事人权利和义务；</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（三）制作农业机械事故认定书，当场交付当事人。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拖拉机在道路以外通行时发生事故的，由农机监理机构依照国务院《农业机械安全监督管理条例》等法规、规章处理；公安交通部门接到报案并最先到达事故现场的，参照道路交通安全法律、法规处理；公安交通部门认为不属于道路交通事故的，应当将案件移送农机监理机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拖拉机在道路以外通行时发生事故，造成人身伤亡的，丧葬、抢救等费用列入道路交通事故社会救助基金的救助范围，依照国家有关规定进行救助。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联合收割机发生事故，造成人身伤亡的，依照本市有关规定进行救助。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本市鼓励和支持农业机械所有人和农业机械操作人员依法成立农业机械事故互助组织，完善农业机械事故救助机制，分担农业机械事故损害风险。</w:t>
      </w:r>
    </w:p>
    <w:p>
      <w:pPr>
        <w:pStyle w:val="63"/>
        <w:spacing w:before="218" w:after="218" w:line="412" w:lineRule="exact"/>
        <w:rPr>
          <w:b/>
        </w:rPr>
      </w:pPr>
      <w:r>
        <w:t xml:space="preserve">第四章 </w:t>
      </w:r>
      <w:r>
        <w:rPr>
          <w:rFonts w:hint="eastAsia"/>
        </w:rPr>
        <w:t xml:space="preserve"> </w:t>
      </w:r>
      <w:r>
        <w:t>服务与监督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机监理机构应当根据农业生产需要，为农业生产经营组织、农业机械所有人和农业机械操作人员，提供农业机械作业服务信息、免费发放安全标志标识等服务；对农业机械的使用操作进行监督检查，纠正和处理违反有关法律、法规、规章的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区农机监理机构依照申请定期对危及人身财产安全的农业机械进行免费实地安全检验。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拖拉机和联合收割机的首次安全检验，申请人应当按照国家有关规定提供材料；其他危及人身财产安全的农业机械的首次安全检验，申请人应当提供农业机械及其所有人的基本信息，说明农业机械的来源。</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本市危及人身财产安全的农业机械的安全检验技术规范，由市农业行政部门组织制定并向社会公布。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区农机监理机构在安全检验中发现农业机械存在事故隐患的，应当书面告知其所有人停止使用并及时排除隐患，不予核发检验合格标志。</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农业机械所有人应当在农机监理机构规定的期限内排除事故隐患并申请安全检验。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危及人身财产安全的农业机械改装或者更换涉及安全性能的主要零部件的，原检验合格结果失效，农业机械所有人应当重新申请安全检验。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拖拉机和联合收割机等取得证书和牌照的农业机械，应当按照国家规定定期进行安全检验，取得检验合格标志；未取得检验合格标志的，不得使用；连续3个检验周期未取得检验合格标志的，由农业行政部门注销农业机械的证书和牌照，向社会公告，并告知公安交通部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农机监理机构根据需要在主要进京路口，设立农业机械跨区作业服务接待站点，为进入本市作业的外埠拖拉机和联合收割机及其操作人员做好服务工作。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拖拉机和联合收割机排放大气污染物，应当符合国家和本市的排放标准；排放不符合标准的，不得在本市作业。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环境保护部门应当会同农业行政部门对拖拉机和联合收割机的大气污染物排放状况进行监督检查。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拖拉机上道路行驶的，应当遵守道路交通安全法律、法规的规定。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本市享受财政补贴的拖拉机和联合收割机，由市农机监理机构组织免费加装污染物排放控制装置，控制污染物排放。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任何单位和个人不得擅自拆卸和破坏污染物排放控制装置。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市农机监理机构应当加强对区农机监理机构的指导和协调，制定全市统一的执法设备、技术装备和办公场所配置标准，强化农机监理机构执法人员培训，提高行政执法和服务水平。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市农机监理机构应当建立全市统一的农业机械注册登记、行政执法、安全检验、事故处理等信息服务平台，推进农业机械安全监督管理信息化建设。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农机监理机构执法人员应当忠于职守，坚持原则，秉公执法；执行公务时，应当着装整齐，佩戴统一标志，出示有效的执法证件。</w:t>
      </w:r>
    </w:p>
    <w:p>
      <w:pPr>
        <w:pStyle w:val="63"/>
        <w:spacing w:before="218" w:after="218" w:line="412" w:lineRule="exact"/>
        <w:rPr>
          <w:b/>
        </w:rPr>
      </w:pPr>
      <w:r>
        <w:t>第五章</w:t>
      </w:r>
      <w:r>
        <w:rPr>
          <w:rFonts w:hint="eastAsia"/>
        </w:rPr>
        <w:t xml:space="preserve"> </w:t>
      </w:r>
      <w:r>
        <w:t xml:space="preserve"> 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违反本规定的行为，相关法律、法规对法律责任有规定的，适用其规定；没有规定的，适用本章规定。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违反本规定第十三条规定，农业生产经营组织的安全管理人员未履行职责的，由农机监理机构对农业生产经营组织的主要负责人进行约谈；经约谈，农业生产经营组织的安全管理人员仍未履行职责的，由农机监理机构对农业生产经营组织给予警告，可以并处1000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违反本规定第十七条第一款规定，农业生产经营组织或者农业机械所有人雇用未持有有效操作证件人员的，由农机监理机构给予警告，可以并处500元以下罚款。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违反本规定第十九条第一项、第二项、第三项规定，农业机械操作人员操作未按照规定悬挂牌照的农业机械、操作改装或者拆卸安全防护装置的农业机械、操作拼装或者改装整机的农业机械的，由农机监理机构给予警告，可以并处500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第四十三条</w:t>
      </w:r>
      <w:r>
        <w:rPr>
          <w:rFonts w:asciiTheme="minorEastAsia" w:hAnsiTheme="minorEastAsia" w:eastAsiaTheme="minorEastAsia"/>
          <w:sz w:val="24"/>
          <w:szCs w:val="24"/>
        </w:rPr>
        <w:t>违反本规定第二十条第一项、第二项规定，农业机械操作人员饮酒后操作农业机械、拖拉机或者联合收割机在作业或者转移过程中搭乘与操作农业机械无关的人员的，由农机监理机构给予警告，可以并处1000元以下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违反本规定第三十五条第二款规定，单位或者个人擅自拆卸、破坏污染物排放控制装置的，由农机监理机构责令恢复原状或者赔偿损失，给予警告，可以并处500元以下罚款。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农业行政部门、农机监理机构和其他部门的工作人员滥用职权、玩忽职守、徇私舞弊的，由有权机关依法处理。</w:t>
      </w:r>
    </w:p>
    <w:p>
      <w:pPr>
        <w:pStyle w:val="63"/>
        <w:spacing w:before="218" w:after="218" w:line="412" w:lineRule="exact"/>
      </w:pPr>
      <w:r>
        <w:t>第六章</w:t>
      </w:r>
      <w:r>
        <w:rPr>
          <w:rFonts w:hint="eastAsia"/>
        </w:rPr>
        <w:t xml:space="preserve"> </w:t>
      </w:r>
      <w:r>
        <w:t xml:space="preserve"> 附 </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第四十六条</w:t>
      </w:r>
      <w:r>
        <w:rPr>
          <w:rFonts w:asciiTheme="minorEastAsia" w:hAnsiTheme="minorEastAsia" w:eastAsiaTheme="minorEastAsia"/>
          <w:sz w:val="24"/>
          <w:szCs w:val="24"/>
        </w:rPr>
        <w:t>本规定所称危及人身财产安全的农业机械，是指对人身财产安全可能造成损害的农业机械，包括拖拉机、联合收割机、微耕机、田园管理机、电动卷帘机、机动植保机械、机动脱粒机、饲料粉碎机、插秧机、铡草机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第四十七条</w:t>
      </w:r>
      <w:r>
        <w:rPr>
          <w:rFonts w:asciiTheme="minorEastAsia" w:hAnsiTheme="minorEastAsia" w:eastAsiaTheme="minorEastAsia"/>
          <w:sz w:val="24"/>
          <w:szCs w:val="24"/>
        </w:rPr>
        <w:t>本规定自2018年4月1日起施行。1995年8月2日北京市人民政府第23号令发布，根据1997年12月31日北京市人民政府第12号令第一次修改，根据2007年11月23日北京市人民政府第200号令第二次修改的《北京市农业机械安全监督管理办法》同时废止。</w:t>
      </w:r>
    </w:p>
    <w:p>
      <w:pPr>
        <w:topLinePunct/>
        <w:spacing w:beforeLines="0" w:afterLines="0" w:line="416" w:lineRule="exact"/>
        <w:ind w:firstLine="480" w:firstLineChars="200"/>
        <w:rPr>
          <w:rFonts w:cs="Times New Roman" w:asciiTheme="minorEastAsia" w:hAnsiTheme="minorEastAsia"/>
          <w:sz w:val="24"/>
          <w:szCs w:val="24"/>
        </w:rPr>
      </w:pP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535" w:name="_Toc26348068"/>
      <w:bookmarkStart w:id="1536" w:name="_Toc28252300"/>
      <w:bookmarkStart w:id="1537" w:name="_Toc25653814"/>
      <w:bookmarkStart w:id="1538" w:name="_Toc19522"/>
      <w:bookmarkStart w:id="1539" w:name="_Toc18315897"/>
      <w:bookmarkStart w:id="1540" w:name="_Toc28251018"/>
      <w:bookmarkStart w:id="1541" w:name="_Toc28157090"/>
      <w:bookmarkStart w:id="1542" w:name="_Toc25648313"/>
      <w:r>
        <w:t>拖拉机和联合收割机驾驶证管理规定</w:t>
      </w:r>
      <w:bookmarkEnd w:id="1535"/>
      <w:bookmarkEnd w:id="1536"/>
      <w:bookmarkEnd w:id="1537"/>
      <w:bookmarkEnd w:id="1538"/>
      <w:bookmarkEnd w:id="1539"/>
      <w:bookmarkEnd w:id="1540"/>
      <w:bookmarkEnd w:id="1541"/>
      <w:bookmarkEnd w:id="1542"/>
    </w:p>
    <w:p>
      <w:pPr>
        <w:pStyle w:val="62"/>
        <w:topLinePunct w:val="0"/>
        <w:ind w:firstLine="0" w:firstLineChars="0"/>
        <w:jc w:val="center"/>
      </w:pPr>
      <w:r>
        <w:t>（2018年1月15日中华人民共和国</w:t>
      </w:r>
      <w:r>
        <w:rPr>
          <w:shd w:val="clear" w:color="auto" w:fill="FFFFFF"/>
        </w:rPr>
        <w:t>农业部</w:t>
      </w:r>
      <w:r>
        <w:t>令第1号公布）</w:t>
      </w:r>
    </w:p>
    <w:p>
      <w:pPr>
        <w:pStyle w:val="63"/>
        <w:spacing w:before="218" w:after="218" w:line="412" w:lineRule="exact"/>
        <w:rPr>
          <w:b/>
        </w:rPr>
      </w:pPr>
      <w:r>
        <w:t xml:space="preserve">第一章 </w:t>
      </w:r>
      <w:r>
        <w:rPr>
          <w:rFonts w:hint="eastAsia"/>
        </w:rPr>
        <w:t xml:space="preserve"> </w:t>
      </w:r>
      <w:r>
        <w:t>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拖拉机和联合收割机驾驶证（以下简称驾驶证）的申领和使用，根据《中华人民共和国农业机械化促进法》、《中华人民共和国道路交通安全法》和《农业机械安全监督管理条例》、《中华人民共和国道路交通安全法实施条例》等有关法律、行政法规，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本规定所称驾驶证是指驾驶拖拉机、联合收割机所需持有的证件。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县级人民政府农业机械化主管部门负责本行政区域内拖拉机和联合收割机驾驶证的管理，其所属的农机安全监理机构（以下简称农机监理机构）承担驾驶证申请受理、考试、发证等具体工作。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县级以上人民政府农业机械化主管部门及其所属的农机监理机构负责驾驶证业务工作的指导、检查和监督。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农机监理机构办理驾驶证业务，应当遵循公开、公正、便民、高效原则。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农机监理机构在办理驾驶证业务时，对材料齐全并符合规定的，应当按期办结。对材料不全或者不符合规定的，应当一次告知申请人需要补正的全部内容。对不予受理的，应当书面告知不予受理的理由。</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机监理机构应当在办理业务的场所公示驾驶证申领的条件、依据、程序、期限、收费标准、需要提交的全部资料的目录和申请表示范文本等内容，并在相关网站发布信息，便于群众查阅有关规定，下载、使用有关表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农机监理机构应当使用计算机管理系统办理业务，完整、准确记录和存储申请受理、科目考试、驾驶证核发等全过程以及经办人员等信息。计算机管理系统的数据库标准由农业部制定。</w:t>
      </w:r>
    </w:p>
    <w:p>
      <w:pPr>
        <w:pStyle w:val="63"/>
        <w:spacing w:before="218" w:after="218" w:line="412" w:lineRule="exact"/>
        <w:rPr>
          <w:b/>
        </w:rPr>
      </w:pPr>
      <w:r>
        <w:t xml:space="preserve">第二章 </w:t>
      </w:r>
      <w:r>
        <w:rPr>
          <w:rFonts w:hint="eastAsia"/>
        </w:rPr>
        <w:t xml:space="preserve"> </w:t>
      </w:r>
      <w:r>
        <w:t>申  请</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驾驶拖拉机、联合收割机，应当申请考取驾驶证。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拖拉机、联合收割机驾驶人员准予驾驶的机型分为：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（一）轮式拖拉机，代号为G1；</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（二）手扶拖拉机，代号为K1；</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（三）履带拖拉机，代号为L；</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（四）轮式拖拉机运输机组，代号为G2（准予驾驶轮式拖拉机）；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（五）手扶拖拉机运输机组，代号为K2（准予驾驶手扶拖拉机）；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（六）轮式联合收割机，代号为R；</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（七）履带式联合收割机，代号为S。</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申请驾驶证，应当符合下列条件：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（一）年龄：18周岁以上，70周岁以下；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（二）身高：不低于150厘米；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（三）视力：两眼裸视力或者矫正视力达到对数视力表4.9以上；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（四）辨色力：无红绿色盲；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（五）听力：两耳分别距音叉50厘米能辨别声源方向；</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（六）上肢：双手拇指健全，每只手其他手指必须有3指健全，肢体和手指运动功能正常；</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（七）下肢：运动功能正常，下肢不等长度不得大于5厘米；</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（八）躯干、颈部：无运动功能障碍。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有下列情形之一的，不得申领驾驶证：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（一）有器质性心脏病、癫痫、美尼尔氏症、眩晕症、癔病、震颤麻痹、精神病、痴呆以及影响肢体活动的神经系统疾病等妨碍安全驾驶疾病的；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（二）3年内有吸食、注射毒品行为或者解除强制隔离戒毒措施未满3年，或者长期服用依赖性精神药品成瘾尚未戒除的；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（三）吊销驾驶证未满2年的；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（四）驾驶许可依法被撤销未满3年的；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（五）醉酒驾驶依法被吊销驾驶证未满5年的；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（六）饮酒后或醉酒驾驶造成重大事故被吊销驾驶证的；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（七）造成事故后逃逸被吊销驾驶证的；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（八）法律、行政法规规定的其他情形。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申领驾驶证，按照下列规定向农机监理机构提出申请：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（一）在户籍所在地居住的，应当在户籍所在地提出申请；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（二）在户籍所在地以外居住的，可以在居住地提出申请；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（三）境外人员，应当在居住地提出申请。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初次申领驾驶证的，应当填写申请表，提交以下材料：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（一）申请人身份证明；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（二）身体条件证明。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申请增加准驾机型的，应当向驾驶证核发地或居住地农机监理机构提出申请，填写申请表，提交驾驶证和本规定第十二条规定的材料。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农机监理机构办理驾驶证业务，应当依法审核申请人提交的资料，对符合条件的，按照规定程序和期限办理驾驶证。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申领驾驶证的，应当向农机监理机构提交规定的有关资料，如实申告规定事项。</w:t>
      </w:r>
    </w:p>
    <w:p>
      <w:pPr>
        <w:pStyle w:val="63"/>
        <w:spacing w:before="218" w:after="218" w:line="412" w:lineRule="exact"/>
        <w:rPr>
          <w:b/>
        </w:rPr>
      </w:pPr>
      <w:r>
        <w:t>第三章</w:t>
      </w:r>
      <w:r>
        <w:rPr>
          <w:rFonts w:hint="eastAsia"/>
        </w:rPr>
        <w:t xml:space="preserve"> </w:t>
      </w:r>
      <w:r>
        <w:t xml:space="preserve"> 考  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符合驾驶证申请条件的，农机监理机构应当受理并在20日内安排考试。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农机监理机构应当提供网络或电话等预约考试的方式。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驾驶考试科目分为：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（一）科目一：理论知识考试；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（二）科目二：场地驾驶技能考试；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（三）科目三：田间作业技能考试；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（四）科目四：道路驾驶技能考试。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考试内容与合格标准由农业部制定。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申请人应当在科目一考试合格后2年内完成科目二、科目三、科目四考试。未在2年内完成考试的，已考试合格的科目成绩作废。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每个科目考试1次，考试不合格的，可以当场补考1次。补考仍不合格的，申请人可以预约后再次补考，每次预约考试次数不超过2次。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各科目考试结果应当场公布，并出示成绩单。成绩单由考试员和申请人共同签名。考试不合格的，应当说明不合格原因。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申请人在考试过程中有舞弊行为的，取消本次考试资格，已经通过考试的其他科目成绩无效。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申请人全部科目考试合格后，应当在2个工作日内核发驾驶证。准予增加准驾机型的，应当收回原驾驶证。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从事考试工作的人员，应当持有省级农机监理机构核发的考试员证件，认真履行考试职责，严格遵守考试工作纪律。</w:t>
      </w:r>
    </w:p>
    <w:p>
      <w:pPr>
        <w:pStyle w:val="63"/>
        <w:spacing w:before="218" w:after="218" w:line="412" w:lineRule="exact"/>
        <w:rPr>
          <w:b/>
        </w:rPr>
      </w:pPr>
      <w:r>
        <w:t>第四章</w:t>
      </w:r>
      <w:r>
        <w:rPr>
          <w:rFonts w:hint="eastAsia"/>
        </w:rPr>
        <w:t xml:space="preserve"> </w:t>
      </w:r>
      <w:r>
        <w:t xml:space="preserve"> 使  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驾驶证记载和签注以下内容：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（一）驾驶人信息：姓名、性别、出生日期、国籍、住址、身份证明号码（驾驶证号码）、照片；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（二）农机监理机构签注内容：初次领证日期、准驾机型代号、有效期限、核发机关印章、档案编号、副页签注期满换证时间。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驾驶证有效期为6年。驾驶人驾驶拖拉机、联合收割机时，应当随身携带。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驾驶人应当于驾驶证有效期满前3个月内，向驾驶证核发地或居住地农机监理机构申请换证。申请换证时应当填写申请表，提交以下材料：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（一）驾驶人身份证明；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（二）驾驶证；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（三）身体条件证明。</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驾驶人户籍迁出原农机监理机构管辖区的，应当向迁入地农机监理机构申请换证；驾驶人在驾驶证核发地农机监理机构管辖区以外居住的，可以向居住地农机监理机构申请换证。申请换证时应当填写申请表，提交驾驶人身份证明和驾驶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驾驶证记载的驾驶人信息发生变化的或驾驶证损毁无法辨认的，驾驶人应当及时到驾驶证核发地或居住地农机监理机构申请换证。申请换证时应当填写申请表，提交驾驶人身份证明和驾驶证。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符合本规定第二十四条、第二十五条、第二十六条换证条件的，农机监理机构应当在2个工作日内换发驾驶证，并收回原驾驶证。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驾驶证遗失的，驾驶人应当向驾驶证核发地或居住地农机监理机构申请补发。申请时应当填写申请表，提交驾驶人身份证明。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符合规定的，农机监理机构应当在2个工作日内补发驾驶证，原驾驶证作废。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驾驶证被依法扣押、扣留或者暂扣期间，驾驶人不得申请补证。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拖拉机运输机组驾驶人在一个记分周期内累计达到12分的，农机监理机构在接到公安部门通报后，应当通知驾驶人在15日内接受道路交通安全法律法规和相关知识的教育。驾驶人接受教育后，农机监理机构应当在20日内对其进行科目一考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驾驶人在一个记分周期内两次以上达到12分的，农机监理机构还应当在科目一考试合格后的10日内对其进行科目四考试。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驾驶人具有下列情形之一的，其驾驶证失效，应当注销：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（一）申请注销的；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（二）身体条件或其他原因不适合继续驾驶的；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（三）丧失民事行为能力，监护人提出注销申请的；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（四）死亡的；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（五）超过驾驶证有效期1年以上未换证的；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（六）年龄在70周岁以上的；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（七）驾驶证依法被吊销或者驾驶许可依法被撤销的。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有前款情形之一，未收回驾驶证的，应当公告驾驶证作废。</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有第一款第（五）项情形，被注销驾驶证未超过2年的，驾驶人参加科目一考试合格后，可以申请恢复驾驶资格，办理期满换证。</w:t>
      </w:r>
    </w:p>
    <w:p>
      <w:pPr>
        <w:pStyle w:val="63"/>
        <w:spacing w:before="218" w:after="218" w:line="412" w:lineRule="exact"/>
        <w:rPr>
          <w:b/>
        </w:rPr>
      </w:pPr>
      <w:r>
        <w:t xml:space="preserve">第五章 </w:t>
      </w:r>
      <w:r>
        <w:rPr>
          <w:rFonts w:hint="eastAsia"/>
        </w:rPr>
        <w:t xml:space="preserve"> </w:t>
      </w:r>
      <w:r>
        <w:t>其他规定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驾</w:t>
      </w:r>
      <w:r>
        <w:rPr>
          <w:rFonts w:asciiTheme="minorEastAsia" w:hAnsiTheme="minorEastAsia" w:eastAsiaTheme="minorEastAsia"/>
          <w:spacing w:val="-4"/>
          <w:sz w:val="24"/>
          <w:szCs w:val="24"/>
        </w:rPr>
        <w:t>驶人可以委托代理人办理换证、补证、注销业务。代理人办理相关业务时，除规定材料外，还应当提交代理人身份证明、经申请人签字的委托书。</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驾驶证的式样、规格与中华人民共和国公共安全行业标准《中华人民共和国机动车驾驶证件》一致，按照农业行业标准《中华人民共和国拖拉机和联合收割机驾驶证》执行。相关表格式样由农业部制定。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申请人以隐瞒、欺骗等不正当手段取得驾驶证的，应当撤销驾驶许可，并收回驾驶证。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农机安全监理人员违反规定办理驾驶证申领和使用业务的，按照国家有关规定给予处分；构成犯罪的，依法追究刑事责任。</w:t>
      </w:r>
    </w:p>
    <w:p>
      <w:pPr>
        <w:pStyle w:val="63"/>
        <w:spacing w:before="218" w:after="218" w:line="412" w:lineRule="exact"/>
        <w:rPr>
          <w:b/>
        </w:rPr>
      </w:pPr>
      <w:r>
        <w:t>第六章</w:t>
      </w:r>
      <w:r>
        <w:rPr>
          <w:rFonts w:hint="eastAsia"/>
        </w:rPr>
        <w:t xml:space="preserve"> </w:t>
      </w:r>
      <w:r>
        <w:t xml:space="preserve"> 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本规定下列用语的含义：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（一）身份证明是指：《居民身份证》或者《临时居民身份证》。在户籍地以外居住的，身份证明还包括公安部门核发的居住证明。</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住址是指：申请人提交的身份证明上记载的住址。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现役军人、港澳台居民、华侨、外国人等的身份证明和住址，参照公安部门有关规定执行。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（二）身体条件证明是指：乡镇或社区以上医疗机构出具的包含本规定第九条指定项目的有关身体条件证明。身体条件证明自出具之日起6个月内有效。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本规定自2018年6月1日起施行。2004年9月21日公布、2010年11月26日修订的《拖拉机驾驶证申领和使用规定》和2006年11月2日公布、2010年11月26日修订的《联合收割机及驾驶人安全监理规定》同时废止。</w:t>
      </w: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543" w:name="_Toc28251019"/>
      <w:bookmarkStart w:id="1544" w:name="_Toc26348069"/>
      <w:bookmarkStart w:id="1545" w:name="_Toc25653815"/>
      <w:bookmarkStart w:id="1546" w:name="_Toc25648314"/>
      <w:bookmarkStart w:id="1547" w:name="_Toc28252301"/>
      <w:bookmarkStart w:id="1548" w:name="_Toc28157091"/>
      <w:r>
        <w:rPr>
          <w:rFonts w:hint="eastAsia"/>
        </w:rPr>
        <w:t>拖拉机和联合收割机登记规定</w:t>
      </w:r>
      <w:bookmarkEnd w:id="1543"/>
      <w:bookmarkEnd w:id="1544"/>
      <w:bookmarkEnd w:id="1545"/>
      <w:bookmarkEnd w:id="1546"/>
      <w:bookmarkEnd w:id="1547"/>
      <w:bookmarkEnd w:id="1548"/>
    </w:p>
    <w:p>
      <w:pPr>
        <w:pStyle w:val="62"/>
      </w:pPr>
      <w:r>
        <w:rPr>
          <w:rFonts w:hint="eastAsia"/>
        </w:rPr>
        <w:t>（</w:t>
      </w:r>
      <w:r>
        <w:t>2018</w:t>
      </w:r>
      <w:r>
        <w:rPr>
          <w:rFonts w:hint="eastAsia"/>
        </w:rPr>
        <w:t>年</w:t>
      </w:r>
      <w:r>
        <w:t>1</w:t>
      </w:r>
      <w:r>
        <w:rPr>
          <w:rFonts w:hint="eastAsia"/>
        </w:rPr>
        <w:t>月</w:t>
      </w:r>
      <w:r>
        <w:t>15</w:t>
      </w:r>
      <w:r>
        <w:rPr>
          <w:rFonts w:hint="eastAsia"/>
        </w:rPr>
        <w:t>日农业部令第</w:t>
      </w:r>
      <w:r>
        <w:t>2</w:t>
      </w:r>
      <w:r>
        <w:rPr>
          <w:rFonts w:hint="eastAsia"/>
        </w:rPr>
        <w:t>号公布，根据</w:t>
      </w:r>
      <w:r>
        <w:t>2018</w:t>
      </w:r>
      <w:r>
        <w:rPr>
          <w:rFonts w:hint="eastAsia"/>
        </w:rPr>
        <w:t>年</w:t>
      </w:r>
      <w:r>
        <w:t>12</w:t>
      </w:r>
      <w:r>
        <w:rPr>
          <w:rFonts w:hint="eastAsia"/>
        </w:rPr>
        <w:t>月</w:t>
      </w:r>
      <w:r>
        <w:t>6</w:t>
      </w:r>
      <w:r>
        <w:rPr>
          <w:rFonts w:hint="eastAsia"/>
        </w:rPr>
        <w:t>日农业农村部令</w:t>
      </w:r>
      <w:r>
        <w:t>2018</w:t>
      </w:r>
      <w:r>
        <w:rPr>
          <w:rFonts w:hint="eastAsia"/>
        </w:rPr>
        <w:t>年第</w:t>
      </w:r>
      <w:r>
        <w:t>2</w:t>
      </w:r>
      <w:r>
        <w:rPr>
          <w:rFonts w:hint="eastAsia"/>
        </w:rPr>
        <w:t>号修正）</w:t>
      </w:r>
    </w:p>
    <w:p>
      <w:pPr>
        <w:pStyle w:val="63"/>
        <w:spacing w:before="218" w:after="218" w:line="412" w:lineRule="exact"/>
      </w:pPr>
      <w:r>
        <w:rPr>
          <w:rFonts w:hint="eastAsia" w:cs="宋体"/>
        </w:rPr>
        <w:t>第一章</w:t>
      </w:r>
      <w:r>
        <w:t xml:space="preserve">  </w:t>
      </w:r>
      <w:r>
        <w:rPr>
          <w:rFonts w:hint="eastAsia" w:cs="宋体"/>
        </w:rPr>
        <w:t>总</w:t>
      </w:r>
      <w:r>
        <w:t xml:space="preserve"> </w:t>
      </w:r>
      <w:r>
        <w:rPr>
          <w:rFonts w:hint="eastAsia"/>
        </w:rPr>
        <w:t xml:space="preserve"> </w:t>
      </w:r>
      <w:r>
        <w:rPr>
          <w:rFonts w:hint="eastAsia" w:cs="宋体"/>
        </w:rPr>
        <w:t>则</w:t>
      </w:r>
    </w:p>
    <w:p>
      <w:pPr>
        <w:pStyle w:val="3"/>
        <w:topLinePunct/>
        <w:spacing w:line="412" w:lineRule="exact"/>
        <w:ind w:firstLine="482"/>
        <w:rPr>
          <w:sz w:val="24"/>
          <w:szCs w:val="24"/>
        </w:rPr>
      </w:pPr>
      <w:r>
        <w:rPr>
          <w:rFonts w:hint="eastAsia" w:cs="宋体"/>
          <w:b/>
          <w:bCs/>
          <w:sz w:val="24"/>
          <w:szCs w:val="24"/>
        </w:rPr>
        <w:t>第一条</w:t>
      </w:r>
      <w:r>
        <w:rPr>
          <w:sz w:val="24"/>
          <w:szCs w:val="24"/>
        </w:rPr>
        <w:t xml:space="preserve">  </w:t>
      </w:r>
      <w:r>
        <w:rPr>
          <w:rFonts w:hint="eastAsia" w:cs="宋体"/>
          <w:sz w:val="24"/>
          <w:szCs w:val="24"/>
        </w:rPr>
        <w:t>为了规范拖拉机和联合收割机登记，根据《中华人民共和国农业机械化促进法》、《中华人民共和国道路交通安全法》和《农业机械安全监督管理条例》、《中华人民共和国道路交通安全法实施条例》等有关法律、行政法规，制定本规定。</w:t>
      </w:r>
    </w:p>
    <w:p>
      <w:pPr>
        <w:pStyle w:val="3"/>
        <w:topLinePunct/>
        <w:spacing w:line="412" w:lineRule="exact"/>
        <w:ind w:firstLine="482"/>
        <w:rPr>
          <w:sz w:val="24"/>
          <w:szCs w:val="24"/>
        </w:rPr>
      </w:pPr>
      <w:r>
        <w:rPr>
          <w:rFonts w:hint="eastAsia" w:cs="宋体"/>
          <w:b/>
          <w:bCs/>
          <w:sz w:val="24"/>
          <w:szCs w:val="24"/>
        </w:rPr>
        <w:t>第二条</w:t>
      </w:r>
      <w:r>
        <w:rPr>
          <w:sz w:val="24"/>
          <w:szCs w:val="24"/>
        </w:rPr>
        <w:t xml:space="preserve">  </w:t>
      </w:r>
      <w:r>
        <w:rPr>
          <w:rFonts w:hint="eastAsia" w:cs="宋体"/>
          <w:sz w:val="24"/>
          <w:szCs w:val="24"/>
        </w:rPr>
        <w:t>本规定所称登记，是指依法对拖拉机和联合收割机进行的登记。包括注册登记、变更登记、转移登记、抵押登记和注销登记。</w:t>
      </w:r>
    </w:p>
    <w:p>
      <w:pPr>
        <w:pStyle w:val="3"/>
        <w:topLinePunct/>
        <w:spacing w:line="412" w:lineRule="exact"/>
        <w:ind w:firstLine="480"/>
        <w:rPr>
          <w:sz w:val="24"/>
          <w:szCs w:val="24"/>
        </w:rPr>
      </w:pPr>
      <w:r>
        <w:rPr>
          <w:rFonts w:hint="eastAsia" w:cs="宋体"/>
          <w:sz w:val="24"/>
          <w:szCs w:val="24"/>
        </w:rPr>
        <w:t>拖拉机包括轮式拖拉机、手扶拖拉机、履带拖拉机、轮式拖拉机运输机组、手扶拖拉机运输机组。</w:t>
      </w:r>
    </w:p>
    <w:p>
      <w:pPr>
        <w:pStyle w:val="3"/>
        <w:topLinePunct/>
        <w:spacing w:line="412" w:lineRule="exact"/>
        <w:ind w:firstLine="480"/>
        <w:rPr>
          <w:sz w:val="24"/>
          <w:szCs w:val="24"/>
        </w:rPr>
      </w:pPr>
      <w:r>
        <w:rPr>
          <w:rFonts w:hint="eastAsia" w:cs="宋体"/>
          <w:sz w:val="24"/>
          <w:szCs w:val="24"/>
        </w:rPr>
        <w:t>联合收割机包括轮式联合收割机、履带式联合收割机。</w:t>
      </w:r>
    </w:p>
    <w:p>
      <w:pPr>
        <w:pStyle w:val="3"/>
        <w:topLinePunct/>
        <w:spacing w:line="412" w:lineRule="exact"/>
        <w:ind w:firstLine="482"/>
        <w:rPr>
          <w:sz w:val="24"/>
          <w:szCs w:val="24"/>
        </w:rPr>
      </w:pPr>
      <w:r>
        <w:rPr>
          <w:rFonts w:hint="eastAsia" w:cs="宋体"/>
          <w:b/>
          <w:bCs/>
          <w:sz w:val="24"/>
          <w:szCs w:val="24"/>
        </w:rPr>
        <w:t>第三条</w:t>
      </w:r>
      <w:r>
        <w:rPr>
          <w:sz w:val="24"/>
          <w:szCs w:val="24"/>
        </w:rPr>
        <w:t xml:space="preserve">  </w:t>
      </w:r>
      <w:r>
        <w:rPr>
          <w:rFonts w:hint="eastAsia" w:cs="宋体"/>
          <w:sz w:val="24"/>
          <w:szCs w:val="24"/>
        </w:rPr>
        <w:t>县级人</w:t>
      </w:r>
      <w:r>
        <w:rPr>
          <w:rFonts w:hint="eastAsia" w:cs="宋体"/>
          <w:spacing w:val="-4"/>
          <w:sz w:val="24"/>
          <w:szCs w:val="24"/>
        </w:rPr>
        <w:t>民政府农业机械化主管部门负责本行政区域内拖拉机和联合收割机的登记管理，其所属的农机安全监理机构（以下简称农机监理机构）承担具体工作。</w:t>
      </w:r>
    </w:p>
    <w:p>
      <w:pPr>
        <w:pStyle w:val="3"/>
        <w:topLinePunct/>
        <w:spacing w:line="412" w:lineRule="exact"/>
        <w:ind w:firstLine="480"/>
        <w:rPr>
          <w:sz w:val="24"/>
          <w:szCs w:val="24"/>
        </w:rPr>
      </w:pPr>
      <w:r>
        <w:rPr>
          <w:rFonts w:hint="eastAsia" w:cs="宋体"/>
          <w:sz w:val="24"/>
          <w:szCs w:val="24"/>
        </w:rPr>
        <w:t>县级以上人民政府农业机械化主管部门及其所属的农机监理机构负责拖拉机和联合收割机登记业务工作的指导、检查和监督。</w:t>
      </w:r>
    </w:p>
    <w:p>
      <w:pPr>
        <w:pStyle w:val="3"/>
        <w:topLinePunct/>
        <w:spacing w:line="412" w:lineRule="exact"/>
        <w:ind w:firstLine="482"/>
        <w:rPr>
          <w:sz w:val="24"/>
          <w:szCs w:val="24"/>
        </w:rPr>
      </w:pPr>
      <w:r>
        <w:rPr>
          <w:rFonts w:hint="eastAsia" w:cs="宋体"/>
          <w:b/>
          <w:bCs/>
          <w:sz w:val="24"/>
          <w:szCs w:val="24"/>
        </w:rPr>
        <w:t>第四条</w:t>
      </w:r>
      <w:r>
        <w:rPr>
          <w:sz w:val="24"/>
          <w:szCs w:val="24"/>
        </w:rPr>
        <w:t xml:space="preserve">  </w:t>
      </w:r>
      <w:r>
        <w:rPr>
          <w:rFonts w:hint="eastAsia" w:cs="宋体"/>
          <w:sz w:val="24"/>
          <w:szCs w:val="24"/>
        </w:rPr>
        <w:t>农机监理机构办理拖拉机、联合收割机登记业务，应当遵循公开、公正、便民、高效原则。</w:t>
      </w:r>
    </w:p>
    <w:p>
      <w:pPr>
        <w:pStyle w:val="3"/>
        <w:topLinePunct/>
        <w:spacing w:line="412" w:lineRule="exact"/>
        <w:ind w:firstLine="480"/>
        <w:rPr>
          <w:sz w:val="24"/>
          <w:szCs w:val="24"/>
        </w:rPr>
      </w:pPr>
      <w:r>
        <w:rPr>
          <w:rFonts w:hint="eastAsia" w:cs="宋体"/>
          <w:sz w:val="24"/>
          <w:szCs w:val="24"/>
        </w:rPr>
        <w:t>农机监理机构在办理业务时，对材料齐全并符合规定的，应当按期办结。对材料不全或者不符合规定的，应当一次告知申请人需要补正的全部内容。对不予受理的，应当书面告知不予受理的理由。</w:t>
      </w:r>
    </w:p>
    <w:p>
      <w:pPr>
        <w:pStyle w:val="3"/>
        <w:topLinePunct/>
        <w:spacing w:line="412" w:lineRule="exact"/>
        <w:ind w:firstLine="482"/>
        <w:rPr>
          <w:sz w:val="24"/>
          <w:szCs w:val="24"/>
        </w:rPr>
      </w:pPr>
      <w:r>
        <w:rPr>
          <w:rFonts w:hint="eastAsia" w:cs="宋体"/>
          <w:b/>
          <w:bCs/>
          <w:sz w:val="24"/>
          <w:szCs w:val="24"/>
        </w:rPr>
        <w:t>第五条</w:t>
      </w:r>
      <w:r>
        <w:rPr>
          <w:sz w:val="24"/>
          <w:szCs w:val="24"/>
        </w:rPr>
        <w:t xml:space="preserve">  </w:t>
      </w:r>
      <w:r>
        <w:rPr>
          <w:rFonts w:hint="eastAsia" w:cs="宋体"/>
          <w:sz w:val="24"/>
          <w:szCs w:val="24"/>
        </w:rPr>
        <w:t>农机监理机构应当在业务办理场所公示业务办理条件、依据、程序、期限、收费标准、需要提交的材料和申请表示范文本等内容，并在相关网站发布信息，便于群众查阅、下载和使用。</w:t>
      </w:r>
    </w:p>
    <w:p>
      <w:pPr>
        <w:pStyle w:val="3"/>
        <w:topLinePunct/>
        <w:spacing w:line="412" w:lineRule="exact"/>
        <w:ind w:firstLine="482"/>
        <w:rPr>
          <w:sz w:val="24"/>
          <w:szCs w:val="24"/>
        </w:rPr>
      </w:pPr>
      <w:r>
        <w:rPr>
          <w:rFonts w:hint="eastAsia" w:cs="宋体"/>
          <w:b/>
          <w:bCs/>
          <w:sz w:val="24"/>
          <w:szCs w:val="24"/>
        </w:rPr>
        <w:t>第六条</w:t>
      </w:r>
      <w:r>
        <w:rPr>
          <w:sz w:val="24"/>
          <w:szCs w:val="24"/>
        </w:rPr>
        <w:t xml:space="preserve">  </w:t>
      </w:r>
      <w:r>
        <w:rPr>
          <w:rFonts w:hint="eastAsia" w:cs="宋体"/>
          <w:sz w:val="24"/>
          <w:szCs w:val="24"/>
        </w:rPr>
        <w:t>农机监理机构应当使用计算机管理系统办理登记业务，完整、准确记录和存储登记内容、办理过程以及经办人员等信息，打印行驶证和登记证书。计算机管理系统的数据库标准由农业部制定。</w:t>
      </w:r>
    </w:p>
    <w:p>
      <w:pPr>
        <w:pStyle w:val="63"/>
        <w:spacing w:before="218" w:after="218" w:line="412" w:lineRule="exact"/>
      </w:pPr>
      <w:r>
        <w:rPr>
          <w:rFonts w:hint="eastAsia"/>
        </w:rPr>
        <w:t>第二章</w:t>
      </w:r>
      <w:r>
        <w:t xml:space="preserve">  </w:t>
      </w:r>
      <w:r>
        <w:rPr>
          <w:rFonts w:hint="eastAsia"/>
        </w:rPr>
        <w:t>注册登记</w:t>
      </w:r>
    </w:p>
    <w:p>
      <w:pPr>
        <w:pStyle w:val="3"/>
        <w:topLinePunct/>
        <w:spacing w:line="412" w:lineRule="exact"/>
        <w:ind w:firstLine="482"/>
        <w:rPr>
          <w:sz w:val="24"/>
          <w:szCs w:val="24"/>
        </w:rPr>
      </w:pPr>
      <w:r>
        <w:rPr>
          <w:rFonts w:hint="eastAsia" w:cs="宋体"/>
          <w:b/>
          <w:bCs/>
          <w:sz w:val="24"/>
          <w:szCs w:val="24"/>
        </w:rPr>
        <w:t>第七条</w:t>
      </w:r>
      <w:r>
        <w:rPr>
          <w:sz w:val="24"/>
          <w:szCs w:val="24"/>
        </w:rPr>
        <w:t xml:space="preserve">  </w:t>
      </w:r>
      <w:r>
        <w:rPr>
          <w:rFonts w:hint="eastAsia" w:cs="宋体"/>
          <w:sz w:val="24"/>
          <w:szCs w:val="24"/>
        </w:rPr>
        <w:t>初次申领拖拉机、联合收割机号牌、行驶证的，应当在申请注册登记前，对拖拉机、联合收割机进行安全技术检验，取得安全技术检验合格证明。</w:t>
      </w:r>
    </w:p>
    <w:p>
      <w:pPr>
        <w:pStyle w:val="3"/>
        <w:topLinePunct/>
        <w:spacing w:line="412" w:lineRule="exact"/>
        <w:ind w:firstLine="480"/>
        <w:rPr>
          <w:sz w:val="24"/>
          <w:szCs w:val="24"/>
        </w:rPr>
      </w:pPr>
      <w:r>
        <w:rPr>
          <w:rFonts w:hint="eastAsia" w:cs="宋体"/>
          <w:sz w:val="24"/>
          <w:szCs w:val="24"/>
        </w:rPr>
        <w:t>依法通过农机推广鉴定的机型，其新机在出厂时经检验获得出厂合格证明的，出厂一年内免予安全技术检验，拖拉机运输机组除外。</w:t>
      </w:r>
    </w:p>
    <w:p>
      <w:pPr>
        <w:pStyle w:val="3"/>
        <w:topLinePunct/>
        <w:spacing w:line="412" w:lineRule="exact"/>
        <w:ind w:firstLine="482"/>
        <w:rPr>
          <w:sz w:val="24"/>
          <w:szCs w:val="24"/>
        </w:rPr>
      </w:pPr>
      <w:r>
        <w:rPr>
          <w:rFonts w:hint="eastAsia" w:cs="宋体"/>
          <w:b/>
          <w:bCs/>
          <w:sz w:val="24"/>
          <w:szCs w:val="24"/>
        </w:rPr>
        <w:t>第八条</w:t>
      </w:r>
      <w:r>
        <w:rPr>
          <w:sz w:val="24"/>
          <w:szCs w:val="24"/>
        </w:rPr>
        <w:t xml:space="preserve">  </w:t>
      </w:r>
      <w:r>
        <w:rPr>
          <w:rFonts w:hint="eastAsia" w:cs="宋体"/>
          <w:sz w:val="24"/>
          <w:szCs w:val="24"/>
        </w:rPr>
        <w:t>拖拉机、联合收割机所有人应当向居住地的农机监理机构申请注册登记，填写申请表，交验拖拉机、联合收割机，提交以下材料：</w:t>
      </w:r>
    </w:p>
    <w:p>
      <w:pPr>
        <w:pStyle w:val="3"/>
        <w:topLinePunct/>
        <w:spacing w:line="412" w:lineRule="exact"/>
        <w:ind w:firstLine="480"/>
        <w:rPr>
          <w:sz w:val="24"/>
          <w:szCs w:val="24"/>
        </w:rPr>
      </w:pPr>
      <w:r>
        <w:rPr>
          <w:rFonts w:hint="eastAsia" w:cs="宋体"/>
          <w:sz w:val="24"/>
          <w:szCs w:val="24"/>
        </w:rPr>
        <w:t>（一）所有人身份证明；</w:t>
      </w:r>
    </w:p>
    <w:p>
      <w:pPr>
        <w:pStyle w:val="3"/>
        <w:topLinePunct/>
        <w:spacing w:line="412" w:lineRule="exact"/>
        <w:ind w:firstLine="480"/>
        <w:rPr>
          <w:sz w:val="24"/>
          <w:szCs w:val="24"/>
        </w:rPr>
      </w:pPr>
      <w:r>
        <w:rPr>
          <w:rFonts w:hint="eastAsia" w:cs="宋体"/>
          <w:sz w:val="24"/>
          <w:szCs w:val="24"/>
        </w:rPr>
        <w:t>（二）拖拉机、联合收割机来历证明；</w:t>
      </w:r>
    </w:p>
    <w:p>
      <w:pPr>
        <w:pStyle w:val="3"/>
        <w:topLinePunct/>
        <w:spacing w:line="412" w:lineRule="exact"/>
        <w:ind w:firstLine="480"/>
        <w:rPr>
          <w:sz w:val="24"/>
          <w:szCs w:val="24"/>
        </w:rPr>
      </w:pPr>
      <w:r>
        <w:rPr>
          <w:rFonts w:hint="eastAsia" w:cs="宋体"/>
          <w:sz w:val="24"/>
          <w:szCs w:val="24"/>
        </w:rPr>
        <w:t>（三）出厂合格证明或进口凭证；</w:t>
      </w:r>
    </w:p>
    <w:p>
      <w:pPr>
        <w:pStyle w:val="3"/>
        <w:topLinePunct/>
        <w:spacing w:line="412" w:lineRule="exact"/>
        <w:ind w:firstLine="480"/>
        <w:rPr>
          <w:sz w:val="24"/>
          <w:szCs w:val="24"/>
        </w:rPr>
      </w:pPr>
      <w:r>
        <w:rPr>
          <w:rFonts w:hint="eastAsia" w:cs="宋体"/>
          <w:sz w:val="24"/>
          <w:szCs w:val="24"/>
        </w:rPr>
        <w:t>（四）拖拉机运输机组交通事故责任强制保险凭证；</w:t>
      </w:r>
    </w:p>
    <w:p>
      <w:pPr>
        <w:pStyle w:val="3"/>
        <w:topLinePunct/>
        <w:spacing w:line="412" w:lineRule="exact"/>
        <w:ind w:firstLine="480"/>
        <w:rPr>
          <w:sz w:val="24"/>
          <w:szCs w:val="24"/>
        </w:rPr>
      </w:pPr>
      <w:r>
        <w:rPr>
          <w:rFonts w:hint="eastAsia" w:cs="宋体"/>
          <w:sz w:val="24"/>
          <w:szCs w:val="24"/>
        </w:rPr>
        <w:t>（五）安全技术检验合格证明（免检产品除外）。</w:t>
      </w:r>
    </w:p>
    <w:p>
      <w:pPr>
        <w:pStyle w:val="3"/>
        <w:topLinePunct/>
        <w:spacing w:line="412" w:lineRule="exact"/>
        <w:ind w:firstLine="480"/>
        <w:rPr>
          <w:spacing w:val="-4"/>
          <w:sz w:val="24"/>
          <w:szCs w:val="24"/>
        </w:rPr>
      </w:pPr>
      <w:r>
        <w:rPr>
          <w:rFonts w:hint="eastAsia" w:cs="宋体"/>
          <w:sz w:val="24"/>
          <w:szCs w:val="24"/>
        </w:rPr>
        <w:t>农机监</w:t>
      </w:r>
      <w:r>
        <w:rPr>
          <w:rFonts w:hint="eastAsia" w:cs="宋体"/>
          <w:spacing w:val="-4"/>
          <w:sz w:val="24"/>
          <w:szCs w:val="24"/>
        </w:rPr>
        <w:t>理机构应当自受理之日起</w:t>
      </w:r>
      <w:r>
        <w:rPr>
          <w:spacing w:val="-4"/>
          <w:sz w:val="24"/>
          <w:szCs w:val="24"/>
        </w:rPr>
        <w:t>2</w:t>
      </w:r>
      <w:r>
        <w:rPr>
          <w:rFonts w:hint="eastAsia" w:cs="宋体"/>
          <w:spacing w:val="-4"/>
          <w:sz w:val="24"/>
          <w:szCs w:val="24"/>
        </w:rPr>
        <w:t>个工作日内，确认拖拉机、联合收割机的类型、品牌、型号名称、机身颜色、发动机号码、底盘号／机架号、挂车架号码，核对发动机号码和拖拉机、联合收割机底盘号／机架号、挂车架号码的拓印膜，审查提交的证明、凭证；对符合条件的，核发登记证书、号牌、行驶证和检验合格标志。登记证书由所有人自愿申领。</w:t>
      </w:r>
    </w:p>
    <w:p>
      <w:pPr>
        <w:pStyle w:val="3"/>
        <w:topLinePunct/>
        <w:spacing w:line="412" w:lineRule="exact"/>
        <w:ind w:firstLine="482"/>
        <w:rPr>
          <w:sz w:val="24"/>
          <w:szCs w:val="24"/>
        </w:rPr>
      </w:pPr>
      <w:r>
        <w:rPr>
          <w:rFonts w:hint="eastAsia" w:cs="宋体"/>
          <w:b/>
          <w:bCs/>
          <w:sz w:val="24"/>
          <w:szCs w:val="24"/>
        </w:rPr>
        <w:t>第九条</w:t>
      </w:r>
      <w:r>
        <w:rPr>
          <w:sz w:val="24"/>
          <w:szCs w:val="24"/>
        </w:rPr>
        <w:t xml:space="preserve">  </w:t>
      </w:r>
      <w:r>
        <w:rPr>
          <w:rFonts w:hint="eastAsia" w:cs="宋体"/>
          <w:sz w:val="24"/>
          <w:szCs w:val="24"/>
        </w:rPr>
        <w:t>办理注册登记，应当登记下列内容：</w:t>
      </w:r>
    </w:p>
    <w:p>
      <w:pPr>
        <w:pStyle w:val="3"/>
        <w:topLinePunct/>
        <w:spacing w:line="412" w:lineRule="exact"/>
        <w:ind w:firstLine="480"/>
        <w:rPr>
          <w:sz w:val="24"/>
          <w:szCs w:val="24"/>
        </w:rPr>
      </w:pPr>
      <w:r>
        <w:rPr>
          <w:rFonts w:hint="eastAsia" w:cs="宋体"/>
          <w:sz w:val="24"/>
          <w:szCs w:val="24"/>
        </w:rPr>
        <w:t>（一）拖拉机、联合收割机号牌号码、登记证书编号；</w:t>
      </w:r>
    </w:p>
    <w:p>
      <w:pPr>
        <w:pStyle w:val="3"/>
        <w:topLinePunct/>
        <w:spacing w:line="412" w:lineRule="exact"/>
        <w:ind w:firstLine="480"/>
        <w:rPr>
          <w:sz w:val="24"/>
          <w:szCs w:val="24"/>
        </w:rPr>
      </w:pPr>
      <w:r>
        <w:rPr>
          <w:rFonts w:hint="eastAsia" w:cs="宋体"/>
          <w:sz w:val="24"/>
          <w:szCs w:val="24"/>
        </w:rPr>
        <w:t>（二）所有人的姓名或者单位名称、身份证明名称与号码、住址、联系电话和邮政编码；</w:t>
      </w:r>
    </w:p>
    <w:p>
      <w:pPr>
        <w:pStyle w:val="3"/>
        <w:topLinePunct/>
        <w:spacing w:line="412" w:lineRule="exact"/>
        <w:ind w:firstLine="480"/>
        <w:rPr>
          <w:sz w:val="24"/>
          <w:szCs w:val="24"/>
        </w:rPr>
      </w:pPr>
      <w:r>
        <w:rPr>
          <w:rFonts w:hint="eastAsia" w:cs="宋体"/>
          <w:sz w:val="24"/>
          <w:szCs w:val="24"/>
        </w:rPr>
        <w:t>（三）拖拉机、联合收割机的类型、生产企业名称、品牌、型号名称、发动机号码、底盘号／机架号、挂车架号码、生产日期、机身颜色；</w:t>
      </w:r>
    </w:p>
    <w:p>
      <w:pPr>
        <w:pStyle w:val="3"/>
        <w:topLinePunct/>
        <w:spacing w:line="412" w:lineRule="exact"/>
        <w:ind w:firstLine="480"/>
        <w:rPr>
          <w:sz w:val="24"/>
          <w:szCs w:val="24"/>
        </w:rPr>
      </w:pPr>
      <w:r>
        <w:rPr>
          <w:rFonts w:hint="eastAsia" w:cs="宋体"/>
          <w:sz w:val="24"/>
          <w:szCs w:val="24"/>
        </w:rPr>
        <w:t>（四）拖拉机、联合收割机的有关技术数据；</w:t>
      </w:r>
    </w:p>
    <w:p>
      <w:pPr>
        <w:pStyle w:val="3"/>
        <w:topLinePunct/>
        <w:spacing w:line="412" w:lineRule="exact"/>
        <w:ind w:firstLine="480"/>
        <w:rPr>
          <w:sz w:val="24"/>
          <w:szCs w:val="24"/>
        </w:rPr>
      </w:pPr>
      <w:r>
        <w:rPr>
          <w:rFonts w:hint="eastAsia" w:cs="宋体"/>
          <w:sz w:val="24"/>
          <w:szCs w:val="24"/>
        </w:rPr>
        <w:t>（五）拖拉机、联合收割机的获得方式；</w:t>
      </w:r>
    </w:p>
    <w:p>
      <w:pPr>
        <w:pStyle w:val="3"/>
        <w:topLinePunct/>
        <w:spacing w:line="412" w:lineRule="exact"/>
        <w:ind w:firstLine="480"/>
        <w:rPr>
          <w:sz w:val="24"/>
          <w:szCs w:val="24"/>
        </w:rPr>
      </w:pPr>
      <w:r>
        <w:rPr>
          <w:rFonts w:hint="eastAsia" w:cs="宋体"/>
          <w:sz w:val="24"/>
          <w:szCs w:val="24"/>
        </w:rPr>
        <w:t>（六）拖拉机、联合收割机来历证明的名称、编号；</w:t>
      </w:r>
    </w:p>
    <w:p>
      <w:pPr>
        <w:pStyle w:val="3"/>
        <w:topLinePunct/>
        <w:spacing w:line="412" w:lineRule="exact"/>
        <w:ind w:firstLine="480"/>
        <w:rPr>
          <w:sz w:val="24"/>
          <w:szCs w:val="24"/>
        </w:rPr>
      </w:pPr>
      <w:r>
        <w:rPr>
          <w:rFonts w:hint="eastAsia" w:cs="宋体"/>
          <w:sz w:val="24"/>
          <w:szCs w:val="24"/>
        </w:rPr>
        <w:t>（七）拖拉机运输机组交通事故责任强制保险的日期和保险公司的名称；</w:t>
      </w:r>
    </w:p>
    <w:p>
      <w:pPr>
        <w:pStyle w:val="3"/>
        <w:topLinePunct/>
        <w:spacing w:line="412" w:lineRule="exact"/>
        <w:ind w:firstLine="480"/>
        <w:rPr>
          <w:sz w:val="24"/>
          <w:szCs w:val="24"/>
        </w:rPr>
      </w:pPr>
      <w:r>
        <w:rPr>
          <w:rFonts w:hint="eastAsia" w:cs="宋体"/>
          <w:sz w:val="24"/>
          <w:szCs w:val="24"/>
        </w:rPr>
        <w:t>（八）注册登记的日期；</w:t>
      </w:r>
    </w:p>
    <w:p>
      <w:pPr>
        <w:pStyle w:val="3"/>
        <w:topLinePunct/>
        <w:spacing w:line="412" w:lineRule="exact"/>
        <w:ind w:firstLine="480"/>
        <w:rPr>
          <w:sz w:val="24"/>
          <w:szCs w:val="24"/>
        </w:rPr>
      </w:pPr>
      <w:r>
        <w:rPr>
          <w:rFonts w:hint="eastAsia" w:cs="宋体"/>
          <w:sz w:val="24"/>
          <w:szCs w:val="24"/>
        </w:rPr>
        <w:t>（九）法律、行政法规规定登记的其他事项。</w:t>
      </w:r>
    </w:p>
    <w:p>
      <w:pPr>
        <w:pStyle w:val="3"/>
        <w:topLinePunct/>
        <w:spacing w:line="412" w:lineRule="exact"/>
        <w:ind w:firstLine="480"/>
        <w:rPr>
          <w:sz w:val="24"/>
          <w:szCs w:val="24"/>
        </w:rPr>
      </w:pPr>
      <w:r>
        <w:rPr>
          <w:rFonts w:hint="eastAsia" w:cs="宋体"/>
          <w:sz w:val="24"/>
          <w:szCs w:val="24"/>
        </w:rPr>
        <w:t>拖拉机、联合收割机登记后，对其来历证明、出厂合格证明应当签注已登记标志，收存来历证明、出厂合格证明原件和身份证明复印件。</w:t>
      </w:r>
    </w:p>
    <w:p>
      <w:pPr>
        <w:pStyle w:val="3"/>
        <w:topLinePunct/>
        <w:spacing w:line="412" w:lineRule="exact"/>
        <w:ind w:firstLine="482"/>
        <w:rPr>
          <w:sz w:val="24"/>
          <w:szCs w:val="24"/>
        </w:rPr>
      </w:pPr>
      <w:r>
        <w:rPr>
          <w:rFonts w:hint="eastAsia" w:cs="宋体"/>
          <w:b/>
          <w:bCs/>
          <w:sz w:val="24"/>
          <w:szCs w:val="24"/>
        </w:rPr>
        <w:t>第十条</w:t>
      </w:r>
      <w:r>
        <w:rPr>
          <w:sz w:val="24"/>
          <w:szCs w:val="24"/>
        </w:rPr>
        <w:t xml:space="preserve">  </w:t>
      </w:r>
      <w:r>
        <w:rPr>
          <w:rFonts w:hint="eastAsia" w:cs="宋体"/>
          <w:sz w:val="24"/>
          <w:szCs w:val="24"/>
        </w:rPr>
        <w:t>有下列情形之一的，不予办理注册登记：</w:t>
      </w:r>
    </w:p>
    <w:p>
      <w:pPr>
        <w:pStyle w:val="3"/>
        <w:topLinePunct/>
        <w:spacing w:line="412" w:lineRule="exact"/>
        <w:ind w:firstLine="480"/>
        <w:rPr>
          <w:sz w:val="24"/>
          <w:szCs w:val="24"/>
        </w:rPr>
      </w:pPr>
      <w:r>
        <w:rPr>
          <w:rFonts w:hint="eastAsia" w:cs="宋体"/>
          <w:sz w:val="24"/>
          <w:szCs w:val="24"/>
        </w:rPr>
        <w:t>（一）所有人提交的证明、凭证无效；</w:t>
      </w:r>
    </w:p>
    <w:p>
      <w:pPr>
        <w:pStyle w:val="3"/>
        <w:topLinePunct/>
        <w:spacing w:line="412" w:lineRule="exact"/>
        <w:ind w:firstLine="480"/>
        <w:rPr>
          <w:sz w:val="24"/>
          <w:szCs w:val="24"/>
        </w:rPr>
      </w:pPr>
      <w:r>
        <w:rPr>
          <w:rFonts w:hint="eastAsia" w:cs="宋体"/>
          <w:sz w:val="24"/>
          <w:szCs w:val="24"/>
        </w:rPr>
        <w:t>（二）来历证明被涂改，或者来历证明记载的所有人与身份证明不符；</w:t>
      </w:r>
    </w:p>
    <w:p>
      <w:pPr>
        <w:pStyle w:val="3"/>
        <w:topLinePunct/>
        <w:spacing w:line="412" w:lineRule="exact"/>
        <w:ind w:firstLine="480"/>
        <w:rPr>
          <w:sz w:val="24"/>
          <w:szCs w:val="24"/>
        </w:rPr>
      </w:pPr>
      <w:r>
        <w:rPr>
          <w:rFonts w:hint="eastAsia" w:cs="宋体"/>
          <w:sz w:val="24"/>
          <w:szCs w:val="24"/>
        </w:rPr>
        <w:t>（三）所有人提交的证明、凭证与拖拉机、联合收割机不符；</w:t>
      </w:r>
    </w:p>
    <w:p>
      <w:pPr>
        <w:pStyle w:val="3"/>
        <w:topLinePunct/>
        <w:spacing w:line="412" w:lineRule="exact"/>
        <w:ind w:firstLine="480"/>
        <w:rPr>
          <w:sz w:val="24"/>
          <w:szCs w:val="24"/>
        </w:rPr>
      </w:pPr>
      <w:r>
        <w:rPr>
          <w:rFonts w:hint="eastAsia" w:cs="宋体"/>
          <w:sz w:val="24"/>
          <w:szCs w:val="24"/>
        </w:rPr>
        <w:t>（四）拖拉机、联合收割机不符合国家安全技术强制标准；</w:t>
      </w:r>
    </w:p>
    <w:p>
      <w:pPr>
        <w:pStyle w:val="3"/>
        <w:topLinePunct/>
        <w:spacing w:line="412" w:lineRule="exact"/>
        <w:ind w:firstLine="480"/>
        <w:rPr>
          <w:sz w:val="24"/>
          <w:szCs w:val="24"/>
        </w:rPr>
      </w:pPr>
      <w:r>
        <w:rPr>
          <w:rFonts w:hint="eastAsia" w:cs="宋体"/>
          <w:sz w:val="24"/>
          <w:szCs w:val="24"/>
        </w:rPr>
        <w:t>（五）拖拉机、联合收割机达到国家规定的强制报废标准；</w:t>
      </w:r>
    </w:p>
    <w:p>
      <w:pPr>
        <w:pStyle w:val="3"/>
        <w:topLinePunct/>
        <w:spacing w:line="412" w:lineRule="exact"/>
        <w:ind w:firstLine="480"/>
        <w:rPr>
          <w:sz w:val="24"/>
          <w:szCs w:val="24"/>
        </w:rPr>
      </w:pPr>
      <w:r>
        <w:rPr>
          <w:rFonts w:hint="eastAsia" w:cs="宋体"/>
          <w:sz w:val="24"/>
          <w:szCs w:val="24"/>
        </w:rPr>
        <w:t>（六）属于被盗抢、扣押、查封的拖拉机和联合收割机；</w:t>
      </w:r>
    </w:p>
    <w:p>
      <w:pPr>
        <w:pStyle w:val="3"/>
        <w:topLinePunct/>
        <w:spacing w:line="412" w:lineRule="exact"/>
        <w:ind w:firstLine="480"/>
        <w:rPr>
          <w:sz w:val="24"/>
          <w:szCs w:val="24"/>
        </w:rPr>
      </w:pPr>
      <w:r>
        <w:rPr>
          <w:rFonts w:hint="eastAsia" w:cs="宋体"/>
          <w:sz w:val="24"/>
          <w:szCs w:val="24"/>
        </w:rPr>
        <w:t>（七）其他不符合法律、行政法规规定的情形。</w:t>
      </w:r>
    </w:p>
    <w:p>
      <w:pPr>
        <w:pStyle w:val="63"/>
        <w:spacing w:before="218" w:after="218" w:line="412" w:lineRule="exact"/>
      </w:pPr>
      <w:r>
        <w:rPr>
          <w:rFonts w:hint="eastAsia"/>
        </w:rPr>
        <w:t>第三章</w:t>
      </w:r>
      <w:r>
        <w:t xml:space="preserve">  </w:t>
      </w:r>
      <w:r>
        <w:rPr>
          <w:rFonts w:hint="eastAsia"/>
        </w:rPr>
        <w:t>变更登记</w:t>
      </w:r>
    </w:p>
    <w:p>
      <w:pPr>
        <w:pStyle w:val="3"/>
        <w:topLinePunct/>
        <w:spacing w:line="412" w:lineRule="exact"/>
        <w:ind w:firstLine="482"/>
        <w:rPr>
          <w:sz w:val="24"/>
          <w:szCs w:val="24"/>
        </w:rPr>
      </w:pPr>
      <w:r>
        <w:rPr>
          <w:rFonts w:hint="eastAsia" w:cs="宋体"/>
          <w:b/>
          <w:bCs/>
          <w:sz w:val="24"/>
          <w:szCs w:val="24"/>
        </w:rPr>
        <w:t>第十一条</w:t>
      </w:r>
      <w:r>
        <w:rPr>
          <w:sz w:val="24"/>
          <w:szCs w:val="24"/>
        </w:rPr>
        <w:t xml:space="preserve">  </w:t>
      </w:r>
      <w:r>
        <w:rPr>
          <w:rFonts w:hint="eastAsia" w:cs="宋体"/>
          <w:sz w:val="24"/>
          <w:szCs w:val="24"/>
        </w:rPr>
        <w:t>有下列情形之一的，所有人应当向登记地农机监理机构申请变更登记：</w:t>
      </w:r>
    </w:p>
    <w:p>
      <w:pPr>
        <w:pStyle w:val="3"/>
        <w:topLinePunct/>
        <w:spacing w:line="412" w:lineRule="exact"/>
        <w:ind w:firstLine="480"/>
        <w:rPr>
          <w:sz w:val="24"/>
          <w:szCs w:val="24"/>
        </w:rPr>
      </w:pPr>
      <w:r>
        <w:rPr>
          <w:rFonts w:hint="eastAsia" w:cs="宋体"/>
          <w:sz w:val="24"/>
          <w:szCs w:val="24"/>
        </w:rPr>
        <w:t>（一）改变机身颜色、更换机身（底盘）或者挂车的；</w:t>
      </w:r>
    </w:p>
    <w:p>
      <w:pPr>
        <w:pStyle w:val="3"/>
        <w:topLinePunct/>
        <w:spacing w:line="412" w:lineRule="exact"/>
        <w:ind w:firstLine="480"/>
        <w:rPr>
          <w:sz w:val="24"/>
          <w:szCs w:val="24"/>
        </w:rPr>
      </w:pPr>
      <w:r>
        <w:rPr>
          <w:rFonts w:hint="eastAsia" w:cs="宋体"/>
          <w:sz w:val="24"/>
          <w:szCs w:val="24"/>
        </w:rPr>
        <w:t>（二）更换发动机的；</w:t>
      </w:r>
    </w:p>
    <w:p>
      <w:pPr>
        <w:pStyle w:val="3"/>
        <w:topLinePunct/>
        <w:spacing w:line="412" w:lineRule="exact"/>
        <w:ind w:firstLine="480"/>
        <w:rPr>
          <w:sz w:val="24"/>
          <w:szCs w:val="24"/>
        </w:rPr>
      </w:pPr>
      <w:r>
        <w:rPr>
          <w:rFonts w:hint="eastAsia" w:cs="宋体"/>
          <w:sz w:val="24"/>
          <w:szCs w:val="24"/>
        </w:rPr>
        <w:t>（三）因质量有问题，更换整机的；</w:t>
      </w:r>
    </w:p>
    <w:p>
      <w:pPr>
        <w:pStyle w:val="3"/>
        <w:topLinePunct/>
        <w:spacing w:line="412" w:lineRule="exact"/>
        <w:ind w:firstLine="480"/>
        <w:rPr>
          <w:sz w:val="24"/>
          <w:szCs w:val="24"/>
        </w:rPr>
      </w:pPr>
      <w:r>
        <w:rPr>
          <w:rFonts w:hint="eastAsia" w:cs="宋体"/>
          <w:sz w:val="24"/>
          <w:szCs w:val="24"/>
        </w:rPr>
        <w:t>（四）所有人居住地在本行政区域内迁移、所有人姓名（单位名称）变更的。</w:t>
      </w:r>
    </w:p>
    <w:p>
      <w:pPr>
        <w:pStyle w:val="3"/>
        <w:topLinePunct/>
        <w:spacing w:line="412" w:lineRule="exact"/>
        <w:ind w:firstLine="482"/>
        <w:rPr>
          <w:sz w:val="24"/>
          <w:szCs w:val="24"/>
        </w:rPr>
      </w:pPr>
      <w:r>
        <w:rPr>
          <w:rFonts w:hint="eastAsia" w:cs="宋体"/>
          <w:b/>
          <w:bCs/>
          <w:sz w:val="24"/>
          <w:szCs w:val="24"/>
        </w:rPr>
        <w:t>第十二条</w:t>
      </w:r>
      <w:r>
        <w:rPr>
          <w:sz w:val="24"/>
          <w:szCs w:val="24"/>
        </w:rPr>
        <w:t xml:space="preserve">  </w:t>
      </w:r>
      <w:r>
        <w:rPr>
          <w:rFonts w:hint="eastAsia" w:cs="宋体"/>
          <w:sz w:val="24"/>
          <w:szCs w:val="24"/>
        </w:rPr>
        <w:t>申请变更登记的，应当填写申请表，提交下列材料；</w:t>
      </w:r>
    </w:p>
    <w:p>
      <w:pPr>
        <w:pStyle w:val="3"/>
        <w:topLinePunct/>
        <w:spacing w:line="412" w:lineRule="exact"/>
        <w:ind w:firstLine="480"/>
        <w:rPr>
          <w:sz w:val="24"/>
          <w:szCs w:val="24"/>
        </w:rPr>
      </w:pPr>
      <w:r>
        <w:rPr>
          <w:rFonts w:hint="eastAsia" w:cs="宋体"/>
          <w:sz w:val="24"/>
          <w:szCs w:val="24"/>
        </w:rPr>
        <w:t>（一）所有人身份证明；</w:t>
      </w:r>
    </w:p>
    <w:p>
      <w:pPr>
        <w:pStyle w:val="3"/>
        <w:topLinePunct/>
        <w:spacing w:line="412" w:lineRule="exact"/>
        <w:ind w:firstLine="480"/>
        <w:rPr>
          <w:sz w:val="24"/>
          <w:szCs w:val="24"/>
        </w:rPr>
      </w:pPr>
      <w:r>
        <w:rPr>
          <w:rFonts w:hint="eastAsia" w:cs="宋体"/>
          <w:sz w:val="24"/>
          <w:szCs w:val="24"/>
        </w:rPr>
        <w:t>（二）行驶证；</w:t>
      </w:r>
    </w:p>
    <w:p>
      <w:pPr>
        <w:pStyle w:val="3"/>
        <w:topLinePunct/>
        <w:spacing w:line="412" w:lineRule="exact"/>
        <w:ind w:firstLine="480"/>
        <w:rPr>
          <w:sz w:val="24"/>
          <w:szCs w:val="24"/>
        </w:rPr>
      </w:pPr>
      <w:r>
        <w:rPr>
          <w:rFonts w:hint="eastAsia" w:cs="宋体"/>
          <w:sz w:val="24"/>
          <w:szCs w:val="24"/>
        </w:rPr>
        <w:t>（三）更换整机、发动机、机身（底盘）或挂车需要提供法定证明、凭证；</w:t>
      </w:r>
    </w:p>
    <w:p>
      <w:pPr>
        <w:pStyle w:val="3"/>
        <w:topLinePunct/>
        <w:spacing w:line="412" w:lineRule="exact"/>
        <w:ind w:firstLine="480"/>
        <w:rPr>
          <w:sz w:val="24"/>
          <w:szCs w:val="24"/>
        </w:rPr>
      </w:pPr>
      <w:r>
        <w:rPr>
          <w:rFonts w:hint="eastAsia" w:cs="宋体"/>
          <w:sz w:val="24"/>
          <w:szCs w:val="24"/>
        </w:rPr>
        <w:t>（四）安全技术检验合格证明。</w:t>
      </w:r>
    </w:p>
    <w:p>
      <w:pPr>
        <w:pStyle w:val="3"/>
        <w:topLinePunct/>
        <w:spacing w:line="412" w:lineRule="exact"/>
        <w:ind w:firstLine="480"/>
        <w:rPr>
          <w:sz w:val="24"/>
          <w:szCs w:val="24"/>
        </w:rPr>
      </w:pPr>
      <w:r>
        <w:rPr>
          <w:rFonts w:hint="eastAsia" w:cs="宋体"/>
          <w:sz w:val="24"/>
          <w:szCs w:val="24"/>
        </w:rPr>
        <w:t>农机监理机构应当自受理之日起</w:t>
      </w:r>
      <w:r>
        <w:rPr>
          <w:sz w:val="24"/>
          <w:szCs w:val="24"/>
        </w:rPr>
        <w:t>2</w:t>
      </w:r>
      <w:r>
        <w:rPr>
          <w:rFonts w:hint="eastAsia" w:cs="宋体"/>
          <w:sz w:val="24"/>
          <w:szCs w:val="24"/>
        </w:rPr>
        <w:t>个工作日内查验相关证明，准予变更的，收回原行驶证，重新核发行驶证。</w:t>
      </w:r>
    </w:p>
    <w:p>
      <w:pPr>
        <w:pStyle w:val="3"/>
        <w:topLinePunct/>
        <w:spacing w:line="412" w:lineRule="exact"/>
        <w:ind w:firstLine="482"/>
        <w:rPr>
          <w:sz w:val="24"/>
          <w:szCs w:val="24"/>
        </w:rPr>
      </w:pPr>
      <w:r>
        <w:rPr>
          <w:rFonts w:hint="eastAsia" w:cs="宋体"/>
          <w:b/>
          <w:bCs/>
          <w:sz w:val="24"/>
          <w:szCs w:val="24"/>
        </w:rPr>
        <w:t>第十三条</w:t>
      </w:r>
      <w:r>
        <w:rPr>
          <w:sz w:val="24"/>
          <w:szCs w:val="24"/>
        </w:rPr>
        <w:t xml:space="preserve">  </w:t>
      </w:r>
      <w:r>
        <w:rPr>
          <w:rFonts w:hint="eastAsia" w:cs="宋体"/>
          <w:sz w:val="24"/>
          <w:szCs w:val="24"/>
        </w:rPr>
        <w:t>拖拉机、联合收割机所有人居住地迁出农机监理机构管辖区域的，应当向登记地农机监理机构申请变更登记，提交行驶证和身份证明。</w:t>
      </w:r>
    </w:p>
    <w:p>
      <w:pPr>
        <w:pStyle w:val="3"/>
        <w:topLinePunct/>
        <w:spacing w:line="412" w:lineRule="exact"/>
        <w:ind w:firstLine="480"/>
        <w:rPr>
          <w:sz w:val="24"/>
          <w:szCs w:val="24"/>
        </w:rPr>
      </w:pPr>
      <w:r>
        <w:rPr>
          <w:rFonts w:hint="eastAsia" w:cs="宋体"/>
          <w:sz w:val="24"/>
          <w:szCs w:val="24"/>
        </w:rPr>
        <w:t>农机监理机构应当自受理之日起</w:t>
      </w:r>
      <w:r>
        <w:rPr>
          <w:sz w:val="24"/>
          <w:szCs w:val="24"/>
        </w:rPr>
        <w:t>2</w:t>
      </w:r>
      <w:r>
        <w:rPr>
          <w:rFonts w:hint="eastAsia" w:cs="宋体"/>
          <w:sz w:val="24"/>
          <w:szCs w:val="24"/>
        </w:rPr>
        <w:t>个工作日内核发临时行驶号牌，收回原号牌、行驶证，将档案密封交所有人。</w:t>
      </w:r>
    </w:p>
    <w:p>
      <w:pPr>
        <w:pStyle w:val="3"/>
        <w:topLinePunct/>
        <w:spacing w:line="412" w:lineRule="exact"/>
        <w:ind w:firstLine="480"/>
        <w:rPr>
          <w:sz w:val="24"/>
          <w:szCs w:val="24"/>
        </w:rPr>
      </w:pPr>
      <w:r>
        <w:rPr>
          <w:rFonts w:hint="eastAsia" w:cs="宋体"/>
          <w:sz w:val="24"/>
          <w:szCs w:val="24"/>
        </w:rPr>
        <w:t>所有人应当于</w:t>
      </w:r>
      <w:r>
        <w:rPr>
          <w:sz w:val="24"/>
          <w:szCs w:val="24"/>
        </w:rPr>
        <w:t>3</w:t>
      </w:r>
      <w:r>
        <w:rPr>
          <w:rFonts w:hint="eastAsia" w:cs="宋体"/>
          <w:sz w:val="24"/>
          <w:szCs w:val="24"/>
        </w:rPr>
        <w:t>个月内到迁入地农机监理机构申请转入，提交身份证明、登记证书和档案，交验拖拉机、联合收割机。</w:t>
      </w:r>
    </w:p>
    <w:p>
      <w:pPr>
        <w:pStyle w:val="3"/>
        <w:topLinePunct/>
        <w:spacing w:line="412" w:lineRule="exact"/>
        <w:ind w:firstLine="480"/>
        <w:rPr>
          <w:sz w:val="24"/>
          <w:szCs w:val="24"/>
        </w:rPr>
      </w:pPr>
      <w:r>
        <w:rPr>
          <w:rFonts w:hint="eastAsia" w:cs="宋体"/>
          <w:sz w:val="24"/>
          <w:szCs w:val="24"/>
        </w:rPr>
        <w:t>迁入地农机监理机构应当自受理之日起</w:t>
      </w:r>
      <w:r>
        <w:rPr>
          <w:sz w:val="24"/>
          <w:szCs w:val="24"/>
        </w:rPr>
        <w:t>2</w:t>
      </w:r>
      <w:r>
        <w:rPr>
          <w:rFonts w:hint="eastAsia" w:cs="宋体"/>
          <w:sz w:val="24"/>
          <w:szCs w:val="24"/>
        </w:rPr>
        <w:t>个工作日内，查验拖拉机、联合收割机，收存档案，核发号牌、行驶证。</w:t>
      </w:r>
    </w:p>
    <w:p>
      <w:pPr>
        <w:pStyle w:val="3"/>
        <w:topLinePunct/>
        <w:spacing w:line="412" w:lineRule="exact"/>
        <w:ind w:firstLine="482"/>
        <w:rPr>
          <w:sz w:val="24"/>
          <w:szCs w:val="24"/>
        </w:rPr>
      </w:pPr>
      <w:r>
        <w:rPr>
          <w:rFonts w:hint="eastAsia" w:cs="宋体"/>
          <w:b/>
          <w:bCs/>
          <w:sz w:val="24"/>
          <w:szCs w:val="24"/>
        </w:rPr>
        <w:t>第十四条</w:t>
      </w:r>
      <w:r>
        <w:rPr>
          <w:sz w:val="24"/>
          <w:szCs w:val="24"/>
        </w:rPr>
        <w:t xml:space="preserve">  </w:t>
      </w:r>
      <w:r>
        <w:rPr>
          <w:rFonts w:hint="eastAsia" w:cs="宋体"/>
          <w:sz w:val="24"/>
          <w:szCs w:val="24"/>
        </w:rPr>
        <w:t>办理变更登记，应当分别登记下列内容：</w:t>
      </w:r>
    </w:p>
    <w:p>
      <w:pPr>
        <w:pStyle w:val="3"/>
        <w:topLinePunct/>
        <w:spacing w:line="412" w:lineRule="exact"/>
        <w:ind w:firstLine="480"/>
        <w:rPr>
          <w:sz w:val="24"/>
          <w:szCs w:val="24"/>
        </w:rPr>
      </w:pPr>
      <w:r>
        <w:rPr>
          <w:rFonts w:hint="eastAsia" w:cs="宋体"/>
          <w:sz w:val="24"/>
          <w:szCs w:val="24"/>
        </w:rPr>
        <w:t>（一）变更后的机身颜色；</w:t>
      </w:r>
    </w:p>
    <w:p>
      <w:pPr>
        <w:pStyle w:val="3"/>
        <w:topLinePunct/>
        <w:spacing w:line="412" w:lineRule="exact"/>
        <w:ind w:firstLine="480"/>
        <w:rPr>
          <w:sz w:val="24"/>
          <w:szCs w:val="24"/>
        </w:rPr>
      </w:pPr>
      <w:r>
        <w:rPr>
          <w:rFonts w:hint="eastAsia" w:cs="宋体"/>
          <w:sz w:val="24"/>
          <w:szCs w:val="24"/>
        </w:rPr>
        <w:t>（二）变更后的发动机号码；</w:t>
      </w:r>
    </w:p>
    <w:p>
      <w:pPr>
        <w:pStyle w:val="3"/>
        <w:topLinePunct/>
        <w:spacing w:line="412" w:lineRule="exact"/>
        <w:ind w:firstLine="480"/>
        <w:rPr>
          <w:sz w:val="24"/>
          <w:szCs w:val="24"/>
        </w:rPr>
      </w:pPr>
      <w:r>
        <w:rPr>
          <w:rFonts w:hint="eastAsia" w:cs="宋体"/>
          <w:sz w:val="24"/>
          <w:szCs w:val="24"/>
        </w:rPr>
        <w:t>（三）变更后的底盘号／机架号、挂车架号码；</w:t>
      </w:r>
    </w:p>
    <w:p>
      <w:pPr>
        <w:pStyle w:val="3"/>
        <w:topLinePunct/>
        <w:spacing w:line="412" w:lineRule="exact"/>
        <w:ind w:firstLine="480"/>
        <w:rPr>
          <w:sz w:val="24"/>
          <w:szCs w:val="24"/>
        </w:rPr>
      </w:pPr>
      <w:r>
        <w:rPr>
          <w:rFonts w:hint="eastAsia" w:cs="宋体"/>
          <w:sz w:val="24"/>
          <w:szCs w:val="24"/>
        </w:rPr>
        <w:t>（四）发动机、机身（底盘）或者挂车来历证明的名称、编号；</w:t>
      </w:r>
    </w:p>
    <w:p>
      <w:pPr>
        <w:pStyle w:val="3"/>
        <w:topLinePunct/>
        <w:spacing w:line="412" w:lineRule="exact"/>
        <w:ind w:firstLine="480"/>
        <w:rPr>
          <w:sz w:val="24"/>
          <w:szCs w:val="24"/>
        </w:rPr>
      </w:pPr>
      <w:r>
        <w:rPr>
          <w:rFonts w:hint="eastAsia" w:cs="宋体"/>
          <w:sz w:val="24"/>
          <w:szCs w:val="24"/>
        </w:rPr>
        <w:t>（五）发动机、机身（底盘）或者挂车出厂合格证明或者进口凭证编号、生产日期、注册登记日期；</w:t>
      </w:r>
    </w:p>
    <w:p>
      <w:pPr>
        <w:pStyle w:val="3"/>
        <w:topLinePunct/>
        <w:spacing w:line="412" w:lineRule="exact"/>
        <w:ind w:firstLine="480"/>
        <w:rPr>
          <w:sz w:val="24"/>
          <w:szCs w:val="24"/>
        </w:rPr>
      </w:pPr>
      <w:r>
        <w:rPr>
          <w:rFonts w:hint="eastAsia" w:cs="宋体"/>
          <w:sz w:val="24"/>
          <w:szCs w:val="24"/>
        </w:rPr>
        <w:t>（六）变更后的所有人姓名或者单位名称；</w:t>
      </w:r>
    </w:p>
    <w:p>
      <w:pPr>
        <w:pStyle w:val="3"/>
        <w:topLinePunct/>
        <w:spacing w:line="412" w:lineRule="exact"/>
        <w:ind w:firstLine="480"/>
        <w:rPr>
          <w:sz w:val="24"/>
          <w:szCs w:val="24"/>
        </w:rPr>
      </w:pPr>
      <w:r>
        <w:rPr>
          <w:rFonts w:hint="eastAsia" w:cs="宋体"/>
          <w:sz w:val="24"/>
          <w:szCs w:val="24"/>
        </w:rPr>
        <w:t>（七）需要办理档案转出的，登记转入地农机监理机构的名称；</w:t>
      </w:r>
    </w:p>
    <w:p>
      <w:pPr>
        <w:pStyle w:val="3"/>
        <w:topLinePunct/>
        <w:spacing w:line="412" w:lineRule="exact"/>
        <w:ind w:firstLine="480"/>
        <w:rPr>
          <w:sz w:val="24"/>
          <w:szCs w:val="24"/>
        </w:rPr>
      </w:pPr>
      <w:r>
        <w:rPr>
          <w:rFonts w:hint="eastAsia" w:cs="宋体"/>
          <w:sz w:val="24"/>
          <w:szCs w:val="24"/>
        </w:rPr>
        <w:t>（八）变更登记的日期。</w:t>
      </w:r>
    </w:p>
    <w:p>
      <w:pPr>
        <w:pStyle w:val="63"/>
        <w:spacing w:before="218" w:after="218" w:line="412" w:lineRule="exact"/>
      </w:pPr>
      <w:r>
        <w:rPr>
          <w:rFonts w:hint="eastAsia"/>
        </w:rPr>
        <w:t>第四章</w:t>
      </w:r>
      <w:r>
        <w:t xml:space="preserve">  </w:t>
      </w:r>
      <w:r>
        <w:rPr>
          <w:rFonts w:hint="eastAsia"/>
        </w:rPr>
        <w:t>转移登记</w:t>
      </w:r>
    </w:p>
    <w:p>
      <w:pPr>
        <w:pStyle w:val="3"/>
        <w:topLinePunct/>
        <w:spacing w:line="412" w:lineRule="exact"/>
        <w:ind w:firstLine="482"/>
        <w:rPr>
          <w:sz w:val="24"/>
          <w:szCs w:val="24"/>
        </w:rPr>
      </w:pPr>
      <w:r>
        <w:rPr>
          <w:rFonts w:hint="eastAsia" w:cs="宋体"/>
          <w:b/>
          <w:bCs/>
          <w:sz w:val="24"/>
          <w:szCs w:val="24"/>
        </w:rPr>
        <w:t>第十五条</w:t>
      </w:r>
      <w:r>
        <w:rPr>
          <w:sz w:val="24"/>
          <w:szCs w:val="24"/>
        </w:rPr>
        <w:t xml:space="preserve">  </w:t>
      </w:r>
      <w:r>
        <w:rPr>
          <w:rFonts w:hint="eastAsia" w:cs="宋体"/>
          <w:sz w:val="24"/>
          <w:szCs w:val="24"/>
        </w:rPr>
        <w:t>拖拉机、联合收割机所有权发生转移的，应当向登记地的农机监理机构申请转移登记，填写申请表，交验拖拉机、联合收割机，提交以下材料：</w:t>
      </w:r>
    </w:p>
    <w:p>
      <w:pPr>
        <w:pStyle w:val="3"/>
        <w:topLinePunct/>
        <w:spacing w:line="412" w:lineRule="exact"/>
        <w:ind w:firstLine="480"/>
        <w:rPr>
          <w:sz w:val="24"/>
          <w:szCs w:val="24"/>
        </w:rPr>
      </w:pPr>
      <w:r>
        <w:rPr>
          <w:rFonts w:hint="eastAsia" w:cs="宋体"/>
          <w:sz w:val="24"/>
          <w:szCs w:val="24"/>
        </w:rPr>
        <w:t>（一）所有人身份证明；</w:t>
      </w:r>
    </w:p>
    <w:p>
      <w:pPr>
        <w:pStyle w:val="3"/>
        <w:topLinePunct/>
        <w:spacing w:line="412" w:lineRule="exact"/>
        <w:ind w:firstLine="480"/>
        <w:rPr>
          <w:sz w:val="24"/>
          <w:szCs w:val="24"/>
        </w:rPr>
      </w:pPr>
      <w:r>
        <w:rPr>
          <w:rFonts w:hint="eastAsia" w:cs="宋体"/>
          <w:sz w:val="24"/>
          <w:szCs w:val="24"/>
        </w:rPr>
        <w:t>（二）所有权转移的证明、凭证；</w:t>
      </w:r>
    </w:p>
    <w:p>
      <w:pPr>
        <w:pStyle w:val="3"/>
        <w:topLinePunct/>
        <w:spacing w:line="412" w:lineRule="exact"/>
        <w:ind w:firstLine="480"/>
        <w:rPr>
          <w:sz w:val="24"/>
          <w:szCs w:val="24"/>
        </w:rPr>
      </w:pPr>
      <w:r>
        <w:rPr>
          <w:rFonts w:hint="eastAsia" w:cs="宋体"/>
          <w:sz w:val="24"/>
          <w:szCs w:val="24"/>
        </w:rPr>
        <w:t>（三）行驶证、登记证书。</w:t>
      </w:r>
    </w:p>
    <w:p>
      <w:pPr>
        <w:pStyle w:val="3"/>
        <w:topLinePunct/>
        <w:spacing w:line="412" w:lineRule="exact"/>
        <w:ind w:firstLine="480"/>
        <w:rPr>
          <w:sz w:val="24"/>
          <w:szCs w:val="24"/>
        </w:rPr>
      </w:pPr>
      <w:r>
        <w:rPr>
          <w:rFonts w:hint="eastAsia" w:cs="宋体"/>
          <w:sz w:val="24"/>
          <w:szCs w:val="24"/>
        </w:rPr>
        <w:t>农机监理机构应当自受理之日起</w:t>
      </w:r>
      <w:r>
        <w:rPr>
          <w:sz w:val="24"/>
          <w:szCs w:val="24"/>
        </w:rPr>
        <w:t>2</w:t>
      </w:r>
      <w:r>
        <w:rPr>
          <w:rFonts w:hint="eastAsia" w:cs="宋体"/>
          <w:sz w:val="24"/>
          <w:szCs w:val="24"/>
        </w:rPr>
        <w:t>个工作日内办理转移手续。转移后的拖拉机、联合收割机所有人居住地在原登记地农机监理机构管辖区内的，收回原行驶证，核发新行驶证；转移后的拖拉机、联合收割机所有人居住地不在原登记地农机监理机构管辖区内的，按照本规定第十三条办理。</w:t>
      </w:r>
    </w:p>
    <w:p>
      <w:pPr>
        <w:pStyle w:val="3"/>
        <w:topLinePunct/>
        <w:spacing w:line="412" w:lineRule="exact"/>
        <w:ind w:firstLine="482"/>
        <w:rPr>
          <w:sz w:val="24"/>
          <w:szCs w:val="24"/>
        </w:rPr>
      </w:pPr>
      <w:r>
        <w:rPr>
          <w:rFonts w:hint="eastAsia" w:cs="宋体"/>
          <w:b/>
          <w:bCs/>
          <w:sz w:val="24"/>
          <w:szCs w:val="24"/>
        </w:rPr>
        <w:t>第十六条</w:t>
      </w:r>
      <w:r>
        <w:rPr>
          <w:sz w:val="24"/>
          <w:szCs w:val="24"/>
        </w:rPr>
        <w:t xml:space="preserve">  </w:t>
      </w:r>
      <w:r>
        <w:rPr>
          <w:rFonts w:hint="eastAsia" w:cs="宋体"/>
          <w:sz w:val="24"/>
          <w:szCs w:val="24"/>
        </w:rPr>
        <w:t>办理转移登记，应当登记下列内容：</w:t>
      </w:r>
    </w:p>
    <w:p>
      <w:pPr>
        <w:pStyle w:val="3"/>
        <w:topLinePunct/>
        <w:spacing w:line="412" w:lineRule="exact"/>
        <w:ind w:firstLine="480"/>
        <w:rPr>
          <w:sz w:val="24"/>
          <w:szCs w:val="24"/>
        </w:rPr>
      </w:pPr>
      <w:r>
        <w:rPr>
          <w:rFonts w:hint="eastAsia" w:cs="宋体"/>
          <w:sz w:val="24"/>
          <w:szCs w:val="24"/>
        </w:rPr>
        <w:t>（一）转移后的拖拉机、联合收割机所有人的姓名或者单位名称、身份证明名称与号码、住址、联系电话和邮政编码；</w:t>
      </w:r>
    </w:p>
    <w:p>
      <w:pPr>
        <w:pStyle w:val="3"/>
        <w:topLinePunct/>
        <w:spacing w:line="412" w:lineRule="exact"/>
        <w:ind w:firstLine="480"/>
        <w:rPr>
          <w:sz w:val="24"/>
          <w:szCs w:val="24"/>
        </w:rPr>
      </w:pPr>
      <w:r>
        <w:rPr>
          <w:rFonts w:hint="eastAsia" w:cs="宋体"/>
          <w:sz w:val="24"/>
          <w:szCs w:val="24"/>
        </w:rPr>
        <w:t>（二）拖拉机、联合收割机获得方式；</w:t>
      </w:r>
    </w:p>
    <w:p>
      <w:pPr>
        <w:pStyle w:val="3"/>
        <w:topLinePunct/>
        <w:spacing w:line="412" w:lineRule="exact"/>
        <w:ind w:firstLine="480"/>
        <w:rPr>
          <w:sz w:val="24"/>
          <w:szCs w:val="24"/>
        </w:rPr>
      </w:pPr>
      <w:r>
        <w:rPr>
          <w:rFonts w:hint="eastAsia" w:cs="宋体"/>
          <w:sz w:val="24"/>
          <w:szCs w:val="24"/>
        </w:rPr>
        <w:t>（三）拖拉机、联合收割机来历证明的名称、编号；</w:t>
      </w:r>
    </w:p>
    <w:p>
      <w:pPr>
        <w:pStyle w:val="3"/>
        <w:topLinePunct/>
        <w:spacing w:line="412" w:lineRule="exact"/>
        <w:ind w:firstLine="480"/>
        <w:rPr>
          <w:sz w:val="24"/>
          <w:szCs w:val="24"/>
        </w:rPr>
      </w:pPr>
      <w:r>
        <w:rPr>
          <w:rFonts w:hint="eastAsia" w:cs="宋体"/>
          <w:sz w:val="24"/>
          <w:szCs w:val="24"/>
        </w:rPr>
        <w:t>（四）转移登记的日期；</w:t>
      </w:r>
    </w:p>
    <w:p>
      <w:pPr>
        <w:pStyle w:val="3"/>
        <w:topLinePunct/>
        <w:spacing w:line="412" w:lineRule="exact"/>
        <w:ind w:firstLine="480"/>
        <w:rPr>
          <w:sz w:val="24"/>
          <w:szCs w:val="24"/>
        </w:rPr>
      </w:pPr>
      <w:r>
        <w:rPr>
          <w:rFonts w:hint="eastAsia" w:cs="宋体"/>
          <w:sz w:val="24"/>
          <w:szCs w:val="24"/>
        </w:rPr>
        <w:t>（五）改变拖拉机、联合收割机号牌号码的，登记拖拉机、联合收割机号牌号码；</w:t>
      </w:r>
    </w:p>
    <w:p>
      <w:pPr>
        <w:pStyle w:val="3"/>
        <w:topLinePunct/>
        <w:spacing w:line="412" w:lineRule="exact"/>
        <w:ind w:firstLine="480"/>
        <w:rPr>
          <w:sz w:val="24"/>
          <w:szCs w:val="24"/>
        </w:rPr>
      </w:pPr>
      <w:r>
        <w:rPr>
          <w:rFonts w:hint="eastAsia" w:cs="宋体"/>
          <w:sz w:val="24"/>
          <w:szCs w:val="24"/>
        </w:rPr>
        <w:t>（六）转移后的拖拉机、联合收割机所有人居住地不在原登记地农机监理机构管辖区内的，登记转入地农机监理机构的名称。</w:t>
      </w:r>
    </w:p>
    <w:p>
      <w:pPr>
        <w:pStyle w:val="3"/>
        <w:topLinePunct/>
        <w:spacing w:line="412" w:lineRule="exact"/>
        <w:ind w:firstLine="482"/>
        <w:rPr>
          <w:sz w:val="24"/>
          <w:szCs w:val="24"/>
        </w:rPr>
      </w:pPr>
      <w:r>
        <w:rPr>
          <w:rFonts w:hint="eastAsia" w:cs="宋体"/>
          <w:b/>
          <w:bCs/>
          <w:sz w:val="24"/>
          <w:szCs w:val="24"/>
        </w:rPr>
        <w:t>第十七条</w:t>
      </w:r>
      <w:r>
        <w:rPr>
          <w:sz w:val="24"/>
          <w:szCs w:val="24"/>
        </w:rPr>
        <w:t xml:space="preserve">  </w:t>
      </w:r>
      <w:r>
        <w:rPr>
          <w:rFonts w:hint="eastAsia" w:cs="宋体"/>
          <w:sz w:val="24"/>
          <w:szCs w:val="24"/>
        </w:rPr>
        <w:t>有下列情形之一的，不予办理转移登记：</w:t>
      </w:r>
    </w:p>
    <w:p>
      <w:pPr>
        <w:pStyle w:val="3"/>
        <w:topLinePunct/>
        <w:spacing w:line="412" w:lineRule="exact"/>
        <w:ind w:firstLine="480"/>
        <w:rPr>
          <w:sz w:val="24"/>
          <w:szCs w:val="24"/>
        </w:rPr>
      </w:pPr>
      <w:r>
        <w:rPr>
          <w:rFonts w:hint="eastAsia" w:cs="宋体"/>
          <w:sz w:val="24"/>
          <w:szCs w:val="24"/>
        </w:rPr>
        <w:t>（一）有本规定第十条规定情形；</w:t>
      </w:r>
    </w:p>
    <w:p>
      <w:pPr>
        <w:pStyle w:val="3"/>
        <w:topLinePunct/>
        <w:spacing w:line="412" w:lineRule="exact"/>
        <w:ind w:firstLine="480"/>
        <w:rPr>
          <w:sz w:val="24"/>
          <w:szCs w:val="24"/>
        </w:rPr>
      </w:pPr>
      <w:r>
        <w:rPr>
          <w:rFonts w:hint="eastAsia" w:cs="宋体"/>
          <w:sz w:val="24"/>
          <w:szCs w:val="24"/>
        </w:rPr>
        <w:t>（二）拖拉机、联合收割机与该机的档案记载的内容不一致；</w:t>
      </w:r>
    </w:p>
    <w:p>
      <w:pPr>
        <w:pStyle w:val="3"/>
        <w:topLinePunct/>
        <w:spacing w:line="412" w:lineRule="exact"/>
        <w:ind w:firstLine="480"/>
        <w:rPr>
          <w:sz w:val="24"/>
          <w:szCs w:val="24"/>
        </w:rPr>
      </w:pPr>
      <w:r>
        <w:rPr>
          <w:rFonts w:hint="eastAsia" w:cs="宋体"/>
          <w:sz w:val="24"/>
          <w:szCs w:val="24"/>
        </w:rPr>
        <w:t>（三）在抵押期间；</w:t>
      </w:r>
    </w:p>
    <w:p>
      <w:pPr>
        <w:pStyle w:val="3"/>
        <w:topLinePunct/>
        <w:spacing w:line="412" w:lineRule="exact"/>
        <w:ind w:firstLine="480"/>
        <w:rPr>
          <w:sz w:val="24"/>
          <w:szCs w:val="24"/>
        </w:rPr>
      </w:pPr>
      <w:r>
        <w:rPr>
          <w:rFonts w:hint="eastAsia" w:cs="宋体"/>
          <w:sz w:val="24"/>
          <w:szCs w:val="24"/>
        </w:rPr>
        <w:t>（四）拖拉机、联合收割机或者拖拉机、联合收割机档案被人民法院、人民检察院、行政执法部门依法查封、扣押；</w:t>
      </w:r>
    </w:p>
    <w:p>
      <w:pPr>
        <w:pStyle w:val="3"/>
        <w:topLinePunct/>
        <w:spacing w:line="412" w:lineRule="exact"/>
        <w:ind w:firstLine="480"/>
        <w:rPr>
          <w:sz w:val="24"/>
          <w:szCs w:val="24"/>
        </w:rPr>
      </w:pPr>
      <w:r>
        <w:rPr>
          <w:rFonts w:hint="eastAsia" w:cs="宋体"/>
          <w:sz w:val="24"/>
          <w:szCs w:val="24"/>
        </w:rPr>
        <w:t>（五）拖拉机、联合收割机涉及未处理完毕的道路交通违法行为、农机安全违法行为或者道路交通事故、农机事故。</w:t>
      </w:r>
    </w:p>
    <w:p>
      <w:pPr>
        <w:pStyle w:val="3"/>
        <w:topLinePunct/>
        <w:spacing w:line="412" w:lineRule="exact"/>
        <w:ind w:firstLine="482"/>
        <w:rPr>
          <w:sz w:val="24"/>
          <w:szCs w:val="24"/>
        </w:rPr>
      </w:pPr>
      <w:r>
        <w:rPr>
          <w:rFonts w:hint="eastAsia" w:cs="宋体"/>
          <w:b/>
          <w:bCs/>
          <w:sz w:val="24"/>
          <w:szCs w:val="24"/>
        </w:rPr>
        <w:t>第十八条</w:t>
      </w:r>
      <w:r>
        <w:rPr>
          <w:sz w:val="24"/>
          <w:szCs w:val="24"/>
        </w:rPr>
        <w:t xml:space="preserve">  </w:t>
      </w:r>
      <w:r>
        <w:rPr>
          <w:rFonts w:hint="eastAsia" w:cs="宋体"/>
          <w:sz w:val="24"/>
          <w:szCs w:val="24"/>
        </w:rPr>
        <w:t>被司法机关和行政执法部门依法没收并拍卖，或者被仲裁机构依法仲裁裁决，或者被人民法院调解、裁定、判决拖拉机、联合收割机所有权转移时，原所有人未向转移后的所有人提供行驶证的，转移后的所有人在办理转移登记时，应当提交司法机关出具的《协助执行通知书》或者行政执法部门出具的未取得行驶证的证明。农机监理机构应当公告原行驶证作废，并在办理所有权转移登记的同时，发放拖拉机、联合收割机行驶证。</w:t>
      </w:r>
    </w:p>
    <w:p>
      <w:pPr>
        <w:pStyle w:val="63"/>
        <w:spacing w:before="218" w:after="218" w:line="412" w:lineRule="exact"/>
      </w:pPr>
      <w:r>
        <w:rPr>
          <w:rFonts w:hint="eastAsia"/>
        </w:rPr>
        <w:t>第五章</w:t>
      </w:r>
      <w:r>
        <w:t xml:space="preserve">  </w:t>
      </w:r>
      <w:r>
        <w:rPr>
          <w:rFonts w:hint="eastAsia"/>
        </w:rPr>
        <w:t>抵押登记</w:t>
      </w:r>
    </w:p>
    <w:p>
      <w:pPr>
        <w:pStyle w:val="3"/>
        <w:topLinePunct/>
        <w:spacing w:line="412" w:lineRule="exact"/>
        <w:ind w:firstLine="482"/>
        <w:rPr>
          <w:sz w:val="24"/>
          <w:szCs w:val="24"/>
        </w:rPr>
      </w:pPr>
      <w:r>
        <w:rPr>
          <w:rFonts w:hint="eastAsia" w:cs="宋体"/>
          <w:b/>
          <w:bCs/>
          <w:sz w:val="24"/>
          <w:szCs w:val="24"/>
        </w:rPr>
        <w:t>第十九条</w:t>
      </w:r>
      <w:r>
        <w:rPr>
          <w:sz w:val="24"/>
          <w:szCs w:val="24"/>
        </w:rPr>
        <w:t xml:space="preserve">  </w:t>
      </w:r>
      <w:r>
        <w:rPr>
          <w:rFonts w:hint="eastAsia" w:cs="宋体"/>
          <w:sz w:val="24"/>
          <w:szCs w:val="24"/>
        </w:rPr>
        <w:t>申请抵押登记的，由拖拉机、联合收割机所有人（抵押人）和抵押权人共同申请，填写申请表，提交下列证明、凭证：</w:t>
      </w:r>
    </w:p>
    <w:p>
      <w:pPr>
        <w:pStyle w:val="3"/>
        <w:topLinePunct/>
        <w:spacing w:line="412" w:lineRule="exact"/>
        <w:ind w:firstLine="480"/>
        <w:rPr>
          <w:sz w:val="24"/>
          <w:szCs w:val="24"/>
        </w:rPr>
      </w:pPr>
      <w:r>
        <w:rPr>
          <w:rFonts w:hint="eastAsia" w:cs="宋体"/>
          <w:sz w:val="24"/>
          <w:szCs w:val="24"/>
        </w:rPr>
        <w:t>（一）抵押人和抵押权人身份证明；</w:t>
      </w:r>
    </w:p>
    <w:p>
      <w:pPr>
        <w:pStyle w:val="3"/>
        <w:topLinePunct/>
        <w:spacing w:line="412" w:lineRule="exact"/>
        <w:ind w:firstLine="480"/>
        <w:rPr>
          <w:sz w:val="24"/>
          <w:szCs w:val="24"/>
        </w:rPr>
      </w:pPr>
      <w:r>
        <w:rPr>
          <w:rFonts w:hint="eastAsia" w:cs="宋体"/>
          <w:sz w:val="24"/>
          <w:szCs w:val="24"/>
        </w:rPr>
        <w:t>（二）拖拉机、联合收割机登记证书；</w:t>
      </w:r>
    </w:p>
    <w:p>
      <w:pPr>
        <w:pStyle w:val="3"/>
        <w:topLinePunct/>
        <w:spacing w:line="412" w:lineRule="exact"/>
        <w:ind w:firstLine="480"/>
        <w:rPr>
          <w:sz w:val="24"/>
          <w:szCs w:val="24"/>
        </w:rPr>
      </w:pPr>
      <w:r>
        <w:rPr>
          <w:rFonts w:hint="eastAsia" w:cs="宋体"/>
          <w:sz w:val="24"/>
          <w:szCs w:val="24"/>
        </w:rPr>
        <w:t>（三）抵押人和抵押权人依法订立的主合同和抵押合同。</w:t>
      </w:r>
    </w:p>
    <w:p>
      <w:pPr>
        <w:pStyle w:val="3"/>
        <w:topLinePunct/>
        <w:spacing w:line="412" w:lineRule="exact"/>
        <w:ind w:firstLine="480"/>
        <w:rPr>
          <w:sz w:val="24"/>
          <w:szCs w:val="24"/>
        </w:rPr>
      </w:pPr>
      <w:r>
        <w:rPr>
          <w:rFonts w:hint="eastAsia" w:cs="宋体"/>
          <w:sz w:val="24"/>
          <w:szCs w:val="24"/>
        </w:rPr>
        <w:t>农机监理机构应当自受理之日起</w:t>
      </w:r>
      <w:r>
        <w:rPr>
          <w:sz w:val="24"/>
          <w:szCs w:val="24"/>
        </w:rPr>
        <w:t>1</w:t>
      </w:r>
      <w:r>
        <w:rPr>
          <w:rFonts w:hint="eastAsia" w:cs="宋体"/>
          <w:sz w:val="24"/>
          <w:szCs w:val="24"/>
        </w:rPr>
        <w:t>日内，在拖拉机、联合收割机登记证书上记载抵押登记内容。</w:t>
      </w:r>
    </w:p>
    <w:p>
      <w:pPr>
        <w:pStyle w:val="3"/>
        <w:topLinePunct/>
        <w:spacing w:line="412" w:lineRule="exact"/>
        <w:ind w:firstLine="482"/>
        <w:rPr>
          <w:sz w:val="24"/>
          <w:szCs w:val="24"/>
        </w:rPr>
      </w:pPr>
      <w:r>
        <w:rPr>
          <w:rFonts w:hint="eastAsia" w:cs="宋体"/>
          <w:b/>
          <w:bCs/>
          <w:sz w:val="24"/>
          <w:szCs w:val="24"/>
        </w:rPr>
        <w:t>第二十条</w:t>
      </w:r>
      <w:r>
        <w:rPr>
          <w:sz w:val="24"/>
          <w:szCs w:val="24"/>
        </w:rPr>
        <w:t xml:space="preserve">  </w:t>
      </w:r>
      <w:r>
        <w:rPr>
          <w:rFonts w:hint="eastAsia" w:cs="宋体"/>
          <w:sz w:val="24"/>
          <w:szCs w:val="24"/>
        </w:rPr>
        <w:t>农机监理机构办理抵押登记，应当登记下列内容：</w:t>
      </w:r>
    </w:p>
    <w:p>
      <w:pPr>
        <w:pStyle w:val="3"/>
        <w:topLinePunct/>
        <w:spacing w:line="412" w:lineRule="exact"/>
        <w:ind w:firstLine="480"/>
        <w:rPr>
          <w:sz w:val="24"/>
          <w:szCs w:val="24"/>
        </w:rPr>
      </w:pPr>
      <w:r>
        <w:rPr>
          <w:rFonts w:hint="eastAsia" w:cs="宋体"/>
          <w:sz w:val="24"/>
          <w:szCs w:val="24"/>
        </w:rPr>
        <w:t>（一）抵押权人的姓名或者单位名称、身份证明名称与号码、住址、联系电话和邮政编码；</w:t>
      </w:r>
    </w:p>
    <w:p>
      <w:pPr>
        <w:pStyle w:val="3"/>
        <w:topLinePunct/>
        <w:spacing w:line="412" w:lineRule="exact"/>
        <w:ind w:firstLine="480"/>
        <w:rPr>
          <w:sz w:val="24"/>
          <w:szCs w:val="24"/>
        </w:rPr>
      </w:pPr>
      <w:r>
        <w:rPr>
          <w:rFonts w:hint="eastAsia" w:cs="宋体"/>
          <w:sz w:val="24"/>
          <w:szCs w:val="24"/>
        </w:rPr>
        <w:t>（二）抵押担保债权的数额；</w:t>
      </w:r>
    </w:p>
    <w:p>
      <w:pPr>
        <w:pStyle w:val="3"/>
        <w:topLinePunct/>
        <w:spacing w:line="412" w:lineRule="exact"/>
        <w:ind w:firstLine="480"/>
        <w:rPr>
          <w:sz w:val="24"/>
          <w:szCs w:val="24"/>
        </w:rPr>
      </w:pPr>
      <w:r>
        <w:rPr>
          <w:rFonts w:hint="eastAsia" w:cs="宋体"/>
          <w:sz w:val="24"/>
          <w:szCs w:val="24"/>
        </w:rPr>
        <w:t>（三）主合同和抵押合同号码；</w:t>
      </w:r>
    </w:p>
    <w:p>
      <w:pPr>
        <w:pStyle w:val="3"/>
        <w:topLinePunct/>
        <w:spacing w:line="412" w:lineRule="exact"/>
        <w:ind w:firstLine="480"/>
        <w:rPr>
          <w:sz w:val="24"/>
          <w:szCs w:val="24"/>
        </w:rPr>
      </w:pPr>
      <w:r>
        <w:rPr>
          <w:rFonts w:hint="eastAsia" w:cs="宋体"/>
          <w:sz w:val="24"/>
          <w:szCs w:val="24"/>
        </w:rPr>
        <w:t>（四）抵押登记的日期。</w:t>
      </w:r>
    </w:p>
    <w:p>
      <w:pPr>
        <w:pStyle w:val="3"/>
        <w:topLinePunct/>
        <w:spacing w:line="412" w:lineRule="exact"/>
        <w:ind w:firstLine="482"/>
        <w:rPr>
          <w:sz w:val="24"/>
          <w:szCs w:val="24"/>
        </w:rPr>
      </w:pPr>
      <w:r>
        <w:rPr>
          <w:rFonts w:hint="eastAsia" w:cs="宋体"/>
          <w:b/>
          <w:bCs/>
          <w:sz w:val="24"/>
          <w:szCs w:val="24"/>
        </w:rPr>
        <w:t>第二十一条</w:t>
      </w:r>
      <w:r>
        <w:rPr>
          <w:sz w:val="24"/>
          <w:szCs w:val="24"/>
        </w:rPr>
        <w:t xml:space="preserve">  </w:t>
      </w:r>
      <w:r>
        <w:rPr>
          <w:rFonts w:hint="eastAsia" w:cs="宋体"/>
          <w:sz w:val="24"/>
          <w:szCs w:val="24"/>
        </w:rPr>
        <w:t>申请注销抵押的，应当由抵押人与抵押权人共同申请，填写申请表，提交以下证明、凭证：</w:t>
      </w:r>
    </w:p>
    <w:p>
      <w:pPr>
        <w:pStyle w:val="3"/>
        <w:topLinePunct/>
        <w:spacing w:line="412" w:lineRule="exact"/>
        <w:ind w:firstLine="480"/>
        <w:rPr>
          <w:sz w:val="24"/>
          <w:szCs w:val="24"/>
        </w:rPr>
      </w:pPr>
      <w:r>
        <w:rPr>
          <w:rFonts w:hint="eastAsia" w:cs="宋体"/>
          <w:sz w:val="24"/>
          <w:szCs w:val="24"/>
        </w:rPr>
        <w:t>（一）抵押人和抵押权人身份证明；</w:t>
      </w:r>
    </w:p>
    <w:p>
      <w:pPr>
        <w:pStyle w:val="3"/>
        <w:topLinePunct/>
        <w:spacing w:line="412" w:lineRule="exact"/>
        <w:ind w:firstLine="480"/>
        <w:rPr>
          <w:sz w:val="24"/>
          <w:szCs w:val="24"/>
        </w:rPr>
      </w:pPr>
      <w:r>
        <w:rPr>
          <w:rFonts w:hint="eastAsia" w:cs="宋体"/>
          <w:sz w:val="24"/>
          <w:szCs w:val="24"/>
        </w:rPr>
        <w:t>（二）拖拉机、联合收割机登记证书。</w:t>
      </w:r>
    </w:p>
    <w:p>
      <w:pPr>
        <w:pStyle w:val="3"/>
        <w:topLinePunct/>
        <w:spacing w:line="412" w:lineRule="exact"/>
        <w:ind w:firstLine="480"/>
        <w:rPr>
          <w:sz w:val="24"/>
          <w:szCs w:val="24"/>
        </w:rPr>
      </w:pPr>
      <w:r>
        <w:rPr>
          <w:rFonts w:hint="eastAsia" w:cs="宋体"/>
          <w:sz w:val="24"/>
          <w:szCs w:val="24"/>
        </w:rPr>
        <w:t>农机监理机构应当自受理之日起</w:t>
      </w:r>
      <w:r>
        <w:rPr>
          <w:sz w:val="24"/>
          <w:szCs w:val="24"/>
        </w:rPr>
        <w:t>1</w:t>
      </w:r>
      <w:r>
        <w:rPr>
          <w:rFonts w:hint="eastAsia" w:cs="宋体"/>
          <w:sz w:val="24"/>
          <w:szCs w:val="24"/>
        </w:rPr>
        <w:t>日内，在农机监理信息系统注销抵押内容和注销抵押的日期。</w:t>
      </w:r>
    </w:p>
    <w:p>
      <w:pPr>
        <w:pStyle w:val="3"/>
        <w:topLinePunct/>
        <w:spacing w:line="412" w:lineRule="exact"/>
        <w:ind w:firstLine="482"/>
        <w:rPr>
          <w:sz w:val="24"/>
          <w:szCs w:val="24"/>
        </w:rPr>
      </w:pPr>
      <w:r>
        <w:rPr>
          <w:rFonts w:hint="eastAsia" w:cs="宋体"/>
          <w:b/>
          <w:bCs/>
          <w:sz w:val="24"/>
          <w:szCs w:val="24"/>
        </w:rPr>
        <w:t>第二十二条</w:t>
      </w:r>
      <w:r>
        <w:rPr>
          <w:sz w:val="24"/>
          <w:szCs w:val="24"/>
        </w:rPr>
        <w:t xml:space="preserve">  </w:t>
      </w:r>
      <w:r>
        <w:rPr>
          <w:rFonts w:hint="eastAsia" w:cs="宋体"/>
          <w:sz w:val="24"/>
          <w:szCs w:val="24"/>
        </w:rPr>
        <w:t>抵押登记内容和注销抵押日期应当允许公众查询。</w:t>
      </w:r>
    </w:p>
    <w:p>
      <w:pPr>
        <w:pStyle w:val="63"/>
        <w:spacing w:before="218" w:after="218" w:line="412" w:lineRule="exact"/>
      </w:pPr>
      <w:r>
        <w:rPr>
          <w:rFonts w:hint="eastAsia"/>
        </w:rPr>
        <w:t>第六章</w:t>
      </w:r>
      <w:r>
        <w:t xml:space="preserve">  </w:t>
      </w:r>
      <w:r>
        <w:rPr>
          <w:rFonts w:hint="eastAsia"/>
        </w:rPr>
        <w:t>注销登记</w:t>
      </w:r>
    </w:p>
    <w:p>
      <w:pPr>
        <w:pStyle w:val="3"/>
        <w:topLinePunct/>
        <w:spacing w:line="412" w:lineRule="exact"/>
        <w:ind w:firstLine="482"/>
        <w:rPr>
          <w:sz w:val="24"/>
          <w:szCs w:val="24"/>
        </w:rPr>
      </w:pPr>
      <w:r>
        <w:rPr>
          <w:rFonts w:hint="eastAsia" w:cs="宋体"/>
          <w:b/>
          <w:bCs/>
          <w:sz w:val="24"/>
          <w:szCs w:val="24"/>
        </w:rPr>
        <w:t>第二十三条</w:t>
      </w:r>
      <w:r>
        <w:rPr>
          <w:sz w:val="24"/>
          <w:szCs w:val="24"/>
        </w:rPr>
        <w:t xml:space="preserve">  </w:t>
      </w:r>
      <w:r>
        <w:rPr>
          <w:rFonts w:hint="eastAsia" w:cs="宋体"/>
          <w:sz w:val="24"/>
          <w:szCs w:val="24"/>
        </w:rPr>
        <w:t>有下列情形之一的，应当向登记地的农机监理机构申请注销登记，填写申请表，提交身份证明，并交回号牌、行驶证、登记证书。</w:t>
      </w:r>
    </w:p>
    <w:p>
      <w:pPr>
        <w:pStyle w:val="3"/>
        <w:topLinePunct/>
        <w:spacing w:line="412" w:lineRule="exact"/>
        <w:ind w:firstLine="480"/>
        <w:rPr>
          <w:sz w:val="24"/>
          <w:szCs w:val="24"/>
        </w:rPr>
      </w:pPr>
      <w:r>
        <w:rPr>
          <w:rFonts w:hint="eastAsia" w:cs="宋体"/>
          <w:sz w:val="24"/>
          <w:szCs w:val="24"/>
        </w:rPr>
        <w:t>（一）报废的；</w:t>
      </w:r>
    </w:p>
    <w:p>
      <w:pPr>
        <w:pStyle w:val="3"/>
        <w:topLinePunct/>
        <w:spacing w:line="412" w:lineRule="exact"/>
        <w:ind w:firstLine="480"/>
        <w:rPr>
          <w:sz w:val="24"/>
          <w:szCs w:val="24"/>
        </w:rPr>
      </w:pPr>
      <w:r>
        <w:rPr>
          <w:rFonts w:hint="eastAsia" w:cs="宋体"/>
          <w:sz w:val="24"/>
          <w:szCs w:val="24"/>
        </w:rPr>
        <w:t>（二）灭失的；</w:t>
      </w:r>
    </w:p>
    <w:p>
      <w:pPr>
        <w:pStyle w:val="3"/>
        <w:topLinePunct/>
        <w:spacing w:line="412" w:lineRule="exact"/>
        <w:ind w:firstLine="480"/>
        <w:rPr>
          <w:sz w:val="24"/>
          <w:szCs w:val="24"/>
        </w:rPr>
      </w:pPr>
      <w:r>
        <w:rPr>
          <w:rFonts w:hint="eastAsia" w:cs="宋体"/>
          <w:sz w:val="24"/>
          <w:szCs w:val="24"/>
        </w:rPr>
        <w:t>（三）所有人因其他原因申请注销的。</w:t>
      </w:r>
    </w:p>
    <w:p>
      <w:pPr>
        <w:pStyle w:val="3"/>
        <w:topLinePunct/>
        <w:spacing w:line="412" w:lineRule="exact"/>
        <w:ind w:firstLine="480"/>
        <w:rPr>
          <w:sz w:val="24"/>
          <w:szCs w:val="24"/>
        </w:rPr>
      </w:pPr>
      <w:r>
        <w:rPr>
          <w:rFonts w:hint="eastAsia" w:cs="宋体"/>
          <w:sz w:val="24"/>
          <w:szCs w:val="24"/>
        </w:rPr>
        <w:t>农机监理机构应当自受理之日起</w:t>
      </w:r>
      <w:r>
        <w:rPr>
          <w:sz w:val="24"/>
          <w:szCs w:val="24"/>
        </w:rPr>
        <w:t>1</w:t>
      </w:r>
      <w:r>
        <w:rPr>
          <w:rFonts w:hint="eastAsia" w:cs="宋体"/>
          <w:sz w:val="24"/>
          <w:szCs w:val="24"/>
        </w:rPr>
        <w:t>日内办理注销登记，收回号牌、行驶证和登记证书。无法收回的，由农机监理机构公告作废。</w:t>
      </w:r>
    </w:p>
    <w:p>
      <w:pPr>
        <w:pStyle w:val="63"/>
        <w:spacing w:before="218" w:after="218" w:line="412" w:lineRule="exact"/>
      </w:pPr>
      <w:r>
        <w:rPr>
          <w:rFonts w:hint="eastAsia"/>
        </w:rPr>
        <w:t>第七章</w:t>
      </w:r>
      <w:r>
        <w:t xml:space="preserve">  </w:t>
      </w:r>
      <w:r>
        <w:rPr>
          <w:rFonts w:hint="eastAsia"/>
        </w:rPr>
        <w:t>其他规定</w:t>
      </w:r>
    </w:p>
    <w:p>
      <w:pPr>
        <w:pStyle w:val="3"/>
        <w:topLinePunct/>
        <w:spacing w:line="412" w:lineRule="exact"/>
        <w:ind w:firstLine="482"/>
        <w:rPr>
          <w:sz w:val="24"/>
          <w:szCs w:val="24"/>
        </w:rPr>
      </w:pPr>
      <w:r>
        <w:rPr>
          <w:rFonts w:hint="eastAsia" w:cs="宋体"/>
          <w:b/>
          <w:bCs/>
          <w:sz w:val="24"/>
          <w:szCs w:val="24"/>
        </w:rPr>
        <w:t>第二十四条</w:t>
      </w:r>
      <w:r>
        <w:rPr>
          <w:sz w:val="24"/>
          <w:szCs w:val="24"/>
        </w:rPr>
        <w:t xml:space="preserve">  </w:t>
      </w:r>
      <w:r>
        <w:rPr>
          <w:rFonts w:hint="eastAsia" w:cs="宋体"/>
          <w:sz w:val="24"/>
          <w:szCs w:val="24"/>
        </w:rPr>
        <w:t>拖拉机、联合收割机号牌、行驶证、登记证书灭失、丢失或者损毁申请补领、换领的，所有人应当向登记地农机监理机构提出申请，提交身份证明和相关证明材料。</w:t>
      </w:r>
    </w:p>
    <w:p>
      <w:pPr>
        <w:pStyle w:val="3"/>
        <w:topLinePunct/>
        <w:spacing w:line="412" w:lineRule="exact"/>
        <w:ind w:firstLine="480"/>
        <w:rPr>
          <w:sz w:val="24"/>
          <w:szCs w:val="24"/>
        </w:rPr>
      </w:pPr>
      <w:r>
        <w:rPr>
          <w:rFonts w:hint="eastAsia" w:cs="宋体"/>
          <w:sz w:val="24"/>
          <w:szCs w:val="24"/>
        </w:rPr>
        <w:t>经审查，属于补发、换发号牌的，农机监理机构应当自受理之日起</w:t>
      </w:r>
      <w:r>
        <w:rPr>
          <w:sz w:val="24"/>
          <w:szCs w:val="24"/>
        </w:rPr>
        <w:t>15</w:t>
      </w:r>
      <w:r>
        <w:rPr>
          <w:rFonts w:hint="eastAsia" w:cs="宋体"/>
          <w:sz w:val="24"/>
          <w:szCs w:val="24"/>
        </w:rPr>
        <w:t>日内办理；属于补发、换发行驶证、登记证书的，自受理之日起</w:t>
      </w:r>
      <w:r>
        <w:rPr>
          <w:sz w:val="24"/>
          <w:szCs w:val="24"/>
        </w:rPr>
        <w:t>1</w:t>
      </w:r>
      <w:r>
        <w:rPr>
          <w:rFonts w:hint="eastAsia" w:cs="宋体"/>
          <w:sz w:val="24"/>
          <w:szCs w:val="24"/>
        </w:rPr>
        <w:t>日内办理。</w:t>
      </w:r>
    </w:p>
    <w:p>
      <w:pPr>
        <w:pStyle w:val="3"/>
        <w:topLinePunct/>
        <w:spacing w:line="412" w:lineRule="exact"/>
        <w:ind w:firstLine="480"/>
        <w:rPr>
          <w:sz w:val="24"/>
          <w:szCs w:val="24"/>
        </w:rPr>
      </w:pPr>
      <w:r>
        <w:rPr>
          <w:rFonts w:hint="eastAsia" w:cs="宋体"/>
          <w:sz w:val="24"/>
          <w:szCs w:val="24"/>
        </w:rPr>
        <w:t>办理补发、换发号牌期间，应当给所有人核发临时行驶号牌。</w:t>
      </w:r>
    </w:p>
    <w:p>
      <w:pPr>
        <w:pStyle w:val="3"/>
        <w:topLinePunct/>
        <w:spacing w:line="412" w:lineRule="exact"/>
        <w:ind w:firstLine="480"/>
        <w:rPr>
          <w:sz w:val="24"/>
          <w:szCs w:val="24"/>
        </w:rPr>
      </w:pPr>
      <w:r>
        <w:rPr>
          <w:rFonts w:hint="eastAsia" w:cs="宋体"/>
          <w:sz w:val="24"/>
          <w:szCs w:val="24"/>
        </w:rPr>
        <w:t>补发、换发号牌、行驶证、登记证书后，应当收回未灭失、丢失或者损坏的号牌、行驶证、登记证书。</w:t>
      </w:r>
    </w:p>
    <w:p>
      <w:pPr>
        <w:pStyle w:val="3"/>
        <w:topLinePunct/>
        <w:spacing w:line="412" w:lineRule="exact"/>
        <w:ind w:firstLine="482"/>
        <w:rPr>
          <w:sz w:val="24"/>
          <w:szCs w:val="24"/>
        </w:rPr>
      </w:pPr>
      <w:r>
        <w:rPr>
          <w:rFonts w:hint="eastAsia" w:cs="宋体"/>
          <w:b/>
          <w:bCs/>
          <w:sz w:val="24"/>
          <w:szCs w:val="24"/>
        </w:rPr>
        <w:t>第二十五条</w:t>
      </w:r>
      <w:r>
        <w:rPr>
          <w:sz w:val="24"/>
          <w:szCs w:val="24"/>
        </w:rPr>
        <w:t xml:space="preserve">  </w:t>
      </w:r>
      <w:r>
        <w:rPr>
          <w:rFonts w:hint="eastAsia" w:cs="宋体"/>
          <w:sz w:val="24"/>
          <w:szCs w:val="24"/>
        </w:rPr>
        <w:t>未注册登记的拖拉机、联合收割机需要驶出本行政区域的，所有人应当申请临时行驶号牌，提交以下证明、凭证：</w:t>
      </w:r>
    </w:p>
    <w:p>
      <w:pPr>
        <w:pStyle w:val="3"/>
        <w:topLinePunct/>
        <w:spacing w:line="412" w:lineRule="exact"/>
        <w:ind w:firstLine="480"/>
        <w:rPr>
          <w:sz w:val="24"/>
          <w:szCs w:val="24"/>
        </w:rPr>
      </w:pPr>
      <w:r>
        <w:rPr>
          <w:rFonts w:hint="eastAsia" w:cs="宋体"/>
          <w:sz w:val="24"/>
          <w:szCs w:val="24"/>
        </w:rPr>
        <w:t>（一）所有人身份证明；</w:t>
      </w:r>
    </w:p>
    <w:p>
      <w:pPr>
        <w:pStyle w:val="3"/>
        <w:topLinePunct/>
        <w:spacing w:line="412" w:lineRule="exact"/>
        <w:ind w:firstLine="480"/>
        <w:rPr>
          <w:sz w:val="24"/>
          <w:szCs w:val="24"/>
        </w:rPr>
      </w:pPr>
      <w:r>
        <w:rPr>
          <w:rFonts w:hint="eastAsia" w:cs="宋体"/>
          <w:sz w:val="24"/>
          <w:szCs w:val="24"/>
        </w:rPr>
        <w:t>（二）拖拉机、联合收割机来历证明；</w:t>
      </w:r>
    </w:p>
    <w:p>
      <w:pPr>
        <w:pStyle w:val="3"/>
        <w:topLinePunct/>
        <w:spacing w:line="412" w:lineRule="exact"/>
        <w:ind w:firstLine="480"/>
        <w:rPr>
          <w:sz w:val="24"/>
          <w:szCs w:val="24"/>
        </w:rPr>
      </w:pPr>
      <w:r>
        <w:rPr>
          <w:rFonts w:hint="eastAsia" w:cs="宋体"/>
          <w:sz w:val="24"/>
          <w:szCs w:val="24"/>
        </w:rPr>
        <w:t>（三）出厂合格证明或进口凭证；</w:t>
      </w:r>
    </w:p>
    <w:p>
      <w:pPr>
        <w:pStyle w:val="3"/>
        <w:topLinePunct/>
        <w:spacing w:line="412" w:lineRule="exact"/>
        <w:ind w:firstLine="480"/>
        <w:rPr>
          <w:sz w:val="24"/>
          <w:szCs w:val="24"/>
        </w:rPr>
      </w:pPr>
      <w:r>
        <w:rPr>
          <w:rFonts w:hint="eastAsia" w:cs="宋体"/>
          <w:sz w:val="24"/>
          <w:szCs w:val="24"/>
        </w:rPr>
        <w:t>（四）拖拉机运输机组须提交交通事故责任强制保险凭证。</w:t>
      </w:r>
    </w:p>
    <w:p>
      <w:pPr>
        <w:pStyle w:val="3"/>
        <w:topLinePunct/>
        <w:spacing w:line="412" w:lineRule="exact"/>
        <w:ind w:firstLine="480"/>
        <w:rPr>
          <w:sz w:val="24"/>
          <w:szCs w:val="24"/>
        </w:rPr>
      </w:pPr>
      <w:r>
        <w:rPr>
          <w:rFonts w:hint="eastAsia" w:cs="宋体"/>
          <w:sz w:val="24"/>
          <w:szCs w:val="24"/>
        </w:rPr>
        <w:t>农机监理机构应当自受理之日起</w:t>
      </w:r>
      <w:r>
        <w:rPr>
          <w:sz w:val="24"/>
          <w:szCs w:val="24"/>
        </w:rPr>
        <w:t>1</w:t>
      </w:r>
      <w:r>
        <w:rPr>
          <w:rFonts w:hint="eastAsia" w:cs="宋体"/>
          <w:sz w:val="24"/>
          <w:szCs w:val="24"/>
        </w:rPr>
        <w:t>日内，核发临时行驶号牌。临时行驶号牌有效期最长为</w:t>
      </w:r>
      <w:r>
        <w:rPr>
          <w:sz w:val="24"/>
          <w:szCs w:val="24"/>
        </w:rPr>
        <w:t>3</w:t>
      </w:r>
      <w:r>
        <w:rPr>
          <w:rFonts w:hint="eastAsia" w:cs="宋体"/>
          <w:sz w:val="24"/>
          <w:szCs w:val="24"/>
        </w:rPr>
        <w:t>个月。</w:t>
      </w:r>
    </w:p>
    <w:p>
      <w:pPr>
        <w:pStyle w:val="3"/>
        <w:topLinePunct/>
        <w:spacing w:line="412" w:lineRule="exact"/>
        <w:ind w:firstLine="482"/>
        <w:rPr>
          <w:sz w:val="24"/>
          <w:szCs w:val="24"/>
        </w:rPr>
      </w:pPr>
      <w:r>
        <w:rPr>
          <w:rFonts w:hint="eastAsia" w:cs="宋体"/>
          <w:b/>
          <w:bCs/>
          <w:sz w:val="24"/>
          <w:szCs w:val="24"/>
        </w:rPr>
        <w:t>第二十六条</w:t>
      </w:r>
      <w:r>
        <w:rPr>
          <w:sz w:val="24"/>
          <w:szCs w:val="24"/>
        </w:rPr>
        <w:t xml:space="preserve">  </w:t>
      </w:r>
      <w:r>
        <w:rPr>
          <w:rFonts w:hint="eastAsia" w:cs="宋体"/>
          <w:sz w:val="24"/>
          <w:szCs w:val="24"/>
        </w:rPr>
        <w:t>拖拉机、联合收割机所有人发现登记内容有错误的，应当及时到农机监理机构申请更正。农机监理机构应当自受理之日起</w:t>
      </w:r>
      <w:r>
        <w:rPr>
          <w:sz w:val="24"/>
          <w:szCs w:val="24"/>
        </w:rPr>
        <w:t>2</w:t>
      </w:r>
      <w:r>
        <w:rPr>
          <w:rFonts w:hint="eastAsia" w:cs="宋体"/>
          <w:sz w:val="24"/>
          <w:szCs w:val="24"/>
        </w:rPr>
        <w:t>个工作日内予以确认并更正。</w:t>
      </w:r>
    </w:p>
    <w:p>
      <w:pPr>
        <w:pStyle w:val="3"/>
        <w:topLinePunct/>
        <w:spacing w:line="412" w:lineRule="exact"/>
        <w:ind w:firstLine="482"/>
        <w:rPr>
          <w:sz w:val="24"/>
          <w:szCs w:val="24"/>
        </w:rPr>
      </w:pPr>
      <w:r>
        <w:rPr>
          <w:rFonts w:hint="eastAsia" w:cs="宋体"/>
          <w:b/>
          <w:bCs/>
          <w:sz w:val="24"/>
          <w:szCs w:val="24"/>
        </w:rPr>
        <w:t>第二十七条</w:t>
      </w:r>
      <w:r>
        <w:rPr>
          <w:sz w:val="24"/>
          <w:szCs w:val="24"/>
        </w:rPr>
        <w:t xml:space="preserve">  </w:t>
      </w:r>
      <w:r>
        <w:rPr>
          <w:rFonts w:hint="eastAsia" w:cs="宋体"/>
          <w:sz w:val="24"/>
          <w:szCs w:val="24"/>
        </w:rPr>
        <w:t>已注册登记的拖拉机、联合收割机被盗抢，所有人应当在向公安机关报案的同时，向登记地农机监理机构申请封存档案。农机监理机构应当受理申请，在计算机管理系统内记录被盗抢信息，封存档案，停止办理该拖拉机、联合收割机的各项登记。被盗抢拖拉机、联合收割机发还后，所有人应当向登记地农机监理机构申请解除封存，农机监理机构应当受理申请，恢复办理各项登记。</w:t>
      </w:r>
    </w:p>
    <w:p>
      <w:pPr>
        <w:pStyle w:val="3"/>
        <w:topLinePunct/>
        <w:spacing w:line="412" w:lineRule="exact"/>
        <w:ind w:firstLine="480"/>
        <w:rPr>
          <w:sz w:val="24"/>
          <w:szCs w:val="24"/>
        </w:rPr>
      </w:pPr>
      <w:r>
        <w:rPr>
          <w:rFonts w:hint="eastAsia" w:cs="宋体"/>
          <w:sz w:val="24"/>
          <w:szCs w:val="24"/>
        </w:rPr>
        <w:t>在被盗抢期间，发动机号码、底盘号／机架号、挂车架号码或者机身颜色被改变的，农机监理机构应当凭有关技术鉴定证明办理变更。</w:t>
      </w:r>
    </w:p>
    <w:p>
      <w:pPr>
        <w:pStyle w:val="3"/>
        <w:topLinePunct/>
        <w:spacing w:line="412" w:lineRule="exact"/>
        <w:ind w:firstLine="482"/>
        <w:rPr>
          <w:sz w:val="24"/>
          <w:szCs w:val="24"/>
        </w:rPr>
      </w:pPr>
      <w:r>
        <w:rPr>
          <w:rFonts w:hint="eastAsia" w:cs="宋体"/>
          <w:b/>
          <w:bCs/>
          <w:sz w:val="24"/>
          <w:szCs w:val="24"/>
        </w:rPr>
        <w:t>第二十八条</w:t>
      </w:r>
      <w:r>
        <w:rPr>
          <w:sz w:val="24"/>
          <w:szCs w:val="24"/>
        </w:rPr>
        <w:t xml:space="preserve">  </w:t>
      </w:r>
      <w:r>
        <w:rPr>
          <w:rFonts w:hint="eastAsia" w:cs="宋体"/>
          <w:sz w:val="24"/>
          <w:szCs w:val="24"/>
        </w:rPr>
        <w:t>登记的拖拉机、联合收割机应当每年进行</w:t>
      </w:r>
      <w:r>
        <w:rPr>
          <w:sz w:val="24"/>
          <w:szCs w:val="24"/>
        </w:rPr>
        <w:t>1</w:t>
      </w:r>
      <w:r>
        <w:rPr>
          <w:rFonts w:hint="eastAsia" w:cs="宋体"/>
          <w:sz w:val="24"/>
          <w:szCs w:val="24"/>
        </w:rPr>
        <w:t>次安全检验。</w:t>
      </w:r>
    </w:p>
    <w:p>
      <w:pPr>
        <w:pStyle w:val="3"/>
        <w:topLinePunct/>
        <w:spacing w:line="412" w:lineRule="exact"/>
        <w:ind w:firstLine="482"/>
        <w:rPr>
          <w:sz w:val="24"/>
          <w:szCs w:val="24"/>
        </w:rPr>
      </w:pPr>
      <w:r>
        <w:rPr>
          <w:rFonts w:hint="eastAsia" w:cs="宋体"/>
          <w:b/>
          <w:bCs/>
          <w:sz w:val="24"/>
          <w:szCs w:val="24"/>
        </w:rPr>
        <w:t>第二十九条</w:t>
      </w:r>
      <w:r>
        <w:rPr>
          <w:sz w:val="24"/>
          <w:szCs w:val="24"/>
        </w:rPr>
        <w:t xml:space="preserve">  </w:t>
      </w:r>
      <w:r>
        <w:rPr>
          <w:rFonts w:hint="eastAsia" w:cs="宋体"/>
          <w:sz w:val="24"/>
          <w:szCs w:val="24"/>
        </w:rPr>
        <w:t>拖拉机、联合收割机所有人可以委托代理人代理申请各项登记和相关业务，但申请补发登记证书的除外。代理人办理相关业务时，应当提交代理人身份证明、经申请人签字的委托书。</w:t>
      </w:r>
    </w:p>
    <w:p>
      <w:pPr>
        <w:pStyle w:val="3"/>
        <w:topLinePunct/>
        <w:spacing w:line="412" w:lineRule="exact"/>
        <w:ind w:firstLine="482"/>
        <w:rPr>
          <w:sz w:val="24"/>
          <w:szCs w:val="24"/>
        </w:rPr>
      </w:pPr>
      <w:r>
        <w:rPr>
          <w:rFonts w:hint="eastAsia" w:cs="宋体"/>
          <w:b/>
          <w:bCs/>
          <w:sz w:val="24"/>
          <w:szCs w:val="24"/>
        </w:rPr>
        <w:t>第三十条</w:t>
      </w:r>
      <w:r>
        <w:rPr>
          <w:sz w:val="24"/>
          <w:szCs w:val="24"/>
        </w:rPr>
        <w:t xml:space="preserve">  </w:t>
      </w:r>
      <w:r>
        <w:rPr>
          <w:rFonts w:hint="eastAsia" w:cs="宋体"/>
          <w:sz w:val="24"/>
          <w:szCs w:val="24"/>
        </w:rPr>
        <w:t>申请人以隐瞒、欺骗等不正当手段办理登记的，应当撤销登记，并收回相关证件和号牌。</w:t>
      </w:r>
    </w:p>
    <w:p>
      <w:pPr>
        <w:pStyle w:val="3"/>
        <w:topLinePunct/>
        <w:spacing w:line="412" w:lineRule="exact"/>
        <w:ind w:firstLine="480"/>
        <w:rPr>
          <w:sz w:val="24"/>
          <w:szCs w:val="24"/>
        </w:rPr>
      </w:pPr>
      <w:r>
        <w:rPr>
          <w:rFonts w:hint="eastAsia" w:cs="宋体"/>
          <w:sz w:val="24"/>
          <w:szCs w:val="24"/>
        </w:rPr>
        <w:t>农机安全监理人员违反规定为拖拉机、联合收割机办理登记的，按照国家有关规定给予处分；构成犯罪的，依法追究刑事责任。</w:t>
      </w:r>
    </w:p>
    <w:p>
      <w:pPr>
        <w:pStyle w:val="63"/>
        <w:spacing w:before="218" w:after="218" w:line="412" w:lineRule="exact"/>
      </w:pPr>
      <w:r>
        <w:rPr>
          <w:rFonts w:hint="eastAsia" w:cs="宋体"/>
        </w:rPr>
        <w:t>第八章</w:t>
      </w:r>
      <w:r>
        <w:t xml:space="preserve">  </w:t>
      </w:r>
      <w:r>
        <w:rPr>
          <w:rFonts w:hint="eastAsia" w:cs="宋体"/>
        </w:rPr>
        <w:t>附</w:t>
      </w:r>
      <w:r>
        <w:rPr>
          <w:rFonts w:hint="eastAsia"/>
        </w:rPr>
        <w:t xml:space="preserve">  </w:t>
      </w:r>
      <w:r>
        <w:rPr>
          <w:rFonts w:hint="eastAsia" w:cs="宋体"/>
        </w:rPr>
        <w:t>则</w:t>
      </w:r>
    </w:p>
    <w:p>
      <w:pPr>
        <w:pStyle w:val="3"/>
        <w:topLinePunct/>
        <w:spacing w:line="412" w:lineRule="exact"/>
        <w:ind w:firstLine="482"/>
        <w:rPr>
          <w:sz w:val="24"/>
          <w:szCs w:val="24"/>
        </w:rPr>
      </w:pPr>
      <w:r>
        <w:rPr>
          <w:rFonts w:hint="eastAsia" w:cs="宋体"/>
          <w:b/>
          <w:bCs/>
          <w:sz w:val="24"/>
          <w:szCs w:val="24"/>
        </w:rPr>
        <w:t>第三十一条</w:t>
      </w:r>
      <w:r>
        <w:rPr>
          <w:sz w:val="24"/>
          <w:szCs w:val="24"/>
        </w:rPr>
        <w:t xml:space="preserve">  </w:t>
      </w:r>
      <w:r>
        <w:rPr>
          <w:rFonts w:hint="eastAsia" w:cs="宋体"/>
          <w:sz w:val="24"/>
          <w:szCs w:val="24"/>
        </w:rPr>
        <w:t>行驶证的式样、规格按照农业行业标准《中华人民共和国拖拉机和联合收割机行驶证》执行。拖拉机、联合收割机号牌、临时行驶号牌、登记证书、检验合格标志和相关登记表格的式样、规格，由农业部制定。</w:t>
      </w:r>
    </w:p>
    <w:p>
      <w:pPr>
        <w:pStyle w:val="3"/>
        <w:topLinePunct/>
        <w:spacing w:line="412" w:lineRule="exact"/>
        <w:ind w:firstLine="482"/>
        <w:rPr>
          <w:sz w:val="24"/>
          <w:szCs w:val="24"/>
        </w:rPr>
      </w:pPr>
      <w:r>
        <w:rPr>
          <w:rFonts w:hint="eastAsia" w:cs="宋体"/>
          <w:b/>
          <w:bCs/>
          <w:sz w:val="24"/>
          <w:szCs w:val="24"/>
        </w:rPr>
        <w:t>第三十二条</w:t>
      </w:r>
      <w:r>
        <w:rPr>
          <w:sz w:val="24"/>
          <w:szCs w:val="24"/>
        </w:rPr>
        <w:t xml:space="preserve">  </w:t>
      </w:r>
      <w:r>
        <w:rPr>
          <w:rFonts w:hint="eastAsia" w:cs="宋体"/>
          <w:sz w:val="24"/>
          <w:szCs w:val="24"/>
        </w:rPr>
        <w:t>本规定下列用语的含义：</w:t>
      </w:r>
    </w:p>
    <w:p>
      <w:pPr>
        <w:pStyle w:val="3"/>
        <w:topLinePunct/>
        <w:spacing w:line="412" w:lineRule="exact"/>
        <w:ind w:firstLine="480"/>
        <w:rPr>
          <w:sz w:val="24"/>
          <w:szCs w:val="24"/>
        </w:rPr>
      </w:pPr>
      <w:r>
        <w:rPr>
          <w:rFonts w:hint="eastAsia" w:cs="宋体"/>
          <w:sz w:val="24"/>
          <w:szCs w:val="24"/>
        </w:rPr>
        <w:t>（一）拖拉机、联合收割机所有人是指拥有拖拉机、联合收割机所有权的个人或者单位。</w:t>
      </w:r>
    </w:p>
    <w:p>
      <w:pPr>
        <w:pStyle w:val="3"/>
        <w:topLinePunct/>
        <w:spacing w:line="412" w:lineRule="exact"/>
        <w:ind w:firstLine="480"/>
        <w:rPr>
          <w:sz w:val="24"/>
          <w:szCs w:val="24"/>
        </w:rPr>
      </w:pPr>
      <w:r>
        <w:rPr>
          <w:rFonts w:hint="eastAsia" w:cs="宋体"/>
          <w:sz w:val="24"/>
          <w:szCs w:val="24"/>
        </w:rPr>
        <w:t>（二）身份证明是指：</w:t>
      </w:r>
    </w:p>
    <w:p>
      <w:pPr>
        <w:pStyle w:val="3"/>
        <w:topLinePunct/>
        <w:spacing w:line="412" w:lineRule="exact"/>
        <w:ind w:firstLine="480"/>
        <w:rPr>
          <w:sz w:val="24"/>
          <w:szCs w:val="24"/>
        </w:rPr>
      </w:pPr>
      <w:r>
        <w:rPr>
          <w:sz w:val="24"/>
          <w:szCs w:val="24"/>
        </w:rPr>
        <w:t>1</w:t>
      </w:r>
      <w:r>
        <w:rPr>
          <w:rFonts w:hint="eastAsia" w:cs="宋体"/>
          <w:sz w:val="24"/>
          <w:szCs w:val="24"/>
        </w:rPr>
        <w:t>．机关、事业单位、企业和社会团体的身份证明，是指标注有“统一社会信用代码”的注册登记证（照）。上述单位已注销、撤销或者破产的，已注销的企业单位的身份证明，是工商行政管理部门出具的注销证明；已撤销的机关、事业单位的身份证明，是上级主管机关出具的有关证明；已破产的企业单位的身份证明，是依法成立的财产清算机构出具的有关证明；</w:t>
      </w:r>
    </w:p>
    <w:p>
      <w:pPr>
        <w:pStyle w:val="3"/>
        <w:topLinePunct/>
        <w:spacing w:line="412" w:lineRule="exact"/>
        <w:ind w:firstLine="480"/>
        <w:rPr>
          <w:sz w:val="24"/>
          <w:szCs w:val="24"/>
        </w:rPr>
      </w:pPr>
      <w:r>
        <w:rPr>
          <w:sz w:val="24"/>
          <w:szCs w:val="24"/>
        </w:rPr>
        <w:t>2</w:t>
      </w:r>
      <w:r>
        <w:rPr>
          <w:rFonts w:hint="eastAsia" w:cs="宋体"/>
          <w:sz w:val="24"/>
          <w:szCs w:val="24"/>
        </w:rPr>
        <w:t>．居民的身份证明，是指《居民身份证》或者《居民户口簿》。在户籍所在地以外居住的，其身份证明还包括公安机关核发的居住证明。</w:t>
      </w:r>
    </w:p>
    <w:p>
      <w:pPr>
        <w:pStyle w:val="3"/>
        <w:topLinePunct/>
        <w:spacing w:line="412" w:lineRule="exact"/>
        <w:ind w:firstLine="480"/>
        <w:rPr>
          <w:sz w:val="24"/>
          <w:szCs w:val="24"/>
        </w:rPr>
      </w:pPr>
      <w:r>
        <w:rPr>
          <w:rFonts w:hint="eastAsia" w:cs="宋体"/>
          <w:sz w:val="24"/>
          <w:szCs w:val="24"/>
        </w:rPr>
        <w:t>（三）住址是指：</w:t>
      </w:r>
    </w:p>
    <w:p>
      <w:pPr>
        <w:pStyle w:val="3"/>
        <w:topLinePunct/>
        <w:spacing w:line="412" w:lineRule="exact"/>
        <w:ind w:firstLine="480"/>
        <w:rPr>
          <w:sz w:val="24"/>
          <w:szCs w:val="24"/>
        </w:rPr>
      </w:pPr>
      <w:r>
        <w:rPr>
          <w:sz w:val="24"/>
          <w:szCs w:val="24"/>
        </w:rPr>
        <w:t>1</w:t>
      </w:r>
      <w:r>
        <w:rPr>
          <w:rFonts w:hint="eastAsia" w:cs="宋体"/>
          <w:sz w:val="24"/>
          <w:szCs w:val="24"/>
        </w:rPr>
        <w:t>．单位的住址为其主要办事机构所在地的地址；</w:t>
      </w:r>
    </w:p>
    <w:p>
      <w:pPr>
        <w:pStyle w:val="3"/>
        <w:topLinePunct/>
        <w:spacing w:line="412" w:lineRule="exact"/>
        <w:ind w:firstLine="480"/>
        <w:rPr>
          <w:sz w:val="24"/>
          <w:szCs w:val="24"/>
        </w:rPr>
      </w:pPr>
      <w:r>
        <w:rPr>
          <w:sz w:val="24"/>
          <w:szCs w:val="24"/>
        </w:rPr>
        <w:t>2</w:t>
      </w:r>
      <w:r>
        <w:rPr>
          <w:rFonts w:hint="eastAsia" w:cs="宋体"/>
          <w:sz w:val="24"/>
          <w:szCs w:val="24"/>
        </w:rPr>
        <w:t>．个人的住址为其身份证明记载的地址。在户籍所在地以外居住的是公安机关核发的居住证明记载的地址。</w:t>
      </w:r>
    </w:p>
    <w:p>
      <w:pPr>
        <w:pStyle w:val="3"/>
        <w:topLinePunct/>
        <w:spacing w:line="412" w:lineRule="exact"/>
        <w:ind w:firstLine="480"/>
        <w:rPr>
          <w:sz w:val="24"/>
          <w:szCs w:val="24"/>
        </w:rPr>
      </w:pPr>
      <w:r>
        <w:rPr>
          <w:rFonts w:hint="eastAsia" w:cs="宋体"/>
          <w:sz w:val="24"/>
          <w:szCs w:val="24"/>
        </w:rPr>
        <w:t>（四）获得方式是指：购买、继承、赠予、中奖、协议抵偿债务、资产重组、资产整体买卖、调拨，人民法院调解、裁定、判决，仲裁机构仲裁裁决等。</w:t>
      </w:r>
    </w:p>
    <w:p>
      <w:pPr>
        <w:pStyle w:val="3"/>
        <w:topLinePunct/>
        <w:spacing w:line="412" w:lineRule="exact"/>
        <w:ind w:firstLine="480"/>
        <w:rPr>
          <w:sz w:val="24"/>
          <w:szCs w:val="24"/>
        </w:rPr>
      </w:pPr>
      <w:r>
        <w:rPr>
          <w:rFonts w:hint="eastAsia" w:cs="宋体"/>
          <w:sz w:val="24"/>
          <w:szCs w:val="24"/>
        </w:rPr>
        <w:t>（五）来历证明是指：</w:t>
      </w:r>
    </w:p>
    <w:p>
      <w:pPr>
        <w:pStyle w:val="3"/>
        <w:topLinePunct/>
        <w:spacing w:line="412" w:lineRule="exact"/>
        <w:ind w:firstLine="480"/>
        <w:rPr>
          <w:sz w:val="24"/>
          <w:szCs w:val="24"/>
        </w:rPr>
      </w:pPr>
      <w:r>
        <w:rPr>
          <w:sz w:val="24"/>
          <w:szCs w:val="24"/>
        </w:rPr>
        <w:t>1</w:t>
      </w:r>
      <w:r>
        <w:rPr>
          <w:rFonts w:hint="eastAsia" w:cs="宋体"/>
          <w:sz w:val="24"/>
          <w:szCs w:val="24"/>
        </w:rPr>
        <w:t>．在国内购买的拖拉机、联合收割机，其来历证明是销售发票；销售发票遗失的由销售商或所有人所在组织出具证明；在国外购买的拖拉机、联合收割机，其来历证明是该机销售单位开具的销售发票和其翻译文本；</w:t>
      </w:r>
    </w:p>
    <w:p>
      <w:pPr>
        <w:pStyle w:val="3"/>
        <w:topLinePunct/>
        <w:spacing w:line="412" w:lineRule="exact"/>
        <w:ind w:firstLine="480"/>
        <w:rPr>
          <w:sz w:val="24"/>
          <w:szCs w:val="24"/>
        </w:rPr>
      </w:pPr>
      <w:r>
        <w:rPr>
          <w:sz w:val="24"/>
          <w:szCs w:val="24"/>
        </w:rPr>
        <w:t>2</w:t>
      </w:r>
      <w:r>
        <w:rPr>
          <w:rFonts w:hint="eastAsia" w:cs="宋体"/>
          <w:sz w:val="24"/>
          <w:szCs w:val="24"/>
        </w:rPr>
        <w:t>．人民法院调解、裁定或者判决所有权转移的拖拉机、联合收割机，其来历证明是人民法院出具的已经生效的调解书、裁定书或者判决书以及相应的《协助执行通知书》；</w:t>
      </w:r>
    </w:p>
    <w:p>
      <w:pPr>
        <w:pStyle w:val="3"/>
        <w:topLinePunct/>
        <w:spacing w:line="412" w:lineRule="exact"/>
        <w:ind w:firstLine="480"/>
        <w:rPr>
          <w:sz w:val="24"/>
          <w:szCs w:val="24"/>
        </w:rPr>
      </w:pPr>
      <w:r>
        <w:rPr>
          <w:sz w:val="24"/>
          <w:szCs w:val="24"/>
        </w:rPr>
        <w:t>3</w:t>
      </w:r>
      <w:r>
        <w:rPr>
          <w:rFonts w:hint="eastAsia" w:cs="宋体"/>
          <w:sz w:val="24"/>
          <w:szCs w:val="24"/>
        </w:rPr>
        <w:t>．仲裁机构仲裁裁决所有权转移的拖拉机、联合收割机，其来历证明是仲裁裁决书和人民法院出具的《协助执行通知书》；</w:t>
      </w:r>
    </w:p>
    <w:p>
      <w:pPr>
        <w:pStyle w:val="3"/>
        <w:topLinePunct/>
        <w:spacing w:line="412" w:lineRule="exact"/>
        <w:ind w:firstLine="480"/>
        <w:rPr>
          <w:sz w:val="24"/>
          <w:szCs w:val="24"/>
        </w:rPr>
      </w:pPr>
      <w:r>
        <w:rPr>
          <w:sz w:val="24"/>
          <w:szCs w:val="24"/>
        </w:rPr>
        <w:t>4</w:t>
      </w:r>
      <w:r>
        <w:rPr>
          <w:rFonts w:hint="eastAsia" w:cs="宋体"/>
          <w:sz w:val="24"/>
          <w:szCs w:val="24"/>
        </w:rPr>
        <w:t>．继承、赠予、中奖和协议抵偿债务的拖拉机、联合收割机，其来历证明是继承、赠予、中奖和协议抵偿债务的相关文书；</w:t>
      </w:r>
    </w:p>
    <w:p>
      <w:pPr>
        <w:pStyle w:val="3"/>
        <w:topLinePunct/>
        <w:spacing w:line="412" w:lineRule="exact"/>
        <w:ind w:firstLine="480"/>
        <w:rPr>
          <w:sz w:val="24"/>
          <w:szCs w:val="24"/>
        </w:rPr>
      </w:pPr>
      <w:r>
        <w:rPr>
          <w:sz w:val="24"/>
          <w:szCs w:val="24"/>
        </w:rPr>
        <w:t>5</w:t>
      </w:r>
      <w:r>
        <w:rPr>
          <w:rFonts w:hint="eastAsia" w:cs="宋体"/>
          <w:sz w:val="24"/>
          <w:szCs w:val="24"/>
        </w:rPr>
        <w:t>．经公安机关破案发还的被盗抢且已向原所有人理赔完毕的拖拉机、联合收割机，其来历证明是保险公司出具的《权益转让证明书》；</w:t>
      </w:r>
    </w:p>
    <w:p>
      <w:pPr>
        <w:pStyle w:val="3"/>
        <w:topLinePunct/>
        <w:spacing w:line="412" w:lineRule="exact"/>
        <w:ind w:firstLine="480"/>
        <w:rPr>
          <w:sz w:val="24"/>
          <w:szCs w:val="24"/>
        </w:rPr>
      </w:pPr>
      <w:r>
        <w:rPr>
          <w:sz w:val="24"/>
          <w:szCs w:val="24"/>
        </w:rPr>
        <w:t>6</w:t>
      </w:r>
      <w:r>
        <w:rPr>
          <w:rFonts w:hint="eastAsia" w:cs="宋体"/>
          <w:sz w:val="24"/>
          <w:szCs w:val="24"/>
        </w:rPr>
        <w:t>．更换发动机、机身（底盘）、挂车的来历证明，是生产、销售单位开具的发票或者修理单位开具的发票；</w:t>
      </w:r>
    </w:p>
    <w:p>
      <w:pPr>
        <w:pStyle w:val="3"/>
        <w:topLinePunct/>
        <w:spacing w:line="412" w:lineRule="exact"/>
        <w:ind w:firstLine="480"/>
        <w:rPr>
          <w:sz w:val="24"/>
          <w:szCs w:val="24"/>
        </w:rPr>
      </w:pPr>
      <w:r>
        <w:rPr>
          <w:sz w:val="24"/>
          <w:szCs w:val="24"/>
        </w:rPr>
        <w:t>7</w:t>
      </w:r>
      <w:r>
        <w:rPr>
          <w:rFonts w:hint="eastAsia" w:cs="宋体"/>
          <w:sz w:val="24"/>
          <w:szCs w:val="24"/>
        </w:rPr>
        <w:t>．其它能够证明合法来历的书面证明。</w:t>
      </w:r>
    </w:p>
    <w:p>
      <w:pPr>
        <w:pStyle w:val="3"/>
        <w:topLinePunct/>
        <w:spacing w:line="412" w:lineRule="exact"/>
        <w:ind w:firstLine="482"/>
        <w:rPr>
          <w:rFonts w:cs="宋体"/>
          <w:sz w:val="24"/>
          <w:szCs w:val="24"/>
        </w:rPr>
      </w:pPr>
      <w:r>
        <w:rPr>
          <w:rFonts w:hint="eastAsia" w:cs="宋体"/>
          <w:b/>
          <w:bCs/>
          <w:sz w:val="24"/>
          <w:szCs w:val="24"/>
        </w:rPr>
        <w:t>第三十三条</w:t>
      </w:r>
      <w:r>
        <w:rPr>
          <w:sz w:val="24"/>
          <w:szCs w:val="24"/>
        </w:rPr>
        <w:t xml:space="preserve">  </w:t>
      </w:r>
      <w:r>
        <w:rPr>
          <w:rFonts w:hint="eastAsia" w:cs="宋体"/>
          <w:sz w:val="24"/>
          <w:szCs w:val="24"/>
        </w:rPr>
        <w:t>本规定自</w:t>
      </w:r>
      <w:r>
        <w:rPr>
          <w:sz w:val="24"/>
          <w:szCs w:val="24"/>
        </w:rPr>
        <w:t>2018</w:t>
      </w:r>
      <w:r>
        <w:rPr>
          <w:rFonts w:hint="eastAsia" w:cs="宋体"/>
          <w:sz w:val="24"/>
          <w:szCs w:val="24"/>
        </w:rPr>
        <w:t>年</w:t>
      </w:r>
      <w:r>
        <w:rPr>
          <w:sz w:val="24"/>
          <w:szCs w:val="24"/>
        </w:rPr>
        <w:t>6</w:t>
      </w:r>
      <w:r>
        <w:rPr>
          <w:rFonts w:hint="eastAsia" w:cs="宋体"/>
          <w:sz w:val="24"/>
          <w:szCs w:val="24"/>
        </w:rPr>
        <w:t>月</w:t>
      </w:r>
      <w:r>
        <w:rPr>
          <w:sz w:val="24"/>
          <w:szCs w:val="24"/>
        </w:rPr>
        <w:t>1</w:t>
      </w:r>
      <w:r>
        <w:rPr>
          <w:rFonts w:hint="eastAsia" w:cs="宋体"/>
          <w:sz w:val="24"/>
          <w:szCs w:val="24"/>
        </w:rPr>
        <w:t>日起施行。</w:t>
      </w:r>
      <w:r>
        <w:rPr>
          <w:sz w:val="24"/>
          <w:szCs w:val="24"/>
        </w:rPr>
        <w:t>2004</w:t>
      </w:r>
      <w:r>
        <w:rPr>
          <w:rFonts w:hint="eastAsia" w:cs="宋体"/>
          <w:sz w:val="24"/>
          <w:szCs w:val="24"/>
        </w:rPr>
        <w:t>年</w:t>
      </w:r>
      <w:r>
        <w:rPr>
          <w:sz w:val="24"/>
          <w:szCs w:val="24"/>
        </w:rPr>
        <w:t>9</w:t>
      </w:r>
      <w:r>
        <w:rPr>
          <w:rFonts w:hint="eastAsia" w:cs="宋体"/>
          <w:sz w:val="24"/>
          <w:szCs w:val="24"/>
        </w:rPr>
        <w:t>月</w:t>
      </w:r>
      <w:r>
        <w:rPr>
          <w:sz w:val="24"/>
          <w:szCs w:val="24"/>
        </w:rPr>
        <w:t>21</w:t>
      </w:r>
      <w:r>
        <w:rPr>
          <w:rFonts w:hint="eastAsia" w:cs="宋体"/>
          <w:sz w:val="24"/>
          <w:szCs w:val="24"/>
        </w:rPr>
        <w:t>日公布、</w:t>
      </w:r>
      <w:r>
        <w:rPr>
          <w:sz w:val="24"/>
          <w:szCs w:val="24"/>
        </w:rPr>
        <w:t>2010</w:t>
      </w:r>
      <w:r>
        <w:rPr>
          <w:rFonts w:hint="eastAsia" w:cs="宋体"/>
          <w:sz w:val="24"/>
          <w:szCs w:val="24"/>
        </w:rPr>
        <w:t>年</w:t>
      </w:r>
      <w:r>
        <w:rPr>
          <w:sz w:val="24"/>
          <w:szCs w:val="24"/>
        </w:rPr>
        <w:t>11</w:t>
      </w:r>
      <w:r>
        <w:rPr>
          <w:rFonts w:hint="eastAsia" w:cs="宋体"/>
          <w:sz w:val="24"/>
          <w:szCs w:val="24"/>
        </w:rPr>
        <w:t>月</w:t>
      </w:r>
      <w:r>
        <w:rPr>
          <w:sz w:val="24"/>
          <w:szCs w:val="24"/>
        </w:rPr>
        <w:t>26</w:t>
      </w:r>
      <w:r>
        <w:rPr>
          <w:rFonts w:hint="eastAsia" w:cs="宋体"/>
          <w:sz w:val="24"/>
          <w:szCs w:val="24"/>
        </w:rPr>
        <w:t>日修订的《拖拉机登记规定》和</w:t>
      </w:r>
      <w:r>
        <w:rPr>
          <w:sz w:val="24"/>
          <w:szCs w:val="24"/>
        </w:rPr>
        <w:t>2006</w:t>
      </w:r>
      <w:r>
        <w:rPr>
          <w:rFonts w:hint="eastAsia" w:cs="宋体"/>
          <w:sz w:val="24"/>
          <w:szCs w:val="24"/>
        </w:rPr>
        <w:t>年</w:t>
      </w:r>
      <w:r>
        <w:rPr>
          <w:sz w:val="24"/>
          <w:szCs w:val="24"/>
        </w:rPr>
        <w:t>11</w:t>
      </w:r>
      <w:r>
        <w:rPr>
          <w:rFonts w:hint="eastAsia" w:cs="宋体"/>
          <w:sz w:val="24"/>
          <w:szCs w:val="24"/>
        </w:rPr>
        <w:t>月</w:t>
      </w:r>
      <w:r>
        <w:rPr>
          <w:sz w:val="24"/>
          <w:szCs w:val="24"/>
        </w:rPr>
        <w:t>2</w:t>
      </w:r>
      <w:r>
        <w:rPr>
          <w:rFonts w:hint="eastAsia" w:cs="宋体"/>
          <w:sz w:val="24"/>
          <w:szCs w:val="24"/>
        </w:rPr>
        <w:t>日公布、</w:t>
      </w:r>
      <w:r>
        <w:rPr>
          <w:sz w:val="24"/>
          <w:szCs w:val="24"/>
        </w:rPr>
        <w:t>2010</w:t>
      </w:r>
      <w:r>
        <w:rPr>
          <w:rFonts w:hint="eastAsia" w:cs="宋体"/>
          <w:sz w:val="24"/>
          <w:szCs w:val="24"/>
        </w:rPr>
        <w:t>年</w:t>
      </w:r>
      <w:r>
        <w:rPr>
          <w:sz w:val="24"/>
          <w:szCs w:val="24"/>
        </w:rPr>
        <w:t>11</w:t>
      </w:r>
      <w:r>
        <w:rPr>
          <w:rFonts w:hint="eastAsia" w:cs="宋体"/>
          <w:sz w:val="24"/>
          <w:szCs w:val="24"/>
        </w:rPr>
        <w:t>月</w:t>
      </w:r>
      <w:r>
        <w:rPr>
          <w:sz w:val="24"/>
          <w:szCs w:val="24"/>
        </w:rPr>
        <w:t>26</w:t>
      </w:r>
      <w:r>
        <w:rPr>
          <w:rFonts w:hint="eastAsia" w:cs="宋体"/>
          <w:sz w:val="24"/>
          <w:szCs w:val="24"/>
        </w:rPr>
        <w:t>日修订的《联合收割机及驾驶人安全监理规定》同时废止。</w:t>
      </w:r>
    </w:p>
    <w:p>
      <w:pPr>
        <w:pStyle w:val="3"/>
        <w:topLinePunct/>
        <w:spacing w:line="416" w:lineRule="exact"/>
        <w:ind w:firstLine="480"/>
        <w:rPr>
          <w:rFonts w:cs="宋体"/>
          <w:sz w:val="24"/>
          <w:szCs w:val="24"/>
        </w:rPr>
      </w:pPr>
    </w:p>
    <w:p>
      <w:pPr>
        <w:widowControl/>
        <w:spacing w:before="156" w:after="156"/>
        <w:ind w:firstLine="240"/>
        <w:rPr>
          <w:rFonts w:ascii="宋体" w:hAnsi="宋体" w:eastAsia="宋体" w:cs="宋体"/>
          <w:sz w:val="24"/>
          <w:szCs w:val="24"/>
        </w:rPr>
      </w:pPr>
      <w:r>
        <w:rPr>
          <w:rFonts w:cs="宋体"/>
          <w:sz w:val="24"/>
          <w:szCs w:val="24"/>
        </w:rPr>
        <w:br w:type="page"/>
      </w:r>
    </w:p>
    <w:p>
      <w:pPr>
        <w:pStyle w:val="3"/>
        <w:topLinePunct/>
        <w:spacing w:line="416" w:lineRule="exact"/>
        <w:ind w:firstLine="480"/>
        <w:rPr>
          <w:rFonts w:cs="宋体"/>
          <w:sz w:val="24"/>
          <w:szCs w:val="24"/>
        </w:rPr>
      </w:pPr>
    </w:p>
    <w:p>
      <w:pPr>
        <w:pStyle w:val="61"/>
      </w:pPr>
      <w:bookmarkStart w:id="1549" w:name="_Toc28157092"/>
      <w:bookmarkStart w:id="1550" w:name="_Toc26348070"/>
      <w:bookmarkStart w:id="1551" w:name="_Toc25653816"/>
      <w:bookmarkStart w:id="1552" w:name="_Toc25648315"/>
      <w:bookmarkStart w:id="1553" w:name="_Toc28251020"/>
      <w:bookmarkStart w:id="1554" w:name="_Toc28252302"/>
      <w:r>
        <w:rPr>
          <w:rFonts w:hint="eastAsia"/>
        </w:rPr>
        <w:t>联合收割机跨区作业管理办法</w:t>
      </w:r>
      <w:bookmarkEnd w:id="1549"/>
      <w:bookmarkEnd w:id="1550"/>
      <w:bookmarkEnd w:id="1551"/>
      <w:bookmarkEnd w:id="1552"/>
      <w:bookmarkEnd w:id="1553"/>
      <w:bookmarkEnd w:id="1554"/>
    </w:p>
    <w:p>
      <w:pPr>
        <w:pStyle w:val="62"/>
      </w:pPr>
      <w:r>
        <w:rPr>
          <w:rFonts w:hint="eastAsia"/>
        </w:rPr>
        <w:t>（2003年7月4日农业部令第29号公布，根据2004年7月1日农业部令第38号第一次修订，根据2007年11月8日农业部令第6号第二次修订，根据2019年4月25日农业农村部令第2号第三次修订）</w:t>
      </w:r>
    </w:p>
    <w:p>
      <w:pPr>
        <w:pStyle w:val="63"/>
        <w:spacing w:before="218" w:after="218" w:line="412" w:lineRule="exact"/>
      </w:pPr>
      <w:r>
        <w:rPr>
          <w:rFonts w:hint="eastAsia"/>
        </w:rPr>
        <w:t>第一章</w:t>
      </w:r>
      <w:r>
        <w:t xml:space="preserve"> </w:t>
      </w:r>
      <w:r>
        <w:rPr>
          <w:rFonts w:hint="eastAsia"/>
        </w:rPr>
        <w:t xml:space="preserve"> 总  则</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第一条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为了加强联合收割机跨区作业管理，规范跨区作业市场秩序，维护参与跨区作业各方的合法权益，保证农作物适时收获，促进农民增收和农业现代化建设，根据《中华人民共和国农业法》等有关法律法规，制定本办法。</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本办法所称联合收割机跨区作业（以下简称跨区作业），是指驾驶操作各类联合收割机跨越县级以上行政区域（邻县除外）进行小麦、水稻、玉米等农作物收获作业的活动。</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本办法所称跨区作业中介服务组织，是指组织联合收割机外出作业或者引进联合收割机作业的单位。</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第三条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从事跨区作业的联合收割机驾驶员、辅助作业人员以及与跨区作业活动有关的单位和个人，应当遵守本办法。</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第四条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县级以上农机管理部门负责本辖区内跨区作业的组织、协调和监督管理。</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第五条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各级农机管理部门要遵循公正、公开、规范、方便的原则，建立统一开放、竞争有序的跨区作业市场。</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第六条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各级农机管理部门应当在本级人民政府统一领导下，会同公安、交通、物价、工商等有关部门，依法采取有效措施，保障跨区作业顺利进行。</w:t>
      </w:r>
    </w:p>
    <w:p>
      <w:pPr>
        <w:pStyle w:val="63"/>
        <w:spacing w:before="218" w:after="218" w:line="412" w:lineRule="exact"/>
      </w:pPr>
      <w:r>
        <w:rPr>
          <w:rFonts w:hint="eastAsia"/>
        </w:rPr>
        <w:t>第二章</w:t>
      </w:r>
      <w:r>
        <w:t xml:space="preserve">  </w:t>
      </w:r>
      <w:r>
        <w:rPr>
          <w:rFonts w:hint="eastAsia"/>
        </w:rPr>
        <w:t>中介服务组织</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第七条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鼓励和扶持农机推广站、乡镇农机站、农机作业服务公司、农机合作社、农机大户等组建跨区作业中介服务组织，开展跨区作业中介服务活动。</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跨区作业中介服务组织应当向县级以上农机管理部门备案，具体办法由各省、自治区、直辖市农机管理部门制定。</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第八条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跨区作业中介服务组织根据市场的需求，可以组建若干跨区作业队，组织联合收割机和驾驶员从事跨区作业。</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跨区作业中介服务组织负责统一联系作业任务，保证联合收割机安全转移，及时协调解决作业纠纷，协助做好联合收割机的维修和油料供应等服务。</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参加跨区作业队的联合收割机及驾驶员应服从跨区作业中介服务组织的管理和调度。</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第九条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跨区作业中介服务组织应当与联合收割机驾驶员签订中介服务合同，明确双方的权利和义务。</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跨区作业中介服务组织应当配备相应的交通、通讯等服务设备和技术人员，为参加跨区作业的联合收割机及驾驶员提供优质服务，并遵守有关法律、法规和规章的规定。</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跨区作业中介服务组织收取的服务费，按照当地省级价格主管部门的规定执行。尚未制定服务费标准的，由跨区作业中介服务组织和联合收割机驾驶员按公平、自愿的原则商定。严禁只收费不服务或多收费少服务。</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跨区作业的供需双方应当签订跨区作业合同，合理确定引进或外出联合收割机的数量和作业任务。跨区作业合同签订后，应当分别报当地农机管理部门备案。</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跨区作业合同一般包括以下内容：联合收割机数量和型号、作业地点、作业面积、作业价格、作业时间、双方权利和义务以及违约责任等。</w:t>
      </w:r>
    </w:p>
    <w:p>
      <w:pPr>
        <w:pStyle w:val="63"/>
        <w:spacing w:before="218" w:after="218" w:line="412" w:lineRule="exact"/>
      </w:pPr>
      <w:r>
        <w:rPr>
          <w:rFonts w:hint="eastAsia"/>
        </w:rPr>
        <w:t>第三章</w:t>
      </w:r>
      <w:r>
        <w:t xml:space="preserve">  </w:t>
      </w:r>
      <w:r>
        <w:rPr>
          <w:rFonts w:hint="eastAsia"/>
        </w:rPr>
        <w:t>跨区作业管理</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第十一条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从事跨区作业的联合收割机，机主可向当地县级以上农机管理部门申领《联合收割机跨区收获作业证》（以下简称《作业证》）。对符合条件的，农机管理部门免费发放《作业证》，并逐级向农业部登记备案。</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第十二条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申领《作业证》的联合收割机应当具备以下条件：</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（一）具有农机监理机构核发的有效号牌和行驶证；</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（二）参加跨区作业队；</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（三）省级农机管理部门规定的其他条件。</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不得对没有参加跨区作业队的联合收割机发放《作业证》，不得跨行政区域发放《作业证》。</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第十三条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《作业证》由农业部统一制作，全国范围内使用，当年有效。严禁涂改、转借、伪造和倒卖《作业证》。</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第十四条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严禁没有明确作业地点的联合收割机盲目流动，扰乱跨区作业秩序。</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第十五条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联合收割机驾驶员应熟练掌握联合收割机操作技能，熟悉基本农艺要求和作业质量标准，持有农机监理机构核发的有效驾驶证件。</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第十六条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联合收割机驾驶员必须按照国家及地方有关农机作业质量标准或当事人双方约定的标准进行作业。</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当事人双方对作业质量存在异议时，可申请作业地的县级以上农机管理部门协调解决。</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第十七条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联合收割机及驾驶员、辅助作业人员应严格按照《联合收割机及驾驶员安全监理规定》的要求进行作业，防止农机事故发生，做到安全生产。跨区作业期间发生农机事故的，应当及时向当地农机管理部门报告，并接受调查和处理。</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第十八条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任何单位和个人不得非法上路拦截过境的联合收割机，诱骗、强迫驾驶员进行收割作业。</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第十九条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跨区作业队在公路上长距离转移时，要统一编队，合理安排路线，注意交通安全，遵守道路交通管理法规，服从交警指挥，自觉维护交通秩序。</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各级农机管理部门应当建立安全生产检查制度，加强安全生产宣传教育，纠正和处理违章作业，维护正常的跨区作业秩序。</w:t>
      </w:r>
    </w:p>
    <w:p>
      <w:pPr>
        <w:pStyle w:val="63"/>
        <w:spacing w:before="218" w:after="218" w:line="412" w:lineRule="exact"/>
      </w:pPr>
      <w:r>
        <w:rPr>
          <w:rFonts w:hint="eastAsia"/>
        </w:rPr>
        <w:t>第四章</w:t>
      </w:r>
      <w:r>
        <w:t xml:space="preserve">  </w:t>
      </w:r>
      <w:r>
        <w:rPr>
          <w:rFonts w:hint="eastAsia"/>
        </w:rPr>
        <w:t>跨区作业服务</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第二十一条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县级农机管理部门应根据农时季节在本县范围内设立跨区作业接待服务站，公布联系方式和工作规范，掌握进入本辖区联合收割机的数量和作业任务，做好有关接待和服务工作，保障外来跨区作业队的安全和合法权益。</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第二十二条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各级农机管理部门负责组织协调有关单位做好联合收割机的维修和零配件、油料的供应工作，严禁假冒伪劣的农机零配件和油料进入市场。</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第二十三条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各级农机管理部门应当建立跨区作业信息服务网络，建立跨区作业信息搜集、整理和发布制度，及时向农民、驾驶员和跨区作业中介服务组织等提供真实、有效的信息。</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第二十四条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县级农机管理部门负责对本辖区内的跨区作业信息进行调查和统计，逐级报农业部。</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跨区作业信息包括农作物种植面积、收获时间、计划外出（引进）联合收割机数量、作业参考价格、农作物收获进度、农机管理部门的服务电话等内容。</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第二十五条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全国跨区作业信息由农业部在中国农业机械化信息网和有关新闻媒体上发布。地方跨区作业信息由当地农机管理部门负责发布。</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第二十六条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各级农机管理部门应当设立跨区作业服务热线电话，确定专人负责，接受农民、驾驶员的信息咨询和投诉。</w:t>
      </w:r>
    </w:p>
    <w:p>
      <w:pPr>
        <w:pStyle w:val="63"/>
        <w:spacing w:before="218" w:after="218" w:line="412" w:lineRule="exact"/>
      </w:pPr>
      <w:r>
        <w:rPr>
          <w:rFonts w:hint="eastAsia"/>
        </w:rPr>
        <w:t>第五章</w:t>
      </w:r>
      <w:r>
        <w:t xml:space="preserve">  </w:t>
      </w:r>
      <w:r>
        <w:rPr>
          <w:rFonts w:hint="eastAsia"/>
        </w:rPr>
        <w:t>奖励与处罚</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第二十七条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各级农机管理部门对在跨区作业的组织、管理和服务工作中做出显著贡献的有关单位和个人，给予表彰和奖励。</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第二十八条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跨区作业中介服务组织不配备相应的服务设施和技术人员，没有兑现服务承诺，只收费不服务或者多收费少服务的，由县级以上农机管理部门给予警告，责令退还服务费，可并处</w:t>
      </w:r>
      <w:r>
        <w:rPr>
          <w:rFonts w:asciiTheme="minorEastAsia" w:hAnsiTheme="minorEastAsia" w:eastAsiaTheme="minorEastAsia"/>
          <w:sz w:val="24"/>
          <w:szCs w:val="24"/>
        </w:rPr>
        <w:t>500</w:t>
      </w:r>
      <w:r>
        <w:rPr>
          <w:rFonts w:hint="eastAsia" w:cs="宋体" w:asciiTheme="minorEastAsia" w:hAnsiTheme="minorEastAsia" w:eastAsiaTheme="minorEastAsia"/>
          <w:sz w:val="24"/>
          <w:szCs w:val="24"/>
        </w:rPr>
        <w:t>元以上</w:t>
      </w:r>
      <w:r>
        <w:rPr>
          <w:rFonts w:asciiTheme="minorEastAsia" w:hAnsiTheme="minorEastAsia" w:eastAsiaTheme="minorEastAsia"/>
          <w:sz w:val="24"/>
          <w:szCs w:val="24"/>
        </w:rPr>
        <w:t>1000</w:t>
      </w:r>
      <w:r>
        <w:rPr>
          <w:rFonts w:hint="eastAsia" w:cs="宋体" w:asciiTheme="minorEastAsia" w:hAnsiTheme="minorEastAsia" w:eastAsiaTheme="minorEastAsia"/>
          <w:sz w:val="24"/>
          <w:szCs w:val="24"/>
        </w:rPr>
        <w:t>元以下的罚款；违反有关收费标准的，由县级以上农机管理部门配合价格主管部门依法查处。</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第二十九条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违规发放《作业证》的，由上级农机管理部门责令停止违法行为，给予通报批评；情节严重的，对直接负责的主管人员和其他直接责任人员，可以依法给予行政处分。</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第三十条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持假冒《作业证》或扰乱跨区作业秩序的，由县级以上农机管理部门责令停止违法行为，纳入当地农机管理部门统一管理，可并处</w:t>
      </w:r>
      <w:r>
        <w:rPr>
          <w:rFonts w:asciiTheme="minorEastAsia" w:hAnsiTheme="minorEastAsia" w:eastAsiaTheme="minorEastAsia"/>
          <w:sz w:val="24"/>
          <w:szCs w:val="24"/>
        </w:rPr>
        <w:t>50</w:t>
      </w:r>
      <w:r>
        <w:rPr>
          <w:rFonts w:hint="eastAsia" w:cs="宋体" w:asciiTheme="minorEastAsia" w:hAnsiTheme="minorEastAsia" w:eastAsiaTheme="minorEastAsia"/>
          <w:sz w:val="24"/>
          <w:szCs w:val="24"/>
        </w:rPr>
        <w:t>元以上</w:t>
      </w:r>
      <w:r>
        <w:rPr>
          <w:rFonts w:asciiTheme="minorEastAsia" w:hAnsiTheme="minorEastAsia" w:eastAsiaTheme="minorEastAsia"/>
          <w:sz w:val="24"/>
          <w:szCs w:val="24"/>
        </w:rPr>
        <w:t>100</w:t>
      </w:r>
      <w:r>
        <w:rPr>
          <w:rFonts w:hint="eastAsia" w:cs="宋体" w:asciiTheme="minorEastAsia" w:hAnsiTheme="minorEastAsia" w:eastAsiaTheme="minorEastAsia"/>
          <w:sz w:val="24"/>
          <w:szCs w:val="24"/>
        </w:rPr>
        <w:t>元以下的罚款；情节严重的，可并处</w:t>
      </w:r>
      <w:r>
        <w:rPr>
          <w:rFonts w:asciiTheme="minorEastAsia" w:hAnsiTheme="minorEastAsia" w:eastAsiaTheme="minorEastAsia"/>
          <w:sz w:val="24"/>
          <w:szCs w:val="24"/>
        </w:rPr>
        <w:t>100</w:t>
      </w:r>
      <w:r>
        <w:rPr>
          <w:rFonts w:hint="eastAsia" w:cs="宋体" w:asciiTheme="minorEastAsia" w:hAnsiTheme="minorEastAsia" w:eastAsiaTheme="minorEastAsia"/>
          <w:sz w:val="24"/>
          <w:szCs w:val="24"/>
        </w:rPr>
        <w:t>元以上</w:t>
      </w:r>
      <w:r>
        <w:rPr>
          <w:rFonts w:asciiTheme="minorEastAsia" w:hAnsiTheme="minorEastAsia" w:eastAsiaTheme="minorEastAsia"/>
          <w:sz w:val="24"/>
          <w:szCs w:val="24"/>
        </w:rPr>
        <w:t>200</w:t>
      </w:r>
      <w:r>
        <w:rPr>
          <w:rFonts w:hint="eastAsia" w:cs="宋体" w:asciiTheme="minorEastAsia" w:hAnsiTheme="minorEastAsia" w:eastAsiaTheme="minorEastAsia"/>
          <w:sz w:val="24"/>
          <w:szCs w:val="24"/>
        </w:rPr>
        <w:t>元以下的罚款。</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第三十一条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非法上路拦截过境联合收割机及驾驶员的，由事件发生地的农机管理部门采用说服教育的方式予以制止。砸抢机车、拦劫敲诈驾驶员的，移送公安机关依法惩处。</w:t>
      </w:r>
    </w:p>
    <w:p>
      <w:pPr>
        <w:pStyle w:val="63"/>
        <w:spacing w:before="218" w:after="218" w:line="412" w:lineRule="exact"/>
      </w:pPr>
      <w:r>
        <w:rPr>
          <w:rFonts w:hint="eastAsia"/>
        </w:rPr>
        <w:t>第六章</w:t>
      </w:r>
      <w:r>
        <w:t xml:space="preserve">  </w:t>
      </w:r>
      <w:r>
        <w:rPr>
          <w:rFonts w:hint="eastAsia"/>
        </w:rPr>
        <w:t>附则</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第三十二条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各省、自治区、直辖市农机管理部门可以结合本地实际，制定本办法的实施细则。</w:t>
      </w:r>
    </w:p>
    <w:p>
      <w:pPr>
        <w:pStyle w:val="3"/>
        <w:topLinePunct/>
        <w:spacing w:line="412" w:lineRule="exact"/>
        <w:ind w:firstLine="480"/>
        <w:rPr>
          <w:rFonts w:asciiTheme="minorEastAsia" w:hAnsiTheme="minorEastAsia" w:eastAsiaTheme="minorEastAsia"/>
          <w:sz w:val="24"/>
          <w:szCs w:val="24"/>
        </w:rPr>
      </w:pPr>
      <w:r>
        <w:rPr>
          <w:rFonts w:hint="eastAsia" w:cs="宋体" w:asciiTheme="minorEastAsia" w:hAnsiTheme="minorEastAsia" w:eastAsiaTheme="minorEastAsia"/>
          <w:sz w:val="24"/>
          <w:szCs w:val="24"/>
        </w:rPr>
        <w:t>组织其它农业机械从事跨区机耕、机播（机插）、机械化秸秆还田等作业的，参照本办法执行。</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第三十三条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本办法由农业部负责解释。</w:t>
      </w:r>
    </w:p>
    <w:p>
      <w:pPr>
        <w:pStyle w:val="3"/>
        <w:topLinePunct/>
        <w:spacing w:line="412" w:lineRule="exact"/>
        <w:ind w:firstLine="482"/>
        <w:rPr>
          <w:rFonts w:asciiTheme="minorEastAsia" w:hAnsiTheme="minorEastAsia" w:eastAsiaTheme="minorEastAsia"/>
          <w:sz w:val="24"/>
          <w:szCs w:val="24"/>
        </w:rPr>
      </w:pPr>
      <w:r>
        <w:rPr>
          <w:rFonts w:hint="eastAsia" w:cs="宋体" w:asciiTheme="minorEastAsia" w:hAnsiTheme="minorEastAsia" w:eastAsiaTheme="minorEastAsia"/>
          <w:b/>
          <w:bCs/>
          <w:sz w:val="24"/>
          <w:szCs w:val="24"/>
        </w:rPr>
        <w:t>第三十四条</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本办法自</w:t>
      </w:r>
      <w:r>
        <w:rPr>
          <w:rFonts w:asciiTheme="minorEastAsia" w:hAnsiTheme="minorEastAsia" w:eastAsiaTheme="minorEastAsia"/>
          <w:sz w:val="24"/>
          <w:szCs w:val="24"/>
        </w:rPr>
        <w:t>2004</w:t>
      </w:r>
      <w:r>
        <w:rPr>
          <w:rFonts w:hint="eastAsia" w:cs="宋体" w:asciiTheme="minorEastAsia" w:hAnsiTheme="minorEastAsia" w:eastAsiaTheme="minorEastAsia"/>
          <w:sz w:val="24"/>
          <w:szCs w:val="24"/>
        </w:rPr>
        <w:t>年</w:t>
      </w:r>
      <w:r>
        <w:rPr>
          <w:rFonts w:asciiTheme="minorEastAsia" w:hAnsiTheme="minorEastAsia" w:eastAsiaTheme="minorEastAsia"/>
          <w:sz w:val="24"/>
          <w:szCs w:val="24"/>
        </w:rPr>
        <w:t>7</w:t>
      </w:r>
      <w:r>
        <w:rPr>
          <w:rFonts w:hint="eastAsia" w:cs="宋体" w:asciiTheme="minorEastAsia" w:hAnsiTheme="minorEastAsia" w:eastAsiaTheme="minorEastAsia"/>
          <w:sz w:val="24"/>
          <w:szCs w:val="24"/>
        </w:rPr>
        <w:t>月</w:t>
      </w:r>
      <w:r>
        <w:rPr>
          <w:rFonts w:asciiTheme="minorEastAsia" w:hAnsiTheme="minorEastAsia" w:eastAsiaTheme="minorEastAsia"/>
          <w:sz w:val="24"/>
          <w:szCs w:val="24"/>
        </w:rPr>
        <w:t>1</w:t>
      </w:r>
      <w:r>
        <w:rPr>
          <w:rFonts w:hint="eastAsia" w:cs="宋体" w:asciiTheme="minorEastAsia" w:hAnsiTheme="minorEastAsia" w:eastAsiaTheme="minorEastAsia"/>
          <w:sz w:val="24"/>
          <w:szCs w:val="24"/>
        </w:rPr>
        <w:t>日起施行。</w:t>
      </w:r>
    </w:p>
    <w:p>
      <w:pPr>
        <w:pStyle w:val="3"/>
        <w:topLinePunct/>
        <w:spacing w:line="416" w:lineRule="exact"/>
        <w:ind w:firstLine="480"/>
        <w:rPr>
          <w:sz w:val="24"/>
          <w:szCs w:val="24"/>
        </w:rPr>
      </w:pPr>
    </w:p>
    <w:p>
      <w:pPr>
        <w:pStyle w:val="3"/>
        <w:topLinePunct/>
        <w:spacing w:line="416" w:lineRule="exact"/>
        <w:ind w:firstLine="480"/>
        <w:rPr>
          <w:rFonts w:asciiTheme="minorEastAsia" w:hAnsiTheme="minorEastAsia" w:eastAsiaTheme="minorEastAsia"/>
          <w:sz w:val="24"/>
          <w:szCs w:val="24"/>
        </w:rPr>
      </w:pPr>
      <w:r>
        <w:rPr>
          <w:kern w:val="0"/>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555" w:name="_Toc28251021"/>
      <w:bookmarkStart w:id="1556" w:name="_Toc28252303"/>
      <w:bookmarkStart w:id="1557" w:name="_Toc25653817"/>
      <w:bookmarkStart w:id="1558" w:name="_Toc28157093"/>
      <w:bookmarkStart w:id="1559" w:name="_Toc25648316"/>
      <w:bookmarkStart w:id="1560" w:name="_Toc26348071"/>
      <w:r>
        <w:rPr>
          <w:rFonts w:hint="eastAsia"/>
        </w:rPr>
        <w:t>拖拉机驾驶培训管理办法</w:t>
      </w:r>
      <w:bookmarkEnd w:id="1555"/>
      <w:bookmarkEnd w:id="1556"/>
      <w:bookmarkEnd w:id="1557"/>
      <w:bookmarkEnd w:id="1558"/>
      <w:bookmarkEnd w:id="1559"/>
      <w:bookmarkEnd w:id="1560"/>
    </w:p>
    <w:p>
      <w:pPr>
        <w:pStyle w:val="62"/>
      </w:pPr>
      <w:r>
        <w:rPr>
          <w:rFonts w:hint="eastAsia"/>
        </w:rPr>
        <w:t>（</w:t>
      </w:r>
      <w:r>
        <w:t>2004</w:t>
      </w:r>
      <w:r>
        <w:rPr>
          <w:rFonts w:hint="eastAsia"/>
        </w:rPr>
        <w:t>年</w:t>
      </w:r>
      <w:r>
        <w:t>8</w:t>
      </w:r>
      <w:r>
        <w:rPr>
          <w:rFonts w:hint="eastAsia"/>
        </w:rPr>
        <w:t>月</w:t>
      </w:r>
      <w:r>
        <w:t>15</w:t>
      </w:r>
      <w:r>
        <w:rPr>
          <w:rFonts w:hint="eastAsia"/>
        </w:rPr>
        <w:t>日农业部令第</w:t>
      </w:r>
      <w:r>
        <w:t>41</w:t>
      </w:r>
      <w:r>
        <w:rPr>
          <w:rFonts w:hint="eastAsia"/>
        </w:rPr>
        <w:t>号公布，</w:t>
      </w:r>
      <w:r>
        <w:t>2019</w:t>
      </w:r>
      <w:r>
        <w:rPr>
          <w:rFonts w:hint="eastAsia"/>
        </w:rPr>
        <w:t>年</w:t>
      </w:r>
      <w:r>
        <w:t>4</w:t>
      </w:r>
      <w:r>
        <w:rPr>
          <w:rFonts w:hint="eastAsia"/>
        </w:rPr>
        <w:t>月</w:t>
      </w:r>
      <w:r>
        <w:t>25</w:t>
      </w:r>
      <w:r>
        <w:rPr>
          <w:rFonts w:hint="eastAsia"/>
        </w:rPr>
        <w:t>日农业农村部令根据</w:t>
      </w:r>
      <w:r>
        <w:t>2019</w:t>
      </w:r>
      <w:r>
        <w:rPr>
          <w:rFonts w:hint="eastAsia"/>
        </w:rPr>
        <w:t>年第</w:t>
      </w:r>
      <w:r>
        <w:t>2</w:t>
      </w:r>
      <w:r>
        <w:rPr>
          <w:rFonts w:hint="eastAsia"/>
        </w:rPr>
        <w:t>号修订）</w:t>
      </w:r>
    </w:p>
    <w:p>
      <w:pPr>
        <w:pStyle w:val="63"/>
        <w:spacing w:before="218" w:after="218" w:line="412" w:lineRule="exact"/>
        <w:rPr>
          <w:kern w:val="0"/>
        </w:rPr>
      </w:pPr>
      <w:r>
        <w:rPr>
          <w:rFonts w:hint="eastAsia"/>
          <w:kern w:val="0"/>
        </w:rPr>
        <w:t>第一章  总  则</w:t>
      </w:r>
    </w:p>
    <w:p>
      <w:pPr>
        <w:pStyle w:val="3"/>
        <w:topLinePunct/>
        <w:spacing w:line="412" w:lineRule="exact"/>
        <w:ind w:firstLine="482"/>
        <w:rPr>
          <w:kern w:val="0"/>
          <w:sz w:val="24"/>
          <w:szCs w:val="24"/>
        </w:rPr>
      </w:pPr>
      <w:r>
        <w:rPr>
          <w:rFonts w:hint="eastAsia" w:cs="宋体"/>
          <w:b/>
          <w:bCs/>
          <w:kern w:val="0"/>
          <w:sz w:val="24"/>
          <w:szCs w:val="24"/>
        </w:rPr>
        <w:t xml:space="preserve">第一条 </w:t>
      </w:r>
      <w:r>
        <w:rPr>
          <w:kern w:val="0"/>
          <w:sz w:val="24"/>
          <w:szCs w:val="24"/>
        </w:rPr>
        <w:t xml:space="preserve"> </w:t>
      </w:r>
      <w:r>
        <w:rPr>
          <w:rFonts w:hint="eastAsia" w:cs="宋体"/>
          <w:kern w:val="0"/>
          <w:sz w:val="24"/>
          <w:szCs w:val="24"/>
        </w:rPr>
        <w:t>为了规范拖拉机驾驶员培训行业管理，确保拖拉机驾驶培训质量，保障人民生命财产安全，根据《中华人民共和国道路交通安全法》有关规定，制定本办法。</w:t>
      </w:r>
    </w:p>
    <w:p>
      <w:pPr>
        <w:pStyle w:val="3"/>
        <w:topLinePunct/>
        <w:spacing w:line="412" w:lineRule="exact"/>
        <w:ind w:firstLine="482"/>
        <w:rPr>
          <w:kern w:val="0"/>
          <w:sz w:val="24"/>
          <w:szCs w:val="24"/>
        </w:rPr>
      </w:pPr>
      <w:r>
        <w:rPr>
          <w:rFonts w:hint="eastAsia" w:cs="宋体"/>
          <w:b/>
          <w:bCs/>
          <w:kern w:val="0"/>
          <w:sz w:val="24"/>
          <w:szCs w:val="24"/>
        </w:rPr>
        <w:t xml:space="preserve">第二条 </w:t>
      </w:r>
      <w:r>
        <w:rPr>
          <w:kern w:val="0"/>
          <w:sz w:val="24"/>
          <w:szCs w:val="24"/>
        </w:rPr>
        <w:t xml:space="preserve"> </w:t>
      </w:r>
      <w:r>
        <w:rPr>
          <w:rFonts w:hint="eastAsia" w:cs="宋体"/>
          <w:kern w:val="0"/>
          <w:sz w:val="24"/>
          <w:szCs w:val="24"/>
        </w:rPr>
        <w:t>农业部负责全国拖拉机驾驶培训管理工作。</w:t>
      </w:r>
    </w:p>
    <w:p>
      <w:pPr>
        <w:pStyle w:val="3"/>
        <w:topLinePunct/>
        <w:spacing w:line="412" w:lineRule="exact"/>
        <w:ind w:firstLine="480"/>
        <w:rPr>
          <w:kern w:val="0"/>
          <w:sz w:val="24"/>
          <w:szCs w:val="24"/>
        </w:rPr>
      </w:pPr>
      <w:r>
        <w:rPr>
          <w:rFonts w:hint="eastAsia" w:cs="宋体"/>
          <w:kern w:val="0"/>
          <w:sz w:val="24"/>
          <w:szCs w:val="24"/>
        </w:rPr>
        <w:t>县级</w:t>
      </w:r>
      <w:r>
        <w:rPr>
          <w:rFonts w:hint="eastAsia" w:cs="宋体"/>
          <w:spacing w:val="-4"/>
          <w:kern w:val="0"/>
          <w:sz w:val="24"/>
          <w:szCs w:val="24"/>
        </w:rPr>
        <w:t>以上地方人民政府农机主管部门负责本行政区域内拖拉机驾驶培训管理工作。</w:t>
      </w:r>
    </w:p>
    <w:p>
      <w:pPr>
        <w:pStyle w:val="3"/>
        <w:topLinePunct/>
        <w:spacing w:line="412" w:lineRule="exact"/>
        <w:ind w:firstLine="482"/>
        <w:rPr>
          <w:kern w:val="0"/>
          <w:sz w:val="24"/>
          <w:szCs w:val="24"/>
        </w:rPr>
      </w:pPr>
      <w:r>
        <w:rPr>
          <w:rFonts w:hint="eastAsia" w:cs="宋体"/>
          <w:b/>
          <w:bCs/>
          <w:kern w:val="0"/>
          <w:sz w:val="24"/>
          <w:szCs w:val="24"/>
        </w:rPr>
        <w:t>第三条</w:t>
      </w:r>
      <w:r>
        <w:rPr>
          <w:kern w:val="0"/>
          <w:sz w:val="24"/>
          <w:szCs w:val="24"/>
        </w:rPr>
        <w:t xml:space="preserve"> </w:t>
      </w:r>
      <w:r>
        <w:rPr>
          <w:rFonts w:hint="eastAsia"/>
          <w:kern w:val="0"/>
          <w:sz w:val="24"/>
          <w:szCs w:val="24"/>
        </w:rPr>
        <w:t xml:space="preserve"> </w:t>
      </w:r>
      <w:r>
        <w:rPr>
          <w:rFonts w:hint="eastAsia" w:cs="宋体"/>
          <w:kern w:val="0"/>
          <w:sz w:val="24"/>
          <w:szCs w:val="24"/>
        </w:rPr>
        <w:t>拖拉机驾驶培训实行社会化。农机主管部门及其安全监理机构不得举办或者参与举办拖拉机驾驶培训学校、驾驶培训班。</w:t>
      </w:r>
    </w:p>
    <w:p>
      <w:pPr>
        <w:pStyle w:val="3"/>
        <w:topLinePunct/>
        <w:spacing w:line="412" w:lineRule="exact"/>
        <w:ind w:firstLine="480"/>
        <w:rPr>
          <w:kern w:val="0"/>
          <w:sz w:val="24"/>
          <w:szCs w:val="24"/>
        </w:rPr>
      </w:pPr>
      <w:r>
        <w:rPr>
          <w:rFonts w:hint="eastAsia" w:cs="宋体"/>
          <w:kern w:val="0"/>
          <w:sz w:val="24"/>
          <w:szCs w:val="24"/>
        </w:rPr>
        <w:t>国家按照统筹规划、合理布局、公平竞争、保证质量的原则，对拖拉机驾驶培训机构实行资格管理。</w:t>
      </w:r>
    </w:p>
    <w:p>
      <w:pPr>
        <w:pStyle w:val="63"/>
        <w:spacing w:before="218" w:after="218" w:line="412" w:lineRule="exact"/>
        <w:rPr>
          <w:kern w:val="0"/>
        </w:rPr>
      </w:pPr>
      <w:r>
        <w:rPr>
          <w:rFonts w:hint="eastAsia"/>
          <w:kern w:val="0"/>
        </w:rPr>
        <w:t>第二章  培训机构条件</w:t>
      </w:r>
    </w:p>
    <w:p>
      <w:pPr>
        <w:pStyle w:val="3"/>
        <w:topLinePunct/>
        <w:spacing w:line="412" w:lineRule="exact"/>
        <w:ind w:firstLine="482"/>
        <w:rPr>
          <w:kern w:val="0"/>
          <w:sz w:val="24"/>
          <w:szCs w:val="24"/>
        </w:rPr>
      </w:pPr>
      <w:r>
        <w:rPr>
          <w:rFonts w:hint="eastAsia" w:cs="宋体"/>
          <w:b/>
          <w:bCs/>
          <w:kern w:val="0"/>
          <w:sz w:val="24"/>
          <w:szCs w:val="24"/>
        </w:rPr>
        <w:t xml:space="preserve">第四条 </w:t>
      </w:r>
      <w:r>
        <w:rPr>
          <w:kern w:val="0"/>
          <w:sz w:val="24"/>
          <w:szCs w:val="24"/>
        </w:rPr>
        <w:t xml:space="preserve"> </w:t>
      </w:r>
      <w:r>
        <w:rPr>
          <w:rFonts w:hint="eastAsia" w:cs="宋体"/>
          <w:kern w:val="0"/>
          <w:sz w:val="24"/>
          <w:szCs w:val="24"/>
        </w:rPr>
        <w:t>拖拉机驾驶培训机构应当具备与其培训活动相适应的场地、设备、人员、规章制度等条件，取得省级人民政府农机主管部门颁发的《中华人民共和国拖拉机驾驶培训许可证》，方可从事相关培训活动。</w:t>
      </w:r>
    </w:p>
    <w:p>
      <w:pPr>
        <w:pStyle w:val="3"/>
        <w:topLinePunct/>
        <w:spacing w:line="412" w:lineRule="exact"/>
        <w:ind w:firstLine="482"/>
        <w:rPr>
          <w:kern w:val="0"/>
          <w:sz w:val="24"/>
          <w:szCs w:val="24"/>
        </w:rPr>
      </w:pPr>
      <w:r>
        <w:rPr>
          <w:rFonts w:hint="eastAsia" w:cs="宋体"/>
          <w:b/>
          <w:bCs/>
          <w:kern w:val="0"/>
          <w:sz w:val="24"/>
          <w:szCs w:val="24"/>
        </w:rPr>
        <w:t xml:space="preserve">第五条 </w:t>
      </w:r>
      <w:r>
        <w:rPr>
          <w:kern w:val="0"/>
          <w:sz w:val="24"/>
          <w:szCs w:val="24"/>
        </w:rPr>
        <w:t xml:space="preserve"> </w:t>
      </w:r>
      <w:r>
        <w:rPr>
          <w:rFonts w:hint="eastAsia" w:cs="宋体"/>
          <w:kern w:val="0"/>
          <w:sz w:val="24"/>
          <w:szCs w:val="24"/>
        </w:rPr>
        <w:t>教学场所</w:t>
      </w:r>
    </w:p>
    <w:p>
      <w:pPr>
        <w:pStyle w:val="3"/>
        <w:topLinePunct/>
        <w:spacing w:line="412" w:lineRule="exact"/>
        <w:ind w:firstLine="480"/>
        <w:rPr>
          <w:kern w:val="0"/>
          <w:sz w:val="24"/>
          <w:szCs w:val="24"/>
        </w:rPr>
      </w:pPr>
      <w:r>
        <w:rPr>
          <w:rFonts w:hint="eastAsia" w:cs="宋体"/>
          <w:kern w:val="0"/>
          <w:sz w:val="24"/>
          <w:szCs w:val="24"/>
        </w:rPr>
        <w:t>（一）教室人均使用面积不少于</w:t>
      </w:r>
      <w:r>
        <w:rPr>
          <w:kern w:val="0"/>
          <w:sz w:val="24"/>
          <w:szCs w:val="24"/>
        </w:rPr>
        <w:t>1.2</w:t>
      </w:r>
      <w:r>
        <w:rPr>
          <w:rFonts w:hint="eastAsia" w:cs="宋体"/>
          <w:kern w:val="0"/>
          <w:sz w:val="24"/>
          <w:szCs w:val="24"/>
        </w:rPr>
        <w:t>平方米，总面积不得低于</w:t>
      </w:r>
      <w:r>
        <w:rPr>
          <w:kern w:val="0"/>
          <w:sz w:val="24"/>
          <w:szCs w:val="24"/>
        </w:rPr>
        <w:t>120</w:t>
      </w:r>
      <w:r>
        <w:rPr>
          <w:rFonts w:hint="eastAsia" w:cs="宋体"/>
          <w:kern w:val="0"/>
          <w:sz w:val="24"/>
          <w:szCs w:val="24"/>
        </w:rPr>
        <w:t>平方米，且采光、通风、照明和消防等条件符合有关标准；</w:t>
      </w:r>
    </w:p>
    <w:p>
      <w:pPr>
        <w:pStyle w:val="3"/>
        <w:topLinePunct/>
        <w:spacing w:line="412" w:lineRule="exact"/>
        <w:ind w:firstLine="480"/>
        <w:rPr>
          <w:kern w:val="0"/>
          <w:sz w:val="24"/>
          <w:szCs w:val="24"/>
        </w:rPr>
      </w:pPr>
      <w:r>
        <w:rPr>
          <w:rFonts w:hint="eastAsia" w:cs="宋体"/>
          <w:kern w:val="0"/>
          <w:sz w:val="24"/>
          <w:szCs w:val="24"/>
        </w:rPr>
        <w:t>（二）有单独的办公用房；</w:t>
      </w:r>
    </w:p>
    <w:p>
      <w:pPr>
        <w:pStyle w:val="3"/>
        <w:topLinePunct/>
        <w:spacing w:line="412" w:lineRule="exact"/>
        <w:ind w:firstLine="480"/>
        <w:rPr>
          <w:kern w:val="0"/>
          <w:sz w:val="24"/>
          <w:szCs w:val="24"/>
        </w:rPr>
      </w:pPr>
      <w:r>
        <w:rPr>
          <w:rFonts w:hint="eastAsia" w:cs="宋体"/>
          <w:kern w:val="0"/>
          <w:sz w:val="24"/>
          <w:szCs w:val="24"/>
        </w:rPr>
        <w:t>（三）有固定的教练场地，面积不得少于</w:t>
      </w:r>
      <w:r>
        <w:rPr>
          <w:kern w:val="0"/>
          <w:sz w:val="24"/>
          <w:szCs w:val="24"/>
        </w:rPr>
        <w:t>1500</w:t>
      </w:r>
      <w:r>
        <w:rPr>
          <w:rFonts w:hint="eastAsia" w:cs="宋体"/>
          <w:kern w:val="0"/>
          <w:sz w:val="24"/>
          <w:szCs w:val="24"/>
        </w:rPr>
        <w:t>平方米。</w:t>
      </w:r>
    </w:p>
    <w:p>
      <w:pPr>
        <w:pStyle w:val="3"/>
        <w:topLinePunct/>
        <w:spacing w:line="412" w:lineRule="exact"/>
        <w:ind w:firstLine="482"/>
        <w:rPr>
          <w:kern w:val="0"/>
          <w:sz w:val="24"/>
          <w:szCs w:val="24"/>
        </w:rPr>
      </w:pPr>
      <w:r>
        <w:rPr>
          <w:rFonts w:hint="eastAsia" w:cs="宋体"/>
          <w:b/>
          <w:bCs/>
          <w:kern w:val="0"/>
          <w:sz w:val="24"/>
          <w:szCs w:val="24"/>
        </w:rPr>
        <w:t>第六条</w:t>
      </w:r>
      <w:r>
        <w:rPr>
          <w:kern w:val="0"/>
          <w:sz w:val="24"/>
          <w:szCs w:val="24"/>
        </w:rPr>
        <w:t xml:space="preserve"> </w:t>
      </w:r>
      <w:r>
        <w:rPr>
          <w:rFonts w:hint="eastAsia"/>
          <w:kern w:val="0"/>
          <w:sz w:val="24"/>
          <w:szCs w:val="24"/>
        </w:rPr>
        <w:t xml:space="preserve"> </w:t>
      </w:r>
      <w:r>
        <w:rPr>
          <w:rFonts w:hint="eastAsia" w:cs="宋体"/>
          <w:kern w:val="0"/>
          <w:sz w:val="24"/>
          <w:szCs w:val="24"/>
        </w:rPr>
        <w:t>教学设备</w:t>
      </w:r>
    </w:p>
    <w:p>
      <w:pPr>
        <w:pStyle w:val="3"/>
        <w:topLinePunct/>
        <w:spacing w:line="412" w:lineRule="exact"/>
        <w:ind w:firstLine="480"/>
        <w:rPr>
          <w:kern w:val="0"/>
          <w:sz w:val="24"/>
          <w:szCs w:val="24"/>
        </w:rPr>
      </w:pPr>
      <w:r>
        <w:rPr>
          <w:rFonts w:hint="eastAsia" w:cs="宋体"/>
          <w:kern w:val="0"/>
          <w:sz w:val="24"/>
          <w:szCs w:val="24"/>
        </w:rPr>
        <w:t>（一）有</w:t>
      </w:r>
      <w:r>
        <w:rPr>
          <w:kern w:val="0"/>
          <w:sz w:val="24"/>
          <w:szCs w:val="24"/>
        </w:rPr>
        <w:t>5</w:t>
      </w:r>
      <w:r>
        <w:rPr>
          <w:rFonts w:hint="eastAsia" w:cs="宋体"/>
          <w:kern w:val="0"/>
          <w:sz w:val="24"/>
          <w:szCs w:val="24"/>
        </w:rPr>
        <w:t>台以上检验合格的教练车辆，并配备相应的农机具，配套比例不低于</w:t>
      </w:r>
      <w:r>
        <w:rPr>
          <w:kern w:val="0"/>
          <w:sz w:val="24"/>
          <w:szCs w:val="24"/>
        </w:rPr>
        <w:t>1</w:t>
      </w:r>
      <w:r>
        <w:rPr>
          <w:rFonts w:hint="eastAsia" w:cs="宋体"/>
          <w:kern w:val="0"/>
          <w:sz w:val="24"/>
          <w:szCs w:val="24"/>
        </w:rPr>
        <w:t>：</w:t>
      </w:r>
      <w:r>
        <w:rPr>
          <w:kern w:val="0"/>
          <w:sz w:val="24"/>
          <w:szCs w:val="24"/>
        </w:rPr>
        <w:t>2</w:t>
      </w:r>
      <w:r>
        <w:rPr>
          <w:rFonts w:hint="eastAsia" w:cs="宋体"/>
          <w:kern w:val="0"/>
          <w:sz w:val="24"/>
          <w:szCs w:val="24"/>
        </w:rPr>
        <w:t>；</w:t>
      </w:r>
    </w:p>
    <w:p>
      <w:pPr>
        <w:pStyle w:val="3"/>
        <w:topLinePunct/>
        <w:spacing w:line="412" w:lineRule="exact"/>
        <w:ind w:firstLine="480"/>
        <w:rPr>
          <w:kern w:val="0"/>
          <w:sz w:val="24"/>
          <w:szCs w:val="24"/>
        </w:rPr>
      </w:pPr>
      <w:r>
        <w:rPr>
          <w:rFonts w:hint="eastAsia" w:cs="宋体"/>
          <w:kern w:val="0"/>
          <w:sz w:val="24"/>
          <w:szCs w:val="24"/>
        </w:rPr>
        <w:t>（二）有常用机型的教学挂图、示教板和主要零部件实物；</w:t>
      </w:r>
    </w:p>
    <w:p>
      <w:pPr>
        <w:pStyle w:val="3"/>
        <w:topLinePunct/>
        <w:spacing w:line="412" w:lineRule="exact"/>
        <w:ind w:firstLine="480"/>
        <w:rPr>
          <w:kern w:val="0"/>
          <w:sz w:val="24"/>
          <w:szCs w:val="24"/>
        </w:rPr>
      </w:pPr>
      <w:r>
        <w:rPr>
          <w:rFonts w:hint="eastAsia" w:cs="宋体"/>
          <w:kern w:val="0"/>
          <w:sz w:val="24"/>
          <w:szCs w:val="24"/>
        </w:rPr>
        <w:t>（三）有必要的电教设备。</w:t>
      </w:r>
    </w:p>
    <w:p>
      <w:pPr>
        <w:pStyle w:val="3"/>
        <w:topLinePunct/>
        <w:spacing w:line="412" w:lineRule="exact"/>
        <w:ind w:firstLine="482"/>
        <w:rPr>
          <w:kern w:val="0"/>
          <w:sz w:val="24"/>
          <w:szCs w:val="24"/>
        </w:rPr>
      </w:pPr>
      <w:r>
        <w:rPr>
          <w:rFonts w:hint="eastAsia" w:cs="宋体"/>
          <w:b/>
          <w:bCs/>
          <w:kern w:val="0"/>
          <w:sz w:val="24"/>
          <w:szCs w:val="24"/>
        </w:rPr>
        <w:t>第七条</w:t>
      </w:r>
      <w:r>
        <w:rPr>
          <w:kern w:val="0"/>
          <w:sz w:val="24"/>
          <w:szCs w:val="24"/>
        </w:rPr>
        <w:t xml:space="preserve"> </w:t>
      </w:r>
      <w:r>
        <w:rPr>
          <w:rFonts w:hint="eastAsia"/>
          <w:kern w:val="0"/>
          <w:sz w:val="24"/>
          <w:szCs w:val="24"/>
        </w:rPr>
        <w:t xml:space="preserve"> </w:t>
      </w:r>
      <w:r>
        <w:rPr>
          <w:rFonts w:hint="eastAsia" w:cs="宋体"/>
          <w:kern w:val="0"/>
          <w:sz w:val="24"/>
          <w:szCs w:val="24"/>
        </w:rPr>
        <w:t>教学人员</w:t>
      </w:r>
    </w:p>
    <w:p>
      <w:pPr>
        <w:pStyle w:val="3"/>
        <w:topLinePunct/>
        <w:spacing w:line="412" w:lineRule="exact"/>
        <w:ind w:firstLine="480"/>
        <w:rPr>
          <w:kern w:val="0"/>
          <w:sz w:val="24"/>
          <w:szCs w:val="24"/>
        </w:rPr>
      </w:pPr>
      <w:r>
        <w:rPr>
          <w:rFonts w:hint="eastAsia" w:cs="宋体"/>
          <w:kern w:val="0"/>
          <w:sz w:val="24"/>
          <w:szCs w:val="24"/>
        </w:rPr>
        <w:t>（一）教学负责人应当具有本专业大专以上学历或中级以上技术职称，并从事拖拉机驾驶培训工作三年以上；</w:t>
      </w:r>
    </w:p>
    <w:p>
      <w:pPr>
        <w:pStyle w:val="3"/>
        <w:topLinePunct/>
        <w:spacing w:line="412" w:lineRule="exact"/>
        <w:ind w:firstLine="480"/>
        <w:rPr>
          <w:kern w:val="0"/>
          <w:sz w:val="24"/>
          <w:szCs w:val="24"/>
        </w:rPr>
      </w:pPr>
      <w:r>
        <w:rPr>
          <w:rFonts w:hint="eastAsia" w:cs="宋体"/>
          <w:kern w:val="0"/>
          <w:sz w:val="24"/>
          <w:szCs w:val="24"/>
        </w:rPr>
        <w:t>（二）理论教员应当具有农机及相关专业中专以上学历，经省级人民政府农机主管部门考核合格；</w:t>
      </w:r>
    </w:p>
    <w:p>
      <w:pPr>
        <w:pStyle w:val="3"/>
        <w:topLinePunct/>
        <w:spacing w:line="412" w:lineRule="exact"/>
        <w:ind w:firstLine="480"/>
        <w:rPr>
          <w:kern w:val="0"/>
          <w:sz w:val="24"/>
          <w:szCs w:val="24"/>
        </w:rPr>
      </w:pPr>
      <w:r>
        <w:rPr>
          <w:rFonts w:hint="eastAsia" w:cs="宋体"/>
          <w:kern w:val="0"/>
          <w:sz w:val="24"/>
          <w:szCs w:val="24"/>
        </w:rPr>
        <w:t>（三）教练员应当持有拖拉机驾驶中级以上技术等级证书和相应机型</w:t>
      </w:r>
      <w:r>
        <w:rPr>
          <w:kern w:val="0"/>
          <w:sz w:val="24"/>
          <w:szCs w:val="24"/>
        </w:rPr>
        <w:t xml:space="preserve">5 </w:t>
      </w:r>
      <w:r>
        <w:rPr>
          <w:rFonts w:hint="eastAsia" w:cs="宋体"/>
          <w:kern w:val="0"/>
          <w:sz w:val="24"/>
          <w:szCs w:val="24"/>
        </w:rPr>
        <w:t>年以上安全驾龄，经省级人民政府农机主管部门考核合格。</w:t>
      </w:r>
    </w:p>
    <w:p>
      <w:pPr>
        <w:pStyle w:val="3"/>
        <w:topLinePunct/>
        <w:spacing w:line="412" w:lineRule="exact"/>
        <w:ind w:firstLine="480"/>
        <w:rPr>
          <w:kern w:val="0"/>
          <w:sz w:val="24"/>
          <w:szCs w:val="24"/>
        </w:rPr>
      </w:pPr>
      <w:r>
        <w:rPr>
          <w:rFonts w:hint="eastAsia" w:cs="宋体"/>
          <w:kern w:val="0"/>
          <w:sz w:val="24"/>
          <w:szCs w:val="24"/>
        </w:rPr>
        <w:t>拖拉机驾驶培训机构的教学人员不得少于</w:t>
      </w:r>
      <w:r>
        <w:rPr>
          <w:kern w:val="0"/>
          <w:sz w:val="24"/>
          <w:szCs w:val="24"/>
        </w:rPr>
        <w:t>5</w:t>
      </w:r>
      <w:r>
        <w:rPr>
          <w:rFonts w:hint="eastAsia" w:cs="宋体"/>
          <w:kern w:val="0"/>
          <w:sz w:val="24"/>
          <w:szCs w:val="24"/>
        </w:rPr>
        <w:t>人。</w:t>
      </w:r>
    </w:p>
    <w:p>
      <w:pPr>
        <w:pStyle w:val="3"/>
        <w:topLinePunct/>
        <w:spacing w:line="412" w:lineRule="exact"/>
        <w:ind w:firstLine="482"/>
        <w:rPr>
          <w:kern w:val="0"/>
          <w:sz w:val="24"/>
          <w:szCs w:val="24"/>
        </w:rPr>
      </w:pPr>
      <w:r>
        <w:rPr>
          <w:rFonts w:hint="eastAsia" w:cs="宋体"/>
          <w:b/>
          <w:bCs/>
          <w:kern w:val="0"/>
          <w:sz w:val="24"/>
          <w:szCs w:val="24"/>
        </w:rPr>
        <w:t xml:space="preserve">第八条 </w:t>
      </w:r>
      <w:r>
        <w:rPr>
          <w:kern w:val="0"/>
          <w:sz w:val="24"/>
          <w:szCs w:val="24"/>
        </w:rPr>
        <w:t xml:space="preserve"> </w:t>
      </w:r>
      <w:r>
        <w:rPr>
          <w:rFonts w:hint="eastAsia" w:cs="宋体"/>
          <w:kern w:val="0"/>
          <w:sz w:val="24"/>
          <w:szCs w:val="24"/>
        </w:rPr>
        <w:t>组织管理制度</w:t>
      </w:r>
    </w:p>
    <w:p>
      <w:pPr>
        <w:pStyle w:val="3"/>
        <w:topLinePunct/>
        <w:spacing w:line="412" w:lineRule="exact"/>
        <w:ind w:firstLine="480"/>
        <w:rPr>
          <w:kern w:val="0"/>
          <w:sz w:val="24"/>
          <w:szCs w:val="24"/>
        </w:rPr>
      </w:pPr>
      <w:r>
        <w:rPr>
          <w:rFonts w:hint="eastAsia" w:cs="宋体"/>
          <w:kern w:val="0"/>
          <w:sz w:val="24"/>
          <w:szCs w:val="24"/>
        </w:rPr>
        <w:t>（一）有完善的教学制度，包括学员学籍档案管理制度、教员管理制度、教学设备及车辆管理制度。</w:t>
      </w:r>
    </w:p>
    <w:p>
      <w:pPr>
        <w:pStyle w:val="3"/>
        <w:topLinePunct/>
        <w:spacing w:line="412" w:lineRule="exact"/>
        <w:ind w:firstLine="480"/>
        <w:rPr>
          <w:kern w:val="0"/>
          <w:sz w:val="24"/>
          <w:szCs w:val="24"/>
        </w:rPr>
      </w:pPr>
      <w:r>
        <w:rPr>
          <w:rFonts w:hint="eastAsia" w:cs="宋体"/>
          <w:kern w:val="0"/>
          <w:sz w:val="24"/>
          <w:szCs w:val="24"/>
        </w:rPr>
        <w:t>（二）有健全的财务制度，配备专职财务人员。</w:t>
      </w:r>
    </w:p>
    <w:p>
      <w:pPr>
        <w:pStyle w:val="3"/>
        <w:topLinePunct/>
        <w:spacing w:line="412" w:lineRule="exact"/>
        <w:ind w:firstLine="480"/>
        <w:rPr>
          <w:kern w:val="0"/>
          <w:sz w:val="24"/>
          <w:szCs w:val="24"/>
        </w:rPr>
      </w:pPr>
      <w:r>
        <w:rPr>
          <w:rFonts w:hint="eastAsia" w:cs="宋体"/>
          <w:kern w:val="0"/>
          <w:sz w:val="24"/>
          <w:szCs w:val="24"/>
        </w:rPr>
        <w:t>（三）有科学的安全管理制度。</w:t>
      </w:r>
    </w:p>
    <w:p>
      <w:pPr>
        <w:pStyle w:val="63"/>
        <w:spacing w:before="218" w:after="218" w:line="412" w:lineRule="exact"/>
        <w:rPr>
          <w:kern w:val="0"/>
        </w:rPr>
      </w:pPr>
      <w:r>
        <w:rPr>
          <w:rFonts w:hint="eastAsia"/>
          <w:kern w:val="0"/>
        </w:rPr>
        <w:t xml:space="preserve">第三章 </w:t>
      </w:r>
      <w:r>
        <w:rPr>
          <w:kern w:val="0"/>
        </w:rPr>
        <w:t xml:space="preserve"> </w:t>
      </w:r>
      <w:r>
        <w:rPr>
          <w:rFonts w:hint="eastAsia"/>
          <w:kern w:val="0"/>
        </w:rPr>
        <w:t>许可程序</w:t>
      </w:r>
    </w:p>
    <w:p>
      <w:pPr>
        <w:pStyle w:val="3"/>
        <w:topLinePunct/>
        <w:spacing w:line="412" w:lineRule="exact"/>
        <w:ind w:firstLine="482"/>
        <w:rPr>
          <w:kern w:val="0"/>
          <w:sz w:val="24"/>
          <w:szCs w:val="24"/>
        </w:rPr>
      </w:pPr>
      <w:r>
        <w:rPr>
          <w:rFonts w:hint="eastAsia" w:cs="宋体"/>
          <w:b/>
          <w:bCs/>
          <w:kern w:val="0"/>
          <w:sz w:val="24"/>
          <w:szCs w:val="24"/>
        </w:rPr>
        <w:t xml:space="preserve">第九条 </w:t>
      </w:r>
      <w:r>
        <w:rPr>
          <w:kern w:val="0"/>
          <w:sz w:val="24"/>
          <w:szCs w:val="24"/>
        </w:rPr>
        <w:t xml:space="preserve"> </w:t>
      </w:r>
      <w:r>
        <w:rPr>
          <w:rFonts w:hint="eastAsia" w:cs="宋体"/>
          <w:kern w:val="0"/>
          <w:sz w:val="24"/>
          <w:szCs w:val="24"/>
        </w:rPr>
        <w:t>申请《中华人民共和国拖拉机驾驶培训许可证》的，应当向省级人民政府农机主管部门提交《拖拉机驾驶培训学校（班）申请表》，并附具以下材料：</w:t>
      </w:r>
    </w:p>
    <w:p>
      <w:pPr>
        <w:pStyle w:val="3"/>
        <w:topLinePunct/>
        <w:spacing w:line="412" w:lineRule="exact"/>
        <w:ind w:firstLine="480"/>
        <w:rPr>
          <w:kern w:val="0"/>
          <w:sz w:val="24"/>
          <w:szCs w:val="24"/>
        </w:rPr>
      </w:pPr>
      <w:r>
        <w:rPr>
          <w:rFonts w:hint="eastAsia" w:cs="宋体"/>
          <w:kern w:val="0"/>
          <w:sz w:val="24"/>
          <w:szCs w:val="24"/>
        </w:rPr>
        <w:t>（一）教学场所说明材料及其平面图；</w:t>
      </w:r>
    </w:p>
    <w:p>
      <w:pPr>
        <w:pStyle w:val="3"/>
        <w:topLinePunct/>
        <w:spacing w:line="412" w:lineRule="exact"/>
        <w:ind w:firstLine="480"/>
        <w:rPr>
          <w:kern w:val="0"/>
          <w:sz w:val="24"/>
          <w:szCs w:val="24"/>
        </w:rPr>
      </w:pPr>
      <w:r>
        <w:rPr>
          <w:rFonts w:hint="eastAsia" w:cs="宋体"/>
          <w:kern w:val="0"/>
          <w:sz w:val="24"/>
          <w:szCs w:val="24"/>
        </w:rPr>
        <w:t>（二）教学设备清单；</w:t>
      </w:r>
    </w:p>
    <w:p>
      <w:pPr>
        <w:pStyle w:val="3"/>
        <w:topLinePunct/>
        <w:spacing w:line="412" w:lineRule="exact"/>
        <w:ind w:firstLine="480"/>
        <w:rPr>
          <w:kern w:val="0"/>
          <w:sz w:val="24"/>
          <w:szCs w:val="24"/>
        </w:rPr>
      </w:pPr>
      <w:r>
        <w:rPr>
          <w:rFonts w:hint="eastAsia" w:cs="宋体"/>
          <w:kern w:val="0"/>
          <w:sz w:val="24"/>
          <w:szCs w:val="24"/>
        </w:rPr>
        <w:t>（三）组织管理制度；</w:t>
      </w:r>
    </w:p>
    <w:p>
      <w:pPr>
        <w:pStyle w:val="3"/>
        <w:topLinePunct/>
        <w:spacing w:line="412" w:lineRule="exact"/>
        <w:ind w:firstLine="480"/>
        <w:rPr>
          <w:kern w:val="0"/>
          <w:sz w:val="24"/>
          <w:szCs w:val="24"/>
        </w:rPr>
      </w:pPr>
      <w:r>
        <w:rPr>
          <w:rFonts w:hint="eastAsia" w:cs="宋体"/>
          <w:kern w:val="0"/>
          <w:sz w:val="24"/>
          <w:szCs w:val="24"/>
        </w:rPr>
        <w:t>（四）生源预测情况。</w:t>
      </w:r>
    </w:p>
    <w:p>
      <w:pPr>
        <w:pStyle w:val="3"/>
        <w:topLinePunct/>
        <w:spacing w:line="412" w:lineRule="exact"/>
        <w:ind w:firstLine="482"/>
        <w:rPr>
          <w:kern w:val="0"/>
          <w:sz w:val="24"/>
          <w:szCs w:val="24"/>
        </w:rPr>
      </w:pPr>
      <w:r>
        <w:rPr>
          <w:rFonts w:hint="eastAsia" w:cs="宋体"/>
          <w:b/>
          <w:bCs/>
          <w:kern w:val="0"/>
          <w:sz w:val="24"/>
          <w:szCs w:val="24"/>
        </w:rPr>
        <w:t xml:space="preserve">第十条 </w:t>
      </w:r>
      <w:r>
        <w:rPr>
          <w:kern w:val="0"/>
          <w:sz w:val="24"/>
          <w:szCs w:val="24"/>
        </w:rPr>
        <w:t xml:space="preserve"> </w:t>
      </w:r>
      <w:r>
        <w:rPr>
          <w:rFonts w:hint="eastAsia" w:cs="宋体"/>
          <w:kern w:val="0"/>
          <w:sz w:val="24"/>
          <w:szCs w:val="24"/>
        </w:rPr>
        <w:t>申请人提交的材料齐全，内容符合要求的，省级人民政府农机主管部门应当受理，并出具书面凭证。不予受理的，应当书面通知申请人，并告知理由。</w:t>
      </w:r>
    </w:p>
    <w:p>
      <w:pPr>
        <w:pStyle w:val="3"/>
        <w:topLinePunct/>
        <w:spacing w:line="412" w:lineRule="exact"/>
        <w:ind w:firstLine="482"/>
        <w:rPr>
          <w:kern w:val="0"/>
          <w:sz w:val="24"/>
          <w:szCs w:val="24"/>
        </w:rPr>
      </w:pPr>
      <w:r>
        <w:rPr>
          <w:rFonts w:hint="eastAsia" w:cs="宋体"/>
          <w:b/>
          <w:bCs/>
          <w:kern w:val="0"/>
          <w:sz w:val="24"/>
          <w:szCs w:val="24"/>
        </w:rPr>
        <w:t>第十一条</w:t>
      </w:r>
      <w:r>
        <w:rPr>
          <w:kern w:val="0"/>
          <w:sz w:val="24"/>
          <w:szCs w:val="24"/>
        </w:rPr>
        <w:t xml:space="preserve"> </w:t>
      </w:r>
      <w:r>
        <w:rPr>
          <w:rFonts w:hint="eastAsia"/>
          <w:kern w:val="0"/>
          <w:sz w:val="24"/>
          <w:szCs w:val="24"/>
        </w:rPr>
        <w:t xml:space="preserve"> </w:t>
      </w:r>
      <w:r>
        <w:rPr>
          <w:rFonts w:hint="eastAsia" w:cs="宋体"/>
          <w:kern w:val="0"/>
          <w:sz w:val="24"/>
          <w:szCs w:val="24"/>
        </w:rPr>
        <w:t>受理申请后，省级人民政府农机主管部门应当在</w:t>
      </w:r>
      <w:r>
        <w:rPr>
          <w:kern w:val="0"/>
          <w:sz w:val="24"/>
          <w:szCs w:val="24"/>
        </w:rPr>
        <w:t>10</w:t>
      </w:r>
      <w:r>
        <w:rPr>
          <w:rFonts w:hint="eastAsia" w:cs="宋体"/>
          <w:kern w:val="0"/>
          <w:sz w:val="24"/>
          <w:szCs w:val="24"/>
        </w:rPr>
        <w:t>日内完成书面审查。书面审查合格的，应当指派</w:t>
      </w:r>
      <w:r>
        <w:rPr>
          <w:kern w:val="0"/>
          <w:sz w:val="24"/>
          <w:szCs w:val="24"/>
        </w:rPr>
        <w:t>2</w:t>
      </w:r>
      <w:r>
        <w:rPr>
          <w:rFonts w:hint="eastAsia" w:cs="宋体"/>
          <w:kern w:val="0"/>
          <w:sz w:val="24"/>
          <w:szCs w:val="24"/>
        </w:rPr>
        <w:t>名以上专家进行现场评审。</w:t>
      </w:r>
    </w:p>
    <w:p>
      <w:pPr>
        <w:pStyle w:val="3"/>
        <w:topLinePunct/>
        <w:spacing w:line="412" w:lineRule="exact"/>
        <w:ind w:firstLine="482"/>
        <w:rPr>
          <w:kern w:val="0"/>
          <w:sz w:val="24"/>
          <w:szCs w:val="24"/>
        </w:rPr>
      </w:pPr>
      <w:r>
        <w:rPr>
          <w:rFonts w:hint="eastAsia" w:cs="宋体"/>
          <w:b/>
          <w:bCs/>
          <w:kern w:val="0"/>
          <w:sz w:val="24"/>
          <w:szCs w:val="24"/>
        </w:rPr>
        <w:t>第十二条</w:t>
      </w:r>
      <w:r>
        <w:rPr>
          <w:kern w:val="0"/>
          <w:sz w:val="24"/>
          <w:szCs w:val="24"/>
        </w:rPr>
        <w:t xml:space="preserve"> </w:t>
      </w:r>
      <w:r>
        <w:rPr>
          <w:rFonts w:hint="eastAsia"/>
          <w:kern w:val="0"/>
          <w:sz w:val="24"/>
          <w:szCs w:val="24"/>
        </w:rPr>
        <w:t xml:space="preserve"> </w:t>
      </w:r>
      <w:r>
        <w:rPr>
          <w:rFonts w:hint="eastAsia" w:cs="宋体"/>
          <w:kern w:val="0"/>
          <w:sz w:val="24"/>
          <w:szCs w:val="24"/>
        </w:rPr>
        <w:t>现场评审合格的，省级人民政府农机主管部门应当在</w:t>
      </w:r>
      <w:r>
        <w:rPr>
          <w:kern w:val="0"/>
          <w:sz w:val="24"/>
          <w:szCs w:val="24"/>
        </w:rPr>
        <w:t>10</w:t>
      </w:r>
      <w:r>
        <w:rPr>
          <w:rFonts w:hint="eastAsia" w:cs="宋体"/>
          <w:kern w:val="0"/>
          <w:sz w:val="24"/>
          <w:szCs w:val="24"/>
        </w:rPr>
        <w:t>日内做出准予许可的决定。</w:t>
      </w:r>
    </w:p>
    <w:p>
      <w:pPr>
        <w:pStyle w:val="3"/>
        <w:topLinePunct/>
        <w:spacing w:line="412" w:lineRule="exact"/>
        <w:ind w:firstLine="480"/>
        <w:rPr>
          <w:kern w:val="0"/>
          <w:sz w:val="24"/>
          <w:szCs w:val="24"/>
        </w:rPr>
      </w:pPr>
      <w:r>
        <w:rPr>
          <w:rFonts w:hint="eastAsia" w:cs="宋体"/>
          <w:kern w:val="0"/>
          <w:sz w:val="24"/>
          <w:szCs w:val="24"/>
        </w:rPr>
        <w:t>书面审查或现场评审不合格的，省级人民政府农机主管部门应当书面通知申请人，并说明理由。</w:t>
      </w:r>
    </w:p>
    <w:p>
      <w:pPr>
        <w:pStyle w:val="3"/>
        <w:topLinePunct/>
        <w:spacing w:line="412" w:lineRule="exact"/>
        <w:ind w:firstLine="482"/>
        <w:rPr>
          <w:kern w:val="0"/>
          <w:sz w:val="24"/>
          <w:szCs w:val="24"/>
        </w:rPr>
      </w:pPr>
      <w:r>
        <w:rPr>
          <w:rFonts w:hint="eastAsia" w:cs="宋体"/>
          <w:b/>
          <w:bCs/>
          <w:kern w:val="0"/>
          <w:sz w:val="24"/>
          <w:szCs w:val="24"/>
        </w:rPr>
        <w:t xml:space="preserve">第十三条 </w:t>
      </w:r>
      <w:r>
        <w:rPr>
          <w:kern w:val="0"/>
          <w:sz w:val="24"/>
          <w:szCs w:val="24"/>
        </w:rPr>
        <w:t xml:space="preserve"> </w:t>
      </w:r>
      <w:r>
        <w:rPr>
          <w:rFonts w:hint="eastAsia" w:cs="宋体"/>
          <w:kern w:val="0"/>
          <w:sz w:val="24"/>
          <w:szCs w:val="24"/>
        </w:rPr>
        <w:t>拖拉机驾驶培训机构变更名称、法定代表人或者教学场所的，应当向省级人民政府农机主管部门申请变更登记。</w:t>
      </w:r>
    </w:p>
    <w:p>
      <w:pPr>
        <w:pStyle w:val="63"/>
        <w:spacing w:before="218" w:after="218" w:line="412" w:lineRule="exact"/>
        <w:rPr>
          <w:kern w:val="0"/>
        </w:rPr>
      </w:pPr>
      <w:r>
        <w:rPr>
          <w:rFonts w:hint="eastAsia"/>
          <w:kern w:val="0"/>
        </w:rPr>
        <w:t xml:space="preserve">第四章 </w:t>
      </w:r>
      <w:r>
        <w:rPr>
          <w:kern w:val="0"/>
        </w:rPr>
        <w:t xml:space="preserve"> </w:t>
      </w:r>
      <w:r>
        <w:rPr>
          <w:rFonts w:hint="eastAsia"/>
          <w:kern w:val="0"/>
        </w:rPr>
        <w:t>培训业务管理</w:t>
      </w:r>
    </w:p>
    <w:p>
      <w:pPr>
        <w:pStyle w:val="3"/>
        <w:topLinePunct/>
        <w:spacing w:line="412" w:lineRule="exact"/>
        <w:ind w:firstLine="482"/>
        <w:rPr>
          <w:kern w:val="0"/>
          <w:sz w:val="24"/>
          <w:szCs w:val="24"/>
        </w:rPr>
      </w:pPr>
      <w:r>
        <w:rPr>
          <w:rFonts w:hint="eastAsia" w:cs="宋体"/>
          <w:b/>
          <w:bCs/>
          <w:kern w:val="0"/>
          <w:sz w:val="24"/>
          <w:szCs w:val="24"/>
        </w:rPr>
        <w:t xml:space="preserve">第十四条 </w:t>
      </w:r>
      <w:r>
        <w:rPr>
          <w:kern w:val="0"/>
          <w:sz w:val="24"/>
          <w:szCs w:val="24"/>
        </w:rPr>
        <w:t xml:space="preserve"> </w:t>
      </w:r>
      <w:r>
        <w:rPr>
          <w:rFonts w:hint="eastAsia" w:cs="宋体"/>
          <w:kern w:val="0"/>
          <w:sz w:val="24"/>
          <w:szCs w:val="24"/>
        </w:rPr>
        <w:t>拖拉机驾驶培训包括：</w:t>
      </w:r>
    </w:p>
    <w:p>
      <w:pPr>
        <w:pStyle w:val="3"/>
        <w:topLinePunct/>
        <w:spacing w:line="412" w:lineRule="exact"/>
        <w:ind w:firstLine="480"/>
        <w:rPr>
          <w:kern w:val="0"/>
          <w:sz w:val="24"/>
          <w:szCs w:val="24"/>
        </w:rPr>
      </w:pPr>
      <w:r>
        <w:rPr>
          <w:kern w:val="0"/>
          <w:sz w:val="24"/>
          <w:szCs w:val="24"/>
        </w:rPr>
        <w:t>（</w:t>
      </w:r>
      <w:r>
        <w:rPr>
          <w:rFonts w:hint="eastAsia" w:cs="宋体"/>
          <w:kern w:val="0"/>
          <w:sz w:val="24"/>
          <w:szCs w:val="24"/>
        </w:rPr>
        <w:t>一</w:t>
      </w:r>
      <w:r>
        <w:rPr>
          <w:kern w:val="0"/>
          <w:sz w:val="24"/>
          <w:szCs w:val="24"/>
        </w:rPr>
        <w:t>）</w:t>
      </w:r>
      <w:r>
        <w:rPr>
          <w:rFonts w:hint="eastAsia" w:cs="宋体"/>
          <w:kern w:val="0"/>
          <w:sz w:val="24"/>
          <w:szCs w:val="24"/>
        </w:rPr>
        <w:t>初学驾驶培训；</w:t>
      </w:r>
    </w:p>
    <w:p>
      <w:pPr>
        <w:pStyle w:val="3"/>
        <w:topLinePunct/>
        <w:spacing w:line="412" w:lineRule="exact"/>
        <w:ind w:firstLine="480"/>
        <w:rPr>
          <w:kern w:val="0"/>
          <w:sz w:val="24"/>
          <w:szCs w:val="24"/>
        </w:rPr>
      </w:pPr>
      <w:r>
        <w:rPr>
          <w:kern w:val="0"/>
          <w:sz w:val="24"/>
          <w:szCs w:val="24"/>
        </w:rPr>
        <w:t>（</w:t>
      </w:r>
      <w:r>
        <w:rPr>
          <w:rFonts w:hint="eastAsia" w:cs="宋体"/>
          <w:kern w:val="0"/>
          <w:sz w:val="24"/>
          <w:szCs w:val="24"/>
        </w:rPr>
        <w:t>二</w:t>
      </w:r>
      <w:r>
        <w:rPr>
          <w:kern w:val="0"/>
          <w:sz w:val="24"/>
          <w:szCs w:val="24"/>
        </w:rPr>
        <w:t>）</w:t>
      </w:r>
      <w:r>
        <w:rPr>
          <w:rFonts w:hint="eastAsia" w:cs="宋体"/>
          <w:kern w:val="0"/>
          <w:sz w:val="24"/>
          <w:szCs w:val="24"/>
        </w:rPr>
        <w:t>增驾车型培训；</w:t>
      </w:r>
    </w:p>
    <w:p>
      <w:pPr>
        <w:pStyle w:val="3"/>
        <w:topLinePunct/>
        <w:spacing w:line="412" w:lineRule="exact"/>
        <w:ind w:firstLine="480"/>
        <w:rPr>
          <w:kern w:val="0"/>
          <w:sz w:val="24"/>
          <w:szCs w:val="24"/>
        </w:rPr>
      </w:pPr>
      <w:r>
        <w:rPr>
          <w:kern w:val="0"/>
          <w:sz w:val="24"/>
          <w:szCs w:val="24"/>
        </w:rPr>
        <w:t>（</w:t>
      </w:r>
      <w:r>
        <w:rPr>
          <w:rFonts w:hint="eastAsia" w:cs="宋体"/>
          <w:kern w:val="0"/>
          <w:sz w:val="24"/>
          <w:szCs w:val="24"/>
        </w:rPr>
        <w:t>三</w:t>
      </w:r>
      <w:r>
        <w:rPr>
          <w:kern w:val="0"/>
          <w:sz w:val="24"/>
          <w:szCs w:val="24"/>
        </w:rPr>
        <w:t>）</w:t>
      </w:r>
      <w:r>
        <w:rPr>
          <w:rFonts w:hint="eastAsia" w:cs="宋体"/>
          <w:kern w:val="0"/>
          <w:sz w:val="24"/>
          <w:szCs w:val="24"/>
        </w:rPr>
        <w:t>与驾驶相关的其他培训。</w:t>
      </w:r>
    </w:p>
    <w:p>
      <w:pPr>
        <w:pStyle w:val="3"/>
        <w:topLinePunct/>
        <w:spacing w:line="412" w:lineRule="exact"/>
        <w:ind w:firstLine="480"/>
        <w:rPr>
          <w:kern w:val="0"/>
          <w:sz w:val="24"/>
          <w:szCs w:val="24"/>
        </w:rPr>
      </w:pPr>
      <w:r>
        <w:rPr>
          <w:rFonts w:hint="eastAsia" w:cs="宋体"/>
          <w:kern w:val="0"/>
          <w:sz w:val="24"/>
          <w:szCs w:val="24"/>
        </w:rPr>
        <w:t>拖拉机驾驶培训方式分为全日制和学时制，由学员选择。</w:t>
      </w:r>
    </w:p>
    <w:p>
      <w:pPr>
        <w:pStyle w:val="3"/>
        <w:topLinePunct/>
        <w:spacing w:line="412" w:lineRule="exact"/>
        <w:ind w:firstLine="482"/>
        <w:rPr>
          <w:kern w:val="0"/>
          <w:sz w:val="24"/>
          <w:szCs w:val="24"/>
        </w:rPr>
      </w:pPr>
      <w:r>
        <w:rPr>
          <w:rFonts w:hint="eastAsia" w:cs="宋体"/>
          <w:b/>
          <w:bCs/>
          <w:kern w:val="0"/>
          <w:sz w:val="24"/>
          <w:szCs w:val="24"/>
        </w:rPr>
        <w:t>第十五条</w:t>
      </w:r>
      <w:r>
        <w:rPr>
          <w:kern w:val="0"/>
          <w:sz w:val="24"/>
          <w:szCs w:val="24"/>
        </w:rPr>
        <w:t xml:space="preserve"> </w:t>
      </w:r>
      <w:r>
        <w:rPr>
          <w:rFonts w:hint="eastAsia"/>
          <w:kern w:val="0"/>
          <w:sz w:val="24"/>
          <w:szCs w:val="24"/>
        </w:rPr>
        <w:t xml:space="preserve"> </w:t>
      </w:r>
      <w:r>
        <w:rPr>
          <w:rFonts w:hint="eastAsia" w:cs="宋体"/>
          <w:kern w:val="0"/>
          <w:sz w:val="24"/>
          <w:szCs w:val="24"/>
        </w:rPr>
        <w:t>拖拉机驾驶培训机构应当严格执行农业部颁发的教学大纲，按照许可的范围和规模培训，保证培训质量。</w:t>
      </w:r>
    </w:p>
    <w:p>
      <w:pPr>
        <w:pStyle w:val="3"/>
        <w:topLinePunct/>
        <w:spacing w:line="412" w:lineRule="exact"/>
        <w:ind w:firstLine="480"/>
        <w:rPr>
          <w:kern w:val="0"/>
          <w:sz w:val="24"/>
          <w:szCs w:val="24"/>
        </w:rPr>
      </w:pPr>
      <w:r>
        <w:rPr>
          <w:rFonts w:hint="eastAsia" w:cs="宋体"/>
          <w:kern w:val="0"/>
          <w:sz w:val="24"/>
          <w:szCs w:val="24"/>
        </w:rPr>
        <w:t>拖拉机驾驶培训机构的财务应当独立。</w:t>
      </w:r>
    </w:p>
    <w:p>
      <w:pPr>
        <w:pStyle w:val="3"/>
        <w:topLinePunct/>
        <w:spacing w:line="412" w:lineRule="exact"/>
        <w:ind w:firstLine="482"/>
        <w:rPr>
          <w:kern w:val="0"/>
          <w:sz w:val="24"/>
          <w:szCs w:val="24"/>
        </w:rPr>
      </w:pPr>
      <w:r>
        <w:rPr>
          <w:rFonts w:hint="eastAsia" w:cs="宋体"/>
          <w:b/>
          <w:bCs/>
          <w:kern w:val="0"/>
          <w:sz w:val="24"/>
          <w:szCs w:val="24"/>
        </w:rPr>
        <w:t>第十六条</w:t>
      </w:r>
      <w:r>
        <w:rPr>
          <w:kern w:val="0"/>
          <w:sz w:val="24"/>
          <w:szCs w:val="24"/>
        </w:rPr>
        <w:t xml:space="preserve"> </w:t>
      </w:r>
      <w:r>
        <w:rPr>
          <w:rFonts w:hint="eastAsia"/>
          <w:kern w:val="0"/>
          <w:sz w:val="24"/>
          <w:szCs w:val="24"/>
        </w:rPr>
        <w:t xml:space="preserve"> </w:t>
      </w:r>
      <w:r>
        <w:rPr>
          <w:rFonts w:hint="eastAsia" w:cs="宋体"/>
          <w:kern w:val="0"/>
          <w:sz w:val="24"/>
          <w:szCs w:val="24"/>
        </w:rPr>
        <w:t>拖拉机驾驶培训机构应当聘用经省级人民政府农机主管部门考核合格的教学人员。</w:t>
      </w:r>
    </w:p>
    <w:p>
      <w:pPr>
        <w:pStyle w:val="3"/>
        <w:topLinePunct/>
        <w:spacing w:line="412" w:lineRule="exact"/>
        <w:ind w:firstLine="482"/>
        <w:rPr>
          <w:kern w:val="0"/>
          <w:sz w:val="24"/>
          <w:szCs w:val="24"/>
        </w:rPr>
      </w:pPr>
      <w:r>
        <w:rPr>
          <w:rFonts w:hint="eastAsia" w:cs="宋体"/>
          <w:b/>
          <w:bCs/>
          <w:kern w:val="0"/>
          <w:sz w:val="24"/>
          <w:szCs w:val="24"/>
        </w:rPr>
        <w:t>第十七条</w:t>
      </w:r>
      <w:r>
        <w:rPr>
          <w:kern w:val="0"/>
          <w:sz w:val="24"/>
          <w:szCs w:val="24"/>
        </w:rPr>
        <w:t xml:space="preserve"> </w:t>
      </w:r>
      <w:r>
        <w:rPr>
          <w:rFonts w:hint="eastAsia"/>
          <w:kern w:val="0"/>
          <w:sz w:val="24"/>
          <w:szCs w:val="24"/>
        </w:rPr>
        <w:t xml:space="preserve"> </w:t>
      </w:r>
      <w:r>
        <w:rPr>
          <w:rFonts w:hint="eastAsia" w:cs="宋体"/>
          <w:kern w:val="0"/>
          <w:sz w:val="24"/>
          <w:szCs w:val="24"/>
        </w:rPr>
        <w:t>申请参加拖拉机驾驶员培训的人员应当符合拖拉机驾驶证管理的有关规定，填写《中华人民共和国拖拉机驾驶员培训申请表》，交验身份证件。</w:t>
      </w:r>
    </w:p>
    <w:p>
      <w:pPr>
        <w:pStyle w:val="3"/>
        <w:topLinePunct/>
        <w:spacing w:line="412" w:lineRule="exact"/>
        <w:ind w:firstLine="482"/>
        <w:rPr>
          <w:kern w:val="0"/>
          <w:sz w:val="24"/>
          <w:szCs w:val="24"/>
        </w:rPr>
      </w:pPr>
      <w:r>
        <w:rPr>
          <w:rFonts w:hint="eastAsia" w:cs="宋体"/>
          <w:b/>
          <w:bCs/>
          <w:kern w:val="0"/>
          <w:sz w:val="24"/>
          <w:szCs w:val="24"/>
        </w:rPr>
        <w:t>第十八条</w:t>
      </w:r>
      <w:r>
        <w:rPr>
          <w:kern w:val="0"/>
          <w:sz w:val="24"/>
          <w:szCs w:val="24"/>
        </w:rPr>
        <w:t xml:space="preserve"> </w:t>
      </w:r>
      <w:r>
        <w:rPr>
          <w:rFonts w:hint="eastAsia"/>
          <w:kern w:val="0"/>
          <w:sz w:val="24"/>
          <w:szCs w:val="24"/>
        </w:rPr>
        <w:t xml:space="preserve"> </w:t>
      </w:r>
      <w:r>
        <w:rPr>
          <w:rFonts w:hint="eastAsia" w:cs="宋体"/>
          <w:kern w:val="0"/>
          <w:sz w:val="24"/>
          <w:szCs w:val="24"/>
        </w:rPr>
        <w:t>完成规定课程并考试合格的学员，培训机构向学员提供素质评价、培训课时、教练员签名等记录。培训记录保存期不得少于</w:t>
      </w:r>
      <w:r>
        <w:rPr>
          <w:kern w:val="0"/>
          <w:sz w:val="24"/>
          <w:szCs w:val="24"/>
        </w:rPr>
        <w:t>4</w:t>
      </w:r>
      <w:r>
        <w:rPr>
          <w:rFonts w:hint="eastAsia" w:cs="宋体"/>
          <w:kern w:val="0"/>
          <w:sz w:val="24"/>
          <w:szCs w:val="24"/>
        </w:rPr>
        <w:t>年。</w:t>
      </w:r>
    </w:p>
    <w:p>
      <w:pPr>
        <w:pStyle w:val="3"/>
        <w:topLinePunct/>
        <w:spacing w:line="412" w:lineRule="exact"/>
        <w:ind w:firstLine="482"/>
        <w:rPr>
          <w:kern w:val="0"/>
          <w:sz w:val="24"/>
          <w:szCs w:val="24"/>
        </w:rPr>
      </w:pPr>
      <w:r>
        <w:rPr>
          <w:rFonts w:hint="eastAsia" w:cs="宋体"/>
          <w:b/>
          <w:bCs/>
          <w:kern w:val="0"/>
          <w:sz w:val="24"/>
          <w:szCs w:val="24"/>
        </w:rPr>
        <w:t>第十九条</w:t>
      </w:r>
      <w:r>
        <w:rPr>
          <w:kern w:val="0"/>
          <w:sz w:val="24"/>
          <w:szCs w:val="24"/>
        </w:rPr>
        <w:t xml:space="preserve"> </w:t>
      </w:r>
      <w:r>
        <w:rPr>
          <w:rFonts w:hint="eastAsia"/>
          <w:kern w:val="0"/>
          <w:sz w:val="24"/>
          <w:szCs w:val="24"/>
        </w:rPr>
        <w:t xml:space="preserve"> </w:t>
      </w:r>
      <w:r>
        <w:rPr>
          <w:rFonts w:hint="eastAsia" w:cs="宋体"/>
          <w:kern w:val="0"/>
          <w:sz w:val="24"/>
          <w:szCs w:val="24"/>
        </w:rPr>
        <w:t>教练车应当按拖拉机登记有关规定取得教练车牌证。</w:t>
      </w:r>
    </w:p>
    <w:p>
      <w:pPr>
        <w:pStyle w:val="63"/>
        <w:spacing w:before="218" w:after="218" w:line="412" w:lineRule="exact"/>
        <w:rPr>
          <w:kern w:val="0"/>
        </w:rPr>
      </w:pPr>
      <w:r>
        <w:rPr>
          <w:rFonts w:hint="eastAsia"/>
          <w:kern w:val="0"/>
        </w:rPr>
        <w:t xml:space="preserve">第五章 </w:t>
      </w:r>
      <w:r>
        <w:rPr>
          <w:kern w:val="0"/>
        </w:rPr>
        <w:t xml:space="preserve"> </w:t>
      </w:r>
      <w:r>
        <w:rPr>
          <w:rFonts w:hint="eastAsia"/>
          <w:kern w:val="0"/>
        </w:rPr>
        <w:t>监督检查</w:t>
      </w:r>
    </w:p>
    <w:p>
      <w:pPr>
        <w:pStyle w:val="3"/>
        <w:topLinePunct/>
        <w:spacing w:line="412" w:lineRule="exact"/>
        <w:ind w:firstLine="482"/>
        <w:rPr>
          <w:kern w:val="0"/>
          <w:sz w:val="24"/>
          <w:szCs w:val="24"/>
        </w:rPr>
      </w:pPr>
      <w:r>
        <w:rPr>
          <w:rFonts w:hint="eastAsia" w:cs="宋体"/>
          <w:b/>
          <w:bCs/>
          <w:kern w:val="0"/>
          <w:sz w:val="24"/>
          <w:szCs w:val="24"/>
        </w:rPr>
        <w:t>第二十条</w:t>
      </w:r>
      <w:r>
        <w:rPr>
          <w:kern w:val="0"/>
          <w:sz w:val="24"/>
          <w:szCs w:val="24"/>
        </w:rPr>
        <w:t xml:space="preserve"> </w:t>
      </w:r>
      <w:r>
        <w:rPr>
          <w:rFonts w:hint="eastAsia"/>
          <w:kern w:val="0"/>
          <w:sz w:val="24"/>
          <w:szCs w:val="24"/>
        </w:rPr>
        <w:t xml:space="preserve"> </w:t>
      </w:r>
      <w:r>
        <w:rPr>
          <w:rFonts w:hint="eastAsia" w:cs="宋体"/>
          <w:kern w:val="0"/>
          <w:sz w:val="24"/>
          <w:szCs w:val="24"/>
        </w:rPr>
        <w:t>拖拉机驾驶培训机构应当于每年</w:t>
      </w:r>
      <w:r>
        <w:rPr>
          <w:kern w:val="0"/>
          <w:sz w:val="24"/>
          <w:szCs w:val="24"/>
        </w:rPr>
        <w:t>12</w:t>
      </w:r>
      <w:r>
        <w:rPr>
          <w:rFonts w:hint="eastAsia" w:cs="宋体"/>
          <w:kern w:val="0"/>
          <w:sz w:val="24"/>
          <w:szCs w:val="24"/>
        </w:rPr>
        <w:t>月</w:t>
      </w:r>
      <w:r>
        <w:rPr>
          <w:kern w:val="0"/>
          <w:sz w:val="24"/>
          <w:szCs w:val="24"/>
        </w:rPr>
        <w:t>10</w:t>
      </w:r>
      <w:r>
        <w:rPr>
          <w:rFonts w:hint="eastAsia" w:cs="宋体"/>
          <w:kern w:val="0"/>
          <w:sz w:val="24"/>
          <w:szCs w:val="24"/>
        </w:rPr>
        <w:t>日前，填写《拖拉机驾驶培训机构情况表》，报省级人民政府农机主管部门备案。</w:t>
      </w:r>
    </w:p>
    <w:p>
      <w:pPr>
        <w:pStyle w:val="3"/>
        <w:topLinePunct/>
        <w:spacing w:line="412" w:lineRule="exact"/>
        <w:ind w:firstLine="482"/>
        <w:rPr>
          <w:kern w:val="0"/>
          <w:sz w:val="24"/>
          <w:szCs w:val="24"/>
        </w:rPr>
      </w:pPr>
      <w:r>
        <w:rPr>
          <w:rFonts w:hint="eastAsia" w:cs="宋体"/>
          <w:b/>
          <w:bCs/>
          <w:kern w:val="0"/>
          <w:sz w:val="24"/>
          <w:szCs w:val="24"/>
        </w:rPr>
        <w:t xml:space="preserve">第二十一条 </w:t>
      </w:r>
      <w:r>
        <w:rPr>
          <w:kern w:val="0"/>
          <w:sz w:val="24"/>
          <w:szCs w:val="24"/>
        </w:rPr>
        <w:t xml:space="preserve"> </w:t>
      </w:r>
      <w:r>
        <w:rPr>
          <w:rFonts w:hint="eastAsia" w:cs="宋体"/>
          <w:kern w:val="0"/>
          <w:sz w:val="24"/>
          <w:szCs w:val="24"/>
        </w:rPr>
        <w:t>县级以上地方人民政府农机主管部门应当对拖拉机驾驶培训机构进行监督检查，发现违反本办法行为的，应当依照职权调查处理。需由省级人民政府农机主管部门处理的，应当及时报请决定。</w:t>
      </w:r>
    </w:p>
    <w:p>
      <w:pPr>
        <w:pStyle w:val="3"/>
        <w:topLinePunct/>
        <w:spacing w:line="412" w:lineRule="exact"/>
        <w:ind w:firstLine="482"/>
        <w:rPr>
          <w:kern w:val="0"/>
          <w:sz w:val="24"/>
          <w:szCs w:val="24"/>
        </w:rPr>
      </w:pPr>
      <w:r>
        <w:rPr>
          <w:rFonts w:hint="eastAsia" w:cs="宋体"/>
          <w:b/>
          <w:bCs/>
          <w:kern w:val="0"/>
          <w:sz w:val="24"/>
          <w:szCs w:val="24"/>
        </w:rPr>
        <w:t>第二十二条</w:t>
      </w:r>
      <w:r>
        <w:rPr>
          <w:kern w:val="0"/>
          <w:sz w:val="24"/>
          <w:szCs w:val="24"/>
        </w:rPr>
        <w:t xml:space="preserve"> </w:t>
      </w:r>
      <w:r>
        <w:rPr>
          <w:rFonts w:hint="eastAsia"/>
          <w:kern w:val="0"/>
          <w:sz w:val="24"/>
          <w:szCs w:val="24"/>
        </w:rPr>
        <w:t xml:space="preserve"> </w:t>
      </w:r>
      <w:r>
        <w:rPr>
          <w:rFonts w:hint="eastAsia" w:cs="宋体"/>
          <w:kern w:val="0"/>
          <w:sz w:val="24"/>
          <w:szCs w:val="24"/>
        </w:rPr>
        <w:t>拖拉机驾驶培训机构有下列情形之一的，由省级人民政府农机主管部门予以注销，并收回《中华人民共和国拖拉机驾驶培训许可证》：</w:t>
      </w:r>
    </w:p>
    <w:p>
      <w:pPr>
        <w:pStyle w:val="3"/>
        <w:topLinePunct/>
        <w:spacing w:line="412" w:lineRule="exact"/>
        <w:ind w:firstLine="480"/>
        <w:rPr>
          <w:kern w:val="0"/>
          <w:sz w:val="24"/>
          <w:szCs w:val="24"/>
        </w:rPr>
      </w:pPr>
      <w:r>
        <w:rPr>
          <w:rFonts w:hint="eastAsia" w:cs="宋体"/>
          <w:kern w:val="0"/>
          <w:sz w:val="24"/>
          <w:szCs w:val="24"/>
        </w:rPr>
        <w:t>（一）办学条件发生重大变化，不符合本办法规定，在省级人民政府农机主管部门规定的整改期限内仍未达到要求的；</w:t>
      </w:r>
    </w:p>
    <w:p>
      <w:pPr>
        <w:pStyle w:val="3"/>
        <w:topLinePunct/>
        <w:spacing w:line="412" w:lineRule="exact"/>
        <w:ind w:firstLine="480"/>
        <w:rPr>
          <w:kern w:val="0"/>
          <w:sz w:val="24"/>
          <w:szCs w:val="24"/>
        </w:rPr>
      </w:pPr>
      <w:r>
        <w:rPr>
          <w:rFonts w:hint="eastAsia" w:cs="宋体"/>
          <w:kern w:val="0"/>
          <w:sz w:val="24"/>
          <w:szCs w:val="24"/>
        </w:rPr>
        <w:t>（二）歇业一年以上的；</w:t>
      </w:r>
    </w:p>
    <w:p>
      <w:pPr>
        <w:pStyle w:val="3"/>
        <w:topLinePunct/>
        <w:spacing w:line="412" w:lineRule="exact"/>
        <w:ind w:firstLine="480"/>
        <w:rPr>
          <w:kern w:val="0"/>
          <w:sz w:val="24"/>
          <w:szCs w:val="24"/>
        </w:rPr>
      </w:pPr>
      <w:r>
        <w:rPr>
          <w:rFonts w:hint="eastAsia" w:cs="宋体"/>
          <w:kern w:val="0"/>
          <w:sz w:val="24"/>
          <w:szCs w:val="24"/>
        </w:rPr>
        <w:t>（三）申请终止的；</w:t>
      </w:r>
    </w:p>
    <w:p>
      <w:pPr>
        <w:pStyle w:val="3"/>
        <w:topLinePunct/>
        <w:spacing w:line="412" w:lineRule="exact"/>
        <w:ind w:firstLine="480"/>
        <w:rPr>
          <w:kern w:val="0"/>
          <w:sz w:val="24"/>
          <w:szCs w:val="24"/>
        </w:rPr>
      </w:pPr>
      <w:r>
        <w:rPr>
          <w:rFonts w:hint="eastAsia" w:cs="宋体"/>
          <w:kern w:val="0"/>
          <w:sz w:val="24"/>
          <w:szCs w:val="24"/>
        </w:rPr>
        <w:t>（四）连续两年未按时报送《拖拉机驾驶培训机构情况表》，限期整改仍拒不报送的；</w:t>
      </w:r>
    </w:p>
    <w:p>
      <w:pPr>
        <w:pStyle w:val="3"/>
        <w:topLinePunct/>
        <w:spacing w:line="412" w:lineRule="exact"/>
        <w:ind w:firstLine="480"/>
        <w:rPr>
          <w:kern w:val="0"/>
          <w:sz w:val="24"/>
          <w:szCs w:val="24"/>
        </w:rPr>
      </w:pPr>
      <w:r>
        <w:rPr>
          <w:rFonts w:hint="eastAsia" w:cs="宋体"/>
          <w:kern w:val="0"/>
          <w:sz w:val="24"/>
          <w:szCs w:val="24"/>
        </w:rPr>
        <w:t>（五）其他应当注销的情形。</w:t>
      </w:r>
    </w:p>
    <w:p>
      <w:pPr>
        <w:pStyle w:val="3"/>
        <w:topLinePunct/>
        <w:spacing w:line="412" w:lineRule="exact"/>
        <w:ind w:firstLine="482"/>
        <w:rPr>
          <w:kern w:val="0"/>
          <w:sz w:val="24"/>
          <w:szCs w:val="24"/>
        </w:rPr>
      </w:pPr>
      <w:r>
        <w:rPr>
          <w:rFonts w:hint="eastAsia" w:cs="宋体"/>
          <w:b/>
          <w:bCs/>
          <w:kern w:val="0"/>
          <w:sz w:val="24"/>
          <w:szCs w:val="24"/>
        </w:rPr>
        <w:t>第二十三条</w:t>
      </w:r>
      <w:r>
        <w:rPr>
          <w:kern w:val="0"/>
          <w:sz w:val="24"/>
          <w:szCs w:val="24"/>
        </w:rPr>
        <w:t xml:space="preserve"> </w:t>
      </w:r>
      <w:r>
        <w:rPr>
          <w:rFonts w:hint="eastAsia"/>
          <w:kern w:val="0"/>
          <w:sz w:val="24"/>
          <w:szCs w:val="24"/>
        </w:rPr>
        <w:t xml:space="preserve"> </w:t>
      </w:r>
      <w:r>
        <w:rPr>
          <w:rFonts w:hint="eastAsia" w:cs="宋体"/>
          <w:kern w:val="0"/>
          <w:sz w:val="24"/>
          <w:szCs w:val="24"/>
        </w:rPr>
        <w:t>省级人民政府农机主管部门应当及时公告批准、变更和注销的拖拉机驾驶培训机构。</w:t>
      </w:r>
    </w:p>
    <w:p>
      <w:pPr>
        <w:pStyle w:val="63"/>
        <w:spacing w:before="218" w:after="218" w:line="412" w:lineRule="exact"/>
        <w:rPr>
          <w:kern w:val="0"/>
        </w:rPr>
      </w:pPr>
      <w:r>
        <w:rPr>
          <w:rFonts w:hint="eastAsia"/>
          <w:kern w:val="0"/>
        </w:rPr>
        <w:t>第六章  罚  则</w:t>
      </w:r>
    </w:p>
    <w:p>
      <w:pPr>
        <w:pStyle w:val="3"/>
        <w:topLinePunct/>
        <w:spacing w:line="412" w:lineRule="exact"/>
        <w:ind w:firstLine="482"/>
        <w:rPr>
          <w:kern w:val="0"/>
          <w:sz w:val="24"/>
          <w:szCs w:val="24"/>
        </w:rPr>
      </w:pPr>
      <w:r>
        <w:rPr>
          <w:rFonts w:hint="eastAsia" w:cs="宋体"/>
          <w:b/>
          <w:bCs/>
          <w:kern w:val="0"/>
          <w:sz w:val="24"/>
          <w:szCs w:val="24"/>
        </w:rPr>
        <w:t>第二十四条</w:t>
      </w:r>
      <w:r>
        <w:rPr>
          <w:kern w:val="0"/>
          <w:sz w:val="24"/>
          <w:szCs w:val="24"/>
        </w:rPr>
        <w:t xml:space="preserve"> </w:t>
      </w:r>
      <w:r>
        <w:rPr>
          <w:rFonts w:hint="eastAsia"/>
          <w:kern w:val="0"/>
          <w:sz w:val="24"/>
          <w:szCs w:val="24"/>
        </w:rPr>
        <w:t xml:space="preserve"> </w:t>
      </w:r>
      <w:r>
        <w:rPr>
          <w:rFonts w:hint="eastAsia" w:cs="宋体"/>
          <w:kern w:val="0"/>
          <w:sz w:val="24"/>
          <w:szCs w:val="24"/>
        </w:rPr>
        <w:t>对违反本办法的单位和个人，由县级以上地方人民政府农机主管部门按以下规定处罚：</w:t>
      </w:r>
    </w:p>
    <w:p>
      <w:pPr>
        <w:pStyle w:val="3"/>
        <w:topLinePunct/>
        <w:spacing w:line="412" w:lineRule="exact"/>
        <w:ind w:firstLine="480"/>
        <w:rPr>
          <w:kern w:val="0"/>
          <w:sz w:val="24"/>
          <w:szCs w:val="24"/>
        </w:rPr>
      </w:pPr>
      <w:r>
        <w:rPr>
          <w:kern w:val="0"/>
          <w:sz w:val="24"/>
          <w:szCs w:val="24"/>
        </w:rPr>
        <w:t>（</w:t>
      </w:r>
      <w:r>
        <w:rPr>
          <w:rFonts w:hint="eastAsia" w:cs="宋体"/>
          <w:kern w:val="0"/>
          <w:sz w:val="24"/>
          <w:szCs w:val="24"/>
        </w:rPr>
        <w:t>一</w:t>
      </w:r>
      <w:r>
        <w:rPr>
          <w:kern w:val="0"/>
          <w:sz w:val="24"/>
          <w:szCs w:val="24"/>
        </w:rPr>
        <w:t>）</w:t>
      </w:r>
      <w:r>
        <w:rPr>
          <w:rFonts w:hint="eastAsia" w:cs="宋体"/>
          <w:kern w:val="0"/>
          <w:sz w:val="24"/>
          <w:szCs w:val="24"/>
        </w:rPr>
        <w:t>未取得培训许可擅自从事拖拉机驾驶培训业务的，责令停办，有违法所得的，处违法所得三倍以下罚款，但最高不超过三万元；无违法所得的，处一万元以下罚款；</w:t>
      </w:r>
    </w:p>
    <w:p>
      <w:pPr>
        <w:pStyle w:val="3"/>
        <w:topLinePunct/>
        <w:spacing w:line="412" w:lineRule="exact"/>
        <w:ind w:firstLine="480"/>
        <w:rPr>
          <w:kern w:val="0"/>
          <w:sz w:val="24"/>
          <w:szCs w:val="24"/>
        </w:rPr>
      </w:pPr>
      <w:r>
        <w:rPr>
          <w:kern w:val="0"/>
          <w:sz w:val="24"/>
          <w:szCs w:val="24"/>
        </w:rPr>
        <w:t>（</w:t>
      </w:r>
      <w:r>
        <w:rPr>
          <w:rFonts w:hint="eastAsia" w:cs="宋体"/>
          <w:kern w:val="0"/>
          <w:sz w:val="24"/>
          <w:szCs w:val="24"/>
        </w:rPr>
        <w:t>二</w:t>
      </w:r>
      <w:r>
        <w:rPr>
          <w:kern w:val="0"/>
          <w:sz w:val="24"/>
          <w:szCs w:val="24"/>
        </w:rPr>
        <w:t>）</w:t>
      </w:r>
      <w:r>
        <w:rPr>
          <w:rFonts w:hint="eastAsia" w:cs="宋体"/>
          <w:kern w:val="0"/>
          <w:sz w:val="24"/>
          <w:szCs w:val="24"/>
        </w:rPr>
        <w:t>未按统一的教学计划、教学大纲和规定教材进行培训的，责令改正，处二千元以下罚款；</w:t>
      </w:r>
    </w:p>
    <w:p>
      <w:pPr>
        <w:pStyle w:val="3"/>
        <w:topLinePunct/>
        <w:spacing w:line="412" w:lineRule="exact"/>
        <w:ind w:firstLine="480"/>
        <w:rPr>
          <w:kern w:val="0"/>
          <w:sz w:val="24"/>
          <w:szCs w:val="24"/>
        </w:rPr>
      </w:pPr>
      <w:r>
        <w:rPr>
          <w:kern w:val="0"/>
          <w:sz w:val="24"/>
          <w:szCs w:val="24"/>
        </w:rPr>
        <w:t>（</w:t>
      </w:r>
      <w:r>
        <w:rPr>
          <w:rFonts w:hint="eastAsia" w:cs="宋体"/>
          <w:kern w:val="0"/>
          <w:sz w:val="24"/>
          <w:szCs w:val="24"/>
        </w:rPr>
        <w:t>三</w:t>
      </w:r>
      <w:r>
        <w:rPr>
          <w:kern w:val="0"/>
          <w:sz w:val="24"/>
          <w:szCs w:val="24"/>
        </w:rPr>
        <w:t>）</w:t>
      </w:r>
      <w:r>
        <w:rPr>
          <w:rFonts w:hint="eastAsia" w:cs="宋体"/>
          <w:kern w:val="0"/>
          <w:sz w:val="24"/>
          <w:szCs w:val="24"/>
        </w:rPr>
        <w:t>聘用未经省级人民政府农机主管部门考核合格的人员从事拖拉机驾驶员培训教学工作的，责令改正，处五千元以下罚款。</w:t>
      </w:r>
    </w:p>
    <w:p>
      <w:pPr>
        <w:pStyle w:val="3"/>
        <w:topLinePunct/>
        <w:spacing w:line="412" w:lineRule="exact"/>
        <w:ind w:firstLine="482"/>
        <w:rPr>
          <w:kern w:val="0"/>
          <w:sz w:val="24"/>
          <w:szCs w:val="24"/>
        </w:rPr>
      </w:pPr>
      <w:r>
        <w:rPr>
          <w:rFonts w:hint="eastAsia" w:cs="宋体"/>
          <w:b/>
          <w:bCs/>
          <w:kern w:val="0"/>
          <w:sz w:val="24"/>
          <w:szCs w:val="24"/>
        </w:rPr>
        <w:t xml:space="preserve">第二十五条 </w:t>
      </w:r>
      <w:r>
        <w:rPr>
          <w:kern w:val="0"/>
          <w:sz w:val="24"/>
          <w:szCs w:val="24"/>
        </w:rPr>
        <w:t xml:space="preserve"> </w:t>
      </w:r>
      <w:r>
        <w:rPr>
          <w:rFonts w:hint="eastAsia" w:cs="宋体"/>
          <w:kern w:val="0"/>
          <w:sz w:val="24"/>
          <w:szCs w:val="24"/>
        </w:rPr>
        <w:t>农机主管部门工作人员在拖拉机驾驶培训管理工作中，以权谋私，违法乱纪的，依法给予行政处分。</w:t>
      </w:r>
    </w:p>
    <w:p>
      <w:pPr>
        <w:pStyle w:val="63"/>
        <w:spacing w:before="218" w:after="218" w:line="412" w:lineRule="exact"/>
        <w:rPr>
          <w:kern w:val="0"/>
        </w:rPr>
      </w:pPr>
      <w:r>
        <w:rPr>
          <w:rFonts w:hint="eastAsia"/>
          <w:kern w:val="0"/>
        </w:rPr>
        <w:t>第七章  附  则</w:t>
      </w:r>
    </w:p>
    <w:p>
      <w:pPr>
        <w:pStyle w:val="3"/>
        <w:topLinePunct/>
        <w:spacing w:line="412" w:lineRule="exact"/>
        <w:ind w:firstLine="482"/>
        <w:rPr>
          <w:kern w:val="0"/>
          <w:sz w:val="24"/>
          <w:szCs w:val="24"/>
        </w:rPr>
      </w:pPr>
      <w:r>
        <w:rPr>
          <w:rFonts w:hint="eastAsia" w:cs="宋体"/>
          <w:b/>
          <w:bCs/>
          <w:kern w:val="0"/>
          <w:sz w:val="24"/>
          <w:szCs w:val="24"/>
        </w:rPr>
        <w:t>第二十六条</w:t>
      </w:r>
      <w:r>
        <w:rPr>
          <w:kern w:val="0"/>
          <w:sz w:val="24"/>
          <w:szCs w:val="24"/>
        </w:rPr>
        <w:t xml:space="preserve"> </w:t>
      </w:r>
      <w:r>
        <w:rPr>
          <w:rFonts w:hint="eastAsia"/>
          <w:kern w:val="0"/>
          <w:sz w:val="24"/>
          <w:szCs w:val="24"/>
        </w:rPr>
        <w:t xml:space="preserve"> </w:t>
      </w:r>
      <w:r>
        <w:rPr>
          <w:rFonts w:hint="eastAsia" w:cs="宋体"/>
          <w:kern w:val="0"/>
          <w:sz w:val="24"/>
          <w:szCs w:val="24"/>
        </w:rPr>
        <w:t>拖拉机驾驶培训机构教员考核办法由省级人民政府农机主管部门制定。</w:t>
      </w:r>
    </w:p>
    <w:p>
      <w:pPr>
        <w:pStyle w:val="3"/>
        <w:topLinePunct/>
        <w:spacing w:line="412" w:lineRule="exact"/>
        <w:ind w:firstLine="482"/>
        <w:rPr>
          <w:kern w:val="0"/>
          <w:sz w:val="24"/>
          <w:szCs w:val="24"/>
        </w:rPr>
      </w:pPr>
      <w:r>
        <w:rPr>
          <w:rFonts w:hint="eastAsia" w:cs="宋体"/>
          <w:b/>
          <w:bCs/>
          <w:kern w:val="0"/>
          <w:sz w:val="24"/>
          <w:szCs w:val="24"/>
        </w:rPr>
        <w:t>第二十七条</w:t>
      </w:r>
      <w:r>
        <w:rPr>
          <w:kern w:val="0"/>
          <w:sz w:val="24"/>
          <w:szCs w:val="24"/>
        </w:rPr>
        <w:t xml:space="preserve"> </w:t>
      </w:r>
      <w:r>
        <w:rPr>
          <w:rFonts w:hint="eastAsia"/>
          <w:kern w:val="0"/>
          <w:sz w:val="24"/>
          <w:szCs w:val="24"/>
        </w:rPr>
        <w:t xml:space="preserve"> </w:t>
      </w:r>
      <w:r>
        <w:rPr>
          <w:rFonts w:hint="eastAsia" w:cs="宋体"/>
          <w:kern w:val="0"/>
          <w:sz w:val="24"/>
          <w:szCs w:val="24"/>
        </w:rPr>
        <w:t>现有拖拉机驾驶培训机构应当在本办法施行之日起一年内取得《中华人民共和国拖拉机驾驶培训许可证》。</w:t>
      </w:r>
    </w:p>
    <w:p>
      <w:pPr>
        <w:pStyle w:val="3"/>
        <w:topLinePunct/>
        <w:spacing w:line="412" w:lineRule="exact"/>
        <w:ind w:firstLine="482"/>
        <w:rPr>
          <w:kern w:val="0"/>
          <w:sz w:val="24"/>
          <w:szCs w:val="24"/>
        </w:rPr>
      </w:pPr>
      <w:r>
        <w:rPr>
          <w:rFonts w:hint="eastAsia" w:cs="宋体"/>
          <w:b/>
          <w:bCs/>
          <w:kern w:val="0"/>
          <w:sz w:val="24"/>
          <w:szCs w:val="24"/>
        </w:rPr>
        <w:t>第二十八条</w:t>
      </w:r>
      <w:r>
        <w:rPr>
          <w:kern w:val="0"/>
          <w:sz w:val="24"/>
          <w:szCs w:val="24"/>
        </w:rPr>
        <w:t xml:space="preserve"> </w:t>
      </w:r>
      <w:r>
        <w:rPr>
          <w:rFonts w:hint="eastAsia"/>
          <w:kern w:val="0"/>
          <w:sz w:val="24"/>
          <w:szCs w:val="24"/>
        </w:rPr>
        <w:t xml:space="preserve"> </w:t>
      </w:r>
      <w:r>
        <w:rPr>
          <w:rFonts w:hint="eastAsia" w:cs="宋体"/>
          <w:kern w:val="0"/>
          <w:sz w:val="24"/>
          <w:szCs w:val="24"/>
        </w:rPr>
        <w:t>本办法自</w:t>
      </w:r>
      <w:r>
        <w:rPr>
          <w:kern w:val="0"/>
          <w:sz w:val="24"/>
          <w:szCs w:val="24"/>
        </w:rPr>
        <w:t>2004</w:t>
      </w:r>
      <w:r>
        <w:rPr>
          <w:rFonts w:hint="eastAsia" w:cs="宋体"/>
          <w:kern w:val="0"/>
          <w:sz w:val="24"/>
          <w:szCs w:val="24"/>
        </w:rPr>
        <w:t>年</w:t>
      </w:r>
      <w:r>
        <w:rPr>
          <w:kern w:val="0"/>
          <w:sz w:val="24"/>
          <w:szCs w:val="24"/>
        </w:rPr>
        <w:t>9</w:t>
      </w:r>
      <w:r>
        <w:rPr>
          <w:rFonts w:hint="eastAsia" w:cs="宋体"/>
          <w:kern w:val="0"/>
          <w:sz w:val="24"/>
          <w:szCs w:val="24"/>
        </w:rPr>
        <w:t>月</w:t>
      </w:r>
      <w:r>
        <w:rPr>
          <w:kern w:val="0"/>
          <w:sz w:val="24"/>
          <w:szCs w:val="24"/>
        </w:rPr>
        <w:t>1</w:t>
      </w:r>
      <w:r>
        <w:rPr>
          <w:rFonts w:hint="eastAsia" w:cs="宋体"/>
          <w:kern w:val="0"/>
          <w:sz w:val="24"/>
          <w:szCs w:val="24"/>
        </w:rPr>
        <w:t>日起施行。</w:t>
      </w:r>
    </w:p>
    <w:p>
      <w:pPr>
        <w:pStyle w:val="3"/>
        <w:topLinePunct/>
        <w:spacing w:line="416" w:lineRule="exact"/>
        <w:ind w:firstLine="480"/>
        <w:rPr>
          <w:rFonts w:asciiTheme="minorEastAsia" w:hAnsiTheme="minorEastAsia" w:eastAsiaTheme="minorEastAsia"/>
          <w:kern w:val="0"/>
          <w:sz w:val="24"/>
          <w:szCs w:val="24"/>
        </w:rPr>
      </w:pP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bookmarkStart w:id="1561" w:name="_Toc18315901"/>
      <w:bookmarkStart w:id="1562" w:name="_Toc25922"/>
      <w:bookmarkStart w:id="1563" w:name="_Toc466579973"/>
    </w:p>
    <w:p>
      <w:pPr>
        <w:pStyle w:val="61"/>
      </w:pPr>
      <w:bookmarkStart w:id="1564" w:name="_Toc28251022"/>
      <w:bookmarkStart w:id="1565" w:name="_Toc25648317"/>
      <w:bookmarkStart w:id="1566" w:name="_Toc26348072"/>
      <w:bookmarkStart w:id="1567" w:name="_Toc28157094"/>
      <w:bookmarkStart w:id="1568" w:name="_Toc28252304"/>
      <w:bookmarkStart w:id="1569" w:name="_Toc25653818"/>
      <w:r>
        <w:t>农业机械试验鉴定办法</w:t>
      </w:r>
      <w:bookmarkEnd w:id="1561"/>
      <w:bookmarkEnd w:id="1562"/>
      <w:bookmarkEnd w:id="1563"/>
      <w:bookmarkEnd w:id="1564"/>
      <w:bookmarkEnd w:id="1565"/>
      <w:bookmarkEnd w:id="1566"/>
      <w:bookmarkEnd w:id="1567"/>
      <w:bookmarkEnd w:id="1568"/>
      <w:bookmarkEnd w:id="1569"/>
    </w:p>
    <w:p>
      <w:pPr>
        <w:pStyle w:val="62"/>
      </w:pPr>
      <w:r>
        <w:t>（2005年7月26日农业部令第54号公布，根据2013年12月31日农业部令第5号第一次修订</w:t>
      </w:r>
      <w:r>
        <w:rPr>
          <w:rFonts w:hint="eastAsia"/>
        </w:rPr>
        <w:t>，</w:t>
      </w:r>
      <w:r>
        <w:t>根据2018年12月30日农业农村部令第3号第二次修订）</w:t>
      </w:r>
    </w:p>
    <w:p>
      <w:pPr>
        <w:pStyle w:val="63"/>
        <w:spacing w:before="218" w:after="218" w:line="412" w:lineRule="exact"/>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为了促进先进适用农业机械的推广应用，维护农业机械使用者及生产者、销售者的合法权益，根据《中华人民共和国农业机械化促进法》和《中华人民共和国农业技术推广法》，制定本办法。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w:t>
      </w:r>
      <w:r>
        <w:rPr>
          <w:rFonts w:asciiTheme="minorEastAsia" w:hAnsiTheme="minorEastAsia" w:eastAsiaTheme="minorEastAsia"/>
          <w:spacing w:val="-4"/>
          <w:sz w:val="24"/>
          <w:szCs w:val="24"/>
        </w:rPr>
        <w:t>所称农业机械试验鉴定（以下简称农机鉴定），是指农业机械试验鉴定机构（以下简称农机鉴定机构）通过科学试验、检测和考核，对农业机械的适用性、安全性和可靠性作出技术评价，为农业机械的选择和推广提供依据和信息的活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根据鉴定目的不同，农机鉴定分为：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（一）推广鉴定：全面考核农业机械性能，评定是否适于推广；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（二）专项鉴定：考核、评定农业机械创新产品的专项性能。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农机鉴定由农业机械生产者或者销售者自愿申请。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农业农村部主管全国农机鉴定工作，制定并公布推广鉴定大纲。</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省、自治区、直辖市人民政府农业机械化行政主管部门主管本行政区域的农机鉴定工作，制定并公布专项鉴定大纲，报农业农村部备案。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农机鉴定大纲应当根据法规、标准变化或者农机产品技术发展情况进行修订、废止，不断适应农机鉴定工作需要。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农机鉴定机构应当制定并定期调整、发布农机鉴定产品种类指南，明确可鉴定的产品范围，依据农机鉴定大纲开展农机鉴定工作。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农机鉴定属公益性服务，应当坚持公正、公开、科学、高效的原则，推行网上申请、受理、审核、发证、注册管理，接受农业机械使用者、生产者、销售者和社会的监督。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通过农机鉴定的产品，可以依法纳入国家促进农业机械化技术推广的财政补贴、优惠信贷、政府采购等政策支持的范围。</w:t>
      </w:r>
    </w:p>
    <w:p>
      <w:pPr>
        <w:pStyle w:val="63"/>
        <w:spacing w:before="218" w:after="218" w:line="412" w:lineRule="exact"/>
      </w:pPr>
      <w:r>
        <w:t xml:space="preserve">第二章 </w:t>
      </w:r>
      <w:r>
        <w:rPr>
          <w:rFonts w:hint="eastAsia"/>
        </w:rPr>
        <w:t xml:space="preserve"> </w:t>
      </w:r>
      <w:r>
        <w:t>鉴定机构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农机鉴定由省级以上人民政府农业机械化行政主管部门所属或者指定的农机鉴定机构实施。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农机鉴定机构应当具备下列条件: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（一）不以赢利为目的的公益性事业组织；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（二）具有与鉴定工作相适应的工作人员、场所和设施设备；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（三）具有符合鉴定工作要求的工作制度和操作规范。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农业农村部农业机械试验鉴定总站负责组织协调农机鉴定机构开展国家支持的推广鉴定工作。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鼓励各农机鉴定机构之间开展鉴定合作，共享鉴定资源，提高鉴定能力。</w:t>
      </w:r>
    </w:p>
    <w:p>
      <w:pPr>
        <w:pStyle w:val="63"/>
        <w:spacing w:before="218" w:after="218" w:line="412" w:lineRule="exact"/>
      </w:pPr>
      <w:r>
        <w:t xml:space="preserve">第三章 </w:t>
      </w:r>
      <w:r>
        <w:rPr>
          <w:rFonts w:hint="eastAsia"/>
        </w:rPr>
        <w:t xml:space="preserve"> </w:t>
      </w:r>
      <w:r>
        <w:t>申请和受理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申请农机鉴定的产品应当符合下列条件：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（一）属合格产品；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（二）有一定的生产批量；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（三）列入农机鉴定产品种类指南；</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（四）实行强制性认证或者生产许可管理的产品，还应当取得相应的证书；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（五）申请前五年内，未违反本办法第二十五条第一项、第五项、第六项、第七项和第三十条的规定。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申请农机鉴定的农业机械生产者或者销售者应当向农机鉴定机构提交下列材料: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（一）农机鉴定申请表；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（二）产品执行标准；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（三）产品使用说明书；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（四）农机产品合格和申请材料真实性承诺书。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委托他人代理申请的，还应当提交农业机械生产者或者销售者签署的委托书。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申请专项鉴定的产品，还应当提交农机创新产品的说明材料。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农机鉴定机构应当在收到申请之日起10日内对申请材料进行审查，决定是否受理，并通知申请者。不予受理的，应当说明理由。</w:t>
      </w:r>
    </w:p>
    <w:p>
      <w:pPr>
        <w:pStyle w:val="63"/>
        <w:spacing w:before="218" w:after="218" w:line="412" w:lineRule="exact"/>
      </w:pPr>
      <w:r>
        <w:t xml:space="preserve">第四章 </w:t>
      </w:r>
      <w:r>
        <w:rPr>
          <w:rFonts w:hint="eastAsia"/>
        </w:rPr>
        <w:t xml:space="preserve"> </w:t>
      </w:r>
      <w:r>
        <w:t>鉴定实施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农机鉴定机构应当在受理申请后与申请者确定试验鉴定时间，组织人员按鉴定大纲抽取或确认样机，并审核必需的技术文件。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鉴定用样机由申请者提供，并按期送到指定试验地点。鉴定结束后，样机由申请者自行处理。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农机鉴定内容根据鉴定类型分别确定。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（一）推广鉴定：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1.安全性评价；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2.适用性评价；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3.可靠性评价。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（二）专项鉴定：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1.创新性评价；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2.安全性检查；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3.适用地区性能试验。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农机鉴定机构应当在鉴定结束之日起15日内向申请者出具鉴定报告。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申请者对鉴定结果有异议的，可以在收到鉴定报告之日起15日内向原鉴定机构申请复验一次。</w:t>
      </w:r>
    </w:p>
    <w:p>
      <w:pPr>
        <w:pStyle w:val="63"/>
        <w:spacing w:before="218" w:after="218" w:line="412" w:lineRule="exact"/>
      </w:pPr>
      <w:r>
        <w:t>第五章</w:t>
      </w:r>
      <w:r>
        <w:rPr>
          <w:rFonts w:hint="eastAsia"/>
        </w:rPr>
        <w:t xml:space="preserve"> </w:t>
      </w:r>
      <w:r>
        <w:t xml:space="preserve"> 鉴定公告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农机鉴定机构应当在指定媒体上公布通过鉴定的产品信息和相应的检测结果。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对通过农机鉴定的产品，农机鉴定机构应当在公布后10日内颁发农业机械鉴定证书，产品生产者凭农业机械鉴定证书使用相应的农业机械鉴定标志。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农业机械鉴定证书和标志的式样由农业农村部统一制定、发布。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农机推广鉴定证书的有效期为5年，农机专项鉴定证书的有效期为3年，有效期满仍符合现行鉴定大纲要求的，实行注册管理；不再符合鉴定大纲要求的，证书失效。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禁止伪造、涂改、转让和超范围使用农机鉴定证书和标志。</w:t>
      </w:r>
    </w:p>
    <w:p>
      <w:pPr>
        <w:pStyle w:val="63"/>
        <w:spacing w:before="218" w:after="218" w:line="412" w:lineRule="exact"/>
      </w:pPr>
      <w:r>
        <w:t xml:space="preserve">第六章 </w:t>
      </w:r>
      <w:r>
        <w:rPr>
          <w:rFonts w:hint="eastAsia"/>
        </w:rPr>
        <w:t xml:space="preserve"> </w:t>
      </w:r>
      <w:r>
        <w:t>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农机鉴定机构应当组织对通过农机鉴定的产品及农业机械鉴定证书和标志的使用情况进行监督，发现有违反本办法行为的，应当依法处理。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农机鉴定机构应当严格依照鉴定大纲进行农机鉴定，不得伪造鉴定结果或者出具虚假证明，并对鉴定结果承担责任。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通过农机鉴定的产品，其生产企业的名称或者注册地点发生改变的，应当凭相关证明文件向原发证机构申请变更换证；产品结构、型式和主要技术参数变化超出限定范围的，应当重新申请鉴定。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通过农机鉴定的产品，有下列情形之一的，由原发证机构撤销农机鉴定证书，并予公告：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（一）产品出现重大质量问题，或出现集中的质量投诉后生产者未在规定期限内解决的；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（二）企业名称或者注册地点发生改变在3个月内未申请变更的；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（三）产品结构、型式和主要技术参数变化超出限定范围未重新申请鉴定的；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（四）在国家产品质量监督抽查或市场质量监督检查中不合格的；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（五）通过欺诈、贿赂等手段获取鉴定结果或者证书的；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（六）涂改、转让、超范围使用农机鉴定证书和标志的；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（七）存在侵犯专利的。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通过农机鉴定的产品，有下列情形之一的，由原发证机构注销农机鉴定证书，并予公告：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（一）生产者申请注销的；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（二）证书有效期届满未实行注册管理的；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（三）国家明令淘汰的；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（四）生产者营业执照被吊销的；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（五）法律法规规定应当注销的其他情形。</w:t>
      </w:r>
    </w:p>
    <w:p>
      <w:pPr>
        <w:pStyle w:val="63"/>
        <w:spacing w:before="218" w:after="218" w:line="412" w:lineRule="exact"/>
      </w:pPr>
      <w:r>
        <w:t xml:space="preserve">第七章 </w:t>
      </w:r>
      <w:r>
        <w:rPr>
          <w:rFonts w:hint="eastAsia"/>
        </w:rPr>
        <w:t xml:space="preserve"> </w:t>
      </w:r>
      <w:r>
        <w:t>罚</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县级以上地方人民政府农业机械化行政主管部门强制或者变相强制农业机械生产者、销售者对其生产、销售的农业机械产品进行鉴定的，由上级主管机关或者监察机关责令限期改正，并对直接负责的主管人员和其他直接责任人员给予行政处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机鉴定机构不按规定进行鉴定、伪造鉴定结果或者出具虚假证明的，由农业机械化行政主管部门责令改正，对单位负责人和其他直接责任人员，依法给予处分；给农业机械使用者造成损失的，依法承担赔偿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从事农机鉴定工作的人员徇私舞弊、弄虚作假、滥用职权、玩忽职守的，依法给予处分。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伪造、冒用或使用过期的农机鉴定证书和标志的，由农机鉴定机构责令停止违法行为，5年内不受理其农机鉴定申请。</w:t>
      </w:r>
    </w:p>
    <w:p>
      <w:pPr>
        <w:pStyle w:val="63"/>
        <w:spacing w:before="218" w:after="218" w:line="412" w:lineRule="exact"/>
      </w:pPr>
      <w:r>
        <w:t xml:space="preserve">第八章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本办法所称日，是指工作日。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本办法自 2019年4月1日起施行。农业部2005年7月26日发布，2013年12月31日、2015年7月15日修订的《农业机械试验鉴定办法》同时废止。</w:t>
      </w:r>
    </w:p>
    <w:p>
      <w:pPr>
        <w:pStyle w:val="3"/>
        <w:topLinePunct/>
        <w:spacing w:line="416" w:lineRule="exact"/>
        <w:ind w:firstLine="480"/>
        <w:rPr>
          <w:rFonts w:asciiTheme="minorEastAsia" w:hAnsiTheme="minorEastAsia" w:eastAsiaTheme="minorEastAsia"/>
          <w:sz w:val="24"/>
          <w:szCs w:val="24"/>
        </w:rPr>
      </w:pPr>
    </w:p>
    <w:p>
      <w:pPr>
        <w:pStyle w:val="61"/>
      </w:pPr>
      <w:bookmarkStart w:id="1570" w:name="_Toc25653819"/>
      <w:bookmarkStart w:id="1571" w:name="_Toc25648318"/>
      <w:bookmarkStart w:id="1572" w:name="_Toc26348073"/>
      <w:bookmarkStart w:id="1573" w:name="_Toc28252305"/>
      <w:bookmarkStart w:id="1574" w:name="_Toc28157095"/>
      <w:bookmarkStart w:id="1575" w:name="_Toc28251023"/>
      <w:r>
        <w:rPr>
          <w:rFonts w:hint="eastAsia"/>
        </w:rPr>
        <w:t>农业机械维修管理规定</w:t>
      </w:r>
      <w:bookmarkEnd w:id="1570"/>
      <w:bookmarkEnd w:id="1571"/>
      <w:bookmarkEnd w:id="1572"/>
      <w:bookmarkEnd w:id="1573"/>
      <w:bookmarkEnd w:id="1574"/>
      <w:bookmarkEnd w:id="1575"/>
    </w:p>
    <w:p>
      <w:pPr>
        <w:pStyle w:val="62"/>
      </w:pPr>
      <w:r>
        <w:rPr>
          <w:rFonts w:hint="eastAsia"/>
        </w:rPr>
        <w:t>（</w:t>
      </w:r>
      <w:r>
        <w:t>2006</w:t>
      </w:r>
      <w:r>
        <w:rPr>
          <w:rFonts w:hint="eastAsia"/>
        </w:rPr>
        <w:t>年</w:t>
      </w:r>
      <w:r>
        <w:t>5</w:t>
      </w:r>
      <w:r>
        <w:rPr>
          <w:rFonts w:hint="eastAsia"/>
        </w:rPr>
        <w:t>月</w:t>
      </w:r>
      <w:r>
        <w:t>10</w:t>
      </w:r>
      <w:r>
        <w:rPr>
          <w:rFonts w:hint="eastAsia"/>
        </w:rPr>
        <w:t>日农业部、国家工商总局令第</w:t>
      </w:r>
      <w:r>
        <w:t>57</w:t>
      </w:r>
      <w:r>
        <w:rPr>
          <w:rFonts w:hint="eastAsia"/>
        </w:rPr>
        <w:t>号公布，</w:t>
      </w:r>
      <w:r>
        <w:t>2016</w:t>
      </w:r>
      <w:r>
        <w:rPr>
          <w:rFonts w:hint="eastAsia"/>
        </w:rPr>
        <w:t>年</w:t>
      </w:r>
      <w:r>
        <w:t>5</w:t>
      </w:r>
      <w:r>
        <w:rPr>
          <w:rFonts w:hint="eastAsia"/>
        </w:rPr>
        <w:t>月</w:t>
      </w:r>
      <w:r>
        <w:t>30</w:t>
      </w:r>
      <w:r>
        <w:rPr>
          <w:rFonts w:hint="eastAsia"/>
        </w:rPr>
        <w:t>日农业部令</w:t>
      </w:r>
      <w:r>
        <w:t>2016</w:t>
      </w:r>
      <w:r>
        <w:rPr>
          <w:rFonts w:hint="eastAsia"/>
        </w:rPr>
        <w:t>年第</w:t>
      </w:r>
      <w:r>
        <w:t>3</w:t>
      </w:r>
      <w:r>
        <w:rPr>
          <w:rFonts w:hint="eastAsia"/>
        </w:rPr>
        <w:t>号、</w:t>
      </w:r>
      <w:r>
        <w:t>2019</w:t>
      </w:r>
      <w:r>
        <w:rPr>
          <w:rFonts w:hint="eastAsia"/>
        </w:rPr>
        <w:t>年</w:t>
      </w:r>
      <w:r>
        <w:t>4</w:t>
      </w:r>
      <w:r>
        <w:rPr>
          <w:rFonts w:hint="eastAsia"/>
        </w:rPr>
        <w:t>月</w:t>
      </w:r>
      <w:r>
        <w:t>25</w:t>
      </w:r>
      <w:r>
        <w:rPr>
          <w:rFonts w:hint="eastAsia"/>
        </w:rPr>
        <w:t>日农业农村部令</w:t>
      </w:r>
      <w:r>
        <w:t>2019</w:t>
      </w:r>
      <w:r>
        <w:rPr>
          <w:rFonts w:hint="eastAsia"/>
        </w:rPr>
        <w:t>年第</w:t>
      </w:r>
      <w:r>
        <w:t>2</w:t>
      </w:r>
      <w:r>
        <w:rPr>
          <w:rFonts w:hint="eastAsia"/>
        </w:rPr>
        <w:t>号修订）</w:t>
      </w:r>
    </w:p>
    <w:p>
      <w:pPr>
        <w:pStyle w:val="63"/>
        <w:spacing w:before="218" w:after="218" w:line="412" w:lineRule="exact"/>
      </w:pPr>
      <w:r>
        <w:rPr>
          <w:rFonts w:hint="eastAsia"/>
        </w:rPr>
        <w:t>第一章</w:t>
      </w:r>
      <w:r>
        <w:t xml:space="preserve"> </w:t>
      </w:r>
      <w:r>
        <w:rPr>
          <w:rFonts w:hint="eastAsia"/>
        </w:rPr>
        <w:t xml:space="preserve"> 总 </w:t>
      </w:r>
      <w:r>
        <w:t xml:space="preserve"> </w:t>
      </w:r>
      <w:r>
        <w:rPr>
          <w:rFonts w:hint="eastAsia"/>
        </w:rPr>
        <w:t>则</w:t>
      </w:r>
    </w:p>
    <w:p>
      <w:pPr>
        <w:pStyle w:val="3"/>
        <w:topLinePunct/>
        <w:spacing w:line="412" w:lineRule="exact"/>
        <w:ind w:firstLine="482"/>
        <w:rPr>
          <w:sz w:val="24"/>
          <w:szCs w:val="24"/>
        </w:rPr>
      </w:pPr>
      <w:r>
        <w:rPr>
          <w:rFonts w:hint="eastAsia" w:cs="宋体"/>
          <w:b/>
          <w:bCs/>
          <w:sz w:val="24"/>
          <w:szCs w:val="24"/>
        </w:rPr>
        <w:t>第一条</w:t>
      </w:r>
      <w:r>
        <w:rPr>
          <w:sz w:val="24"/>
          <w:szCs w:val="24"/>
        </w:rPr>
        <w:t xml:space="preserve"> </w:t>
      </w:r>
      <w:r>
        <w:rPr>
          <w:rFonts w:hint="eastAsia"/>
          <w:sz w:val="24"/>
          <w:szCs w:val="24"/>
        </w:rPr>
        <w:t xml:space="preserve"> </w:t>
      </w:r>
      <w:r>
        <w:rPr>
          <w:rFonts w:hint="eastAsia" w:cs="宋体"/>
          <w:sz w:val="24"/>
          <w:szCs w:val="24"/>
        </w:rPr>
        <w:t>为了规范农业机械维修业务，保证农业机械维修质量，维护农业机械维修当事人的合法权益，根据《中华人民共和国农业机械化促进法》和有关法律、行政法规的规定，制定本规定。</w:t>
      </w:r>
    </w:p>
    <w:p>
      <w:pPr>
        <w:pStyle w:val="3"/>
        <w:topLinePunct/>
        <w:spacing w:line="412" w:lineRule="exact"/>
        <w:ind w:firstLine="482"/>
        <w:rPr>
          <w:sz w:val="24"/>
          <w:szCs w:val="24"/>
        </w:rPr>
      </w:pPr>
      <w:r>
        <w:rPr>
          <w:rFonts w:hint="eastAsia" w:cs="宋体"/>
          <w:b/>
          <w:bCs/>
          <w:sz w:val="24"/>
          <w:szCs w:val="24"/>
        </w:rPr>
        <w:t>第二条</w:t>
      </w:r>
      <w:r>
        <w:rPr>
          <w:sz w:val="24"/>
          <w:szCs w:val="24"/>
        </w:rPr>
        <w:t xml:space="preserve"> </w:t>
      </w:r>
      <w:r>
        <w:rPr>
          <w:rFonts w:hint="eastAsia"/>
          <w:sz w:val="24"/>
          <w:szCs w:val="24"/>
        </w:rPr>
        <w:t xml:space="preserve"> </w:t>
      </w:r>
      <w:r>
        <w:rPr>
          <w:rFonts w:hint="eastAsia" w:cs="宋体"/>
          <w:sz w:val="24"/>
          <w:szCs w:val="24"/>
        </w:rPr>
        <w:t>本规定所称农业机械维修，是指使用工具、仪器、设备，对农业机械进行维护和修理，使其保持、恢复技术状态和工作能力的技术服务活动。</w:t>
      </w:r>
    </w:p>
    <w:p>
      <w:pPr>
        <w:pStyle w:val="3"/>
        <w:topLinePunct/>
        <w:spacing w:line="412" w:lineRule="exact"/>
        <w:ind w:firstLine="482"/>
        <w:rPr>
          <w:sz w:val="24"/>
          <w:szCs w:val="24"/>
        </w:rPr>
      </w:pPr>
      <w:r>
        <w:rPr>
          <w:rFonts w:hint="eastAsia" w:cs="宋体"/>
          <w:b/>
          <w:bCs/>
          <w:sz w:val="24"/>
          <w:szCs w:val="24"/>
        </w:rPr>
        <w:t>第三条</w:t>
      </w:r>
      <w:r>
        <w:rPr>
          <w:sz w:val="24"/>
          <w:szCs w:val="24"/>
        </w:rPr>
        <w:t xml:space="preserve"> </w:t>
      </w:r>
      <w:r>
        <w:rPr>
          <w:rFonts w:hint="eastAsia"/>
          <w:sz w:val="24"/>
          <w:szCs w:val="24"/>
        </w:rPr>
        <w:t xml:space="preserve"> </w:t>
      </w:r>
      <w:r>
        <w:rPr>
          <w:rFonts w:hint="eastAsia" w:cs="宋体"/>
          <w:sz w:val="24"/>
          <w:szCs w:val="24"/>
        </w:rPr>
        <w:t>从事农业机械维修经营及相关的维修配件销售活动，应当遵守本规定。</w:t>
      </w:r>
    </w:p>
    <w:p>
      <w:pPr>
        <w:pStyle w:val="3"/>
        <w:topLinePunct/>
        <w:spacing w:line="412" w:lineRule="exact"/>
        <w:ind w:firstLine="482"/>
        <w:rPr>
          <w:sz w:val="24"/>
          <w:szCs w:val="24"/>
        </w:rPr>
      </w:pPr>
      <w:r>
        <w:rPr>
          <w:rFonts w:hint="eastAsia" w:cs="宋体"/>
          <w:b/>
          <w:bCs/>
          <w:sz w:val="24"/>
          <w:szCs w:val="24"/>
        </w:rPr>
        <w:t xml:space="preserve">第四条 </w:t>
      </w:r>
      <w:r>
        <w:rPr>
          <w:sz w:val="24"/>
          <w:szCs w:val="24"/>
        </w:rPr>
        <w:t xml:space="preserve"> </w:t>
      </w:r>
      <w:r>
        <w:rPr>
          <w:rFonts w:hint="eastAsia" w:cs="宋体"/>
          <w:sz w:val="24"/>
          <w:szCs w:val="24"/>
        </w:rPr>
        <w:t>农业机械维修者和维修配件销售者，应当依法经营，诚实守信，公平竞争，优质服务。</w:t>
      </w:r>
    </w:p>
    <w:p>
      <w:pPr>
        <w:pStyle w:val="3"/>
        <w:topLinePunct/>
        <w:spacing w:line="412" w:lineRule="exact"/>
        <w:ind w:firstLine="482"/>
        <w:rPr>
          <w:sz w:val="24"/>
          <w:szCs w:val="24"/>
        </w:rPr>
      </w:pPr>
      <w:r>
        <w:rPr>
          <w:rFonts w:hint="eastAsia" w:cs="宋体"/>
          <w:b/>
          <w:bCs/>
          <w:sz w:val="24"/>
          <w:szCs w:val="24"/>
        </w:rPr>
        <w:t>第五条</w:t>
      </w:r>
      <w:r>
        <w:rPr>
          <w:sz w:val="24"/>
          <w:szCs w:val="24"/>
        </w:rPr>
        <w:t xml:space="preserve"> </w:t>
      </w:r>
      <w:r>
        <w:rPr>
          <w:rFonts w:hint="eastAsia"/>
          <w:sz w:val="24"/>
          <w:szCs w:val="24"/>
        </w:rPr>
        <w:t xml:space="preserve"> </w:t>
      </w:r>
      <w:r>
        <w:rPr>
          <w:rFonts w:hint="eastAsia" w:cs="宋体"/>
          <w:sz w:val="24"/>
          <w:szCs w:val="24"/>
        </w:rPr>
        <w:t>县级以上人民政府农业机械化主管部门、工商行政管理部门按照各自的职责分工，负责本行政区域内的农业机械维修和维修配件经营的监督管理工作，保护农业机械消费者的合法权益。</w:t>
      </w:r>
    </w:p>
    <w:p>
      <w:pPr>
        <w:pStyle w:val="3"/>
        <w:topLinePunct/>
        <w:spacing w:line="412" w:lineRule="exact"/>
        <w:ind w:firstLine="482"/>
        <w:rPr>
          <w:sz w:val="24"/>
          <w:szCs w:val="24"/>
        </w:rPr>
      </w:pPr>
      <w:r>
        <w:rPr>
          <w:rFonts w:hint="eastAsia" w:cs="宋体"/>
          <w:b/>
          <w:bCs/>
          <w:sz w:val="24"/>
          <w:szCs w:val="24"/>
        </w:rPr>
        <w:t xml:space="preserve">第六条 </w:t>
      </w:r>
      <w:r>
        <w:rPr>
          <w:sz w:val="24"/>
          <w:szCs w:val="24"/>
        </w:rPr>
        <w:t xml:space="preserve"> </w:t>
      </w:r>
      <w:r>
        <w:rPr>
          <w:rFonts w:hint="eastAsia" w:cs="宋体"/>
          <w:sz w:val="24"/>
          <w:szCs w:val="24"/>
        </w:rPr>
        <w:t>国家鼓励农业机械维修技术科研开发，促进农业机械维修新技术、新材料、新工艺和新设备的推广应用，提高维修质量，降低维修费用，节约资源，保护环境。</w:t>
      </w:r>
    </w:p>
    <w:p>
      <w:pPr>
        <w:pStyle w:val="63"/>
        <w:spacing w:before="218" w:after="218" w:line="412" w:lineRule="exact"/>
      </w:pPr>
      <w:r>
        <w:rPr>
          <w:rFonts w:hint="eastAsia"/>
        </w:rPr>
        <w:t>第二章</w:t>
      </w:r>
      <w:r>
        <w:t xml:space="preserve"> </w:t>
      </w:r>
      <w:r>
        <w:rPr>
          <w:rFonts w:hint="eastAsia"/>
        </w:rPr>
        <w:t xml:space="preserve"> 维修资格</w:t>
      </w:r>
    </w:p>
    <w:p>
      <w:pPr>
        <w:pStyle w:val="3"/>
        <w:topLinePunct/>
        <w:spacing w:line="412" w:lineRule="exact"/>
        <w:ind w:firstLine="482"/>
        <w:rPr>
          <w:sz w:val="24"/>
          <w:szCs w:val="24"/>
        </w:rPr>
      </w:pPr>
      <w:r>
        <w:rPr>
          <w:rFonts w:hint="eastAsia" w:cs="宋体"/>
          <w:b/>
          <w:bCs/>
          <w:sz w:val="24"/>
          <w:szCs w:val="24"/>
        </w:rPr>
        <w:t>第七条</w:t>
      </w:r>
      <w:r>
        <w:rPr>
          <w:sz w:val="24"/>
          <w:szCs w:val="24"/>
        </w:rPr>
        <w:t xml:space="preserve"> </w:t>
      </w:r>
      <w:r>
        <w:rPr>
          <w:rFonts w:hint="eastAsia"/>
          <w:sz w:val="24"/>
          <w:szCs w:val="24"/>
        </w:rPr>
        <w:t xml:space="preserve"> </w:t>
      </w:r>
      <w:r>
        <w:rPr>
          <w:rFonts w:hint="eastAsia" w:cs="宋体"/>
          <w:sz w:val="24"/>
          <w:szCs w:val="24"/>
        </w:rPr>
        <w:t>农业机械维修者，应当具备符合有关农业行业标准规定的设备、设施、人员、质量管理、安全生产及环境保护等条件，方可从事农业机械维修业务。</w:t>
      </w:r>
    </w:p>
    <w:p>
      <w:pPr>
        <w:pStyle w:val="3"/>
        <w:topLinePunct/>
        <w:spacing w:line="412" w:lineRule="exact"/>
        <w:ind w:firstLine="482"/>
        <w:rPr>
          <w:sz w:val="24"/>
          <w:szCs w:val="24"/>
        </w:rPr>
      </w:pPr>
      <w:r>
        <w:rPr>
          <w:rFonts w:hint="eastAsia" w:cs="宋体"/>
          <w:b/>
          <w:bCs/>
          <w:sz w:val="24"/>
          <w:szCs w:val="24"/>
        </w:rPr>
        <w:t xml:space="preserve">第八条 </w:t>
      </w:r>
      <w:r>
        <w:rPr>
          <w:sz w:val="24"/>
          <w:szCs w:val="24"/>
        </w:rPr>
        <w:t xml:space="preserve"> </w:t>
      </w:r>
      <w:r>
        <w:rPr>
          <w:rFonts w:hint="eastAsia" w:cs="宋体"/>
          <w:sz w:val="24"/>
          <w:szCs w:val="24"/>
        </w:rPr>
        <w:t>农业机械维修者应公开维修工时定额和收费标准。</w:t>
      </w:r>
    </w:p>
    <w:p>
      <w:pPr>
        <w:pStyle w:val="3"/>
        <w:topLinePunct/>
        <w:spacing w:line="412" w:lineRule="exact"/>
        <w:ind w:firstLine="482"/>
        <w:rPr>
          <w:sz w:val="24"/>
          <w:szCs w:val="24"/>
        </w:rPr>
      </w:pPr>
      <w:r>
        <w:rPr>
          <w:rFonts w:hint="eastAsia" w:cs="宋体"/>
          <w:b/>
          <w:bCs/>
          <w:sz w:val="24"/>
          <w:szCs w:val="24"/>
        </w:rPr>
        <w:t>第九条</w:t>
      </w:r>
      <w:r>
        <w:rPr>
          <w:sz w:val="24"/>
          <w:szCs w:val="24"/>
        </w:rPr>
        <w:t xml:space="preserve"> </w:t>
      </w:r>
      <w:r>
        <w:rPr>
          <w:rFonts w:hint="eastAsia"/>
          <w:sz w:val="24"/>
          <w:szCs w:val="24"/>
        </w:rPr>
        <w:t xml:space="preserve"> </w:t>
      </w:r>
      <w:r>
        <w:rPr>
          <w:rFonts w:hint="eastAsia" w:cs="宋体"/>
          <w:sz w:val="24"/>
          <w:szCs w:val="24"/>
        </w:rPr>
        <w:t>农业机械维修者和维修配件销售者应当向农业机械消费者如实说明维修配件的真实质量状况，农业机械维修者使用可再利用旧配件进行维修时，应当征得送修者同意，并保证农业机械安全性能符合国家安全标准。</w:t>
      </w:r>
    </w:p>
    <w:p>
      <w:pPr>
        <w:pStyle w:val="3"/>
        <w:topLinePunct/>
        <w:spacing w:line="412" w:lineRule="exact"/>
        <w:ind w:firstLine="480"/>
        <w:rPr>
          <w:sz w:val="24"/>
          <w:szCs w:val="24"/>
        </w:rPr>
      </w:pPr>
      <w:r>
        <w:rPr>
          <w:rFonts w:hint="eastAsia" w:cs="宋体"/>
          <w:sz w:val="24"/>
          <w:szCs w:val="24"/>
        </w:rPr>
        <w:t>禁止农业机械维修者和维修配件销售者从事下列活动：</w:t>
      </w:r>
    </w:p>
    <w:p>
      <w:pPr>
        <w:pStyle w:val="3"/>
        <w:topLinePunct/>
        <w:spacing w:line="412" w:lineRule="exact"/>
        <w:ind w:firstLine="480"/>
        <w:rPr>
          <w:sz w:val="24"/>
          <w:szCs w:val="24"/>
        </w:rPr>
      </w:pPr>
      <w:r>
        <w:rPr>
          <w:rFonts w:hint="eastAsia" w:cs="宋体"/>
          <w:sz w:val="24"/>
          <w:szCs w:val="24"/>
        </w:rPr>
        <w:t>（一）销售不符合国家技术规范强制性要求的农业机械维修配件；</w:t>
      </w:r>
    </w:p>
    <w:p>
      <w:pPr>
        <w:pStyle w:val="3"/>
        <w:topLinePunct/>
        <w:spacing w:line="412" w:lineRule="exact"/>
        <w:ind w:firstLine="480"/>
        <w:rPr>
          <w:sz w:val="24"/>
          <w:szCs w:val="24"/>
        </w:rPr>
      </w:pPr>
      <w:r>
        <w:rPr>
          <w:rFonts w:hint="eastAsia" w:cs="宋体"/>
          <w:sz w:val="24"/>
          <w:szCs w:val="24"/>
        </w:rPr>
        <w:t>（二）使用不符合国家技术规范强制性要求的维修配件维修农业机械；</w:t>
      </w:r>
    </w:p>
    <w:p>
      <w:pPr>
        <w:pStyle w:val="3"/>
        <w:topLinePunct/>
        <w:spacing w:line="412" w:lineRule="exact"/>
        <w:ind w:firstLine="480"/>
        <w:rPr>
          <w:sz w:val="24"/>
          <w:szCs w:val="24"/>
        </w:rPr>
      </w:pPr>
      <w:r>
        <w:rPr>
          <w:rFonts w:hint="eastAsia" w:cs="宋体"/>
          <w:sz w:val="24"/>
          <w:szCs w:val="24"/>
        </w:rPr>
        <w:t>（三）以次充好、以旧充新，或者作引人误解的虚假宣传；</w:t>
      </w:r>
    </w:p>
    <w:p>
      <w:pPr>
        <w:pStyle w:val="3"/>
        <w:topLinePunct/>
        <w:spacing w:line="412" w:lineRule="exact"/>
        <w:ind w:firstLine="480"/>
        <w:rPr>
          <w:sz w:val="24"/>
          <w:szCs w:val="24"/>
        </w:rPr>
      </w:pPr>
      <w:r>
        <w:rPr>
          <w:rFonts w:hint="eastAsia" w:cs="宋体"/>
          <w:sz w:val="24"/>
          <w:szCs w:val="24"/>
        </w:rPr>
        <w:t>（四）利用维修零配件和报废机具的部件拼装农业机械整机；</w:t>
      </w:r>
    </w:p>
    <w:p>
      <w:pPr>
        <w:pStyle w:val="3"/>
        <w:topLinePunct/>
        <w:spacing w:line="412" w:lineRule="exact"/>
        <w:ind w:firstLine="480"/>
        <w:rPr>
          <w:sz w:val="24"/>
          <w:szCs w:val="24"/>
        </w:rPr>
      </w:pPr>
      <w:r>
        <w:rPr>
          <w:rFonts w:hint="eastAsia" w:cs="宋体"/>
          <w:sz w:val="24"/>
          <w:szCs w:val="24"/>
        </w:rPr>
        <w:t>（五）承揽已报废农业机械维修业务。</w:t>
      </w:r>
    </w:p>
    <w:p>
      <w:pPr>
        <w:pStyle w:val="3"/>
        <w:topLinePunct/>
        <w:spacing w:line="412" w:lineRule="exact"/>
        <w:ind w:firstLine="482"/>
        <w:rPr>
          <w:sz w:val="24"/>
          <w:szCs w:val="24"/>
        </w:rPr>
      </w:pPr>
      <w:r>
        <w:rPr>
          <w:rFonts w:hint="eastAsia" w:cs="宋体"/>
          <w:b/>
          <w:bCs/>
          <w:sz w:val="24"/>
          <w:szCs w:val="24"/>
        </w:rPr>
        <w:t>第十条</w:t>
      </w:r>
      <w:r>
        <w:rPr>
          <w:sz w:val="24"/>
          <w:szCs w:val="24"/>
        </w:rPr>
        <w:t xml:space="preserve"> </w:t>
      </w:r>
      <w:r>
        <w:rPr>
          <w:rFonts w:hint="eastAsia"/>
          <w:sz w:val="24"/>
          <w:szCs w:val="24"/>
        </w:rPr>
        <w:t xml:space="preserve"> </w:t>
      </w:r>
      <w:r>
        <w:rPr>
          <w:rFonts w:hint="eastAsia" w:cs="宋体"/>
          <w:sz w:val="24"/>
          <w:szCs w:val="24"/>
        </w:rPr>
        <w:t>农业机械化主管部门应当加强对农业机械维修和维修配件销售从业人员职业技能培训和鉴定工作的指导，提高从业人员素质和技能水平。</w:t>
      </w:r>
    </w:p>
    <w:p>
      <w:pPr>
        <w:pStyle w:val="63"/>
        <w:spacing w:before="218" w:after="218" w:line="412" w:lineRule="exact"/>
      </w:pPr>
      <w:r>
        <w:rPr>
          <w:rFonts w:hint="eastAsia"/>
        </w:rPr>
        <w:t>第三章</w:t>
      </w:r>
      <w:r>
        <w:t xml:space="preserve"> </w:t>
      </w:r>
      <w:r>
        <w:rPr>
          <w:rFonts w:hint="eastAsia"/>
        </w:rPr>
        <w:t xml:space="preserve"> 质量管理</w:t>
      </w:r>
    </w:p>
    <w:p>
      <w:pPr>
        <w:pStyle w:val="3"/>
        <w:topLinePunct/>
        <w:spacing w:line="412" w:lineRule="exact"/>
        <w:ind w:firstLine="482"/>
        <w:rPr>
          <w:sz w:val="24"/>
          <w:szCs w:val="24"/>
        </w:rPr>
      </w:pPr>
      <w:r>
        <w:rPr>
          <w:rFonts w:hint="eastAsia" w:cs="宋体"/>
          <w:b/>
          <w:bCs/>
          <w:sz w:val="24"/>
          <w:szCs w:val="24"/>
        </w:rPr>
        <w:t>第十一条</w:t>
      </w:r>
      <w:r>
        <w:rPr>
          <w:sz w:val="24"/>
          <w:szCs w:val="24"/>
        </w:rPr>
        <w:t xml:space="preserve"> </w:t>
      </w:r>
      <w:r>
        <w:rPr>
          <w:rFonts w:hint="eastAsia"/>
          <w:sz w:val="24"/>
          <w:szCs w:val="24"/>
        </w:rPr>
        <w:t xml:space="preserve"> </w:t>
      </w:r>
      <w:r>
        <w:rPr>
          <w:rFonts w:hint="eastAsia" w:cs="宋体"/>
          <w:sz w:val="24"/>
          <w:szCs w:val="24"/>
        </w:rPr>
        <w:t>维修农业机械，应当执行国家有关技术标准、规范或者与用户签订的维修协议，保证维修质量。</w:t>
      </w:r>
    </w:p>
    <w:p>
      <w:pPr>
        <w:pStyle w:val="3"/>
        <w:topLinePunct/>
        <w:spacing w:line="412" w:lineRule="exact"/>
        <w:ind w:firstLine="482"/>
        <w:rPr>
          <w:sz w:val="24"/>
          <w:szCs w:val="24"/>
        </w:rPr>
      </w:pPr>
      <w:r>
        <w:rPr>
          <w:rFonts w:hint="eastAsia" w:cs="宋体"/>
          <w:b/>
          <w:bCs/>
          <w:sz w:val="24"/>
          <w:szCs w:val="24"/>
        </w:rPr>
        <w:t xml:space="preserve">第十二条 </w:t>
      </w:r>
      <w:r>
        <w:rPr>
          <w:sz w:val="24"/>
          <w:szCs w:val="24"/>
        </w:rPr>
        <w:t xml:space="preserve"> </w:t>
      </w:r>
      <w:r>
        <w:rPr>
          <w:rFonts w:hint="eastAsia" w:cs="宋体"/>
          <w:sz w:val="24"/>
          <w:szCs w:val="24"/>
        </w:rPr>
        <w:t>农业机械维修实行质量保证期制度。在质量保证期内，农业机械因维修质量不合格的，维修者应当免费重新修理。</w:t>
      </w:r>
    </w:p>
    <w:p>
      <w:pPr>
        <w:pStyle w:val="3"/>
        <w:topLinePunct/>
        <w:spacing w:line="412" w:lineRule="exact"/>
        <w:ind w:firstLine="480"/>
        <w:rPr>
          <w:sz w:val="24"/>
          <w:szCs w:val="24"/>
        </w:rPr>
      </w:pPr>
      <w:r>
        <w:rPr>
          <w:rFonts w:hint="eastAsia" w:cs="宋体"/>
          <w:sz w:val="24"/>
          <w:szCs w:val="24"/>
        </w:rPr>
        <w:t>整机或总成修理质量保证期为</w:t>
      </w:r>
      <w:r>
        <w:rPr>
          <w:sz w:val="24"/>
          <w:szCs w:val="24"/>
        </w:rPr>
        <w:t>3</w:t>
      </w:r>
      <w:r>
        <w:rPr>
          <w:rFonts w:hint="eastAsia" w:cs="宋体"/>
          <w:sz w:val="24"/>
          <w:szCs w:val="24"/>
        </w:rPr>
        <w:t>个月。</w:t>
      </w:r>
    </w:p>
    <w:p>
      <w:pPr>
        <w:pStyle w:val="3"/>
        <w:topLinePunct/>
        <w:spacing w:line="412" w:lineRule="exact"/>
        <w:ind w:firstLine="482"/>
        <w:rPr>
          <w:sz w:val="24"/>
          <w:szCs w:val="24"/>
        </w:rPr>
      </w:pPr>
      <w:r>
        <w:rPr>
          <w:rFonts w:hint="eastAsia" w:cs="宋体"/>
          <w:b/>
          <w:bCs/>
          <w:sz w:val="24"/>
          <w:szCs w:val="24"/>
        </w:rPr>
        <w:t>第十三条</w:t>
      </w:r>
      <w:r>
        <w:rPr>
          <w:sz w:val="24"/>
          <w:szCs w:val="24"/>
        </w:rPr>
        <w:t xml:space="preserve"> </w:t>
      </w:r>
      <w:r>
        <w:rPr>
          <w:rFonts w:hint="eastAsia"/>
          <w:sz w:val="24"/>
          <w:szCs w:val="24"/>
        </w:rPr>
        <w:t xml:space="preserve"> </w:t>
      </w:r>
      <w:r>
        <w:rPr>
          <w:rFonts w:hint="eastAsia" w:cs="宋体"/>
          <w:sz w:val="24"/>
          <w:szCs w:val="24"/>
        </w:rPr>
        <w:t>农业机械维修配件销售者对其销售的维修配件质量负责。农业机械维修配件应当用中文标明产品名称、生产厂厂名和厂址，有质量检验合格证。</w:t>
      </w:r>
    </w:p>
    <w:p>
      <w:pPr>
        <w:pStyle w:val="3"/>
        <w:topLinePunct/>
        <w:spacing w:line="412" w:lineRule="exact"/>
        <w:ind w:firstLine="480"/>
        <w:rPr>
          <w:sz w:val="24"/>
          <w:szCs w:val="24"/>
        </w:rPr>
      </w:pPr>
      <w:r>
        <w:rPr>
          <w:rFonts w:hint="eastAsia" w:cs="宋体"/>
          <w:sz w:val="24"/>
          <w:szCs w:val="24"/>
        </w:rPr>
        <w:t>在质量保证期内的维修配件，应当按照有关规定包修、包换、包退。</w:t>
      </w:r>
    </w:p>
    <w:p>
      <w:pPr>
        <w:pStyle w:val="3"/>
        <w:topLinePunct/>
        <w:spacing w:line="412" w:lineRule="exact"/>
        <w:ind w:firstLine="482"/>
        <w:rPr>
          <w:sz w:val="24"/>
          <w:szCs w:val="24"/>
        </w:rPr>
      </w:pPr>
      <w:r>
        <w:rPr>
          <w:rFonts w:hint="eastAsia" w:cs="宋体"/>
          <w:b/>
          <w:bCs/>
          <w:sz w:val="24"/>
          <w:szCs w:val="24"/>
        </w:rPr>
        <w:t>第十四条</w:t>
      </w:r>
      <w:r>
        <w:rPr>
          <w:sz w:val="24"/>
          <w:szCs w:val="24"/>
        </w:rPr>
        <w:t xml:space="preserve"> </w:t>
      </w:r>
      <w:r>
        <w:rPr>
          <w:rFonts w:hint="eastAsia"/>
          <w:sz w:val="24"/>
          <w:szCs w:val="24"/>
        </w:rPr>
        <w:t xml:space="preserve"> </w:t>
      </w:r>
      <w:r>
        <w:rPr>
          <w:rFonts w:hint="eastAsia" w:cs="宋体"/>
          <w:sz w:val="24"/>
          <w:szCs w:val="24"/>
        </w:rPr>
        <w:t>农业机械维修当事人因维修质量发生争议，可以向农业机械化主管部门投诉，或者向工商行政管理部门投诉，农业机械化主管部门和工商行政管理部门应当受理，调解质量纠纷。调解不成的，应当告知当事人向人民法院提起诉讼或者向仲裁机构申请仲裁。</w:t>
      </w:r>
    </w:p>
    <w:p>
      <w:pPr>
        <w:pStyle w:val="3"/>
        <w:topLinePunct/>
        <w:spacing w:line="412" w:lineRule="exact"/>
        <w:ind w:firstLine="482"/>
        <w:rPr>
          <w:sz w:val="24"/>
          <w:szCs w:val="24"/>
        </w:rPr>
      </w:pPr>
      <w:r>
        <w:rPr>
          <w:rFonts w:hint="eastAsia" w:cs="宋体"/>
          <w:b/>
          <w:bCs/>
          <w:sz w:val="24"/>
          <w:szCs w:val="24"/>
        </w:rPr>
        <w:t xml:space="preserve">第十五条 </w:t>
      </w:r>
      <w:r>
        <w:rPr>
          <w:sz w:val="24"/>
          <w:szCs w:val="24"/>
        </w:rPr>
        <w:t xml:space="preserve"> </w:t>
      </w:r>
      <w:r>
        <w:rPr>
          <w:rFonts w:hint="eastAsia" w:cs="宋体"/>
          <w:sz w:val="24"/>
          <w:szCs w:val="24"/>
        </w:rPr>
        <w:t>农业机械维修者应当使用符合标准的量具、仪表、仪器等检测器具和其他维修设备，对农业机械的维修应当填写维修记录，并于每年一月份向农业机械化主管部门报送上一年度维修情况统计表。</w:t>
      </w:r>
    </w:p>
    <w:p>
      <w:pPr>
        <w:pStyle w:val="63"/>
        <w:spacing w:before="218" w:after="218" w:line="412" w:lineRule="exact"/>
      </w:pPr>
      <w:r>
        <w:rPr>
          <w:rFonts w:hint="eastAsia"/>
        </w:rPr>
        <w:t>第四章</w:t>
      </w:r>
      <w:r>
        <w:t xml:space="preserve"> </w:t>
      </w:r>
      <w:r>
        <w:rPr>
          <w:rFonts w:hint="eastAsia"/>
        </w:rPr>
        <w:t xml:space="preserve"> 监督检查</w:t>
      </w:r>
    </w:p>
    <w:p>
      <w:pPr>
        <w:pStyle w:val="3"/>
        <w:topLinePunct/>
        <w:spacing w:line="412" w:lineRule="exact"/>
        <w:ind w:firstLine="482"/>
        <w:rPr>
          <w:sz w:val="24"/>
          <w:szCs w:val="24"/>
        </w:rPr>
      </w:pPr>
      <w:r>
        <w:rPr>
          <w:rFonts w:hint="eastAsia" w:cs="宋体"/>
          <w:b/>
          <w:bCs/>
          <w:sz w:val="24"/>
          <w:szCs w:val="24"/>
        </w:rPr>
        <w:t xml:space="preserve">第十六条 </w:t>
      </w:r>
      <w:r>
        <w:rPr>
          <w:sz w:val="24"/>
          <w:szCs w:val="24"/>
        </w:rPr>
        <w:t xml:space="preserve"> </w:t>
      </w:r>
      <w:r>
        <w:rPr>
          <w:rFonts w:hint="eastAsia" w:cs="宋体"/>
          <w:sz w:val="24"/>
          <w:szCs w:val="24"/>
        </w:rPr>
        <w:t>农业机械化主管部门、工商行政管理部门应当按照各自职责，密切配合，加强对农业机械维修者的从业资格、维修人员资格、维修质量、维修设备和检测仪器技术状态以及安全生产情况的监督检查。</w:t>
      </w:r>
    </w:p>
    <w:p>
      <w:pPr>
        <w:pStyle w:val="3"/>
        <w:topLinePunct/>
        <w:spacing w:line="412" w:lineRule="exact"/>
        <w:ind w:firstLine="482"/>
        <w:rPr>
          <w:sz w:val="24"/>
          <w:szCs w:val="24"/>
        </w:rPr>
      </w:pPr>
      <w:r>
        <w:rPr>
          <w:rFonts w:hint="eastAsia" w:cs="宋体"/>
          <w:b/>
          <w:bCs/>
          <w:sz w:val="24"/>
          <w:szCs w:val="24"/>
        </w:rPr>
        <w:t>第十七条</w:t>
      </w:r>
      <w:r>
        <w:rPr>
          <w:sz w:val="24"/>
          <w:szCs w:val="24"/>
        </w:rPr>
        <w:t xml:space="preserve"> </w:t>
      </w:r>
      <w:r>
        <w:rPr>
          <w:rFonts w:hint="eastAsia"/>
          <w:sz w:val="24"/>
          <w:szCs w:val="24"/>
        </w:rPr>
        <w:t xml:space="preserve"> </w:t>
      </w:r>
      <w:r>
        <w:rPr>
          <w:rFonts w:hint="eastAsia" w:cs="宋体"/>
          <w:sz w:val="24"/>
          <w:szCs w:val="24"/>
        </w:rPr>
        <w:t>农业机械化主管部门应当建立健全农业机械维修监督检查制度，加强农机执法人员培训，完善相应技术检测手段，确保行政执法公开、公平、公正。</w:t>
      </w:r>
    </w:p>
    <w:p>
      <w:pPr>
        <w:pStyle w:val="3"/>
        <w:topLinePunct/>
        <w:spacing w:line="412" w:lineRule="exact"/>
        <w:ind w:firstLine="482"/>
        <w:rPr>
          <w:sz w:val="24"/>
          <w:szCs w:val="24"/>
        </w:rPr>
      </w:pPr>
      <w:r>
        <w:rPr>
          <w:rFonts w:hint="eastAsia" w:cs="宋体"/>
          <w:b/>
          <w:bCs/>
          <w:sz w:val="24"/>
          <w:szCs w:val="24"/>
        </w:rPr>
        <w:t>第十八条</w:t>
      </w:r>
      <w:r>
        <w:rPr>
          <w:sz w:val="24"/>
          <w:szCs w:val="24"/>
        </w:rPr>
        <w:t xml:space="preserve"> </w:t>
      </w:r>
      <w:r>
        <w:rPr>
          <w:rFonts w:hint="eastAsia"/>
          <w:sz w:val="24"/>
          <w:szCs w:val="24"/>
        </w:rPr>
        <w:t xml:space="preserve"> </w:t>
      </w:r>
      <w:r>
        <w:rPr>
          <w:rFonts w:hint="eastAsia" w:cs="宋体"/>
          <w:sz w:val="24"/>
          <w:szCs w:val="24"/>
        </w:rPr>
        <w:t>农业机械化主管部门、工商行政管理部门执法人员实施农业机械维修监督检查，应当出示行政执法证件，否则受检查者有权拒绝检查。</w:t>
      </w:r>
    </w:p>
    <w:p>
      <w:pPr>
        <w:pStyle w:val="3"/>
        <w:topLinePunct/>
        <w:spacing w:line="412" w:lineRule="exact"/>
        <w:ind w:firstLine="482"/>
        <w:rPr>
          <w:sz w:val="24"/>
          <w:szCs w:val="24"/>
        </w:rPr>
      </w:pPr>
      <w:r>
        <w:rPr>
          <w:rFonts w:hint="eastAsia" w:cs="宋体"/>
          <w:b/>
          <w:bCs/>
          <w:sz w:val="24"/>
          <w:szCs w:val="24"/>
        </w:rPr>
        <w:t>第十九条</w:t>
      </w:r>
      <w:r>
        <w:rPr>
          <w:sz w:val="24"/>
          <w:szCs w:val="24"/>
        </w:rPr>
        <w:t xml:space="preserve"> </w:t>
      </w:r>
      <w:r>
        <w:rPr>
          <w:rFonts w:hint="eastAsia"/>
          <w:sz w:val="24"/>
          <w:szCs w:val="24"/>
        </w:rPr>
        <w:t xml:space="preserve"> </w:t>
      </w:r>
      <w:r>
        <w:rPr>
          <w:rFonts w:hint="eastAsia" w:cs="宋体"/>
          <w:sz w:val="24"/>
          <w:szCs w:val="24"/>
        </w:rPr>
        <w:t>农业机械维修者和维修配件销售者应当配合农业机械化主管部门、工商行政管理部门依法开展监督检查，如实反映情况，提供有关资料。</w:t>
      </w:r>
    </w:p>
    <w:p>
      <w:pPr>
        <w:pStyle w:val="63"/>
        <w:spacing w:before="218" w:after="218" w:line="412" w:lineRule="exact"/>
      </w:pPr>
      <w:r>
        <w:rPr>
          <w:rFonts w:hint="eastAsia"/>
        </w:rPr>
        <w:t>第五章</w:t>
      </w:r>
      <w:r>
        <w:t xml:space="preserve"> </w:t>
      </w:r>
      <w:r>
        <w:rPr>
          <w:rFonts w:hint="eastAsia"/>
        </w:rPr>
        <w:t xml:space="preserve"> 罚 </w:t>
      </w:r>
      <w:r>
        <w:t xml:space="preserve"> </w:t>
      </w:r>
      <w:r>
        <w:rPr>
          <w:rFonts w:hint="eastAsia"/>
        </w:rPr>
        <w:t>则</w:t>
      </w:r>
    </w:p>
    <w:p>
      <w:pPr>
        <w:pStyle w:val="3"/>
        <w:topLinePunct/>
        <w:spacing w:line="412" w:lineRule="exact"/>
        <w:ind w:firstLine="482"/>
        <w:rPr>
          <w:sz w:val="24"/>
          <w:szCs w:val="24"/>
        </w:rPr>
      </w:pPr>
      <w:r>
        <w:rPr>
          <w:rFonts w:hint="eastAsia" w:cs="宋体"/>
          <w:b/>
          <w:bCs/>
          <w:sz w:val="24"/>
          <w:szCs w:val="24"/>
        </w:rPr>
        <w:t xml:space="preserve">第二十条 </w:t>
      </w:r>
      <w:r>
        <w:rPr>
          <w:sz w:val="24"/>
          <w:szCs w:val="24"/>
        </w:rPr>
        <w:t xml:space="preserve"> </w:t>
      </w:r>
      <w:r>
        <w:rPr>
          <w:rFonts w:hint="eastAsia" w:cs="宋体"/>
          <w:sz w:val="24"/>
          <w:szCs w:val="24"/>
        </w:rPr>
        <w:t>违反本规定，不能保持设备、设施、人员、质量管理、安全生产和环境保护等技术条件符合要求的，由农业机械化主管部门给予警告，限期整改；拒不改正的，依照《农业机械安全监督管理条例》有关规定予以处罚。</w:t>
      </w:r>
    </w:p>
    <w:p>
      <w:pPr>
        <w:pStyle w:val="3"/>
        <w:topLinePunct/>
        <w:spacing w:line="412" w:lineRule="exact"/>
        <w:ind w:firstLine="482"/>
        <w:rPr>
          <w:sz w:val="24"/>
          <w:szCs w:val="24"/>
        </w:rPr>
      </w:pPr>
      <w:r>
        <w:rPr>
          <w:rFonts w:hint="eastAsia" w:cs="宋体"/>
          <w:b/>
          <w:bCs/>
          <w:sz w:val="24"/>
          <w:szCs w:val="24"/>
        </w:rPr>
        <w:t xml:space="preserve">第二十一条 </w:t>
      </w:r>
      <w:r>
        <w:rPr>
          <w:sz w:val="24"/>
          <w:szCs w:val="24"/>
        </w:rPr>
        <w:t xml:space="preserve"> </w:t>
      </w:r>
      <w:r>
        <w:rPr>
          <w:rFonts w:hint="eastAsia" w:cs="宋体"/>
          <w:sz w:val="24"/>
          <w:szCs w:val="24"/>
        </w:rPr>
        <w:t>违反本规定，超越范围承揽无技术能力保障的维修项目的，由农业机械化主管部门处</w:t>
      </w:r>
      <w:r>
        <w:rPr>
          <w:sz w:val="24"/>
          <w:szCs w:val="24"/>
        </w:rPr>
        <w:t>200</w:t>
      </w:r>
      <w:r>
        <w:rPr>
          <w:rFonts w:hint="eastAsia" w:cs="宋体"/>
          <w:sz w:val="24"/>
          <w:szCs w:val="24"/>
        </w:rPr>
        <w:t>元以上</w:t>
      </w:r>
      <w:r>
        <w:rPr>
          <w:sz w:val="24"/>
          <w:szCs w:val="24"/>
        </w:rPr>
        <w:t>500</w:t>
      </w:r>
      <w:r>
        <w:rPr>
          <w:rFonts w:hint="eastAsia" w:cs="宋体"/>
          <w:sz w:val="24"/>
          <w:szCs w:val="24"/>
        </w:rPr>
        <w:t>元以下罚款。</w:t>
      </w:r>
    </w:p>
    <w:p>
      <w:pPr>
        <w:pStyle w:val="3"/>
        <w:topLinePunct/>
        <w:spacing w:line="412" w:lineRule="exact"/>
        <w:ind w:firstLine="482"/>
        <w:rPr>
          <w:sz w:val="24"/>
          <w:szCs w:val="24"/>
        </w:rPr>
      </w:pPr>
      <w:r>
        <w:rPr>
          <w:rFonts w:hint="eastAsia" w:cs="宋体"/>
          <w:b/>
          <w:bCs/>
          <w:sz w:val="24"/>
          <w:szCs w:val="24"/>
        </w:rPr>
        <w:t xml:space="preserve">第二十二条 </w:t>
      </w:r>
      <w:r>
        <w:rPr>
          <w:sz w:val="24"/>
          <w:szCs w:val="24"/>
        </w:rPr>
        <w:t xml:space="preserve"> </w:t>
      </w:r>
      <w:r>
        <w:rPr>
          <w:rFonts w:hint="eastAsia" w:cs="宋体"/>
          <w:sz w:val="24"/>
          <w:szCs w:val="24"/>
        </w:rPr>
        <w:t>违反本规定第十三条第二款第一、三、四项的，由工商行政管理部门依法处理；违反本规定第十三条第二款第二、五项的，由农业机械化主管部门处</w:t>
      </w:r>
      <w:r>
        <w:rPr>
          <w:sz w:val="24"/>
          <w:szCs w:val="24"/>
        </w:rPr>
        <w:t>500</w:t>
      </w:r>
      <w:r>
        <w:rPr>
          <w:rFonts w:hint="eastAsia" w:cs="宋体"/>
          <w:sz w:val="24"/>
          <w:szCs w:val="24"/>
        </w:rPr>
        <w:t>元以上</w:t>
      </w:r>
      <w:r>
        <w:rPr>
          <w:sz w:val="24"/>
          <w:szCs w:val="24"/>
        </w:rPr>
        <w:t>1000</w:t>
      </w:r>
      <w:r>
        <w:rPr>
          <w:rFonts w:hint="eastAsia" w:cs="宋体"/>
          <w:sz w:val="24"/>
          <w:szCs w:val="24"/>
        </w:rPr>
        <w:t>元以下罚款。</w:t>
      </w:r>
    </w:p>
    <w:p>
      <w:pPr>
        <w:pStyle w:val="3"/>
        <w:topLinePunct/>
        <w:spacing w:line="412" w:lineRule="exact"/>
        <w:ind w:firstLine="482"/>
        <w:rPr>
          <w:sz w:val="24"/>
          <w:szCs w:val="24"/>
        </w:rPr>
      </w:pPr>
      <w:r>
        <w:rPr>
          <w:rFonts w:hint="eastAsia" w:cs="宋体"/>
          <w:b/>
          <w:bCs/>
          <w:sz w:val="24"/>
          <w:szCs w:val="24"/>
        </w:rPr>
        <w:t xml:space="preserve">第二十三条 </w:t>
      </w:r>
      <w:r>
        <w:rPr>
          <w:sz w:val="24"/>
          <w:szCs w:val="24"/>
        </w:rPr>
        <w:t xml:space="preserve"> </w:t>
      </w:r>
      <w:r>
        <w:rPr>
          <w:rFonts w:hint="eastAsia" w:cs="宋体"/>
          <w:sz w:val="24"/>
          <w:szCs w:val="24"/>
        </w:rPr>
        <w:t>农业机械维修者未按规定填写维修记录和报送年度维修情况统计表的，由农业机械化主管部门给予警告，限期改正；逾期拒不改正的，处</w:t>
      </w:r>
      <w:r>
        <w:rPr>
          <w:sz w:val="24"/>
          <w:szCs w:val="24"/>
        </w:rPr>
        <w:t>100</w:t>
      </w:r>
      <w:r>
        <w:rPr>
          <w:rFonts w:hint="eastAsia" w:cs="宋体"/>
          <w:sz w:val="24"/>
          <w:szCs w:val="24"/>
        </w:rPr>
        <w:t>元以下罚款。</w:t>
      </w:r>
    </w:p>
    <w:p>
      <w:pPr>
        <w:pStyle w:val="3"/>
        <w:topLinePunct/>
        <w:spacing w:line="412" w:lineRule="exact"/>
        <w:ind w:firstLine="482"/>
        <w:rPr>
          <w:sz w:val="24"/>
          <w:szCs w:val="24"/>
        </w:rPr>
      </w:pPr>
      <w:r>
        <w:rPr>
          <w:rFonts w:hint="eastAsia" w:cs="宋体"/>
          <w:b/>
          <w:bCs/>
          <w:sz w:val="24"/>
          <w:szCs w:val="24"/>
        </w:rPr>
        <w:t xml:space="preserve">第二十四条 </w:t>
      </w:r>
      <w:r>
        <w:rPr>
          <w:sz w:val="24"/>
          <w:szCs w:val="24"/>
        </w:rPr>
        <w:t xml:space="preserve"> </w:t>
      </w:r>
      <w:r>
        <w:rPr>
          <w:rFonts w:hint="eastAsia" w:cs="宋体"/>
          <w:sz w:val="24"/>
          <w:szCs w:val="24"/>
        </w:rPr>
        <w:t>农业机械化主管部门工作人员玩忽职守、滥用职权、徇私舞弊的，由其所在单位或者上级主管机关依法给予行政处分。</w:t>
      </w:r>
    </w:p>
    <w:p>
      <w:pPr>
        <w:pStyle w:val="63"/>
        <w:spacing w:before="218" w:after="218" w:line="412" w:lineRule="exact"/>
      </w:pPr>
      <w:r>
        <w:rPr>
          <w:rFonts w:hint="eastAsia"/>
        </w:rPr>
        <w:t xml:space="preserve">第六章 </w:t>
      </w:r>
      <w:r>
        <w:t xml:space="preserve"> </w:t>
      </w:r>
      <w:r>
        <w:rPr>
          <w:rFonts w:hint="eastAsia"/>
        </w:rPr>
        <w:t xml:space="preserve">附 </w:t>
      </w:r>
      <w:r>
        <w:t xml:space="preserve"> </w:t>
      </w:r>
      <w:r>
        <w:rPr>
          <w:rFonts w:hint="eastAsia"/>
        </w:rPr>
        <w:t>则</w:t>
      </w:r>
    </w:p>
    <w:p>
      <w:pPr>
        <w:pStyle w:val="3"/>
        <w:topLinePunct/>
        <w:spacing w:line="412" w:lineRule="exact"/>
        <w:ind w:firstLine="482"/>
        <w:rPr>
          <w:sz w:val="24"/>
          <w:szCs w:val="24"/>
        </w:rPr>
      </w:pPr>
      <w:r>
        <w:rPr>
          <w:rFonts w:hint="eastAsia" w:cs="宋体"/>
          <w:b/>
          <w:bCs/>
          <w:sz w:val="24"/>
          <w:szCs w:val="24"/>
        </w:rPr>
        <w:t>第二十五条</w:t>
      </w:r>
      <w:r>
        <w:rPr>
          <w:sz w:val="24"/>
          <w:szCs w:val="24"/>
        </w:rPr>
        <w:t xml:space="preserve"> </w:t>
      </w:r>
      <w:r>
        <w:rPr>
          <w:rFonts w:hint="eastAsia"/>
          <w:sz w:val="24"/>
          <w:szCs w:val="24"/>
        </w:rPr>
        <w:t xml:space="preserve"> </w:t>
      </w:r>
      <w:r>
        <w:rPr>
          <w:rFonts w:hint="eastAsia" w:cs="宋体"/>
          <w:sz w:val="24"/>
          <w:szCs w:val="24"/>
        </w:rPr>
        <w:t>本规定自</w:t>
      </w:r>
      <w:r>
        <w:rPr>
          <w:sz w:val="24"/>
          <w:szCs w:val="24"/>
        </w:rPr>
        <w:t>2006</w:t>
      </w:r>
      <w:r>
        <w:rPr>
          <w:rFonts w:hint="eastAsia" w:cs="宋体"/>
          <w:sz w:val="24"/>
          <w:szCs w:val="24"/>
        </w:rPr>
        <w:t>年</w:t>
      </w:r>
      <w:r>
        <w:rPr>
          <w:sz w:val="24"/>
          <w:szCs w:val="24"/>
        </w:rPr>
        <w:t>7</w:t>
      </w:r>
      <w:r>
        <w:rPr>
          <w:rFonts w:hint="eastAsia" w:cs="宋体"/>
          <w:sz w:val="24"/>
          <w:szCs w:val="24"/>
        </w:rPr>
        <w:t>月</w:t>
      </w:r>
      <w:r>
        <w:rPr>
          <w:sz w:val="24"/>
          <w:szCs w:val="24"/>
        </w:rPr>
        <w:t>1</w:t>
      </w:r>
      <w:r>
        <w:rPr>
          <w:rFonts w:hint="eastAsia" w:cs="宋体"/>
          <w:sz w:val="24"/>
          <w:szCs w:val="24"/>
        </w:rPr>
        <w:t>日起施行。原农牧渔业部、国家工商行政管理局</w:t>
      </w:r>
      <w:r>
        <w:rPr>
          <w:sz w:val="24"/>
          <w:szCs w:val="24"/>
        </w:rPr>
        <w:t>1984</w:t>
      </w:r>
      <w:r>
        <w:rPr>
          <w:rFonts w:hint="eastAsia" w:cs="宋体"/>
          <w:sz w:val="24"/>
          <w:szCs w:val="24"/>
        </w:rPr>
        <w:t>年</w:t>
      </w:r>
      <w:r>
        <w:rPr>
          <w:sz w:val="24"/>
          <w:szCs w:val="24"/>
        </w:rPr>
        <w:t>11</w:t>
      </w:r>
      <w:r>
        <w:rPr>
          <w:rFonts w:hint="eastAsia" w:cs="宋体"/>
          <w:sz w:val="24"/>
          <w:szCs w:val="24"/>
        </w:rPr>
        <w:t>月</w:t>
      </w:r>
      <w:r>
        <w:rPr>
          <w:sz w:val="24"/>
          <w:szCs w:val="24"/>
        </w:rPr>
        <w:t>15</w:t>
      </w:r>
      <w:r>
        <w:rPr>
          <w:rFonts w:hint="eastAsia" w:cs="宋体"/>
          <w:sz w:val="24"/>
          <w:szCs w:val="24"/>
        </w:rPr>
        <w:t>日发布的《全国农村机械维修点管理办法》（</w:t>
      </w:r>
      <w:r>
        <w:rPr>
          <w:sz w:val="24"/>
          <w:szCs w:val="24"/>
        </w:rPr>
        <w:t>[84]</w:t>
      </w:r>
      <w:r>
        <w:rPr>
          <w:rFonts w:hint="eastAsia" w:cs="宋体"/>
          <w:sz w:val="24"/>
          <w:szCs w:val="24"/>
        </w:rPr>
        <w:t>农</w:t>
      </w:r>
      <w:r>
        <w:rPr>
          <w:sz w:val="24"/>
          <w:szCs w:val="24"/>
        </w:rPr>
        <w:t>[</w:t>
      </w:r>
      <w:r>
        <w:rPr>
          <w:rFonts w:hint="eastAsia" w:cs="宋体"/>
          <w:sz w:val="24"/>
          <w:szCs w:val="24"/>
        </w:rPr>
        <w:t>机</w:t>
      </w:r>
      <w:r>
        <w:rPr>
          <w:sz w:val="24"/>
          <w:szCs w:val="24"/>
        </w:rPr>
        <w:t>]</w:t>
      </w:r>
      <w:r>
        <w:rPr>
          <w:rFonts w:hint="eastAsia" w:cs="宋体"/>
          <w:sz w:val="24"/>
          <w:szCs w:val="24"/>
        </w:rPr>
        <w:t>字第</w:t>
      </w:r>
      <w:r>
        <w:rPr>
          <w:sz w:val="24"/>
          <w:szCs w:val="24"/>
        </w:rPr>
        <w:t>42</w:t>
      </w:r>
      <w:r>
        <w:rPr>
          <w:rFonts w:hint="eastAsia" w:cs="宋体"/>
          <w:sz w:val="24"/>
          <w:szCs w:val="24"/>
        </w:rPr>
        <w:t>号）同时废止。</w:t>
      </w: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576" w:name="_Toc26348074"/>
      <w:bookmarkStart w:id="1577" w:name="_Toc466579975"/>
      <w:bookmarkStart w:id="1578" w:name="_Toc18315903"/>
      <w:bookmarkStart w:id="1579" w:name="_Toc25648319"/>
      <w:bookmarkStart w:id="1580" w:name="_Toc28251024"/>
      <w:bookmarkStart w:id="1581" w:name="_Toc16922"/>
      <w:bookmarkStart w:id="1582" w:name="_Toc28157096"/>
      <w:bookmarkStart w:id="1583" w:name="_Toc25653820"/>
      <w:bookmarkStart w:id="1584" w:name="_Toc28252306"/>
      <w:r>
        <w:t>农业机械质量调查办法</w:t>
      </w:r>
      <w:bookmarkEnd w:id="1576"/>
      <w:bookmarkEnd w:id="1577"/>
      <w:bookmarkEnd w:id="1578"/>
      <w:bookmarkEnd w:id="1579"/>
      <w:bookmarkEnd w:id="1580"/>
      <w:bookmarkEnd w:id="1581"/>
      <w:bookmarkEnd w:id="1582"/>
      <w:bookmarkEnd w:id="1583"/>
      <w:bookmarkEnd w:id="1584"/>
    </w:p>
    <w:p>
      <w:pPr>
        <w:pStyle w:val="62"/>
        <w:topLinePunct w:val="0"/>
        <w:ind w:firstLine="0" w:firstLineChars="0"/>
        <w:jc w:val="center"/>
      </w:pPr>
      <w:r>
        <w:t>（2006年8月20日</w:t>
      </w:r>
      <w:r>
        <w:rPr>
          <w:shd w:val="clear" w:color="auto" w:fill="FFFFFF"/>
        </w:rPr>
        <w:t>农业部</w:t>
      </w:r>
      <w:r>
        <w:t>令第69号公布）</w:t>
      </w:r>
    </w:p>
    <w:p>
      <w:pPr>
        <w:pStyle w:val="63"/>
        <w:spacing w:before="218" w:after="218" w:line="412" w:lineRule="exact"/>
        <w:rPr>
          <w:b/>
        </w:rPr>
      </w:pPr>
      <w:r>
        <w:t xml:space="preserve">第一章 </w:t>
      </w:r>
      <w:r>
        <w:rPr>
          <w:rFonts w:hint="eastAsia"/>
        </w:rPr>
        <w:t xml:space="preserve"> </w:t>
      </w:r>
      <w:r>
        <w:t>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为了规范农业机械质量调查工作，加强农业机械产品质量监督管理，维护农业机械使用者和生产者、销售者的合法权益，依据《中华人民共和国农业机械化促进法》，制定本办法。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本办法所称农业机械质量调查（以下简称质量调查），是指省级以上人民政府农业机械化行政主管部门组织对在用特定种类农业机械产品的适用性、安全性、可靠性和售后服务状况进行调查监督的活动。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农业部主管全国质量调查工作，统一质量调查规范，协调跨省的质量调查，制定并组织实施全国质量调查计划，公布调查结果。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省级人民政府农业机械化行政主管部门负责本行政区域内的质量调查工作，制定并组织实施本行政区域的质量调查计划，公布调查结果。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质量调查的具体工作由省级以上农业机械试验鉴定机构承担，农业机械化技术推广、安全监理等机构配合。调查涉及地区的农业、农业机械化行政主管部门应当予以支持协助。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质量调查坚持科学、公正、公开的原则，接受农业机械使用者、生产者、销售者和社会的监督。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质量调查不向调查涉及的单位和个人收取任何费用。</w:t>
      </w:r>
    </w:p>
    <w:p>
      <w:pPr>
        <w:pStyle w:val="63"/>
        <w:spacing w:before="218" w:after="218" w:line="412" w:lineRule="exact"/>
        <w:rPr>
          <w:b/>
        </w:rPr>
      </w:pPr>
      <w:r>
        <w:t xml:space="preserve">第二章 </w:t>
      </w:r>
      <w:r>
        <w:rPr>
          <w:rFonts w:hint="eastAsia"/>
        </w:rPr>
        <w:t xml:space="preserve"> </w:t>
      </w:r>
      <w:r>
        <w:t>质量调查的确定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县级以上人民政府农业机械化行政主管部门应当明确农机质量投诉机构，负责受理投诉，统计、分析、报送投诉信息，为制定质量调查计划提供依据。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农机质量投诉机构的地址和联系电话应当向社会公布。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农业机械试验鉴定机构应当加强质量信息收集和调查研究工作，并提出质量调查建议。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质量调查计划应当根据农业机械使用者的投诉情况和农业生产的实际需要制定，并及时公布。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省级质量调查计划在公布前应当报农业部备案。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质量调查计划应当明确质量调查的名称、目的、内容、范围、对象、时间、方法、实施单位等事项。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列入质量调查计划的农业机械产品，应当具备下列条件之一：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（一）属于国家财政补贴、优惠信贷、政府采购等政策支持范围的；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（二）对人体健康、人身和财产安全、资源节约、环境保护有重大影响的；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（三）出现集中质量投诉或者重大质量事故的。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质量调查内容包括：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（一）安全性调查：对农业机械影响人体健康、人身和财产安全、环境保护的程度进行调查；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（二）可靠性调查：对农业机械故障情况进行调查；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（三）适用性调查：对农业机械在不同地域、不同作物及品种或者不同耕作制度的作业效果进行调查；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（四）售后服务状况调查：对企业质量承诺和售后服务承诺兑现情况进行调查。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承担质量调查任务的省级以上农业机械试验鉴定机构（以下称调查承担单位）接受任务后，应当制定实施方案，报下达任务的省级以上人民政府农业机械化行政主管部门（以下称任务下达部门）批准。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实施方案应当包括质量调查的具体内容、程序、样本数量和分布、技术路线、调查方法和依据标准、调查表格和填写说明、数据统计处理方法、工作分工、参加人员等。</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任务下达部门批准实施方案后，应当向调查承担单位下达质量调查任务书。</w:t>
      </w:r>
    </w:p>
    <w:p>
      <w:pPr>
        <w:pStyle w:val="63"/>
        <w:spacing w:before="218" w:after="218" w:line="412" w:lineRule="exact"/>
        <w:rPr>
          <w:b/>
        </w:rPr>
      </w:pPr>
      <w:r>
        <w:t xml:space="preserve">第三章 </w:t>
      </w:r>
      <w:r>
        <w:rPr>
          <w:rFonts w:hint="eastAsia"/>
        </w:rPr>
        <w:t xml:space="preserve"> </w:t>
      </w:r>
      <w:r>
        <w:t>质量调查的实施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调查承担单位应当对调查人员进行培训，发放当次质量调查证件。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进行质量调查时，调查人员应当向被调查方出示质量调查任务书和质量调查证件。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质量调查采取问询查证、发放问卷、现场跟踪、召开座谈会等方式进行。必要时依据国家标准、行业标准、企业标准或者企业质量承诺进行试验检测。</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被调查方应当配合质量调查工作，按照调查要求及时提供有关资料和信息，并对其真实性负责。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质量调查结束后，调查承担单位应当按照实施方案要求汇总、处理和分析调查信息，形成调查报告，报送任务下达部门。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调查承担单位和调查人员对调查结果负责，对调查中涉及的商业秘密应当依法保密，不得利用质量调查进行有偿活动。</w:t>
      </w:r>
    </w:p>
    <w:p>
      <w:pPr>
        <w:pStyle w:val="63"/>
        <w:spacing w:before="218" w:after="218" w:line="412" w:lineRule="exact"/>
        <w:rPr>
          <w:b/>
        </w:rPr>
      </w:pPr>
      <w:r>
        <w:t>第四章</w:t>
      </w:r>
      <w:r>
        <w:rPr>
          <w:rFonts w:hint="eastAsia"/>
        </w:rPr>
        <w:t xml:space="preserve"> </w:t>
      </w:r>
      <w:r>
        <w:t xml:space="preserve"> 调查结果的公布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任务下达部门收到调查报告后，应当对调查内容、程序、方法是否符合实施方案的规定进行审查。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审查工作应当在收到调查报告之日起20个工作日内完成。审查通过的，任务下达部门应当及时公布质量调查结果。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省级质量调查结果应当在公布前报农业部备案。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调查承担单位应当在质量调查结果公布后20个工作日内组织召开质量分析会，向有关企业通报调查中发现的问题，提出改进建议。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对质量调查中发现的产品质量或售后服务问题严重的生产或者销售企业，由任务下达部门责令整改。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企业对整改通知有异议的，应当在收到通知后15个工作日内书面提出；逾期未提出的，视为无异议。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整改通知下达部门应当在收到企业书面异议之日起15个工作日内予以答复。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企业对整改通知无异议的，或者有异议而未被采纳的，应当按照通知要求报告整改情况，由整改通知下达部门组织确认。</w:t>
      </w:r>
    </w:p>
    <w:p>
      <w:pPr>
        <w:pStyle w:val="63"/>
        <w:spacing w:before="218" w:after="218" w:line="412" w:lineRule="exact"/>
        <w:rPr>
          <w:b/>
        </w:rPr>
      </w:pPr>
      <w:r>
        <w:t xml:space="preserve">第五章 </w:t>
      </w:r>
      <w:r>
        <w:rPr>
          <w:rFonts w:hint="eastAsia"/>
        </w:rPr>
        <w:t xml:space="preserve"> </w:t>
      </w:r>
      <w:r>
        <w:t>罚</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调查承担单位和人员有下列情形之一的，责令改正，对单位负责人和其他直接责任人员，依法给予处分；情节严重的，取消调查承担单位或者个人的质量调查资格：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（一）不按规定进行调查、伪造调查结果、瞒报或者出具虚假证明的；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（二）利用质量调查从事有偿活动的；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（三）擅自透露质量调查相关信息造成不良后果的；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（四）有其他徇私舞弊、滥用职权、玩忽职守行为的。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调查承担单位和个人利用质量调查获取违法所得的，予以追缴。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被调查的企业和个人虚报、瞒报、伪造、篡改有关资料，或者拒不配合调查工作的，由所在地农业机械化行政主管部门责令改正；情节严重的，对所涉及产品由省级以上人民政府农业机械化行政主管部门注销农业机械推广鉴定证书、取消列入国家支持推广的农业机械产品目录资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企业收到整改通知后拒不整改或者逾期达不到整改要求的，整改通知下达部门应当注销该产品的农业机械推广鉴定证书、取消列入国家支持推广的农业机械产品目录的资格；属于实施生产许可证或强制性认证的产品，还应当向有关主管部门通报情况。</w:t>
      </w:r>
    </w:p>
    <w:p>
      <w:pPr>
        <w:pStyle w:val="63"/>
        <w:spacing w:before="218" w:after="218" w:line="412" w:lineRule="exact"/>
        <w:rPr>
          <w:b/>
        </w:rPr>
      </w:pPr>
      <w:r>
        <w:t xml:space="preserve">第六章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本办法自2006年11月1日起施行。</w:t>
      </w:r>
    </w:p>
    <w:p>
      <w:pPr>
        <w:pStyle w:val="3"/>
        <w:topLinePunct/>
        <w:spacing w:line="416"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61"/>
      </w:pPr>
      <w:bookmarkStart w:id="1585" w:name="_Toc26348075"/>
      <w:bookmarkStart w:id="1586" w:name="_Toc28252307"/>
      <w:bookmarkStart w:id="1587" w:name="_Toc18315904"/>
      <w:bookmarkStart w:id="1588" w:name="_Toc466579977"/>
      <w:bookmarkStart w:id="1589" w:name="_Toc28157097"/>
      <w:bookmarkStart w:id="1590" w:name="_Toc25648320"/>
      <w:bookmarkStart w:id="1591" w:name="_Toc28251025"/>
      <w:bookmarkStart w:id="1592" w:name="_Toc25653821"/>
      <w:bookmarkStart w:id="1593" w:name="_Toc19760"/>
      <w:r>
        <w:t>农业机械事故处理办法</w:t>
      </w:r>
      <w:bookmarkEnd w:id="1585"/>
      <w:bookmarkEnd w:id="1586"/>
      <w:bookmarkEnd w:id="1587"/>
      <w:bookmarkEnd w:id="1588"/>
      <w:bookmarkEnd w:id="1589"/>
      <w:bookmarkEnd w:id="1590"/>
      <w:bookmarkEnd w:id="1591"/>
      <w:bookmarkEnd w:id="1592"/>
      <w:bookmarkEnd w:id="1593"/>
    </w:p>
    <w:p>
      <w:pPr>
        <w:pStyle w:val="62"/>
        <w:topLinePunct w:val="0"/>
        <w:ind w:firstLine="0" w:firstLineChars="0"/>
        <w:jc w:val="center"/>
      </w:pPr>
      <w:r>
        <w:t>（2011年1月12日</w:t>
      </w:r>
      <w:r>
        <w:rPr>
          <w:shd w:val="clear" w:color="auto" w:fill="FFFFFF"/>
        </w:rPr>
        <w:t>中华人民共和国</w:t>
      </w:r>
      <w:r>
        <w:t>农业部令第2号公布）</w:t>
      </w:r>
    </w:p>
    <w:p>
      <w:pPr>
        <w:pStyle w:val="63"/>
        <w:spacing w:before="218" w:after="218" w:line="412" w:lineRule="exact"/>
        <w:rPr>
          <w:b/>
        </w:rPr>
      </w:pPr>
      <w:r>
        <w:t xml:space="preserve">第一章 </w:t>
      </w:r>
      <w:r>
        <w:rPr>
          <w:rFonts w:hint="eastAsia"/>
        </w:rPr>
        <w:t xml:space="preserve"> </w:t>
      </w:r>
      <w:r>
        <w:t xml:space="preserve">总 </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为规范农业机械事故处理工作，维护农业机械安全生产秩序，保护农业机械事故当事人的合法权益，根据《农业机械安全监督管理条例》等法律、法规，制定本办法。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本办法所称农业机械事故（以下简称农机事故），是指农业机械在作业或转移等过程中造成人身伤亡、财产损失的事件。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农机事故分为特别重大农机事故、重大农机事故、较大农机事故和一般农机事故：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（一）特别重大农机事故，是指造成30人以上死亡，或者100人以上重伤的事故，或者1亿元以上直接经济损失的事故；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（二）重大农机事故，是指造成10人以上30人以下死亡，或者50人以上100人以下重伤的事故，或者5000万元以上1亿元以下直接经济损失的事故；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（三）较大农机事故，是指造成3人以上10人以下死亡，或者10人以上50人以下重伤的事故，或者1000万元以上5000万元以下直接经济损失的事故；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（四）一般农机事故，是指造成3人以下死亡，或者10人以下重伤，或者1000万元以下直接经济损失的事故。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县级以上地方人民政府农业机械化主管部门负责农业机械事故责任的认定和调解处理。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县级以上地方人民政府农业机械化主管部门所属的农业机械安全监督管理机构（以下简称农机安全监理机构）承担本辖区农机事故处理的具体工作。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法律、行政法规对农机事故的处理部门另有规定的，从其规定。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对特别重大、重大、较大农机事故，农业部、省级人民政府农业机械化主管部门和地（市）级人民政府农业机械化主管部门应当分别派员参与调查处理。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农机事故处理应当遵循公正、公开、便民、效率的原则。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农机安全监理机构应当按照农机事故处理规范化建设要求，配备必需的人员和事故勘查车辆、现场勘查设备、警示标志、取像设备、现场标划用具等装备。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县级以上地方人民政府农业机械化主管部门应当将农机事故处理装备建设和工作经费纳入本部门财政预算。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农机安全监理机构应当建立24小时值班制度，向社会公布值班电话，保持通讯畅通。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农机安全监理机构应当做好本辖区农机事故的报告工作，将农机事故情况及时、准确、完整地报送同级农业机械化主管部门和上级农机安全监理机构。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农业机械化主管部门应当定期将农业机械事故统计情况及说明材料报送上级农业机械化主管部门，并抄送同级安全生产监督管理部门。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任何单位和个人不得迟报、漏报、谎报或者瞒报农机事故。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农机安全监理机构应当建立健全农机事故档案管理制度，指定专人负责农机事故档案管理。</w:t>
      </w:r>
    </w:p>
    <w:p>
      <w:pPr>
        <w:pStyle w:val="63"/>
        <w:spacing w:before="218" w:after="218" w:line="412" w:lineRule="exact"/>
        <w:rPr>
          <w:b/>
        </w:rPr>
      </w:pPr>
      <w:r>
        <w:t>第二章</w:t>
      </w:r>
      <w:r>
        <w:rPr>
          <w:rFonts w:hint="eastAsia"/>
        </w:rPr>
        <w:t xml:space="preserve"> </w:t>
      </w:r>
      <w:r>
        <w:t xml:space="preserve"> 报案和受理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发生农机事故后，农机操作人员和现场其他人员应当立即停止农业机械作业或转移，保护现场，并向事故发生地县级农机安全监理机构报案；造成人身伤害的，还应当立即采取措施，抢救受伤人员；造成人员死亡的，还应当向事故发生地公安机关报案。因抢救受伤人员变动现场的，应当标明事故发生时机具和人员的位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发生农机事故，未造成人身伤亡，当事人对事实及成因无争议的，可以在就有关事项达成协议后即行撤离现场。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发生农机事故后当事人逃逸的，农机事故现场目击者和其他知情人应当向事故发生地县级农机安全监理机构或公安机关举报。接到举报的农机安全监理机构应当协助公安机关开展追查工作。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农机安全监理机构接到事故报案，应当记录下列内容：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（一）报案方式、报案时间、报案人姓名、联系方式，电话报案的还应当记录报案电话；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（二）农机事故发生的时间、地点；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（三）人员伤亡和财产损失情况；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（四）农业机械类型、号牌号码、装载物品等情况；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（五）是否存在肇事嫌疑人逃逸等情况。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接到事故现场报案的，县级农机安全监理机构应当立即派人勘查现场，并自勘查现场之时起24小时内决定是否立案。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当事人未在事故现场报案，事故发生后请求农机安全监理机构处理的，农机安全监理机构应当按照本办法第十二条的规定予以记录，并在3日内作出是否立案的决定。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经核查农机事故事实存在且在管辖范围内的，农机安全监理机构应当立案，并告知当事人。经核查无法证明农机事故事实存在，或不在管辖范围内的，不予立案，书面告知当事人并说明理由。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农机安全监理机构对农机事故管辖权有争议的，应当报请共同的上级农机安全监理机构指定管辖。上级农机安全监理机构应当在24小时内作出决定，并通知争议各方。</w:t>
      </w:r>
    </w:p>
    <w:p>
      <w:pPr>
        <w:pStyle w:val="63"/>
        <w:spacing w:before="218" w:after="218" w:line="412" w:lineRule="exact"/>
        <w:rPr>
          <w:b/>
        </w:rPr>
      </w:pPr>
      <w:r>
        <w:t>第三章</w:t>
      </w:r>
      <w:r>
        <w:rPr>
          <w:rFonts w:hint="eastAsia"/>
        </w:rPr>
        <w:t xml:space="preserve"> </w:t>
      </w:r>
      <w:r>
        <w:t xml:space="preserve"> 勘查处理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农机事故应当由2名以上农机事故处理员共同处理。农机事故处理员处理农机事故，应当佩戴统一标志，出示行政执法证件。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农机事故处理员与事故当事人有利害关系、可能影响案件公正处理的，应当回避。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农机事故处理员到达现场后，应当立即开展下列工作：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（一）组织抢救受伤人员；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（二）保护、勘查事故现场，拍摄现场照片，绘制现场图，采集、提取痕迹、物证，并制作现场勘查笔录；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（三）对涉及易燃、易爆、剧毒、易腐蚀等危险物品的农机事故，应当立即报告当地人民政府，并协助做好相关工作；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（四）对造成供电、通讯等设施损毁的农机事故，应当立即通知有关部门处理；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（五）确定农机事故当事人、肇事嫌疑人，查找证人，并制作询问笔录；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（六）登记和保护遗留物品。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参加勘查的农机事故处理员、当事人或者见证人应当在现场图、勘查笔录和询问笔录上签名或捺印。当事人拒绝或者无法签名、捺印以及无见证人的，应当记录在案。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当事人应当如实陈述事故发生的经过，不得隐瞒。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调查事故过程中，农机安全监理机构发现当事人涉嫌犯罪的，应当依法移送公安机关处理；对事故农业机械可以依照《中华人民共和国行政处罚法》的规定，先行登记保存。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发生农机事故后企图逃逸、拒不停止存在重大事故隐患农业机械的作业或者转移的，县级以上地方人民政府农业机械化主管部门可以依法扣押有关农业机械及证书、牌照、操作证件。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农机安全监理机构可以对事故农业机械进行检验，需要对事故当事人的生理、精神状况、人体损伤和事故农业机械行驶速度、痕迹等进行鉴定的，农机安全监理机构应当自现场勘查结束之日起3日内委托具有资质的鉴定机构进行鉴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当事人要求自行检验、鉴定的，农机安全监理机构应当向当事人介绍具有资质的检验、鉴定机构，由当事人自行选择。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农机事故处理员在现场勘查过程中，可以使用呼气式酒精测试仪或者唾液试纸，对农业机械操作人员进行酒精含量检测，检测结果应当在现场勘查笔录中载明。</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发现当事人有饮酒或者服用国家管制的精神药品、麻醉药品嫌疑的，应当委托有资质的专门机构对当事人提取血样或者尿样，进行相关检测鉴定。检测鉴定结果应当书面告知当事人。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农机安全监理机构应当与检验、鉴定机构约定检验、鉴定的项目和完成的期限，约定的期限不得超过20日。超过20日的，应当报上一级农机安全监理机构批准，但最长不得超过60日。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农机安全监理机构应当自收到书面鉴定报告之日起2日内，将检验、鉴定报告复印件送达当事人。当事人对检验、鉴定报告有异议的，可以在收到检验、鉴定报告之日起3日内申请重新检验、鉴定。县级农机安全监理机构批准重新检验、鉴定的，应当另行委托检验、鉴定机构或者由原检验、鉴定机构另行指派鉴定人。重新检验、鉴定以一次为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发生农机事故，需要抢救治疗受伤人员的，抢救治疗费用由肇事嫌疑人和肇事农业机械所有人先行预付。</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投保机动车交通事故责任强制保险的拖拉机发生事故，因抢救受伤人员需要保险公司依法支付抢救费用的，事故发生地农业机械化主管部门应当书面通知保险公司。抢救受伤人员需要道路交通事故社会救助基金垫付费用的，事故发生地农业机械化主管部门应当通知道路交通事故社会救助基金管理机构，并协助救助基金管理机构向事故责任人追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农机事故造成人员死亡的，由急救、医疗机构或者法医出具死亡证明。尸体应当存放在殡葬服务单位或者有停尸条件的医疗机构。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对农机事故死者尸体进行检验的，应当通知死者家属或代理人到场。需解剖鉴定的，应当征得死者家属或所在单位的同意。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无法确定死亡人身份的，移交公安机关处理。</w:t>
      </w:r>
    </w:p>
    <w:p>
      <w:pPr>
        <w:pStyle w:val="63"/>
        <w:spacing w:before="218" w:after="218" w:line="412" w:lineRule="exact"/>
        <w:rPr>
          <w:b/>
        </w:rPr>
      </w:pPr>
      <w:r>
        <w:t xml:space="preserve">第四章 </w:t>
      </w:r>
      <w:r>
        <w:rPr>
          <w:rFonts w:hint="eastAsia"/>
        </w:rPr>
        <w:t xml:space="preserve"> </w:t>
      </w:r>
      <w:r>
        <w:t>事故认定及复核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农机安全监理机构应当依据以下情况确定当事人的责任：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（一）因一方当事人的过错导致农机事故的，该方当事人承担全部责任；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（二）因两方或者两方以上当事人的过错发生农机事故的，根据其行为对事故发生的作用以及过错的严重程度，分别承担主要责任、同等责任和次要责任；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（三）各方均无导致农机事故的过错，属于意外事故的，各方均无责任；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（四）一方当事人故意造成事故的，他方无责任。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农机安全监理机构在进行事故认定前，应当对证据进行审查：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（一）证据是否是原件、原物，复印件、复制品与原件、原物是否相符；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（二）证据的形式、取证程序是否符合法律规定；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（三）证据的内容是否真实；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（四）证人或者提供证据的人与当事人有无利害关系。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符合规定的证据，可以作为农机事故认定的依据，不符合规定的，不予采信。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农机安全监理机构应当自现场勘查之日起10日内，作出农机事故认定，并制作农机事故认定书。对肇事逃逸案件，应当自查获肇事机械和操作人后10日内制作农机事故认定书。对需要进行鉴定的，应当自收到鉴定结论之日起5日内，制作农机事故认定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农机事故认定书应当载明以下内容：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（一）事故当事人、农业机械、作业场所的基本情况；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（二）事故发生的基本事实；</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（三）事故证据及事故成因分析；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（四）当事人的过错及责任或意外原因；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（五）当事人向农机安全监理机构申请复核、调解和直接向人民法院提起民事诉讼的权利、期限；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（六）作出农机事故认定的农机安全监理机构名称和农机事故认定日期。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农机事故认定书应当由事故处理员签名或盖章，加盖农机事故处理专用章，并在制作完成之日起3日内送达当事人。</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逃逸农机事故肇事者未查获，农机事故受害一方当事人要求出具农机事故认定书的，农机安全监理机构应当在接到当事人的书面申请后10日内制作农机事故认定书，并送达当事人。农机事故认定书应当载明农机事故发生的时间、地点、受害人情况及调查得到的事实，有证据证明受害人有过错的，确定受害人的责任；无证据证明受害人有过错的，确定受害人无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农机事故成因无法查清的，农机安全监理机构应当出具农机事故证明，载明农机事故发生的时间、地点、当事人情况及调查得到的事实，分别送达当事人。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当事人对农机事故认定有异议的，可以自农机事故认定书送达之日起3日内，向上一级农机安全监理机构提出书面复核申请。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复核申请应当载明复核请求及其理由和主要证据。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上一级农机安全监理机构应当自收到当事人书面复核申请后5日内，作出是否受理决定。任何一方当事人向人民法院提起诉讼并经法院受理的或案件已进入刑事诉讼程序的，复核申请不予受理，并书面通知当事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上一级农机安全监理机构受理复核申请的，应当书面通知各方当事人，并通知原办案单位5日内提交案件材料。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上一级农机安全监理机构自受理复核申请之日起30日内，对下列内容进行审查，并作出复核结论：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（一）农机事故事实是否清楚，证据是否确实充分，适用法律是否正确；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（二）农机事故责任划分是否公正；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（三）农机事故调查及认定程序是否合法。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复核原则上采取书面审查的办法，但是当事人提出要求或者农机安全监理机构认为有必要时，可以召集各方当事人到场听取意见。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复核期间，任何一方当事人就该事故向人民法院提起诉讼并经法院受理或案件已进入刑事诉讼程序的，农机安全监理机构应当终止复核。</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上一级农机安全监理机构经复核认为农机事故认定符合规定的，应当作出维持农机事故认定的复核结论；经复核认为不符合规定的，应当作出撤销农机事故认定的复核结论，责令原办案单位重新调查、认定。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复核结论应当自作出之日起3日内送达当事人。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上一级农机安全监理机构复核以1次为限。</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上一级农机安全监理机构作出责令重新认定的复核结论后，原办案单位应当在10日内依照本办法重新调查，重新制作编号不同的农机事故认定书，送达各方当事人，并报上一级农机安全监理机构备案。</w:t>
      </w:r>
    </w:p>
    <w:p>
      <w:pPr>
        <w:pStyle w:val="63"/>
        <w:spacing w:before="218" w:after="218" w:line="412" w:lineRule="exact"/>
        <w:rPr>
          <w:b/>
        </w:rPr>
      </w:pPr>
      <w:r>
        <w:t>第五章</w:t>
      </w:r>
      <w:r>
        <w:rPr>
          <w:rFonts w:hint="eastAsia"/>
        </w:rPr>
        <w:t xml:space="preserve"> </w:t>
      </w:r>
      <w:r>
        <w:t xml:space="preserve"> 赔偿调解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当事人对农机事故损害赔偿有争议的，可以在收到农机事故认定书或者上一级农机安全监理机构维持原农机事故认定的复核结论之日起10日内，共同向农机安全监理机构提出书面调解申请。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农机安全监理机构应当按照合法、公正、自愿、及时的原则，采取公开方式进行农机事故损害赔偿调解，但当事人一方要求不予公开的除外。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机安全监理机构调解农机事故损害赔偿的期限为10日。对农机事故致死的，调解自办理丧葬事宜结束之日起开始；对农机事故致伤、致残的，调解自治疗终结或者定残之日起开始；对农机事故造成财产损失的，调解从确定损失之日起开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调解涉及保险赔偿的，农机安全监理机构应当提前3日将调解的时间、地点通报相关保险机构，保险机构可以派员以第三人的身份参加调解。经农机安全监理机构主持达成的调解协议，可以作为保险理赔的依据，被保险人据此申请赔偿保险金的，保险人应当按照法律规定和合同约定进行赔偿。</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事故调解参加人员包括：</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（一）事故当事人及其代理人或损害赔偿的权利人、义务人；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（二）农业机械所有人或者管理人；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（三）农机安全监理机构认为有必要参加的其他人员。</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委托代理人应当出具由委托人签名或者盖章的授权委托书。授权委托书应当载明委托事项和权限。</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参加调解的当事人一方不得超过3人。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调解农机事故损害赔偿争议，按下列程序进行：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（一）告知各方当事人的权利、义务；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（二）听取各方当事人的请求；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（三）根据</w:t>
      </w:r>
      <w:r>
        <w:rPr>
          <w:rFonts w:asciiTheme="minorEastAsia" w:hAnsiTheme="minorEastAsia" w:eastAsiaTheme="minorEastAsia"/>
          <w:spacing w:val="4"/>
          <w:sz w:val="24"/>
          <w:szCs w:val="24"/>
        </w:rPr>
        <w:t>农机事故认定书的事实以及相关法律法规，调解达成损害赔偿协议。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调解达成协议的，农机安全监理机构应当制作农机事故损害赔偿调解书送达各方当事人，农机事故损害赔偿调解书经各方当事人共同签字后生效。调解达成协议后当事人反悔的，可以依法向人民法院提起民事诉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农机事故损害赔偿调解书应当载明以下内容：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（一）调解的依据；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（二）农机事故简况和损失情况；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（三）各方的损害赔偿责任及比例；</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（四）损害赔偿的项目和数额；</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（五）当事人自愿协商达成一致的意见；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（六）赔偿方式和期限；</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（七）调解终结日期。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赔付款由当事人自行交接，当事人要求农机安全监理机构转交的，农机安全监理机构可以转交，并在农机事故损害赔偿调解书上附记。</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调解不能达成协议的，农机安全监理机构应当终止调解，并制作农机事故损害赔偿调解终结书送达各方当事人。农机事故损害赔偿调解终结书应当载明未达成协议的原因。</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调解期间，当事人向人民法院提起民事诉讼、无正当理由不参加调解或者放弃调解的，农机安全监理机构应当终结调解。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农机事故损害赔偿费原则上应当一次性结算付清。对不明身份死者的人身损害赔偿，农机安全监理机构应当将赔偿费交付有关部门保存，待损害赔偿权利人确认后，通知有关部门交付损害赔偿权利人。</w:t>
      </w:r>
    </w:p>
    <w:p>
      <w:pPr>
        <w:pStyle w:val="63"/>
        <w:spacing w:before="218" w:after="218" w:line="412" w:lineRule="exact"/>
        <w:rPr>
          <w:b/>
        </w:rPr>
      </w:pPr>
      <w:r>
        <w:t xml:space="preserve">第六章 </w:t>
      </w:r>
      <w:r>
        <w:rPr>
          <w:rFonts w:hint="eastAsia"/>
        </w:rPr>
        <w:t xml:space="preserve"> </w:t>
      </w:r>
      <w:r>
        <w:t>事故报告</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省级农机安全监理机构应当按照农业机械化管理统计报表制度按月报送农机事故。农机事故月报的内容包括农机事故起数、伤亡情况、直接经济损失和事故发生的原因等情况。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发生较大以上的农机事故, 事故发生地农机安全监理机构应当立即向农业机械化主管部门报告，并逐级上报至农业部农机监理总站。每级上报时间不得超过2小时。必要时，农机安全监理机构可以越级上报事故情况。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农机事故快报应当包括下列内容：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（一）事故发生的时间、地点、天气以及事故现场情况；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（二）操作人姓名、住址、持证等情况；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（三）事故造成的伤亡人数（包括下落不明的人数）及伤亡人员的基本情况、初步估计的直接经济损失；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（四）发生事故的农业机械机型、牌证号、是否载有危险物品及危险物品的种类等；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（五）事故发生的简要经过；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（六）已经采取的措施；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（七）其他应当报告的情况。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农机事故发生之日起7日内，事故造成的伤亡人数发生变化的，应当及时补报。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农机安全监理机构应当每月对农机事故情况进行分析评估，向农业机械化主管部门提交事故情况和分析评估报告。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农业部每半年发布一次相关信息，通报典型的较大以上农机事故。省级农业机械化主管部门每季度发布一次相关信息，通报典型农机事故。</w:t>
      </w:r>
    </w:p>
    <w:p>
      <w:pPr>
        <w:pStyle w:val="63"/>
        <w:spacing w:before="218" w:after="218" w:line="412" w:lineRule="exact"/>
        <w:rPr>
          <w:b/>
        </w:rPr>
      </w:pPr>
      <w:r>
        <w:t xml:space="preserve">第七章 </w:t>
      </w:r>
      <w:r>
        <w:rPr>
          <w:rFonts w:hint="eastAsia"/>
        </w:rPr>
        <w:t xml:space="preserve"> </w:t>
      </w:r>
      <w:r>
        <w:t>罚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农业机械化主管部门及其农机安全监理机构有下列行为之一的，对直接负责的主管人员和其他直接责任人员依法给予行政处分；构成犯罪的，依法移送司法机关追究刑事责任：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（一）不依法处理农机事故或者不依法出具农机事故认定书等有关材料的；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（二）迟报、漏报、谎报或者瞒报事故的；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（三）阻碍、干涉事故调查工作的；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（四）其他依法应当追究责任的行为。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农机事故处理员有下列行为之一的，依法给予行政处分；构成犯罪的，依法移送司法机关追究刑事责任：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（一）不立即实施事故抢救的；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（二）在事故调查处理期间擅离职守的；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（三）利用职务之便，非法占有他人财产的；</w:t>
      </w:r>
    </w:p>
    <w:p>
      <w:pPr>
        <w:pStyle w:val="3"/>
        <w:tabs>
          <w:tab w:val="right" w:pos="13778"/>
        </w:tabs>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（四）索取、收受贿赂的；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（五）故意或者过失造成认定事实错误、违反法定程序的；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（六）应当回避而未回避影响事故公正处理的；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（七）其他影响公正处理事故的。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当事人有农机安全违法行为的，农机安全监理机构应当在作出农机事故认定之日起5日内，依照《农业机械安全监督管理条例》作出处罚。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农机事故肇事人构成犯罪的，农机安全监理机构应当在人民法院作出的有罪判决生效后，依法吊销其操作证件；拖拉机驾驶人有逃逸情形的，应当同时依法作出终生不得重新取得拖拉机驾驶证的决定。</w:t>
      </w:r>
    </w:p>
    <w:p>
      <w:pPr>
        <w:pStyle w:val="63"/>
        <w:spacing w:before="218" w:after="218" w:line="412" w:lineRule="exact"/>
        <w:rPr>
          <w:b/>
        </w:rPr>
      </w:pPr>
      <w:r>
        <w:t xml:space="preserve">第八章 </w:t>
      </w:r>
      <w:r>
        <w:rPr>
          <w:rFonts w:hint="eastAsia"/>
        </w:rPr>
        <w:t xml:space="preserve"> </w:t>
      </w:r>
      <w:r>
        <w:t>附</w:t>
      </w:r>
      <w:r>
        <w:rPr>
          <w:rFonts w:hint="eastAsia"/>
        </w:rPr>
        <w:t xml:space="preserve"> </w:t>
      </w:r>
      <w:r>
        <w:t xml:space="preserve">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农机事故处理文书表格格式、农机事故处理专用印章式样由农业部统一制定。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涉外农机事故应当按照本办法处理，并通知外事部门派员协助。国家另有规定的，从其规定。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本办法规定的“日”是指工作日，不含法定节假日。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本办法自2011年3月1日起施行。</w:t>
      </w: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sectPr>
          <w:headerReference r:id="rId52" w:type="default"/>
          <w:footerReference r:id="rId54" w:type="default"/>
          <w:headerReference r:id="rId53" w:type="even"/>
          <w:footerReference r:id="rId55" w:type="even"/>
          <w:pgSz w:w="12247" w:h="17180"/>
          <w:pgMar w:top="1814" w:right="1701" w:bottom="1701" w:left="1701" w:header="851" w:footer="1134" w:gutter="0"/>
          <w:cols w:space="425" w:num="1"/>
          <w:docGrid w:type="lines" w:linePitch="312" w:charSpace="0"/>
        </w:sect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shd w:val="clear" w:color="auto" w:fill="FFFFFF"/>
        </w:rPr>
      </w:pPr>
    </w:p>
    <w:p>
      <w:pPr>
        <w:pStyle w:val="60"/>
        <w:rPr>
          <w:shd w:val="clear" w:color="auto" w:fill="FFFFFF"/>
        </w:rPr>
      </w:pPr>
      <w:bookmarkStart w:id="1594" w:name="_Toc28252308"/>
      <w:bookmarkStart w:id="1595" w:name="_Toc25653822"/>
      <w:bookmarkStart w:id="1596" w:name="_Toc25648321"/>
      <w:r>
        <w:rPr>
          <w:shd w:val="clear" w:color="auto" w:fill="FFFFFF"/>
        </w:rPr>
        <w:t>十四、农村管理</w:t>
      </w:r>
      <w:bookmarkEnd w:id="1594"/>
      <w:bookmarkEnd w:id="1595"/>
      <w:bookmarkEnd w:id="1596"/>
    </w:p>
    <w:p>
      <w:pPr>
        <w:topLinePunct/>
        <w:spacing w:beforeLines="0" w:afterLines="0" w:line="416" w:lineRule="exact"/>
        <w:ind w:firstLine="480" w:firstLineChars="200"/>
        <w:rPr>
          <w:rFonts w:cs="Times New Roman" w:asciiTheme="minorEastAsia" w:hAnsiTheme="minorEastAsia"/>
          <w:sz w:val="24"/>
          <w:szCs w:val="24"/>
          <w:shd w:val="clear" w:color="auto" w:fill="FFFFFF"/>
        </w:rPr>
      </w:pPr>
    </w:p>
    <w:p>
      <w:pPr>
        <w:widowControl/>
        <w:spacing w:before="156" w:after="156"/>
        <w:ind w:firstLine="240"/>
        <w:rPr>
          <w:rFonts w:cs="Times New Roman" w:asciiTheme="minorEastAsia" w:hAnsiTheme="minorEastAsia"/>
          <w:sz w:val="24"/>
          <w:szCs w:val="24"/>
          <w:shd w:val="clear" w:color="auto" w:fill="FFFFFF"/>
        </w:rPr>
      </w:pPr>
      <w:r>
        <w:rPr>
          <w:rFonts w:cs="Times New Roman" w:asciiTheme="minorEastAsia" w:hAnsiTheme="minorEastAsia"/>
          <w:sz w:val="24"/>
          <w:szCs w:val="24"/>
          <w:shd w:val="clear" w:color="auto" w:fill="FFFFFF"/>
        </w:rPr>
        <w:br w:type="page"/>
      </w:r>
    </w:p>
    <w:p>
      <w:pPr>
        <w:topLinePunct/>
        <w:spacing w:beforeLines="0" w:afterLines="0" w:line="416" w:lineRule="exact"/>
        <w:ind w:firstLine="480" w:firstLineChars="200"/>
        <w:rPr>
          <w:rFonts w:cs="Times New Roman" w:asciiTheme="minorEastAsia" w:hAnsiTheme="minorEastAsia"/>
          <w:sz w:val="24"/>
          <w:szCs w:val="24"/>
          <w:shd w:val="clear" w:color="auto" w:fill="FFFFFF"/>
        </w:rPr>
      </w:pPr>
    </w:p>
    <w:p>
      <w:pPr>
        <w:topLinePunct/>
        <w:spacing w:beforeLines="0" w:afterLines="0" w:line="416" w:lineRule="exact"/>
        <w:ind w:firstLine="480" w:firstLineChars="200"/>
        <w:rPr>
          <w:rFonts w:cs="Times New Roman" w:asciiTheme="minorEastAsia" w:hAnsiTheme="minorEastAsia"/>
          <w:b/>
          <w:bCs/>
          <w:kern w:val="0"/>
          <w:sz w:val="24"/>
          <w:szCs w:val="24"/>
          <w:shd w:val="clear" w:color="auto" w:fill="FFFFFF"/>
        </w:rPr>
      </w:pPr>
      <w:r>
        <w:rPr>
          <w:rFonts w:cs="Times New Roman" w:asciiTheme="minorEastAsia" w:hAnsiTheme="minorEastAsia"/>
          <w:sz w:val="24"/>
          <w:szCs w:val="24"/>
          <w:shd w:val="clear" w:color="auto" w:fill="FFFFFF"/>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shd w:val="clear" w:color="auto" w:fill="FFFFFF"/>
        </w:rPr>
      </w:pPr>
    </w:p>
    <w:p>
      <w:pPr>
        <w:pStyle w:val="61"/>
      </w:pPr>
      <w:bookmarkStart w:id="1597" w:name="_Toc25653823"/>
      <w:bookmarkStart w:id="1598" w:name="_Toc28252309"/>
      <w:bookmarkStart w:id="1599" w:name="_Toc28251026"/>
      <w:bookmarkStart w:id="1600" w:name="_Toc28157098"/>
      <w:bookmarkStart w:id="1601" w:name="_Toc26348076"/>
      <w:bookmarkStart w:id="1602" w:name="_Toc25648322"/>
      <w:r>
        <w:rPr>
          <w:shd w:val="clear" w:color="auto" w:fill="FFFFFF"/>
        </w:rPr>
        <w:t>中国共产党农村工作条例</w:t>
      </w:r>
      <w:bookmarkEnd w:id="1597"/>
      <w:bookmarkEnd w:id="1598"/>
      <w:bookmarkEnd w:id="1599"/>
      <w:bookmarkEnd w:id="1600"/>
      <w:bookmarkEnd w:id="1601"/>
      <w:bookmarkEnd w:id="1602"/>
    </w:p>
    <w:p>
      <w:pPr>
        <w:pStyle w:val="63"/>
        <w:spacing w:before="218" w:after="218" w:line="412" w:lineRule="exact"/>
        <w:rPr>
          <w:kern w:val="0"/>
        </w:rPr>
      </w:pPr>
      <w:r>
        <w:rPr>
          <w:kern w:val="0"/>
        </w:rPr>
        <w:t>第一章  总则</w:t>
      </w:r>
      <w:r>
        <w:rPr>
          <w:rFonts w:hint="eastAsia"/>
          <w:kern w:val="0"/>
        </w:rPr>
        <w:t xml:space="preserve">  </w:t>
      </w:r>
    </w:p>
    <w:p>
      <w:pPr>
        <w:pStyle w:val="3"/>
        <w:topLinePunct/>
        <w:spacing w:line="412" w:lineRule="exact"/>
        <w:ind w:firstLine="482"/>
        <w:rPr>
          <w:kern w:val="0"/>
          <w:sz w:val="24"/>
          <w:szCs w:val="24"/>
        </w:rPr>
      </w:pPr>
      <w:r>
        <w:rPr>
          <w:b/>
          <w:kern w:val="0"/>
          <w:sz w:val="24"/>
          <w:szCs w:val="24"/>
        </w:rPr>
        <w:t>第一条</w:t>
      </w:r>
      <w:r>
        <w:rPr>
          <w:kern w:val="0"/>
          <w:sz w:val="24"/>
          <w:szCs w:val="24"/>
        </w:rPr>
        <w:t xml:space="preserve">  为了坚持和加强党对农村工作的全面领导，贯彻党的基本理论、基本路线、基本方略，深入实施乡村振兴战略，提高新时代党全面领导农村工作的能力和水平，根据《中国共产党章程》，制定本条例。</w:t>
      </w:r>
    </w:p>
    <w:p>
      <w:pPr>
        <w:pStyle w:val="3"/>
        <w:topLinePunct/>
        <w:spacing w:line="412" w:lineRule="exact"/>
        <w:ind w:firstLine="482"/>
        <w:rPr>
          <w:kern w:val="0"/>
          <w:sz w:val="24"/>
          <w:szCs w:val="24"/>
        </w:rPr>
      </w:pPr>
      <w:r>
        <w:rPr>
          <w:b/>
          <w:kern w:val="0"/>
          <w:sz w:val="24"/>
          <w:szCs w:val="24"/>
        </w:rPr>
        <w:t>第二条</w:t>
      </w:r>
      <w:r>
        <w:rPr>
          <w:kern w:val="0"/>
          <w:sz w:val="24"/>
          <w:szCs w:val="24"/>
        </w:rPr>
        <w:t xml:space="preserve">  党的农村工作必须高举中国特色社会主义伟大旗帜，坚持以马克思列宁主义、毛泽东思想、邓小平理论、“三个代表”重要思想、科学发展观、习近平新时代中国特色社会主义思想为指导，增强政治意识、大局意识、核心意识、看齐意识，坚定道路自信、理论自信、制度自信、文化自信，坚决维护习近平总书记党中央的核心、全党的核心地位，坚决维护党中央权威和集中统一领导，紧紧围绕统筹推进“五位一体”总体布局和协调推进“四个全面”战略布局，坚持稳中求进工作总基调，贯彻新发展理念，落实高质量发展要求，以实施乡村振兴战略为总抓手，健全党领导农村工作的组织体系、制度体系和工作机制，加快推进乡村治理体系和治理能力现代化，加快推进农业农村现代化，让广大农民过上更加美好的生活。</w:t>
      </w:r>
    </w:p>
    <w:p>
      <w:pPr>
        <w:pStyle w:val="3"/>
        <w:topLinePunct/>
        <w:spacing w:line="412" w:lineRule="exact"/>
        <w:ind w:firstLine="482"/>
        <w:rPr>
          <w:kern w:val="0"/>
          <w:sz w:val="24"/>
          <w:szCs w:val="24"/>
        </w:rPr>
      </w:pPr>
      <w:r>
        <w:rPr>
          <w:b/>
          <w:kern w:val="0"/>
          <w:sz w:val="24"/>
          <w:szCs w:val="24"/>
        </w:rPr>
        <w:t>第三条</w:t>
      </w:r>
      <w:r>
        <w:rPr>
          <w:kern w:val="0"/>
          <w:sz w:val="24"/>
          <w:szCs w:val="24"/>
        </w:rPr>
        <w:t xml:space="preserve">  农业农村农民（以下简称“三农”）问题是关系国计民生的根本性问题。坚持把解决好“三农”问题作为全党工作重中之重，把解决好吃饭问题作为治国安邦的头等大事，坚持农业农村优先发展，坚持多予少取放活，推动城乡融合发展，集中精力做好脱贫攻坚、防贫减贫工作，走共同富裕道路。</w:t>
      </w:r>
    </w:p>
    <w:p>
      <w:pPr>
        <w:pStyle w:val="3"/>
        <w:topLinePunct/>
        <w:spacing w:line="412" w:lineRule="exact"/>
        <w:ind w:firstLine="482"/>
        <w:rPr>
          <w:kern w:val="0"/>
          <w:sz w:val="24"/>
          <w:szCs w:val="24"/>
        </w:rPr>
      </w:pPr>
      <w:r>
        <w:rPr>
          <w:b/>
          <w:kern w:val="0"/>
          <w:sz w:val="24"/>
          <w:szCs w:val="24"/>
        </w:rPr>
        <w:t>第四条</w:t>
      </w:r>
      <w:r>
        <w:rPr>
          <w:kern w:val="0"/>
          <w:sz w:val="24"/>
          <w:szCs w:val="24"/>
        </w:rPr>
        <w:t xml:space="preserve">  党的农村工作必须遵循以下原则：</w:t>
      </w:r>
    </w:p>
    <w:p>
      <w:pPr>
        <w:pStyle w:val="3"/>
        <w:topLinePunct/>
        <w:spacing w:line="412" w:lineRule="exact"/>
        <w:ind w:firstLine="480"/>
        <w:rPr>
          <w:kern w:val="0"/>
          <w:sz w:val="24"/>
          <w:szCs w:val="24"/>
        </w:rPr>
      </w:pPr>
      <w:r>
        <w:rPr>
          <w:kern w:val="0"/>
          <w:sz w:val="24"/>
          <w:szCs w:val="24"/>
        </w:rPr>
        <w:t>（一）坚持党对农村工作的全面领导，确保党在农村工作中总揽全局、协调各方，保证农村改革发展沿着正确的方向前进；</w:t>
      </w:r>
    </w:p>
    <w:p>
      <w:pPr>
        <w:pStyle w:val="3"/>
        <w:topLinePunct/>
        <w:spacing w:line="412" w:lineRule="exact"/>
        <w:ind w:firstLine="480"/>
        <w:rPr>
          <w:kern w:val="0"/>
          <w:sz w:val="24"/>
          <w:szCs w:val="24"/>
        </w:rPr>
      </w:pPr>
      <w:r>
        <w:rPr>
          <w:kern w:val="0"/>
          <w:sz w:val="24"/>
          <w:szCs w:val="24"/>
        </w:rPr>
        <w:t>（二）坚持以人民为中心，尊重农民主体地位和首创精神，切实保障农民物质利益和民主权利，把农民拥护不拥护、支持不支持作为制定党的农村政策的依据；</w:t>
      </w:r>
    </w:p>
    <w:p>
      <w:pPr>
        <w:pStyle w:val="3"/>
        <w:topLinePunct/>
        <w:spacing w:line="412" w:lineRule="exact"/>
        <w:ind w:firstLine="480"/>
        <w:rPr>
          <w:kern w:val="0"/>
          <w:sz w:val="24"/>
          <w:szCs w:val="24"/>
        </w:rPr>
      </w:pPr>
      <w:r>
        <w:rPr>
          <w:kern w:val="0"/>
          <w:sz w:val="24"/>
          <w:szCs w:val="24"/>
        </w:rPr>
        <w:t>（三）坚持巩固和完善农村基本经营制度，夯实党的农村政策基石；</w:t>
      </w:r>
    </w:p>
    <w:p>
      <w:pPr>
        <w:pStyle w:val="3"/>
        <w:topLinePunct/>
        <w:spacing w:line="412" w:lineRule="exact"/>
        <w:ind w:firstLine="480"/>
        <w:rPr>
          <w:kern w:val="0"/>
          <w:sz w:val="24"/>
          <w:szCs w:val="24"/>
        </w:rPr>
      </w:pPr>
      <w:r>
        <w:rPr>
          <w:kern w:val="0"/>
          <w:sz w:val="24"/>
          <w:szCs w:val="24"/>
        </w:rPr>
        <w:t>（四）坚持走中国特色社会主义乡村振兴道路，推进乡村产业振兴、人才振兴、文化振兴、生态振兴、组织振兴；</w:t>
      </w:r>
    </w:p>
    <w:p>
      <w:pPr>
        <w:pStyle w:val="3"/>
        <w:topLinePunct/>
        <w:spacing w:line="412" w:lineRule="exact"/>
        <w:ind w:firstLine="480"/>
        <w:rPr>
          <w:kern w:val="0"/>
          <w:sz w:val="24"/>
          <w:szCs w:val="24"/>
        </w:rPr>
      </w:pPr>
      <w:r>
        <w:rPr>
          <w:kern w:val="0"/>
          <w:sz w:val="24"/>
          <w:szCs w:val="24"/>
        </w:rPr>
        <w:t>（五）坚持教育引导农民听党话、感党恩、跟党走，把农民群众紧紧团结在党的周围，筑牢党在农村的执政基础；</w:t>
      </w:r>
    </w:p>
    <w:p>
      <w:pPr>
        <w:pStyle w:val="3"/>
        <w:topLinePunct/>
        <w:spacing w:line="412" w:lineRule="exact"/>
        <w:ind w:firstLine="480"/>
        <w:rPr>
          <w:kern w:val="0"/>
          <w:sz w:val="24"/>
          <w:szCs w:val="24"/>
        </w:rPr>
      </w:pPr>
      <w:r>
        <w:rPr>
          <w:kern w:val="0"/>
          <w:sz w:val="24"/>
          <w:szCs w:val="24"/>
        </w:rPr>
        <w:t>（六）坚持一切从实际出发，分类指导、循序渐进，不搞强迫命令、不刮风、不一刀切。</w:t>
      </w:r>
    </w:p>
    <w:p>
      <w:pPr>
        <w:pStyle w:val="63"/>
        <w:spacing w:before="218" w:after="218" w:line="412" w:lineRule="exact"/>
        <w:rPr>
          <w:kern w:val="0"/>
        </w:rPr>
      </w:pPr>
      <w:r>
        <w:rPr>
          <w:kern w:val="0"/>
        </w:rPr>
        <w:t>第二章  组织领导</w:t>
      </w:r>
    </w:p>
    <w:p>
      <w:pPr>
        <w:pStyle w:val="3"/>
        <w:topLinePunct/>
        <w:spacing w:line="416" w:lineRule="exact"/>
        <w:ind w:firstLine="482"/>
        <w:rPr>
          <w:kern w:val="0"/>
          <w:sz w:val="24"/>
          <w:szCs w:val="24"/>
        </w:rPr>
      </w:pPr>
      <w:r>
        <w:rPr>
          <w:b/>
          <w:kern w:val="0"/>
          <w:sz w:val="24"/>
          <w:szCs w:val="24"/>
        </w:rPr>
        <w:t>第五条</w:t>
      </w:r>
      <w:r>
        <w:rPr>
          <w:kern w:val="0"/>
          <w:sz w:val="24"/>
          <w:szCs w:val="24"/>
        </w:rPr>
        <w:t xml:space="preserve">  实行中央统筹、省负总责、市县乡抓落实的农村工作领导体制。</w:t>
      </w:r>
    </w:p>
    <w:p>
      <w:pPr>
        <w:pStyle w:val="3"/>
        <w:topLinePunct/>
        <w:spacing w:line="416" w:lineRule="exact"/>
        <w:ind w:firstLine="482"/>
        <w:rPr>
          <w:kern w:val="0"/>
          <w:sz w:val="24"/>
          <w:szCs w:val="24"/>
        </w:rPr>
      </w:pPr>
      <w:r>
        <w:rPr>
          <w:b/>
          <w:kern w:val="0"/>
          <w:sz w:val="24"/>
          <w:szCs w:val="24"/>
        </w:rPr>
        <w:t>第六条</w:t>
      </w:r>
      <w:r>
        <w:rPr>
          <w:kern w:val="0"/>
          <w:sz w:val="24"/>
          <w:szCs w:val="24"/>
        </w:rPr>
        <w:t xml:space="preserve">  党中央全面领导农村工作，统一制定农村工作大政方针，统一谋划农村发展重大战略，统一部署农村重大改革。党中央定期研究农村工作，每年召开农村工作会议，根据形势任务研究部署农村工作，制定出台指导农村工作的文件。</w:t>
      </w:r>
    </w:p>
    <w:p>
      <w:pPr>
        <w:pStyle w:val="3"/>
        <w:topLinePunct/>
        <w:spacing w:line="416" w:lineRule="exact"/>
        <w:ind w:firstLine="482"/>
        <w:rPr>
          <w:kern w:val="0"/>
          <w:sz w:val="24"/>
          <w:szCs w:val="24"/>
        </w:rPr>
      </w:pPr>
      <w:r>
        <w:rPr>
          <w:b/>
          <w:kern w:val="0"/>
          <w:sz w:val="24"/>
          <w:szCs w:val="24"/>
        </w:rPr>
        <w:t>第七条</w:t>
      </w:r>
      <w:r>
        <w:rPr>
          <w:kern w:val="0"/>
          <w:sz w:val="24"/>
          <w:szCs w:val="24"/>
        </w:rPr>
        <w:t xml:space="preserve">  党中央设立中央农村工作领导小组，在中央政治局及其常务委员会的领导下开展工作，对党中央负责，向党中央和总书记请示报告工作。</w:t>
      </w:r>
    </w:p>
    <w:p>
      <w:pPr>
        <w:pStyle w:val="3"/>
        <w:topLinePunct/>
        <w:spacing w:line="416" w:lineRule="exact"/>
        <w:ind w:firstLine="480"/>
        <w:rPr>
          <w:kern w:val="0"/>
          <w:sz w:val="24"/>
          <w:szCs w:val="24"/>
        </w:rPr>
      </w:pPr>
      <w:r>
        <w:rPr>
          <w:kern w:val="0"/>
          <w:sz w:val="24"/>
          <w:szCs w:val="24"/>
        </w:rPr>
        <w:t>中央农</w:t>
      </w:r>
      <w:r>
        <w:rPr>
          <w:spacing w:val="-4"/>
          <w:kern w:val="0"/>
          <w:sz w:val="24"/>
          <w:szCs w:val="24"/>
        </w:rPr>
        <w:t>村工作领导小组发挥农村工作牵头抓总、统筹协调等作用，定期分析农村经济社会形势，研究协调“三农”重大问题，督促落实党中央关于农村工作重要决策部署。</w:t>
      </w:r>
    </w:p>
    <w:p>
      <w:pPr>
        <w:pStyle w:val="3"/>
        <w:topLinePunct/>
        <w:spacing w:line="416" w:lineRule="exact"/>
        <w:ind w:firstLine="480"/>
        <w:rPr>
          <w:kern w:val="0"/>
          <w:sz w:val="24"/>
          <w:szCs w:val="24"/>
        </w:rPr>
      </w:pPr>
      <w:r>
        <w:rPr>
          <w:kern w:val="0"/>
          <w:sz w:val="24"/>
          <w:szCs w:val="24"/>
        </w:rPr>
        <w:t>中央农村工作领导小组各成员单位应当加强对本单位本系统农村工作的领导，落实职责任务，加强部门协同，形成农村工作合力。</w:t>
      </w:r>
    </w:p>
    <w:p>
      <w:pPr>
        <w:pStyle w:val="3"/>
        <w:topLinePunct/>
        <w:spacing w:line="416" w:lineRule="exact"/>
        <w:ind w:firstLine="480"/>
        <w:rPr>
          <w:kern w:val="0"/>
          <w:sz w:val="24"/>
          <w:szCs w:val="24"/>
        </w:rPr>
      </w:pPr>
      <w:r>
        <w:rPr>
          <w:kern w:val="0"/>
          <w:sz w:val="24"/>
          <w:szCs w:val="24"/>
        </w:rPr>
        <w:t>中央农村工作领导小组下设办公室，承担中央农村工作领导小组日常事务。</w:t>
      </w:r>
    </w:p>
    <w:p>
      <w:pPr>
        <w:pStyle w:val="3"/>
        <w:topLinePunct/>
        <w:spacing w:line="416" w:lineRule="exact"/>
        <w:ind w:firstLine="482"/>
        <w:rPr>
          <w:kern w:val="0"/>
          <w:sz w:val="24"/>
          <w:szCs w:val="24"/>
        </w:rPr>
      </w:pPr>
      <w:r>
        <w:rPr>
          <w:b/>
          <w:kern w:val="0"/>
          <w:sz w:val="24"/>
          <w:szCs w:val="24"/>
        </w:rPr>
        <w:t>第八条</w:t>
      </w:r>
      <w:r>
        <w:rPr>
          <w:kern w:val="0"/>
          <w:sz w:val="24"/>
          <w:szCs w:val="24"/>
        </w:rPr>
        <w:t xml:space="preserve">  省（自治区、直辖市）党委应当定期研究本地区农村工作，定期听取农村工作汇报，决策农村工作重大事项，召开农村工作会议，制定出台农村工作政策举措，抓好重点任务分工、重大项目实施、重要资源配置等工作。</w:t>
      </w:r>
    </w:p>
    <w:p>
      <w:pPr>
        <w:pStyle w:val="3"/>
        <w:topLinePunct/>
        <w:spacing w:line="416" w:lineRule="exact"/>
        <w:ind w:firstLine="482"/>
        <w:rPr>
          <w:kern w:val="0"/>
          <w:sz w:val="24"/>
          <w:szCs w:val="24"/>
        </w:rPr>
      </w:pPr>
      <w:r>
        <w:rPr>
          <w:b/>
          <w:kern w:val="0"/>
          <w:sz w:val="24"/>
          <w:szCs w:val="24"/>
        </w:rPr>
        <w:t>第九条</w:t>
      </w:r>
      <w:r>
        <w:rPr>
          <w:kern w:val="0"/>
          <w:sz w:val="24"/>
          <w:szCs w:val="24"/>
        </w:rPr>
        <w:t xml:space="preserve">  市（地、州、盟）党委应当把农村工作摆上重要议事日程，做好上下衔接、域内协调、督促检查工作，发挥好以市带县作用。</w:t>
      </w:r>
    </w:p>
    <w:p>
      <w:pPr>
        <w:pStyle w:val="3"/>
        <w:topLinePunct/>
        <w:spacing w:line="416" w:lineRule="exact"/>
        <w:ind w:firstLine="482"/>
        <w:rPr>
          <w:kern w:val="0"/>
          <w:sz w:val="24"/>
          <w:szCs w:val="24"/>
        </w:rPr>
      </w:pPr>
      <w:r>
        <w:rPr>
          <w:b/>
          <w:kern w:val="0"/>
          <w:sz w:val="24"/>
          <w:szCs w:val="24"/>
        </w:rPr>
        <w:t>第十条</w:t>
      </w:r>
      <w:r>
        <w:rPr>
          <w:kern w:val="0"/>
          <w:sz w:val="24"/>
          <w:szCs w:val="24"/>
        </w:rPr>
        <w:t xml:space="preserve">  县（市、区、旗）党委处于党的农村工作前沿阵地，应当结合本地区实际，制定具体管用的工作措施，建立健全职责清晰的责任体系，贯彻落实党中央以及上级党委关于农村工作的要求和决策部署。县委书记应当把主要精力放在农村工作上，深入基层调查研究，加强统筹谋划，狠抓工作落实。</w:t>
      </w:r>
    </w:p>
    <w:p>
      <w:pPr>
        <w:pStyle w:val="3"/>
        <w:topLinePunct/>
        <w:spacing w:line="416" w:lineRule="exact"/>
        <w:ind w:firstLine="482"/>
        <w:rPr>
          <w:kern w:val="0"/>
          <w:sz w:val="24"/>
          <w:szCs w:val="24"/>
        </w:rPr>
      </w:pPr>
      <w:r>
        <w:rPr>
          <w:b/>
          <w:kern w:val="0"/>
          <w:sz w:val="24"/>
          <w:szCs w:val="24"/>
        </w:rPr>
        <w:t>第十一条</w:t>
      </w:r>
      <w:r>
        <w:rPr>
          <w:kern w:val="0"/>
          <w:sz w:val="24"/>
          <w:szCs w:val="24"/>
        </w:rPr>
        <w:t xml:space="preserve">  县级以上地方党委应当设立农村工作领导小组，省市级农村工作领导小组一般由同级党委副书记任组长，县级农村工作领导小组由县委书记任组长，其成员由党委和政府有关负责人以及相关部门主要负责人组成。</w:t>
      </w:r>
    </w:p>
    <w:p>
      <w:pPr>
        <w:pStyle w:val="3"/>
        <w:topLinePunct/>
        <w:spacing w:line="416" w:lineRule="exact"/>
        <w:ind w:firstLine="482"/>
        <w:rPr>
          <w:kern w:val="0"/>
          <w:sz w:val="24"/>
          <w:szCs w:val="24"/>
        </w:rPr>
      </w:pPr>
      <w:r>
        <w:rPr>
          <w:b/>
          <w:kern w:val="0"/>
          <w:sz w:val="24"/>
          <w:szCs w:val="24"/>
        </w:rPr>
        <w:t>第十二条</w:t>
      </w:r>
      <w:r>
        <w:rPr>
          <w:kern w:val="0"/>
          <w:sz w:val="24"/>
          <w:szCs w:val="24"/>
        </w:rPr>
        <w:t xml:space="preserve">  加强各级党委农村工作部门建设，做好机构设置和人员配置工作。各级党委农村工作部门履行决策参谋、统筹协调、政策指导、推动落实、督导检查等职能。</w:t>
      </w:r>
    </w:p>
    <w:p>
      <w:pPr>
        <w:pStyle w:val="3"/>
        <w:topLinePunct/>
        <w:spacing w:line="416" w:lineRule="exact"/>
        <w:ind w:firstLine="482"/>
        <w:rPr>
          <w:kern w:val="0"/>
          <w:sz w:val="24"/>
          <w:szCs w:val="24"/>
        </w:rPr>
      </w:pPr>
      <w:r>
        <w:rPr>
          <w:b/>
          <w:kern w:val="0"/>
          <w:sz w:val="24"/>
          <w:szCs w:val="24"/>
        </w:rPr>
        <w:t>第十三条</w:t>
      </w:r>
      <w:r>
        <w:rPr>
          <w:kern w:val="0"/>
          <w:sz w:val="24"/>
          <w:szCs w:val="24"/>
        </w:rPr>
        <w:t xml:space="preserve">  各级党委应当完善农村工作领导决策机制，注重发挥人大代表和政协委员作用，注重发挥智库和专业研究机构作用，提高决策科学化水平。</w:t>
      </w:r>
    </w:p>
    <w:p>
      <w:pPr>
        <w:pStyle w:val="63"/>
        <w:spacing w:before="218" w:after="218" w:line="412" w:lineRule="exact"/>
        <w:rPr>
          <w:kern w:val="0"/>
        </w:rPr>
      </w:pPr>
      <w:r>
        <w:rPr>
          <w:kern w:val="0"/>
        </w:rPr>
        <w:t>第三章  主要任务</w:t>
      </w:r>
    </w:p>
    <w:p>
      <w:pPr>
        <w:pStyle w:val="3"/>
        <w:topLinePunct/>
        <w:spacing w:line="412" w:lineRule="exact"/>
        <w:ind w:firstLine="482"/>
        <w:rPr>
          <w:kern w:val="0"/>
          <w:sz w:val="24"/>
          <w:szCs w:val="24"/>
        </w:rPr>
      </w:pPr>
      <w:r>
        <w:rPr>
          <w:b/>
          <w:kern w:val="0"/>
          <w:sz w:val="24"/>
          <w:szCs w:val="24"/>
        </w:rPr>
        <w:t>第十四条</w:t>
      </w:r>
      <w:r>
        <w:rPr>
          <w:kern w:val="0"/>
          <w:sz w:val="24"/>
          <w:szCs w:val="24"/>
        </w:rPr>
        <w:t xml:space="preserve">  加强党对农村经济建设的领导。巩固和加强农业基础地位，实施藏粮于地、藏粮于技战略，严守耕地红线，确保谷物基本自给、口粮绝对安全。深化农业供给侧结构性改革，构建现代农业产业体系、生产体系、经营体系，促进农村一二三产业融合发展，发展壮大农村集体经济，促进农民持续增收致富。坚决打赢脱贫攻坚战，巩固和扩大脱贫攻坚成果。</w:t>
      </w:r>
    </w:p>
    <w:p>
      <w:pPr>
        <w:pStyle w:val="3"/>
        <w:topLinePunct/>
        <w:spacing w:line="412" w:lineRule="exact"/>
        <w:ind w:firstLine="482"/>
        <w:rPr>
          <w:kern w:val="0"/>
          <w:sz w:val="24"/>
          <w:szCs w:val="24"/>
        </w:rPr>
      </w:pPr>
      <w:r>
        <w:rPr>
          <w:b/>
          <w:kern w:val="0"/>
          <w:sz w:val="24"/>
          <w:szCs w:val="24"/>
        </w:rPr>
        <w:t>第十五条</w:t>
      </w:r>
      <w:r>
        <w:rPr>
          <w:kern w:val="0"/>
          <w:sz w:val="24"/>
          <w:szCs w:val="24"/>
        </w:rPr>
        <w:t xml:space="preserve">  加强党对农村社会主义民主政治建设的领导。完善基层民主制度，深化村民自治实践，健全村党组织领导的充满活力的村民自治机制，丰富基层民主协商形式，保证农民依法实行民主选举、民主协商、民主决策、民主管理、民主监督。严厉打击农村黑恶势力、宗族恶势力，严厉打击各类违法犯罪，严厉打击暴力恐怖活动，保障人民生命财产安全，促进农村社会公平正义。坚决取缔各类非法宗教传播活动，巩固农村基层政权。</w:t>
      </w:r>
    </w:p>
    <w:p>
      <w:pPr>
        <w:pStyle w:val="3"/>
        <w:topLinePunct/>
        <w:spacing w:line="412" w:lineRule="exact"/>
        <w:ind w:firstLine="482"/>
        <w:rPr>
          <w:kern w:val="0"/>
          <w:sz w:val="24"/>
          <w:szCs w:val="24"/>
        </w:rPr>
      </w:pPr>
      <w:r>
        <w:rPr>
          <w:b/>
          <w:kern w:val="0"/>
          <w:sz w:val="24"/>
          <w:szCs w:val="24"/>
        </w:rPr>
        <w:t>第十六条</w:t>
      </w:r>
      <w:r>
        <w:rPr>
          <w:kern w:val="0"/>
          <w:sz w:val="24"/>
          <w:szCs w:val="24"/>
        </w:rPr>
        <w:t xml:space="preserve">  加强党对农村社会主义精神文明建设的领导。培育和践行社会主义核心价值观，在农民群众中深入开展中国特色社会主义、习近平新时代中国特色社会主义思想宣传教育，建好用好新时代文明实践中心。加强农村思想道德建设，传承发展提升农村优秀传统文化，推进移风易俗。加强农村思想政治工作，广泛开展民主法治教育。深入开展农村群众性精神文明创建活动，丰富农民精神文化生活，提高农民科学文化素质和乡村社会文明程度。</w:t>
      </w:r>
    </w:p>
    <w:p>
      <w:pPr>
        <w:pStyle w:val="3"/>
        <w:topLinePunct/>
        <w:spacing w:line="412" w:lineRule="exact"/>
        <w:ind w:firstLine="482"/>
        <w:rPr>
          <w:kern w:val="0"/>
          <w:sz w:val="24"/>
          <w:szCs w:val="24"/>
        </w:rPr>
      </w:pPr>
      <w:r>
        <w:rPr>
          <w:b/>
          <w:kern w:val="0"/>
          <w:sz w:val="24"/>
          <w:szCs w:val="24"/>
        </w:rPr>
        <w:t>第十七条</w:t>
      </w:r>
      <w:r>
        <w:rPr>
          <w:kern w:val="0"/>
          <w:sz w:val="24"/>
          <w:szCs w:val="24"/>
        </w:rPr>
        <w:t xml:space="preserve">  加强党对农村社会建设的领导。坚持保障和改善农村民生，大力发展教育、医疗卫生、养老、文化体育、社会保障等农村社会事业，加快改善农村公共基础设施和基本公共服务条件，提升农民生活质量。建立健全党委领导、政府负责、社会协同、公众参与、法治保障、科技支撑的现代乡村社会治理体制，健全党组织领导下的自治、法治、德治相结合的乡村治理体系，建设充满活力、和谐有序的乡村社会。</w:t>
      </w:r>
    </w:p>
    <w:p>
      <w:pPr>
        <w:pStyle w:val="3"/>
        <w:topLinePunct/>
        <w:spacing w:line="412" w:lineRule="exact"/>
        <w:ind w:firstLine="482"/>
        <w:rPr>
          <w:kern w:val="0"/>
          <w:sz w:val="24"/>
          <w:szCs w:val="24"/>
        </w:rPr>
      </w:pPr>
      <w:r>
        <w:rPr>
          <w:b/>
          <w:kern w:val="0"/>
          <w:sz w:val="24"/>
          <w:szCs w:val="24"/>
        </w:rPr>
        <w:t>第十八条</w:t>
      </w:r>
      <w:r>
        <w:rPr>
          <w:kern w:val="0"/>
          <w:sz w:val="24"/>
          <w:szCs w:val="24"/>
        </w:rPr>
        <w:t xml:space="preserve">  加强党对农村生态文明建设的领导。牢固树立和践行绿水青山就是金山银山的发展理念，统筹山水林田湖草系统治理，促进农业绿色发展，加强农村生态环境保护，改善农村人居环境，建设生态宜居美丽乡村。</w:t>
      </w:r>
    </w:p>
    <w:p>
      <w:pPr>
        <w:pStyle w:val="3"/>
        <w:topLinePunct/>
        <w:spacing w:line="412" w:lineRule="exact"/>
        <w:ind w:firstLine="482"/>
        <w:rPr>
          <w:kern w:val="0"/>
          <w:sz w:val="24"/>
          <w:szCs w:val="24"/>
        </w:rPr>
      </w:pPr>
      <w:r>
        <w:rPr>
          <w:b/>
          <w:kern w:val="0"/>
          <w:sz w:val="24"/>
          <w:szCs w:val="24"/>
        </w:rPr>
        <w:t>第十九条</w:t>
      </w:r>
      <w:r>
        <w:rPr>
          <w:kern w:val="0"/>
          <w:sz w:val="24"/>
          <w:szCs w:val="24"/>
        </w:rPr>
        <w:t xml:space="preserve">  加强农村党的建设。以提升组织力为重点，突出政治功能，把农村基层党组织建设成为宣传党的主张、贯彻党的决定、领导基层治理、团结动员群众、推动改革发展的坚强战斗堡垒，发挥党员先锋模范作用。坚持农村基层党组织领导地位不动摇，乡镇党委和村党组织全面领导乡镇、村的各类组织和各项工作。村党组织书记应当通过法定程序担任村民委员会主任和村级集体经济组织、合作经济组织负责人，推行村“两委”班子成员交叉任职。加强村党组织对共青团、妇联等群团组织的领导，发挥它们的积极作用。健全村党组织领导下的议事决策机制、监督机制，建立健全村务监督委员会，村级重大事项决策实行“四议两公开”。各级党委特别是县级党委应当认真履行农村基层党建主体责任，坚持抓乡促村，选优配强村党组织书记，整顿软弱涣散村党组织，加强党内激励关怀帮扶，健全以财政投入为主的稳定的村级组织运转经费保障制度，持续加强基本队伍、基本活动、基本阵地、基本制度、基本保障建设。</w:t>
      </w:r>
    </w:p>
    <w:p>
      <w:pPr>
        <w:pStyle w:val="3"/>
        <w:topLinePunct/>
        <w:spacing w:line="412" w:lineRule="exact"/>
        <w:ind w:firstLine="480"/>
        <w:rPr>
          <w:kern w:val="0"/>
          <w:sz w:val="24"/>
          <w:szCs w:val="24"/>
        </w:rPr>
      </w:pPr>
      <w:r>
        <w:rPr>
          <w:kern w:val="0"/>
          <w:sz w:val="24"/>
          <w:szCs w:val="24"/>
        </w:rPr>
        <w:t>各级党委应当推动全面从严治党向基层延伸，深入推进农村党风廉政建设，加强农村纪检监察工作，把落实农村政策情况作为巡视巡察重要内容，建立健全农村权力运行监督制度，持续整治侵害农民利益的不正之风和群众身边的腐败问题。</w:t>
      </w:r>
    </w:p>
    <w:p>
      <w:pPr>
        <w:pStyle w:val="63"/>
        <w:spacing w:before="218" w:after="218" w:line="412" w:lineRule="exact"/>
        <w:rPr>
          <w:kern w:val="0"/>
        </w:rPr>
      </w:pPr>
      <w:r>
        <w:rPr>
          <w:kern w:val="0"/>
        </w:rPr>
        <w:t>第四章  队伍建设</w:t>
      </w:r>
    </w:p>
    <w:p>
      <w:pPr>
        <w:pStyle w:val="3"/>
        <w:topLinePunct/>
        <w:spacing w:line="412" w:lineRule="exact"/>
        <w:ind w:firstLine="482"/>
        <w:rPr>
          <w:kern w:val="0"/>
          <w:sz w:val="24"/>
          <w:szCs w:val="24"/>
        </w:rPr>
      </w:pPr>
      <w:r>
        <w:rPr>
          <w:b/>
          <w:kern w:val="0"/>
          <w:sz w:val="24"/>
          <w:szCs w:val="24"/>
        </w:rPr>
        <w:t>第二十条</w:t>
      </w:r>
      <w:r>
        <w:rPr>
          <w:kern w:val="0"/>
          <w:sz w:val="24"/>
          <w:szCs w:val="24"/>
        </w:rPr>
        <w:t xml:space="preserve">  各级党委应当把懂农业、爱农村、爱农民作为基本要求，加强农村工作队伍建设。</w:t>
      </w:r>
    </w:p>
    <w:p>
      <w:pPr>
        <w:pStyle w:val="3"/>
        <w:topLinePunct/>
        <w:spacing w:line="412" w:lineRule="exact"/>
        <w:ind w:firstLine="480"/>
        <w:rPr>
          <w:kern w:val="0"/>
          <w:sz w:val="24"/>
          <w:szCs w:val="24"/>
        </w:rPr>
      </w:pPr>
      <w:r>
        <w:rPr>
          <w:kern w:val="0"/>
          <w:sz w:val="24"/>
          <w:szCs w:val="24"/>
        </w:rPr>
        <w:t>各级党委和政府主要负责人应当懂“三农”、会抓“三农”，分管负责人应当成为抓“三农”的行家里手。加强农村工作干部队伍的培养、配备、管理、使用，健全培养锻炼制度，选派优秀干部到县乡挂职任职、到村担任第一书记，把到农村一线工作锻炼、干事创业作为培养干部的重要途径，注重提拔使用实绩优秀的农村工作干部。</w:t>
      </w:r>
    </w:p>
    <w:p>
      <w:pPr>
        <w:pStyle w:val="3"/>
        <w:topLinePunct/>
        <w:spacing w:line="412" w:lineRule="exact"/>
        <w:ind w:firstLine="480"/>
        <w:rPr>
          <w:kern w:val="0"/>
          <w:sz w:val="24"/>
          <w:szCs w:val="24"/>
        </w:rPr>
      </w:pPr>
      <w:r>
        <w:rPr>
          <w:kern w:val="0"/>
          <w:sz w:val="24"/>
          <w:szCs w:val="24"/>
        </w:rPr>
        <w:t>农村工作干部应当增强做群众工作的本领，改进工作作风，深入基层，认真倾听农民群众呼声，不断增进与农民群众的感情，坚决反对“四风”特别是形式主义、官僚主义。</w:t>
      </w:r>
    </w:p>
    <w:p>
      <w:pPr>
        <w:pStyle w:val="3"/>
        <w:topLinePunct/>
        <w:spacing w:line="412" w:lineRule="exact"/>
        <w:ind w:firstLine="482"/>
        <w:rPr>
          <w:kern w:val="0"/>
          <w:sz w:val="24"/>
          <w:szCs w:val="24"/>
        </w:rPr>
      </w:pPr>
      <w:r>
        <w:rPr>
          <w:b/>
          <w:kern w:val="0"/>
          <w:sz w:val="24"/>
          <w:szCs w:val="24"/>
        </w:rPr>
        <w:t>第二十一条</w:t>
      </w:r>
      <w:r>
        <w:rPr>
          <w:kern w:val="0"/>
          <w:sz w:val="24"/>
          <w:szCs w:val="24"/>
        </w:rPr>
        <w:t xml:space="preserve">  各级党委应当加强农村人才队伍建设。建立县域专业人才统筹使用制度和农村人才定向委托培养制度。大力提高乡村教师、医生队伍素质。加强农业科技人才队伍和技术推广队伍建设。培养一支有文化、懂技术、善经营、会管理的高素质农民队伍，造就更多乡土人才。</w:t>
      </w:r>
    </w:p>
    <w:p>
      <w:pPr>
        <w:pStyle w:val="3"/>
        <w:topLinePunct/>
        <w:spacing w:line="412" w:lineRule="exact"/>
        <w:ind w:firstLine="482"/>
        <w:rPr>
          <w:kern w:val="0"/>
          <w:sz w:val="24"/>
          <w:szCs w:val="24"/>
        </w:rPr>
      </w:pPr>
      <w:r>
        <w:rPr>
          <w:b/>
          <w:kern w:val="0"/>
          <w:sz w:val="24"/>
          <w:szCs w:val="24"/>
        </w:rPr>
        <w:t>第二十二条</w:t>
      </w:r>
      <w:r>
        <w:rPr>
          <w:kern w:val="0"/>
          <w:sz w:val="24"/>
          <w:szCs w:val="24"/>
        </w:rPr>
        <w:t xml:space="preserve">  各级党委应当发挥工会、共青团、妇联、科协、残联、计生协等群团组织的优势和力量，发挥各民主党派、工商联、无党派人士等积极作用，支持引导农村社会工作和志愿服务发展，鼓励社会各界投身乡村振兴。</w:t>
      </w:r>
    </w:p>
    <w:p>
      <w:pPr>
        <w:pStyle w:val="63"/>
        <w:spacing w:before="218" w:after="218" w:line="412" w:lineRule="exact"/>
        <w:rPr>
          <w:kern w:val="0"/>
        </w:rPr>
      </w:pPr>
      <w:r>
        <w:rPr>
          <w:kern w:val="0"/>
        </w:rPr>
        <w:t>第五章  保障措施</w:t>
      </w:r>
    </w:p>
    <w:p>
      <w:pPr>
        <w:pStyle w:val="3"/>
        <w:topLinePunct/>
        <w:spacing w:line="412" w:lineRule="exact"/>
        <w:ind w:firstLine="482"/>
        <w:rPr>
          <w:kern w:val="0"/>
          <w:sz w:val="24"/>
          <w:szCs w:val="24"/>
        </w:rPr>
      </w:pPr>
      <w:r>
        <w:rPr>
          <w:b/>
          <w:kern w:val="0"/>
          <w:sz w:val="24"/>
          <w:szCs w:val="24"/>
        </w:rPr>
        <w:t>第二十三条</w:t>
      </w:r>
      <w:r>
        <w:rPr>
          <w:kern w:val="0"/>
          <w:sz w:val="24"/>
          <w:szCs w:val="24"/>
        </w:rPr>
        <w:t xml:space="preserve">  各级党委应当注重发挥改革对农业农村发展的推动作用。以处理好农民和土地的关系为主线推动深化农村改革，坚持农村土地农民集体所有，坚持家庭经营基础性地位，坚持保持土地承包关系稳定并长久不变，健全符合社会主义市场经济要求的农村经济体制，把实现好、维护好、发展好广大农民的根本利益作为出发点和落脚点，与时俱进推动“三农”理论创新、实践创新、制度创新，调动亿万农民的积极性、主动性、创造性，不断解放和发展农村社会生产力。</w:t>
      </w:r>
    </w:p>
    <w:p>
      <w:pPr>
        <w:pStyle w:val="3"/>
        <w:topLinePunct/>
        <w:spacing w:line="412" w:lineRule="exact"/>
        <w:ind w:firstLine="482"/>
        <w:rPr>
          <w:kern w:val="0"/>
          <w:sz w:val="24"/>
          <w:szCs w:val="24"/>
        </w:rPr>
      </w:pPr>
      <w:r>
        <w:rPr>
          <w:b/>
          <w:kern w:val="0"/>
          <w:sz w:val="24"/>
          <w:szCs w:val="24"/>
        </w:rPr>
        <w:t>第二十四条</w:t>
      </w:r>
      <w:r>
        <w:rPr>
          <w:kern w:val="0"/>
          <w:sz w:val="24"/>
          <w:szCs w:val="24"/>
        </w:rPr>
        <w:t xml:space="preserve">  各级党委应当注重发挥投入对农业农村发展的支撑作用。推动建立“三农”财政投入稳定增长机制，加大强农惠农富农政策力度，完善农业支持保护制度，健全商业性金融、合作性金融、政策性金融相结合的农村金融服务体系，拓宽资金筹措渠道，确保“三农”投入力度不断增强、总量持续增加。</w:t>
      </w:r>
    </w:p>
    <w:p>
      <w:pPr>
        <w:pStyle w:val="3"/>
        <w:topLinePunct/>
        <w:spacing w:line="412" w:lineRule="exact"/>
        <w:ind w:firstLine="482"/>
        <w:rPr>
          <w:kern w:val="0"/>
          <w:sz w:val="24"/>
          <w:szCs w:val="24"/>
        </w:rPr>
      </w:pPr>
      <w:r>
        <w:rPr>
          <w:b/>
          <w:kern w:val="0"/>
          <w:sz w:val="24"/>
          <w:szCs w:val="24"/>
        </w:rPr>
        <w:t>第二十五条</w:t>
      </w:r>
      <w:r>
        <w:rPr>
          <w:kern w:val="0"/>
          <w:sz w:val="24"/>
          <w:szCs w:val="24"/>
        </w:rPr>
        <w:t xml:space="preserve">  各级党委应当注重发挥科技教育对农业农村发展的引领作用。深入实施科教兴农战略，健全国家农业科技创新体系、现代农业教育体系、农业技术推广服务体系，把农业农村发展转到创新驱动发展的轨道上来。</w:t>
      </w:r>
    </w:p>
    <w:p>
      <w:pPr>
        <w:pStyle w:val="3"/>
        <w:topLinePunct/>
        <w:spacing w:line="412" w:lineRule="exact"/>
        <w:ind w:firstLine="482"/>
        <w:rPr>
          <w:kern w:val="0"/>
          <w:sz w:val="24"/>
          <w:szCs w:val="24"/>
        </w:rPr>
      </w:pPr>
      <w:r>
        <w:rPr>
          <w:b/>
          <w:kern w:val="0"/>
          <w:sz w:val="24"/>
          <w:szCs w:val="24"/>
        </w:rPr>
        <w:t>第二十六条</w:t>
      </w:r>
      <w:r>
        <w:rPr>
          <w:kern w:val="0"/>
          <w:sz w:val="24"/>
          <w:szCs w:val="24"/>
        </w:rPr>
        <w:t xml:space="preserve">  各级党委应当注重发挥乡村规划对农业农村发展的导向作用。坚持规划先行，突出乡村特色，保持乡村风貌，加强各类规划统筹管理和系统衔接，推动形成城乡融合、区域一体、多规合一的规划体系，科学有序推进乡村建设发展。</w:t>
      </w:r>
    </w:p>
    <w:p>
      <w:pPr>
        <w:pStyle w:val="3"/>
        <w:topLinePunct/>
        <w:spacing w:line="412" w:lineRule="exact"/>
        <w:ind w:firstLine="482"/>
        <w:rPr>
          <w:kern w:val="0"/>
          <w:sz w:val="24"/>
          <w:szCs w:val="24"/>
        </w:rPr>
      </w:pPr>
      <w:r>
        <w:rPr>
          <w:b/>
          <w:kern w:val="0"/>
          <w:sz w:val="24"/>
          <w:szCs w:val="24"/>
        </w:rPr>
        <w:t>第二十七条</w:t>
      </w:r>
      <w:r>
        <w:rPr>
          <w:kern w:val="0"/>
          <w:sz w:val="24"/>
          <w:szCs w:val="24"/>
        </w:rPr>
        <w:t xml:space="preserve">  各级党委应当注重发挥法治对农业农村发展的保障作用。坚持法治思维，增强法治观念，健全农业农村法律体系，加强农业综合执法，保障农民合法权益，自觉运用法治方式深化农村改革、促进农村发展、维护农村稳定，提高党领导农村工作法治化水平。</w:t>
      </w:r>
    </w:p>
    <w:p>
      <w:pPr>
        <w:pStyle w:val="63"/>
        <w:spacing w:before="218" w:after="218" w:line="412" w:lineRule="exact"/>
        <w:rPr>
          <w:kern w:val="0"/>
        </w:rPr>
      </w:pPr>
      <w:r>
        <w:rPr>
          <w:kern w:val="0"/>
        </w:rPr>
        <w:t>第六章  考核监督</w:t>
      </w:r>
    </w:p>
    <w:p>
      <w:pPr>
        <w:pStyle w:val="3"/>
        <w:topLinePunct/>
        <w:spacing w:line="412" w:lineRule="exact"/>
        <w:ind w:firstLine="482"/>
        <w:rPr>
          <w:kern w:val="0"/>
          <w:sz w:val="24"/>
          <w:szCs w:val="24"/>
        </w:rPr>
      </w:pPr>
      <w:r>
        <w:rPr>
          <w:b/>
          <w:kern w:val="0"/>
          <w:sz w:val="24"/>
          <w:szCs w:val="24"/>
        </w:rPr>
        <w:t>第二十八条</w:t>
      </w:r>
      <w:r>
        <w:rPr>
          <w:kern w:val="0"/>
          <w:sz w:val="24"/>
          <w:szCs w:val="24"/>
        </w:rPr>
        <w:t xml:space="preserve">  健全五级书记抓乡村振兴考核机制。地方各级党委和政府主要负责人、农村基层党组织书记是本地区乡村振兴工作第一责任人。上级党委和政府应当对下级党委和政府主要负责人、农村基层党组织书记履行第一责任人职责情况开展督查考核，并将考核结果作为干部选拔任用、评先奖优、问责追责的重要参考。</w:t>
      </w:r>
    </w:p>
    <w:p>
      <w:pPr>
        <w:pStyle w:val="3"/>
        <w:topLinePunct/>
        <w:spacing w:line="412" w:lineRule="exact"/>
        <w:ind w:firstLine="482"/>
        <w:rPr>
          <w:kern w:val="0"/>
          <w:sz w:val="24"/>
          <w:szCs w:val="24"/>
        </w:rPr>
      </w:pPr>
      <w:r>
        <w:rPr>
          <w:b/>
          <w:kern w:val="0"/>
          <w:sz w:val="24"/>
          <w:szCs w:val="24"/>
        </w:rPr>
        <w:t>第二十九条</w:t>
      </w:r>
      <w:r>
        <w:rPr>
          <w:kern w:val="0"/>
          <w:sz w:val="24"/>
          <w:szCs w:val="24"/>
        </w:rPr>
        <w:t xml:space="preserve">  各省（自治区、直辖市）党委和政府每年向党中央、国务院报告乡村振兴战略实施情况，省以下各级党委和政府每年向上级党委和政府报告乡村振兴战略实施情况。</w:t>
      </w:r>
    </w:p>
    <w:p>
      <w:pPr>
        <w:pStyle w:val="3"/>
        <w:topLinePunct/>
        <w:spacing w:line="412" w:lineRule="exact"/>
        <w:ind w:firstLine="482"/>
        <w:rPr>
          <w:kern w:val="0"/>
          <w:sz w:val="24"/>
          <w:szCs w:val="24"/>
        </w:rPr>
      </w:pPr>
      <w:r>
        <w:rPr>
          <w:b/>
          <w:kern w:val="0"/>
          <w:sz w:val="24"/>
          <w:szCs w:val="24"/>
        </w:rPr>
        <w:t>第三十条</w:t>
      </w:r>
      <w:r>
        <w:rPr>
          <w:kern w:val="0"/>
          <w:sz w:val="24"/>
          <w:szCs w:val="24"/>
        </w:rPr>
        <w:t xml:space="preserve">  实行市县党政领导班子和领导干部推进乡村振兴战略实绩考核制度，将抓好农村工作特别是推进乡村振兴战略实绩、贫困县精准脱贫成效作为政绩考核的重要内容，由上级党委统筹安排实施，考核结果作为对市县党政领导班子和有关领导干部综合考核评价的重要依据。</w:t>
      </w:r>
    </w:p>
    <w:p>
      <w:pPr>
        <w:pStyle w:val="3"/>
        <w:topLinePunct/>
        <w:spacing w:line="412" w:lineRule="exact"/>
        <w:ind w:firstLine="482"/>
        <w:rPr>
          <w:kern w:val="0"/>
          <w:sz w:val="24"/>
          <w:szCs w:val="24"/>
        </w:rPr>
      </w:pPr>
      <w:r>
        <w:rPr>
          <w:b/>
          <w:kern w:val="0"/>
          <w:sz w:val="24"/>
          <w:szCs w:val="24"/>
        </w:rPr>
        <w:t>第三十一条</w:t>
      </w:r>
      <w:r>
        <w:rPr>
          <w:kern w:val="0"/>
          <w:sz w:val="24"/>
          <w:szCs w:val="24"/>
        </w:rPr>
        <w:t xml:space="preserve">  地方各级党政领导班子和主要负责人不履行或者不正确履行农村工作职责的，应当依照有关党内法规和法律法规予以问责；对农村工作履职不力、工作滞后的，上级党委应当约谈下级党委，本级党委应当约谈同级有关部门。</w:t>
      </w:r>
    </w:p>
    <w:p>
      <w:pPr>
        <w:pStyle w:val="3"/>
        <w:topLinePunct/>
        <w:spacing w:line="412" w:lineRule="exact"/>
        <w:ind w:firstLine="482"/>
        <w:rPr>
          <w:kern w:val="0"/>
          <w:sz w:val="24"/>
          <w:szCs w:val="24"/>
        </w:rPr>
      </w:pPr>
      <w:r>
        <w:rPr>
          <w:b/>
          <w:kern w:val="0"/>
          <w:sz w:val="24"/>
          <w:szCs w:val="24"/>
        </w:rPr>
        <w:t>第三十二条</w:t>
      </w:r>
      <w:r>
        <w:rPr>
          <w:kern w:val="0"/>
          <w:sz w:val="24"/>
          <w:szCs w:val="24"/>
        </w:rPr>
        <w:t xml:space="preserve">  中央和地方党政机关各涉农部门应当认真履行贯彻落实党中央关于农村工作各项决策部署的职责，贴近基层服务农民群众，不得将部门职责转嫁给农村基层组织。不履行或者不正确履行职责的，应当依照有关党内法规和法律法规予以问责。</w:t>
      </w:r>
    </w:p>
    <w:p>
      <w:pPr>
        <w:pStyle w:val="3"/>
        <w:topLinePunct/>
        <w:spacing w:line="412" w:lineRule="exact"/>
        <w:ind w:firstLine="482"/>
        <w:rPr>
          <w:kern w:val="0"/>
          <w:sz w:val="24"/>
          <w:szCs w:val="24"/>
        </w:rPr>
      </w:pPr>
      <w:r>
        <w:rPr>
          <w:b/>
          <w:kern w:val="0"/>
          <w:sz w:val="24"/>
          <w:szCs w:val="24"/>
        </w:rPr>
        <w:t>第三十三条</w:t>
      </w:r>
      <w:r>
        <w:rPr>
          <w:kern w:val="0"/>
          <w:sz w:val="24"/>
          <w:szCs w:val="24"/>
        </w:rPr>
        <w:t xml:space="preserve">  各级党委应当建立激励机制，鼓励干部敢于担当作为、勇于改革创新、乐于奉献为民，按照规定表彰和奖励在农村工作中作出突出贡献的集体和个人。</w:t>
      </w:r>
    </w:p>
    <w:p>
      <w:pPr>
        <w:pStyle w:val="63"/>
        <w:spacing w:before="218" w:after="218" w:line="412" w:lineRule="exact"/>
        <w:rPr>
          <w:kern w:val="0"/>
        </w:rPr>
      </w:pPr>
      <w:r>
        <w:rPr>
          <w:kern w:val="0"/>
        </w:rPr>
        <w:t>第七章  附</w:t>
      </w:r>
      <w:r>
        <w:rPr>
          <w:rFonts w:hint="eastAsia"/>
          <w:kern w:val="0"/>
        </w:rPr>
        <w:t xml:space="preserve">  </w:t>
      </w:r>
      <w:r>
        <w:rPr>
          <w:kern w:val="0"/>
        </w:rPr>
        <w:t>则</w:t>
      </w:r>
    </w:p>
    <w:p>
      <w:pPr>
        <w:pStyle w:val="3"/>
        <w:topLinePunct/>
        <w:spacing w:line="412" w:lineRule="exact"/>
        <w:ind w:firstLine="482"/>
        <w:rPr>
          <w:kern w:val="0"/>
          <w:sz w:val="24"/>
          <w:szCs w:val="24"/>
        </w:rPr>
      </w:pPr>
      <w:r>
        <w:rPr>
          <w:b/>
          <w:kern w:val="0"/>
          <w:sz w:val="24"/>
          <w:szCs w:val="24"/>
        </w:rPr>
        <w:t>第三十四条</w:t>
      </w:r>
      <w:r>
        <w:rPr>
          <w:kern w:val="0"/>
          <w:sz w:val="24"/>
          <w:szCs w:val="24"/>
        </w:rPr>
        <w:t xml:space="preserve">  各省（自治区、直辖市）党委可以根据本条例，结合本地区情况制定实施办法。</w:t>
      </w:r>
    </w:p>
    <w:p>
      <w:pPr>
        <w:pStyle w:val="3"/>
        <w:topLinePunct/>
        <w:spacing w:line="412" w:lineRule="exact"/>
        <w:ind w:firstLine="482"/>
        <w:rPr>
          <w:kern w:val="0"/>
          <w:sz w:val="24"/>
          <w:szCs w:val="24"/>
        </w:rPr>
      </w:pPr>
      <w:r>
        <w:rPr>
          <w:b/>
          <w:kern w:val="0"/>
          <w:sz w:val="24"/>
          <w:szCs w:val="24"/>
        </w:rPr>
        <w:t>第三十五条</w:t>
      </w:r>
      <w:r>
        <w:rPr>
          <w:kern w:val="0"/>
          <w:sz w:val="24"/>
          <w:szCs w:val="24"/>
        </w:rPr>
        <w:t xml:space="preserve">  本条例由中央农村工作领导小组办公室负责解释。</w:t>
      </w:r>
    </w:p>
    <w:p>
      <w:pPr>
        <w:pStyle w:val="3"/>
        <w:topLinePunct/>
        <w:spacing w:line="412" w:lineRule="exact"/>
        <w:ind w:firstLine="482"/>
        <w:rPr>
          <w:kern w:val="0"/>
          <w:sz w:val="24"/>
          <w:szCs w:val="24"/>
        </w:rPr>
      </w:pPr>
      <w:r>
        <w:rPr>
          <w:b/>
          <w:kern w:val="0"/>
          <w:sz w:val="24"/>
          <w:szCs w:val="24"/>
        </w:rPr>
        <w:t>第三十六条</w:t>
      </w:r>
      <w:r>
        <w:rPr>
          <w:kern w:val="0"/>
          <w:sz w:val="24"/>
          <w:szCs w:val="24"/>
        </w:rPr>
        <w:t xml:space="preserve">  本条例自2019年8月19日起施行</w:t>
      </w:r>
      <w:r>
        <w:rPr>
          <w:rFonts w:hint="eastAsia"/>
          <w:kern w:val="0"/>
          <w:sz w:val="24"/>
          <w:szCs w:val="24"/>
        </w:rPr>
        <w:t>。</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sz w:val="24"/>
          <w:szCs w:val="24"/>
        </w:rPr>
        <w:br w:type="page"/>
      </w:r>
    </w:p>
    <w:p>
      <w:pPr>
        <w:pStyle w:val="2"/>
        <w:keepNext w:val="0"/>
        <w:keepLines w:val="0"/>
        <w:topLinePunct/>
        <w:spacing w:line="416" w:lineRule="exact"/>
        <w:ind w:firstLine="482" w:firstLineChars="200"/>
        <w:jc w:val="both"/>
        <w:rPr>
          <w:sz w:val="24"/>
          <w:szCs w:val="24"/>
          <w:shd w:val="clear" w:color="auto" w:fill="FFFFFF"/>
        </w:rPr>
      </w:pPr>
    </w:p>
    <w:p>
      <w:pPr>
        <w:pStyle w:val="61"/>
        <w:rPr>
          <w:rFonts w:ascii="黑体" w:hAnsi="黑体" w:eastAsia="黑体"/>
        </w:rPr>
      </w:pPr>
      <w:bookmarkStart w:id="1603" w:name="_Toc25648323"/>
      <w:bookmarkStart w:id="1604" w:name="_Toc28251027"/>
      <w:bookmarkStart w:id="1605" w:name="_Toc26348077"/>
      <w:bookmarkStart w:id="1606" w:name="_Toc28252310"/>
      <w:bookmarkStart w:id="1607" w:name="_Toc25653824"/>
      <w:bookmarkStart w:id="1608" w:name="_Toc28157099"/>
      <w:r>
        <w:rPr>
          <w:shd w:val="clear" w:color="auto" w:fill="FFFFFF"/>
        </w:rPr>
        <w:t>中国共产党农村基层组织工作条例</w:t>
      </w:r>
      <w:bookmarkEnd w:id="1603"/>
      <w:bookmarkEnd w:id="1604"/>
      <w:bookmarkEnd w:id="1605"/>
      <w:bookmarkEnd w:id="1606"/>
      <w:bookmarkEnd w:id="1607"/>
      <w:bookmarkEnd w:id="1608"/>
    </w:p>
    <w:p>
      <w:pPr>
        <w:pStyle w:val="63"/>
        <w:spacing w:before="218" w:after="218" w:line="412" w:lineRule="exact"/>
        <w:rPr>
          <w:kern w:val="0"/>
        </w:rPr>
      </w:pPr>
      <w:r>
        <w:rPr>
          <w:rFonts w:hint="eastAsia"/>
        </w:rPr>
        <w:t xml:space="preserve">第一章  </w:t>
      </w:r>
      <w:r>
        <w:rPr>
          <w:kern w:val="0"/>
        </w:rPr>
        <w:t>总</w:t>
      </w:r>
      <w:r>
        <w:rPr>
          <w:rFonts w:hint="eastAsia"/>
          <w:kern w:val="0"/>
        </w:rPr>
        <w:t xml:space="preserve">  </w:t>
      </w:r>
      <w:r>
        <w:rPr>
          <w:kern w:val="0"/>
        </w:rPr>
        <w:t>则</w:t>
      </w:r>
    </w:p>
    <w:p>
      <w:pPr>
        <w:pStyle w:val="3"/>
        <w:topLinePunct/>
        <w:spacing w:line="412" w:lineRule="exact"/>
        <w:ind w:firstLine="482"/>
        <w:rPr>
          <w:kern w:val="0"/>
          <w:sz w:val="24"/>
          <w:szCs w:val="24"/>
        </w:rPr>
      </w:pPr>
      <w:r>
        <w:rPr>
          <w:b/>
          <w:kern w:val="0"/>
          <w:sz w:val="24"/>
          <w:szCs w:val="24"/>
        </w:rPr>
        <w:t>第一条</w:t>
      </w:r>
      <w:r>
        <w:rPr>
          <w:kern w:val="0"/>
          <w:sz w:val="24"/>
          <w:szCs w:val="24"/>
        </w:rPr>
        <w:t xml:space="preserve"> </w:t>
      </w:r>
      <w:r>
        <w:rPr>
          <w:rFonts w:hint="eastAsia"/>
          <w:kern w:val="0"/>
          <w:sz w:val="24"/>
          <w:szCs w:val="24"/>
        </w:rPr>
        <w:t xml:space="preserve"> </w:t>
      </w:r>
      <w:r>
        <w:rPr>
          <w:kern w:val="0"/>
          <w:sz w:val="24"/>
          <w:szCs w:val="24"/>
        </w:rPr>
        <w:t>农村工作在党和国家事业全局中具有重要战略地位，是全党工作的重中之重。为了认真贯彻落实新时代党的建设总要求和新时代党的组织路线，坚持和加强党对农村工作的全面领导，深入实施乡村振兴战略，推动全面从严治党向基层延伸，提高党的农村基层组织建设质量，为新时代乡村全面振兴提供坚强政治和组织保证，根据《中国共产党章程》，制定本条例。</w:t>
      </w:r>
    </w:p>
    <w:p>
      <w:pPr>
        <w:pStyle w:val="3"/>
        <w:topLinePunct/>
        <w:spacing w:line="412" w:lineRule="exact"/>
        <w:ind w:firstLine="482"/>
        <w:rPr>
          <w:kern w:val="0"/>
          <w:sz w:val="24"/>
          <w:szCs w:val="24"/>
        </w:rPr>
      </w:pPr>
      <w:r>
        <w:rPr>
          <w:b/>
          <w:kern w:val="0"/>
          <w:sz w:val="24"/>
          <w:szCs w:val="24"/>
        </w:rPr>
        <w:t>第二条</w:t>
      </w:r>
      <w:r>
        <w:rPr>
          <w:kern w:val="0"/>
          <w:sz w:val="24"/>
          <w:szCs w:val="24"/>
        </w:rPr>
        <w:t xml:space="preserve"> </w:t>
      </w:r>
      <w:r>
        <w:rPr>
          <w:rFonts w:hint="eastAsia"/>
          <w:kern w:val="0"/>
          <w:sz w:val="24"/>
          <w:szCs w:val="24"/>
        </w:rPr>
        <w:t xml:space="preserve"> </w:t>
      </w:r>
      <w:r>
        <w:rPr>
          <w:kern w:val="0"/>
          <w:sz w:val="24"/>
          <w:szCs w:val="24"/>
        </w:rPr>
        <w:t>乡镇党的委员会（以下简称乡镇党委）和村党组织（村指行政村）是党在农村的基层组织，是党在农村全部工作和战斗力的基础，全面领导乡镇、村的各类组织和各项工作。必须坚持党的农村基层组织领导地位不动摇。</w:t>
      </w:r>
    </w:p>
    <w:p>
      <w:pPr>
        <w:pStyle w:val="3"/>
        <w:topLinePunct/>
        <w:spacing w:line="412" w:lineRule="exact"/>
        <w:ind w:firstLine="482"/>
        <w:rPr>
          <w:kern w:val="0"/>
          <w:sz w:val="24"/>
          <w:szCs w:val="24"/>
        </w:rPr>
      </w:pPr>
      <w:r>
        <w:rPr>
          <w:b/>
          <w:kern w:val="0"/>
          <w:sz w:val="24"/>
          <w:szCs w:val="24"/>
        </w:rPr>
        <w:t>第三条</w:t>
      </w:r>
      <w:r>
        <w:rPr>
          <w:kern w:val="0"/>
          <w:sz w:val="24"/>
          <w:szCs w:val="24"/>
        </w:rPr>
        <w:t xml:space="preserve"> </w:t>
      </w:r>
      <w:r>
        <w:rPr>
          <w:rFonts w:hint="eastAsia"/>
          <w:kern w:val="0"/>
          <w:sz w:val="24"/>
          <w:szCs w:val="24"/>
        </w:rPr>
        <w:t xml:space="preserve"> </w:t>
      </w:r>
      <w:r>
        <w:rPr>
          <w:kern w:val="0"/>
          <w:sz w:val="24"/>
          <w:szCs w:val="24"/>
        </w:rPr>
        <w:t>党的农村基层组织必须高举中国特色社会主义伟大旗帜，坚持以马克思列宁主义、毛泽东思想、邓小平理论、“三个代表”重要思想、科学发展观、习近平新时代中国特色社会主义思想为指导，坚决维护习近平总书记党中央的核心、全党的核心地位，坚决维护党中央权威和集中统一领导，牢固树立“四个意识”，坚定“四个自信”，做到“四个服从”，坚持党要管党、全面从严治党，以提升组织力为重点，突出政治功能，努力成为宣传党的主张、贯彻党的决定、领导基层治理、团结动员群众、推动改革发展的坚强战斗堡垒。</w:t>
      </w:r>
    </w:p>
    <w:p>
      <w:pPr>
        <w:pStyle w:val="63"/>
        <w:spacing w:before="218" w:after="218" w:line="412" w:lineRule="exact"/>
        <w:rPr>
          <w:kern w:val="0"/>
        </w:rPr>
      </w:pPr>
      <w:bookmarkStart w:id="1609" w:name="sub3133529_2_2"/>
      <w:bookmarkEnd w:id="1609"/>
      <w:r>
        <w:rPr>
          <w:rFonts w:hint="eastAsia"/>
        </w:rPr>
        <w:t xml:space="preserve">第二章  </w:t>
      </w:r>
      <w:r>
        <w:rPr>
          <w:kern w:val="0"/>
        </w:rPr>
        <w:t>组织设置</w:t>
      </w:r>
    </w:p>
    <w:p>
      <w:pPr>
        <w:pStyle w:val="3"/>
        <w:topLinePunct/>
        <w:spacing w:line="412" w:lineRule="exact"/>
        <w:ind w:firstLine="482"/>
        <w:rPr>
          <w:kern w:val="0"/>
          <w:sz w:val="24"/>
          <w:szCs w:val="24"/>
        </w:rPr>
      </w:pPr>
      <w:r>
        <w:rPr>
          <w:b/>
          <w:kern w:val="0"/>
          <w:sz w:val="24"/>
          <w:szCs w:val="24"/>
        </w:rPr>
        <w:t>第四条</w:t>
      </w:r>
      <w:r>
        <w:rPr>
          <w:kern w:val="0"/>
          <w:sz w:val="24"/>
          <w:szCs w:val="24"/>
        </w:rPr>
        <w:t xml:space="preserve"> </w:t>
      </w:r>
      <w:r>
        <w:rPr>
          <w:rFonts w:hint="eastAsia"/>
          <w:kern w:val="0"/>
          <w:sz w:val="24"/>
          <w:szCs w:val="24"/>
        </w:rPr>
        <w:t xml:space="preserve"> </w:t>
      </w:r>
      <w:r>
        <w:rPr>
          <w:kern w:val="0"/>
          <w:sz w:val="24"/>
          <w:szCs w:val="24"/>
        </w:rPr>
        <w:t>乡镇应当设立党的基层委员会。乡镇党委每届任期5年，由党员大会或者党员代表大会选举产生。</w:t>
      </w:r>
    </w:p>
    <w:p>
      <w:pPr>
        <w:pStyle w:val="3"/>
        <w:topLinePunct/>
        <w:spacing w:line="412" w:lineRule="exact"/>
        <w:ind w:firstLine="482"/>
        <w:rPr>
          <w:kern w:val="0"/>
          <w:sz w:val="24"/>
          <w:szCs w:val="24"/>
        </w:rPr>
      </w:pPr>
      <w:r>
        <w:rPr>
          <w:b/>
          <w:kern w:val="0"/>
          <w:sz w:val="24"/>
          <w:szCs w:val="24"/>
        </w:rPr>
        <w:t>第五条</w:t>
      </w:r>
      <w:r>
        <w:rPr>
          <w:kern w:val="0"/>
          <w:sz w:val="24"/>
          <w:szCs w:val="24"/>
        </w:rPr>
        <w:t xml:space="preserve"> </w:t>
      </w:r>
      <w:r>
        <w:rPr>
          <w:rFonts w:hint="eastAsia"/>
          <w:kern w:val="0"/>
          <w:sz w:val="24"/>
          <w:szCs w:val="24"/>
        </w:rPr>
        <w:t xml:space="preserve"> </w:t>
      </w:r>
      <w:r>
        <w:rPr>
          <w:kern w:val="0"/>
          <w:sz w:val="24"/>
          <w:szCs w:val="24"/>
        </w:rPr>
        <w:t>以村为基本单元设置党组织。有正式党员3人以上的村，应当成立党支部；不足3人的，可以与邻近村联合成立党支部。党员人数超过50人的村，或者党员人数虽不足50人、确因工作需要的村，可以成立党的总支部。党员人数100人以上的村，根据工作需要，经县级地方党委批准，可以成立党的基层委员会，下设若干党支部；村党的委员会受乡镇党委领导。</w:t>
      </w:r>
    </w:p>
    <w:p>
      <w:pPr>
        <w:pStyle w:val="3"/>
        <w:topLinePunct/>
        <w:spacing w:line="412" w:lineRule="exact"/>
        <w:ind w:firstLine="480"/>
        <w:rPr>
          <w:kern w:val="0"/>
          <w:sz w:val="24"/>
          <w:szCs w:val="24"/>
        </w:rPr>
      </w:pPr>
      <w:r>
        <w:rPr>
          <w:kern w:val="0"/>
          <w:sz w:val="24"/>
          <w:szCs w:val="24"/>
        </w:rPr>
        <w:t>村党的委员会、总支部委员会、支部委员会每届任期5年，由党员大会选举产生。党员人数500人以上的村党的委员会，经乡镇党委批准，可以由党员代表大会选举产生。</w:t>
      </w:r>
    </w:p>
    <w:p>
      <w:pPr>
        <w:pStyle w:val="3"/>
        <w:topLinePunct/>
        <w:spacing w:line="412" w:lineRule="exact"/>
        <w:ind w:firstLine="482"/>
        <w:rPr>
          <w:kern w:val="0"/>
          <w:sz w:val="24"/>
          <w:szCs w:val="24"/>
        </w:rPr>
      </w:pPr>
      <w:r>
        <w:rPr>
          <w:b/>
          <w:kern w:val="0"/>
          <w:sz w:val="24"/>
          <w:szCs w:val="24"/>
        </w:rPr>
        <w:t>第六条</w:t>
      </w:r>
      <w:r>
        <w:rPr>
          <w:kern w:val="0"/>
          <w:sz w:val="24"/>
          <w:szCs w:val="24"/>
        </w:rPr>
        <w:t xml:space="preserve"> </w:t>
      </w:r>
      <w:r>
        <w:rPr>
          <w:rFonts w:hint="eastAsia"/>
          <w:kern w:val="0"/>
          <w:sz w:val="24"/>
          <w:szCs w:val="24"/>
        </w:rPr>
        <w:t xml:space="preserve"> </w:t>
      </w:r>
      <w:r>
        <w:rPr>
          <w:kern w:val="0"/>
          <w:sz w:val="24"/>
          <w:szCs w:val="24"/>
        </w:rPr>
        <w:t>县以上有关部门驻乡镇的单位，应当根据党员人数和工作需要成立党的基层组织。这些党组织，除党中央另有规定的以外，受乡镇党委领导。</w:t>
      </w:r>
    </w:p>
    <w:p>
      <w:pPr>
        <w:pStyle w:val="3"/>
        <w:topLinePunct/>
        <w:spacing w:line="412" w:lineRule="exact"/>
        <w:ind w:firstLine="482"/>
        <w:rPr>
          <w:kern w:val="0"/>
          <w:sz w:val="24"/>
          <w:szCs w:val="24"/>
        </w:rPr>
      </w:pPr>
      <w:r>
        <w:rPr>
          <w:b/>
          <w:kern w:val="0"/>
          <w:sz w:val="24"/>
          <w:szCs w:val="24"/>
        </w:rPr>
        <w:t>第七条</w:t>
      </w:r>
      <w:r>
        <w:rPr>
          <w:kern w:val="0"/>
          <w:sz w:val="24"/>
          <w:szCs w:val="24"/>
        </w:rPr>
        <w:t xml:space="preserve"> </w:t>
      </w:r>
      <w:r>
        <w:rPr>
          <w:rFonts w:hint="eastAsia"/>
          <w:kern w:val="0"/>
          <w:sz w:val="24"/>
          <w:szCs w:val="24"/>
        </w:rPr>
        <w:t xml:space="preserve"> </w:t>
      </w:r>
      <w:r>
        <w:rPr>
          <w:kern w:val="0"/>
          <w:sz w:val="24"/>
          <w:szCs w:val="24"/>
        </w:rPr>
        <w:t>农村经济组织、社会组织具备单独成立党组织条件的，根据工作需要，可以成立党组织，一般由所在村党组织或者乡镇党委领导。在跨村跨乡镇的经济组织、社会组织中成立的党组织，由批准其成立的上级党组织或者县级党委组织部门确定隶属关系。</w:t>
      </w:r>
    </w:p>
    <w:p>
      <w:pPr>
        <w:pStyle w:val="3"/>
        <w:topLinePunct/>
        <w:spacing w:line="412" w:lineRule="exact"/>
        <w:ind w:firstLine="480"/>
        <w:rPr>
          <w:kern w:val="0"/>
          <w:sz w:val="24"/>
          <w:szCs w:val="24"/>
        </w:rPr>
      </w:pPr>
      <w:r>
        <w:rPr>
          <w:kern w:val="0"/>
          <w:sz w:val="24"/>
          <w:szCs w:val="24"/>
        </w:rPr>
        <w:t>村改社区应当同步调整或者成立党组织。</w:t>
      </w:r>
    </w:p>
    <w:p>
      <w:pPr>
        <w:pStyle w:val="3"/>
        <w:topLinePunct/>
        <w:spacing w:line="412" w:lineRule="exact"/>
        <w:ind w:firstLine="480"/>
        <w:rPr>
          <w:kern w:val="0"/>
          <w:sz w:val="24"/>
          <w:szCs w:val="24"/>
        </w:rPr>
      </w:pPr>
      <w:r>
        <w:rPr>
          <w:kern w:val="0"/>
          <w:sz w:val="24"/>
          <w:szCs w:val="24"/>
        </w:rPr>
        <w:t>村及以下成立或者撤销党组织，必须经乡镇党委或者以上党组织批准。</w:t>
      </w:r>
    </w:p>
    <w:p>
      <w:pPr>
        <w:pStyle w:val="3"/>
        <w:topLinePunct/>
        <w:spacing w:line="412" w:lineRule="exact"/>
        <w:ind w:firstLine="482"/>
        <w:rPr>
          <w:kern w:val="0"/>
          <w:sz w:val="24"/>
          <w:szCs w:val="24"/>
        </w:rPr>
      </w:pPr>
      <w:r>
        <w:rPr>
          <w:b/>
          <w:kern w:val="0"/>
          <w:sz w:val="24"/>
          <w:szCs w:val="24"/>
        </w:rPr>
        <w:t>第八条</w:t>
      </w:r>
      <w:r>
        <w:rPr>
          <w:kern w:val="0"/>
          <w:sz w:val="24"/>
          <w:szCs w:val="24"/>
        </w:rPr>
        <w:t xml:space="preserve"> </w:t>
      </w:r>
      <w:r>
        <w:rPr>
          <w:rFonts w:hint="eastAsia"/>
          <w:kern w:val="0"/>
          <w:sz w:val="24"/>
          <w:szCs w:val="24"/>
        </w:rPr>
        <w:t xml:space="preserve"> </w:t>
      </w:r>
      <w:r>
        <w:rPr>
          <w:kern w:val="0"/>
          <w:sz w:val="24"/>
          <w:szCs w:val="24"/>
        </w:rPr>
        <w:t>乡镇党委一般设委员7至9名，其中书记1名、副书记2至3名，应当设组织委员、宣传委员，纪委书记由党委委员兼任。党委委员按照乡镇领导职务配备，应当进行合理分工，保证各项工作有人负责。</w:t>
      </w:r>
    </w:p>
    <w:p>
      <w:pPr>
        <w:pStyle w:val="3"/>
        <w:topLinePunct/>
        <w:spacing w:line="412" w:lineRule="exact"/>
        <w:ind w:firstLine="480"/>
        <w:rPr>
          <w:kern w:val="0"/>
          <w:sz w:val="24"/>
          <w:szCs w:val="24"/>
        </w:rPr>
      </w:pPr>
      <w:r>
        <w:rPr>
          <w:kern w:val="0"/>
          <w:sz w:val="24"/>
          <w:szCs w:val="24"/>
        </w:rPr>
        <w:t>村党的支部委员会一般设委员3至5名，其中书记1名，必要时可以设副书记1名；正式党员不足7人的支部，不设支部委员会。村党的总支部委员会一般设委员5至7名，其中书记1名、副书记1名、纪检委员1名。村党的委员会一般设委员5至7名，最多不超过9名，其中书记1名、副书记1至2名、纪委书记1名。</w:t>
      </w:r>
    </w:p>
    <w:p>
      <w:pPr>
        <w:pStyle w:val="63"/>
        <w:spacing w:before="218" w:after="218" w:line="412" w:lineRule="exact"/>
        <w:rPr>
          <w:kern w:val="0"/>
        </w:rPr>
      </w:pPr>
      <w:bookmarkStart w:id="1610" w:name="sub3133529_2_3"/>
      <w:bookmarkEnd w:id="1610"/>
      <w:r>
        <w:rPr>
          <w:rFonts w:hint="eastAsia"/>
        </w:rPr>
        <w:t xml:space="preserve">第三章  </w:t>
      </w:r>
      <w:r>
        <w:rPr>
          <w:kern w:val="0"/>
        </w:rPr>
        <w:t>职责任务</w:t>
      </w:r>
    </w:p>
    <w:p>
      <w:pPr>
        <w:pStyle w:val="3"/>
        <w:topLinePunct/>
        <w:spacing w:line="412" w:lineRule="exact"/>
        <w:ind w:firstLine="482"/>
        <w:rPr>
          <w:kern w:val="0"/>
          <w:sz w:val="24"/>
          <w:szCs w:val="24"/>
        </w:rPr>
      </w:pPr>
      <w:r>
        <w:rPr>
          <w:b/>
          <w:kern w:val="0"/>
          <w:sz w:val="24"/>
          <w:szCs w:val="24"/>
        </w:rPr>
        <w:t>第九条</w:t>
      </w:r>
      <w:r>
        <w:rPr>
          <w:kern w:val="0"/>
          <w:sz w:val="24"/>
          <w:szCs w:val="24"/>
        </w:rPr>
        <w:t xml:space="preserve"> </w:t>
      </w:r>
      <w:r>
        <w:rPr>
          <w:rFonts w:hint="eastAsia"/>
          <w:kern w:val="0"/>
          <w:sz w:val="24"/>
          <w:szCs w:val="24"/>
        </w:rPr>
        <w:t xml:space="preserve"> </w:t>
      </w:r>
      <w:r>
        <w:rPr>
          <w:kern w:val="0"/>
          <w:sz w:val="24"/>
          <w:szCs w:val="24"/>
        </w:rPr>
        <w:t>乡镇党委的主要职责是：</w:t>
      </w:r>
    </w:p>
    <w:p>
      <w:pPr>
        <w:pStyle w:val="3"/>
        <w:topLinePunct/>
        <w:spacing w:line="412" w:lineRule="exact"/>
        <w:ind w:firstLine="480"/>
        <w:rPr>
          <w:kern w:val="0"/>
          <w:sz w:val="24"/>
          <w:szCs w:val="24"/>
        </w:rPr>
      </w:pPr>
      <w:r>
        <w:rPr>
          <w:kern w:val="0"/>
          <w:sz w:val="24"/>
          <w:szCs w:val="24"/>
        </w:rPr>
        <w:t>（一）宣传和贯彻执行党的路线方针政策和党中央、上级党组织及本乡镇党员代表大会（党员大会）的决议。</w:t>
      </w:r>
    </w:p>
    <w:p>
      <w:pPr>
        <w:pStyle w:val="3"/>
        <w:topLinePunct/>
        <w:spacing w:line="412" w:lineRule="exact"/>
        <w:ind w:firstLine="480"/>
        <w:rPr>
          <w:kern w:val="0"/>
          <w:sz w:val="24"/>
          <w:szCs w:val="24"/>
        </w:rPr>
      </w:pPr>
      <w:r>
        <w:rPr>
          <w:kern w:val="0"/>
          <w:sz w:val="24"/>
          <w:szCs w:val="24"/>
        </w:rPr>
        <w:t>（二）讨论和决定本乡镇经济建设、政治建设、文化建设、社会建设、生态文明建设和党的建设以及乡村振兴中的重大问题。需由乡镇政权机关或者集体经济组织决定的重要事项，经乡镇党委研究讨论后，由乡镇政权机关或者集体经济组织依照法律和有关规定作出决定。</w:t>
      </w:r>
    </w:p>
    <w:p>
      <w:pPr>
        <w:pStyle w:val="3"/>
        <w:topLinePunct/>
        <w:spacing w:line="412" w:lineRule="exact"/>
        <w:ind w:firstLine="480"/>
        <w:rPr>
          <w:kern w:val="0"/>
          <w:sz w:val="24"/>
          <w:szCs w:val="24"/>
        </w:rPr>
      </w:pPr>
      <w:r>
        <w:rPr>
          <w:kern w:val="0"/>
          <w:sz w:val="24"/>
          <w:szCs w:val="24"/>
        </w:rPr>
        <w:t>（三）领导乡镇政权机关、群团组织和其他各类组织，加强指导和规范，支持和保证这些机关和组织依照国家法律法规以及各自章程履行职责。</w:t>
      </w:r>
    </w:p>
    <w:p>
      <w:pPr>
        <w:pStyle w:val="3"/>
        <w:topLinePunct/>
        <w:spacing w:line="412" w:lineRule="exact"/>
        <w:ind w:firstLine="480"/>
        <w:rPr>
          <w:kern w:val="0"/>
          <w:sz w:val="24"/>
          <w:szCs w:val="24"/>
        </w:rPr>
      </w:pPr>
      <w:r>
        <w:rPr>
          <w:kern w:val="0"/>
          <w:sz w:val="24"/>
          <w:szCs w:val="24"/>
        </w:rPr>
        <w:t>（四）加强乡镇党委自身建设和村党组织建设，以及其他隶属乡镇党委的党组织建设，抓好发展党员工作，加强党员队伍建设。维护和执行党的纪律，监督党员干部和其他任何工作人员严格遵守国家法律法规。</w:t>
      </w:r>
    </w:p>
    <w:p>
      <w:pPr>
        <w:pStyle w:val="3"/>
        <w:topLinePunct/>
        <w:spacing w:line="412" w:lineRule="exact"/>
        <w:ind w:firstLine="480"/>
        <w:rPr>
          <w:kern w:val="0"/>
          <w:sz w:val="24"/>
          <w:szCs w:val="24"/>
        </w:rPr>
      </w:pPr>
      <w:r>
        <w:rPr>
          <w:kern w:val="0"/>
          <w:sz w:val="24"/>
          <w:szCs w:val="24"/>
        </w:rPr>
        <w:t>（五）按照干部管理权限，负责对干部的教育、培训、选拔、考核和监督工作。协助管理上级有关部门驻乡镇单位的干部。做好人才服务和引进工作。</w:t>
      </w:r>
    </w:p>
    <w:p>
      <w:pPr>
        <w:pStyle w:val="3"/>
        <w:topLinePunct/>
        <w:spacing w:line="412" w:lineRule="exact"/>
        <w:ind w:firstLine="480"/>
        <w:rPr>
          <w:kern w:val="0"/>
          <w:sz w:val="24"/>
          <w:szCs w:val="24"/>
        </w:rPr>
      </w:pPr>
      <w:r>
        <w:rPr>
          <w:kern w:val="0"/>
          <w:sz w:val="24"/>
          <w:szCs w:val="24"/>
        </w:rPr>
        <w:t>（六）领导本乡镇的基层治理，加强社会主义民主法治建设和精神文明建设，加强社会治安综合治理，做好生态环保、美丽乡村建设、民生保障、脱贫致富、民族宗教等工作。</w:t>
      </w:r>
    </w:p>
    <w:p>
      <w:pPr>
        <w:pStyle w:val="3"/>
        <w:topLinePunct/>
        <w:spacing w:line="412" w:lineRule="exact"/>
        <w:ind w:firstLine="482"/>
        <w:rPr>
          <w:kern w:val="0"/>
          <w:sz w:val="24"/>
          <w:szCs w:val="24"/>
        </w:rPr>
      </w:pPr>
      <w:r>
        <w:rPr>
          <w:b/>
          <w:kern w:val="0"/>
          <w:sz w:val="24"/>
          <w:szCs w:val="24"/>
        </w:rPr>
        <w:t>第十条</w:t>
      </w:r>
      <w:r>
        <w:rPr>
          <w:kern w:val="0"/>
          <w:sz w:val="24"/>
          <w:szCs w:val="24"/>
        </w:rPr>
        <w:t xml:space="preserve"> </w:t>
      </w:r>
      <w:r>
        <w:rPr>
          <w:rFonts w:hint="eastAsia"/>
          <w:kern w:val="0"/>
          <w:sz w:val="24"/>
          <w:szCs w:val="24"/>
        </w:rPr>
        <w:t xml:space="preserve"> </w:t>
      </w:r>
      <w:r>
        <w:rPr>
          <w:kern w:val="0"/>
          <w:sz w:val="24"/>
          <w:szCs w:val="24"/>
        </w:rPr>
        <w:t>村党组织的主要职责是：</w:t>
      </w:r>
    </w:p>
    <w:p>
      <w:pPr>
        <w:pStyle w:val="3"/>
        <w:topLinePunct/>
        <w:spacing w:line="412" w:lineRule="exact"/>
        <w:ind w:firstLine="480"/>
        <w:rPr>
          <w:kern w:val="0"/>
          <w:sz w:val="24"/>
          <w:szCs w:val="24"/>
        </w:rPr>
      </w:pPr>
      <w:r>
        <w:rPr>
          <w:kern w:val="0"/>
          <w:sz w:val="24"/>
          <w:szCs w:val="24"/>
        </w:rPr>
        <w:t>（一）宣传和贯彻执行党的路线方针政策和党中央、上级党组织及本村党员大会（党员代表大会）的决议。</w:t>
      </w:r>
    </w:p>
    <w:p>
      <w:pPr>
        <w:pStyle w:val="3"/>
        <w:topLinePunct/>
        <w:spacing w:line="412" w:lineRule="exact"/>
        <w:ind w:firstLine="480"/>
        <w:rPr>
          <w:kern w:val="0"/>
          <w:sz w:val="24"/>
          <w:szCs w:val="24"/>
        </w:rPr>
      </w:pPr>
      <w:r>
        <w:rPr>
          <w:kern w:val="0"/>
          <w:sz w:val="24"/>
          <w:szCs w:val="24"/>
        </w:rPr>
        <w:t>（二）讨论和决定本村经济建设、政治建设、文化建设、社会建设、生态文明建设和党的建设以及乡村振兴中的重要问题并及时向乡镇党委报告。需由村民委员会提请村民会议、村民代表会议决定的事情或者集体经济组织决定的重要事项，经村党组织研究讨论后，由村民会议、村民代表会议或者集体经济组织依照法律和有关规定作出决定。</w:t>
      </w:r>
    </w:p>
    <w:p>
      <w:pPr>
        <w:pStyle w:val="3"/>
        <w:topLinePunct/>
        <w:spacing w:line="412" w:lineRule="exact"/>
        <w:ind w:firstLine="480"/>
        <w:rPr>
          <w:kern w:val="0"/>
          <w:sz w:val="24"/>
          <w:szCs w:val="24"/>
        </w:rPr>
      </w:pPr>
      <w:r>
        <w:rPr>
          <w:kern w:val="0"/>
          <w:sz w:val="24"/>
          <w:szCs w:val="24"/>
        </w:rPr>
        <w:t>（三）领导和推进村级民主选举、民主决策、民主管理、民主监督，推进农村基层协商，支持和保障村民依法开展自治活动。领导村民委员会以及村务监督委员会、村集体经济组织、群团组织和其他经济组织、社会组织，加强指导和规范，支持和保证这些组织依照国家法律法规以及各自章程履行职责。</w:t>
      </w:r>
    </w:p>
    <w:p>
      <w:pPr>
        <w:pStyle w:val="3"/>
        <w:topLinePunct/>
        <w:spacing w:line="412" w:lineRule="exact"/>
        <w:ind w:firstLine="480"/>
        <w:rPr>
          <w:kern w:val="0"/>
          <w:sz w:val="24"/>
          <w:szCs w:val="24"/>
        </w:rPr>
      </w:pPr>
      <w:r>
        <w:rPr>
          <w:kern w:val="0"/>
          <w:sz w:val="24"/>
          <w:szCs w:val="24"/>
        </w:rPr>
        <w:t>（四）加强村党组织自身建设，严格组织生活，对党员进行教育、管理、监督和服务。负责对要求入党的积极分子进行教育和培养，做好发展党员工作。维护和执行党的纪律。加强对村、组干部和经济组织、社会组织负责人的教育、管理和监督，培养村级后备力量。做好本村招才引智等工作。</w:t>
      </w:r>
    </w:p>
    <w:p>
      <w:pPr>
        <w:pStyle w:val="3"/>
        <w:topLinePunct/>
        <w:spacing w:line="412" w:lineRule="exact"/>
        <w:ind w:firstLine="480"/>
        <w:rPr>
          <w:kern w:val="0"/>
          <w:sz w:val="24"/>
          <w:szCs w:val="24"/>
        </w:rPr>
      </w:pPr>
      <w:r>
        <w:rPr>
          <w:kern w:val="0"/>
          <w:sz w:val="24"/>
          <w:szCs w:val="24"/>
        </w:rPr>
        <w:t>（五）组织群众、宣传群众、凝聚群众、服务群众，经常了解群众的批评和意见，维护群众正当权利和利益，加强对群众的教育引导，做好群众思想政治工作。</w:t>
      </w:r>
    </w:p>
    <w:p>
      <w:pPr>
        <w:pStyle w:val="3"/>
        <w:topLinePunct/>
        <w:spacing w:line="412" w:lineRule="exact"/>
        <w:ind w:firstLine="480"/>
        <w:rPr>
          <w:kern w:val="0"/>
          <w:sz w:val="24"/>
          <w:szCs w:val="24"/>
        </w:rPr>
      </w:pPr>
      <w:r>
        <w:rPr>
          <w:kern w:val="0"/>
          <w:sz w:val="24"/>
          <w:szCs w:val="24"/>
        </w:rPr>
        <w:t>（六）领导本村的社会治理，做好本村的社会主义精神文明建设、法治宣传教育、社会治安综合治理、生态环保、美丽村庄建设、民生保障、脱贫致富、民族宗教等工作。</w:t>
      </w:r>
    </w:p>
    <w:p>
      <w:pPr>
        <w:pStyle w:val="3"/>
        <w:topLinePunct/>
        <w:spacing w:line="412" w:lineRule="exact"/>
        <w:ind w:firstLine="482"/>
        <w:rPr>
          <w:kern w:val="0"/>
          <w:sz w:val="24"/>
          <w:szCs w:val="24"/>
        </w:rPr>
      </w:pPr>
      <w:r>
        <w:rPr>
          <w:b/>
          <w:kern w:val="0"/>
          <w:sz w:val="24"/>
          <w:szCs w:val="24"/>
        </w:rPr>
        <w:t>第十一条</w:t>
      </w:r>
      <w:r>
        <w:rPr>
          <w:kern w:val="0"/>
          <w:sz w:val="24"/>
          <w:szCs w:val="24"/>
        </w:rPr>
        <w:t xml:space="preserve"> </w:t>
      </w:r>
      <w:r>
        <w:rPr>
          <w:rFonts w:hint="eastAsia"/>
          <w:kern w:val="0"/>
          <w:sz w:val="24"/>
          <w:szCs w:val="24"/>
        </w:rPr>
        <w:t xml:space="preserve"> </w:t>
      </w:r>
      <w:r>
        <w:rPr>
          <w:kern w:val="0"/>
          <w:sz w:val="24"/>
          <w:szCs w:val="24"/>
        </w:rPr>
        <w:t>党员人数较多的村党支部，可以划分若干党小组。党小组在支部委员会领导下开展工作，组织党员学习和参加组织生活，检查党员履行义务、行使权利和执行支部委员会、党员大会决议的情况，反映党员、群众的意见。</w:t>
      </w:r>
    </w:p>
    <w:p>
      <w:pPr>
        <w:pStyle w:val="63"/>
        <w:spacing w:before="218" w:after="218" w:line="412" w:lineRule="exact"/>
        <w:rPr>
          <w:kern w:val="0"/>
        </w:rPr>
      </w:pPr>
      <w:bookmarkStart w:id="1611" w:name="sub3133529_2_4"/>
      <w:bookmarkEnd w:id="1611"/>
      <w:r>
        <w:rPr>
          <w:rFonts w:hint="eastAsia"/>
        </w:rPr>
        <w:t xml:space="preserve">第四章  </w:t>
      </w:r>
      <w:r>
        <w:rPr>
          <w:kern w:val="0"/>
        </w:rPr>
        <w:t>经济建设</w:t>
      </w:r>
    </w:p>
    <w:p>
      <w:pPr>
        <w:pStyle w:val="3"/>
        <w:topLinePunct/>
        <w:spacing w:line="412" w:lineRule="exact"/>
        <w:ind w:firstLine="482"/>
        <w:rPr>
          <w:kern w:val="0"/>
          <w:sz w:val="24"/>
          <w:szCs w:val="24"/>
        </w:rPr>
      </w:pPr>
      <w:r>
        <w:rPr>
          <w:b/>
          <w:kern w:val="0"/>
          <w:sz w:val="24"/>
          <w:szCs w:val="24"/>
        </w:rPr>
        <w:t>第十二条</w:t>
      </w:r>
      <w:r>
        <w:rPr>
          <w:kern w:val="0"/>
          <w:sz w:val="24"/>
          <w:szCs w:val="24"/>
        </w:rPr>
        <w:t xml:space="preserve"> </w:t>
      </w:r>
      <w:r>
        <w:rPr>
          <w:rFonts w:hint="eastAsia"/>
          <w:kern w:val="0"/>
          <w:sz w:val="24"/>
          <w:szCs w:val="24"/>
        </w:rPr>
        <w:t xml:space="preserve"> </w:t>
      </w:r>
      <w:r>
        <w:rPr>
          <w:kern w:val="0"/>
          <w:sz w:val="24"/>
          <w:szCs w:val="24"/>
        </w:rPr>
        <w:t>党的农村基层组织应当加强对经济工作的领导，坚持以经济建设为中心，贯彻创新、协调、绿色、开放、共享的发展理念，加快推进农业农村现代化，持续增加农民收入，不断满足群众对美好生活的需要。具体任务包括：</w:t>
      </w:r>
    </w:p>
    <w:p>
      <w:pPr>
        <w:pStyle w:val="3"/>
        <w:topLinePunct/>
        <w:spacing w:line="412" w:lineRule="exact"/>
        <w:ind w:firstLine="480"/>
        <w:rPr>
          <w:kern w:val="0"/>
          <w:sz w:val="24"/>
          <w:szCs w:val="24"/>
        </w:rPr>
      </w:pPr>
      <w:r>
        <w:rPr>
          <w:kern w:val="0"/>
          <w:sz w:val="24"/>
          <w:szCs w:val="24"/>
        </w:rPr>
        <w:t>（一）坚持以公有制为主体、多种所有制经济共同发展的基本经济制度，巩固和完善农村基本经营制度，坚持农村土地集体所有，坚持家庭经营基础性地位，坚持稳定土地承包关系，走共同富裕之路。</w:t>
      </w:r>
    </w:p>
    <w:p>
      <w:pPr>
        <w:pStyle w:val="3"/>
        <w:topLinePunct/>
        <w:spacing w:line="412" w:lineRule="exact"/>
        <w:ind w:firstLine="480"/>
        <w:rPr>
          <w:kern w:val="0"/>
          <w:sz w:val="24"/>
          <w:szCs w:val="24"/>
        </w:rPr>
      </w:pPr>
      <w:r>
        <w:rPr>
          <w:kern w:val="0"/>
          <w:sz w:val="24"/>
          <w:szCs w:val="24"/>
        </w:rPr>
        <w:t>（二）稳定发展粮食生产，发展多种经营应当同支持和促进粮食生产相结合。</w:t>
      </w:r>
    </w:p>
    <w:p>
      <w:pPr>
        <w:pStyle w:val="3"/>
        <w:topLinePunct/>
        <w:spacing w:line="412" w:lineRule="exact"/>
        <w:ind w:firstLine="480"/>
        <w:rPr>
          <w:kern w:val="0"/>
          <w:sz w:val="24"/>
          <w:szCs w:val="24"/>
        </w:rPr>
      </w:pPr>
      <w:r>
        <w:rPr>
          <w:kern w:val="0"/>
          <w:sz w:val="24"/>
          <w:szCs w:val="24"/>
        </w:rPr>
        <w:t>（三）推动乡村产业振兴，推进农村一二三产业融合发展，让农民合理分享全产业链增值收益。</w:t>
      </w:r>
    </w:p>
    <w:p>
      <w:pPr>
        <w:pStyle w:val="3"/>
        <w:topLinePunct/>
        <w:spacing w:line="412" w:lineRule="exact"/>
        <w:ind w:firstLine="480"/>
        <w:rPr>
          <w:kern w:val="0"/>
          <w:sz w:val="24"/>
          <w:szCs w:val="24"/>
        </w:rPr>
      </w:pPr>
      <w:r>
        <w:rPr>
          <w:kern w:val="0"/>
          <w:sz w:val="24"/>
          <w:szCs w:val="24"/>
        </w:rPr>
        <w:t>（四）坚持绿水青山就是金山银山理念，实现农业农村绿色发展、可持续发展。</w:t>
      </w:r>
    </w:p>
    <w:p>
      <w:pPr>
        <w:pStyle w:val="3"/>
        <w:topLinePunct/>
        <w:spacing w:line="412" w:lineRule="exact"/>
        <w:ind w:firstLine="480"/>
        <w:rPr>
          <w:kern w:val="0"/>
          <w:sz w:val="24"/>
          <w:szCs w:val="24"/>
        </w:rPr>
      </w:pPr>
      <w:r>
        <w:rPr>
          <w:kern w:val="0"/>
          <w:sz w:val="24"/>
          <w:szCs w:val="24"/>
        </w:rPr>
        <w:t>（五）领导制定本地经济发展规划，组织、动员各方面力量保证规划实施。</w:t>
      </w:r>
    </w:p>
    <w:p>
      <w:pPr>
        <w:pStyle w:val="3"/>
        <w:topLinePunct/>
        <w:spacing w:line="412" w:lineRule="exact"/>
        <w:ind w:firstLine="480"/>
        <w:rPr>
          <w:kern w:val="0"/>
          <w:sz w:val="24"/>
          <w:szCs w:val="24"/>
        </w:rPr>
      </w:pPr>
      <w:r>
        <w:rPr>
          <w:kern w:val="0"/>
          <w:sz w:val="24"/>
          <w:szCs w:val="24"/>
        </w:rPr>
        <w:t>（六）组织党员、群众学习农业科学技术知识，运用科技发展经济。吸引各类人才到农村创业创新。</w:t>
      </w:r>
    </w:p>
    <w:p>
      <w:pPr>
        <w:pStyle w:val="3"/>
        <w:topLinePunct/>
        <w:spacing w:line="412" w:lineRule="exact"/>
        <w:ind w:firstLine="482"/>
        <w:rPr>
          <w:kern w:val="0"/>
          <w:sz w:val="24"/>
          <w:szCs w:val="24"/>
        </w:rPr>
      </w:pPr>
      <w:r>
        <w:rPr>
          <w:b/>
          <w:kern w:val="0"/>
          <w:sz w:val="24"/>
          <w:szCs w:val="24"/>
        </w:rPr>
        <w:t>第十三条</w:t>
      </w:r>
      <w:r>
        <w:rPr>
          <w:rFonts w:hint="eastAsia"/>
          <w:b/>
          <w:kern w:val="0"/>
          <w:sz w:val="24"/>
          <w:szCs w:val="24"/>
        </w:rPr>
        <w:t xml:space="preserve"> </w:t>
      </w:r>
      <w:r>
        <w:rPr>
          <w:kern w:val="0"/>
          <w:sz w:val="24"/>
          <w:szCs w:val="24"/>
        </w:rPr>
        <w:t xml:space="preserve"> 党的农村基层组织应当动员和带领群众全力打赢脱贫攻坚战，如期实现脱贫目标，巩固发展脱贫攻坚成果、防止返贫，组织发展乡村致富产业，推动农民就业创业，教育引导农民既“富口袋”又“富脑袋”，依靠自己的辛勤劳动创造幸福美好生活。</w:t>
      </w:r>
    </w:p>
    <w:p>
      <w:pPr>
        <w:pStyle w:val="3"/>
        <w:topLinePunct/>
        <w:spacing w:line="412" w:lineRule="exact"/>
        <w:ind w:firstLine="482"/>
        <w:rPr>
          <w:kern w:val="0"/>
          <w:sz w:val="24"/>
          <w:szCs w:val="24"/>
        </w:rPr>
      </w:pPr>
      <w:r>
        <w:rPr>
          <w:b/>
          <w:kern w:val="0"/>
          <w:sz w:val="24"/>
          <w:szCs w:val="24"/>
        </w:rPr>
        <w:t>第十四条</w:t>
      </w:r>
      <w:r>
        <w:rPr>
          <w:kern w:val="0"/>
          <w:sz w:val="24"/>
          <w:szCs w:val="24"/>
        </w:rPr>
        <w:t xml:space="preserve"> </w:t>
      </w:r>
      <w:r>
        <w:rPr>
          <w:rFonts w:hint="eastAsia"/>
          <w:kern w:val="0"/>
          <w:sz w:val="24"/>
          <w:szCs w:val="24"/>
        </w:rPr>
        <w:t xml:space="preserve"> </w:t>
      </w:r>
      <w:r>
        <w:rPr>
          <w:kern w:val="0"/>
          <w:sz w:val="24"/>
          <w:szCs w:val="24"/>
        </w:rPr>
        <w:t>党的农村基层组织应当因地制宜推动发展壮大集体经济，领导和支持集体经济组织管理集体资产，协调利益关系，组织生产服务和集体资源合理开发，确保集体资产保值增值，确保农民受益。</w:t>
      </w:r>
    </w:p>
    <w:p>
      <w:pPr>
        <w:pStyle w:val="63"/>
        <w:spacing w:before="218" w:after="218" w:line="412" w:lineRule="exact"/>
        <w:rPr>
          <w:kern w:val="0"/>
        </w:rPr>
      </w:pPr>
      <w:bookmarkStart w:id="1612" w:name="sub3133529_2_5"/>
      <w:bookmarkEnd w:id="1612"/>
      <w:r>
        <w:rPr>
          <w:rFonts w:hint="eastAsia"/>
        </w:rPr>
        <w:t xml:space="preserve">第五章  </w:t>
      </w:r>
      <w:r>
        <w:rPr>
          <w:kern w:val="0"/>
        </w:rPr>
        <w:t>精神文明建设</w:t>
      </w:r>
    </w:p>
    <w:p>
      <w:pPr>
        <w:pStyle w:val="3"/>
        <w:topLinePunct/>
        <w:spacing w:line="412" w:lineRule="exact"/>
        <w:ind w:firstLine="482"/>
        <w:rPr>
          <w:kern w:val="0"/>
          <w:sz w:val="24"/>
          <w:szCs w:val="24"/>
        </w:rPr>
      </w:pPr>
      <w:r>
        <w:rPr>
          <w:b/>
          <w:kern w:val="0"/>
          <w:sz w:val="24"/>
          <w:szCs w:val="24"/>
        </w:rPr>
        <w:t>第十五条</w:t>
      </w:r>
      <w:r>
        <w:rPr>
          <w:rFonts w:hint="eastAsia"/>
          <w:b/>
          <w:kern w:val="0"/>
          <w:sz w:val="24"/>
          <w:szCs w:val="24"/>
        </w:rPr>
        <w:t xml:space="preserve"> </w:t>
      </w:r>
      <w:r>
        <w:rPr>
          <w:kern w:val="0"/>
          <w:sz w:val="24"/>
          <w:szCs w:val="24"/>
        </w:rPr>
        <w:t xml:space="preserve"> 党的农村基层组织应当组织群众学习习近平新时代中国特色社会主义思想，培育和践行社会主义核心价值观，开展中国特色社会主义和实现中华民族伟大复兴的中国梦宣传教育，爱国主义、集体主义和社会主义教育，党的路线方针政策教育，思想道德和民主法治教育，引导农民正确处理国家、集体、个人三者之间的利益关系，培养有理想、有道德、有文化、有纪律的新型农民。</w:t>
      </w:r>
    </w:p>
    <w:p>
      <w:pPr>
        <w:pStyle w:val="3"/>
        <w:topLinePunct/>
        <w:spacing w:line="412" w:lineRule="exact"/>
        <w:ind w:firstLine="480"/>
        <w:rPr>
          <w:kern w:val="0"/>
          <w:sz w:val="24"/>
          <w:szCs w:val="24"/>
        </w:rPr>
      </w:pPr>
      <w:r>
        <w:rPr>
          <w:kern w:val="0"/>
          <w:sz w:val="24"/>
          <w:szCs w:val="24"/>
        </w:rPr>
        <w:t>党的农村基层组织应当加强群众培训，通过新时代文明实践中心（所、站）、农民夜校等渠道，深入宣传教育群众，用中国特色社会主义文化、社会主义思想道德牢牢占领农村思想文化阵地。</w:t>
      </w:r>
    </w:p>
    <w:p>
      <w:pPr>
        <w:pStyle w:val="3"/>
        <w:topLinePunct/>
        <w:spacing w:line="412" w:lineRule="exact"/>
        <w:ind w:firstLine="482"/>
        <w:rPr>
          <w:kern w:val="0"/>
          <w:sz w:val="24"/>
          <w:szCs w:val="24"/>
        </w:rPr>
      </w:pPr>
      <w:r>
        <w:rPr>
          <w:b/>
          <w:kern w:val="0"/>
          <w:sz w:val="24"/>
          <w:szCs w:val="24"/>
        </w:rPr>
        <w:t>第十六条</w:t>
      </w:r>
      <w:r>
        <w:rPr>
          <w:kern w:val="0"/>
          <w:sz w:val="24"/>
          <w:szCs w:val="24"/>
        </w:rPr>
        <w:t xml:space="preserve"> </w:t>
      </w:r>
      <w:r>
        <w:rPr>
          <w:rFonts w:hint="eastAsia"/>
          <w:kern w:val="0"/>
          <w:sz w:val="24"/>
          <w:szCs w:val="24"/>
        </w:rPr>
        <w:t xml:space="preserve"> </w:t>
      </w:r>
      <w:r>
        <w:rPr>
          <w:kern w:val="0"/>
          <w:sz w:val="24"/>
          <w:szCs w:val="24"/>
        </w:rPr>
        <w:t>党的农村基层组织应当改善农村人居环境，倡导文明健康生活方式。传承发展提升农村优秀传统文化，保护传统村落，加强农村文化设施建设，开展健康有益的文体活动。改善办学条件，普及义务教育。开展文明村镇、文明家庭创建活动，破除封建迷信和陈规陋习，推进移风易俗，弘扬时代新风。</w:t>
      </w:r>
    </w:p>
    <w:p>
      <w:pPr>
        <w:pStyle w:val="3"/>
        <w:topLinePunct/>
        <w:spacing w:line="412" w:lineRule="exact"/>
        <w:ind w:firstLine="482"/>
        <w:rPr>
          <w:kern w:val="0"/>
          <w:sz w:val="24"/>
          <w:szCs w:val="24"/>
        </w:rPr>
      </w:pPr>
      <w:r>
        <w:rPr>
          <w:b/>
          <w:kern w:val="0"/>
          <w:sz w:val="24"/>
          <w:szCs w:val="24"/>
        </w:rPr>
        <w:t>第十七条</w:t>
      </w:r>
      <w:r>
        <w:rPr>
          <w:kern w:val="0"/>
          <w:sz w:val="24"/>
          <w:szCs w:val="24"/>
        </w:rPr>
        <w:t xml:space="preserve"> </w:t>
      </w:r>
      <w:r>
        <w:rPr>
          <w:rFonts w:hint="eastAsia"/>
          <w:kern w:val="0"/>
          <w:sz w:val="24"/>
          <w:szCs w:val="24"/>
        </w:rPr>
        <w:t xml:space="preserve"> </w:t>
      </w:r>
      <w:r>
        <w:rPr>
          <w:kern w:val="0"/>
          <w:sz w:val="24"/>
          <w:szCs w:val="24"/>
        </w:rPr>
        <w:t>党的农村基层组织应当加强和改进思想政治工作。宣传党组织和党员先进事迹，宣传好人好事，弘扬真善美，传播正能量。了解群众思想状况，帮助解决实际困难，引导群众自觉听党话、感党恩、跟党走。</w:t>
      </w:r>
    </w:p>
    <w:p>
      <w:pPr>
        <w:pStyle w:val="3"/>
        <w:topLinePunct/>
        <w:spacing w:line="412" w:lineRule="exact"/>
        <w:ind w:firstLine="482"/>
        <w:rPr>
          <w:kern w:val="0"/>
          <w:sz w:val="24"/>
          <w:szCs w:val="24"/>
        </w:rPr>
      </w:pPr>
      <w:r>
        <w:rPr>
          <w:b/>
          <w:kern w:val="0"/>
          <w:sz w:val="24"/>
          <w:szCs w:val="24"/>
        </w:rPr>
        <w:t>第十八条</w:t>
      </w:r>
      <w:r>
        <w:rPr>
          <w:kern w:val="0"/>
          <w:sz w:val="24"/>
          <w:szCs w:val="24"/>
        </w:rPr>
        <w:t xml:space="preserve"> </w:t>
      </w:r>
      <w:r>
        <w:rPr>
          <w:rFonts w:hint="eastAsia"/>
          <w:kern w:val="0"/>
          <w:sz w:val="24"/>
          <w:szCs w:val="24"/>
        </w:rPr>
        <w:t xml:space="preserve"> </w:t>
      </w:r>
      <w:r>
        <w:rPr>
          <w:kern w:val="0"/>
          <w:sz w:val="24"/>
          <w:szCs w:val="24"/>
        </w:rPr>
        <w:t>党的农村基层组织应当加强对党员、群众的无神论宣传教育，引导党员、群众自觉抵制腐朽落后文化侵蚀，弘扬科学精神，普及科学知识。做好农村宗教工作，加强对信教群众的工作，管理好宗教活动场所，依法制止利用宗教干涉农村公共事务，坚决抵御非法宗教活动和境外渗透活动。必须在意识形态上站稳立场，旗帜鲜明反对各种错误观点，同一切歪风邪气、违法犯罪行为作斗争。</w:t>
      </w:r>
    </w:p>
    <w:p>
      <w:pPr>
        <w:pStyle w:val="63"/>
        <w:spacing w:before="218" w:after="218" w:line="412" w:lineRule="exact"/>
        <w:rPr>
          <w:kern w:val="0"/>
        </w:rPr>
      </w:pPr>
      <w:bookmarkStart w:id="1613" w:name="sub3133529_2_6"/>
      <w:bookmarkEnd w:id="1613"/>
      <w:r>
        <w:rPr>
          <w:rFonts w:hint="eastAsia"/>
        </w:rPr>
        <w:t>第六章</w:t>
      </w:r>
      <w:r>
        <w:rPr>
          <w:rFonts w:hint="eastAsia"/>
          <w:b/>
        </w:rPr>
        <w:t xml:space="preserve">  </w:t>
      </w:r>
      <w:r>
        <w:rPr>
          <w:kern w:val="0"/>
        </w:rPr>
        <w:t>乡村治理</w:t>
      </w:r>
    </w:p>
    <w:p>
      <w:pPr>
        <w:pStyle w:val="3"/>
        <w:topLinePunct/>
        <w:spacing w:line="412" w:lineRule="exact"/>
        <w:ind w:firstLine="482"/>
        <w:rPr>
          <w:kern w:val="0"/>
          <w:sz w:val="24"/>
          <w:szCs w:val="24"/>
        </w:rPr>
      </w:pPr>
      <w:r>
        <w:rPr>
          <w:b/>
          <w:kern w:val="0"/>
          <w:sz w:val="24"/>
          <w:szCs w:val="24"/>
        </w:rPr>
        <w:t>第十九条</w:t>
      </w:r>
      <w:r>
        <w:rPr>
          <w:kern w:val="0"/>
          <w:sz w:val="24"/>
          <w:szCs w:val="24"/>
        </w:rPr>
        <w:t xml:space="preserve"> </w:t>
      </w:r>
      <w:r>
        <w:rPr>
          <w:rFonts w:hint="eastAsia"/>
          <w:kern w:val="0"/>
          <w:sz w:val="24"/>
          <w:szCs w:val="24"/>
        </w:rPr>
        <w:t xml:space="preserve"> </w:t>
      </w:r>
      <w:r>
        <w:rPr>
          <w:kern w:val="0"/>
          <w:sz w:val="24"/>
          <w:szCs w:val="24"/>
        </w:rPr>
        <w:t>党的农村基层组织应当加强对各类组织的统一领导，打造充满活力、和谐有序的善治乡村，形成共建共治共享的乡村治理格局。</w:t>
      </w:r>
    </w:p>
    <w:p>
      <w:pPr>
        <w:pStyle w:val="3"/>
        <w:topLinePunct/>
        <w:spacing w:line="412" w:lineRule="exact"/>
        <w:ind w:firstLine="480"/>
        <w:rPr>
          <w:kern w:val="0"/>
          <w:sz w:val="24"/>
          <w:szCs w:val="24"/>
        </w:rPr>
      </w:pPr>
      <w:r>
        <w:rPr>
          <w:kern w:val="0"/>
          <w:sz w:val="24"/>
          <w:szCs w:val="24"/>
        </w:rPr>
        <w:t>村党组织书记应当通过法定程序担任村民委员会主任和村级集体经济组织、合作经济组织负责人，村“两委”班子成员应当交叉任职。村务监督委员会主任一般由党员担任，可以由非村民委员会成员的村党组织班子成员兼任。村民委员会成员、村民代表中党员应当占一定比例。</w:t>
      </w:r>
    </w:p>
    <w:p>
      <w:pPr>
        <w:pStyle w:val="3"/>
        <w:topLinePunct/>
        <w:spacing w:line="412" w:lineRule="exact"/>
        <w:ind w:firstLine="480"/>
        <w:rPr>
          <w:kern w:val="0"/>
          <w:sz w:val="24"/>
          <w:szCs w:val="24"/>
        </w:rPr>
      </w:pPr>
      <w:r>
        <w:rPr>
          <w:kern w:val="0"/>
          <w:sz w:val="24"/>
          <w:szCs w:val="24"/>
        </w:rPr>
        <w:t>村级重大事项决策实行“四议两公开”，即村党组织提议、村“两委”会议商议、党员大会审议、村民会议或者村民代表会议决议，决议公开、实施结果公开。</w:t>
      </w:r>
    </w:p>
    <w:p>
      <w:pPr>
        <w:pStyle w:val="3"/>
        <w:topLinePunct/>
        <w:spacing w:line="412" w:lineRule="exact"/>
        <w:ind w:firstLine="482"/>
        <w:rPr>
          <w:kern w:val="0"/>
          <w:sz w:val="24"/>
          <w:szCs w:val="24"/>
        </w:rPr>
      </w:pPr>
      <w:r>
        <w:rPr>
          <w:b/>
          <w:kern w:val="0"/>
          <w:sz w:val="24"/>
          <w:szCs w:val="24"/>
        </w:rPr>
        <w:t>第二十条</w:t>
      </w:r>
      <w:r>
        <w:rPr>
          <w:kern w:val="0"/>
          <w:sz w:val="24"/>
          <w:szCs w:val="24"/>
        </w:rPr>
        <w:t xml:space="preserve"> </w:t>
      </w:r>
      <w:r>
        <w:rPr>
          <w:rFonts w:hint="eastAsia"/>
          <w:kern w:val="0"/>
          <w:sz w:val="24"/>
          <w:szCs w:val="24"/>
        </w:rPr>
        <w:t xml:space="preserve"> </w:t>
      </w:r>
      <w:r>
        <w:rPr>
          <w:kern w:val="0"/>
          <w:sz w:val="24"/>
          <w:szCs w:val="24"/>
        </w:rPr>
        <w:t>党的农村基层组织应当健全党组织领导的自治、法治、德治相结合的乡村治理体系。深化村民自治实践，制定完善村规民约，建立健全村务监督委员会，加强村级民主监督。推广新时代“枫桥经验”，推进乡村法治建设，提升乡村德治水平，建设平安乡村。</w:t>
      </w:r>
    </w:p>
    <w:p>
      <w:pPr>
        <w:pStyle w:val="3"/>
        <w:topLinePunct/>
        <w:spacing w:line="412" w:lineRule="exact"/>
        <w:ind w:firstLine="480"/>
        <w:rPr>
          <w:kern w:val="0"/>
          <w:sz w:val="24"/>
          <w:szCs w:val="24"/>
        </w:rPr>
      </w:pPr>
      <w:r>
        <w:rPr>
          <w:kern w:val="0"/>
          <w:sz w:val="24"/>
          <w:szCs w:val="24"/>
        </w:rPr>
        <w:t>依法严厉打击农村黑恶势力、宗族恶势力、宗教极端势力、“村霸”，严防其侵蚀基层干部和基层政权。坚决惩治黑恶势力“保护伞”。</w:t>
      </w:r>
    </w:p>
    <w:p>
      <w:pPr>
        <w:pStyle w:val="3"/>
        <w:topLinePunct/>
        <w:spacing w:line="412" w:lineRule="exact"/>
        <w:ind w:firstLine="482"/>
        <w:rPr>
          <w:kern w:val="0"/>
          <w:sz w:val="24"/>
          <w:szCs w:val="24"/>
        </w:rPr>
      </w:pPr>
      <w:r>
        <w:rPr>
          <w:b/>
          <w:kern w:val="0"/>
          <w:sz w:val="24"/>
          <w:szCs w:val="24"/>
        </w:rPr>
        <w:t>第二十一条</w:t>
      </w:r>
      <w:r>
        <w:rPr>
          <w:rFonts w:hint="eastAsia"/>
          <w:b/>
          <w:kern w:val="0"/>
          <w:sz w:val="24"/>
          <w:szCs w:val="24"/>
        </w:rPr>
        <w:t xml:space="preserve"> </w:t>
      </w:r>
      <w:r>
        <w:rPr>
          <w:kern w:val="0"/>
          <w:sz w:val="24"/>
          <w:szCs w:val="24"/>
        </w:rPr>
        <w:t xml:space="preserve"> 党的农村基层组织应当加强农村生态文明建设，组织党员、群众参与山水林田湖草系统治理，加强污染防治，保护生态环境，建设美丽乡村。</w:t>
      </w:r>
    </w:p>
    <w:p>
      <w:pPr>
        <w:pStyle w:val="3"/>
        <w:topLinePunct/>
        <w:spacing w:line="412" w:lineRule="exact"/>
        <w:ind w:firstLine="482"/>
        <w:rPr>
          <w:kern w:val="0"/>
          <w:sz w:val="24"/>
          <w:szCs w:val="24"/>
        </w:rPr>
      </w:pPr>
      <w:r>
        <w:rPr>
          <w:b/>
          <w:kern w:val="0"/>
          <w:sz w:val="24"/>
          <w:szCs w:val="24"/>
        </w:rPr>
        <w:t>第二十二条</w:t>
      </w:r>
      <w:r>
        <w:rPr>
          <w:kern w:val="0"/>
          <w:sz w:val="24"/>
          <w:szCs w:val="24"/>
        </w:rPr>
        <w:t xml:space="preserve"> </w:t>
      </w:r>
      <w:r>
        <w:rPr>
          <w:rFonts w:hint="eastAsia"/>
          <w:kern w:val="0"/>
          <w:sz w:val="24"/>
          <w:szCs w:val="24"/>
        </w:rPr>
        <w:t xml:space="preserve"> </w:t>
      </w:r>
      <w:r>
        <w:rPr>
          <w:kern w:val="0"/>
          <w:sz w:val="24"/>
          <w:szCs w:val="24"/>
        </w:rPr>
        <w:t>党的农村基层组织应当保障和改善民生，努力解决入园入托、上学、就业、看病、养老、居住、出行、饮水等群众最关心最直接最现实的利益问题，加强对贫困人口、留守儿童和妇女、老年人、残疾人、“五保户”等人群的关爱服务。投放农村的公共服务资源，应当以乡镇、村党组织为主渠道落实，保证有资源、有能力为群众服务。</w:t>
      </w:r>
    </w:p>
    <w:p>
      <w:pPr>
        <w:pStyle w:val="3"/>
        <w:topLinePunct/>
        <w:spacing w:line="412" w:lineRule="exact"/>
        <w:ind w:firstLine="480"/>
        <w:rPr>
          <w:kern w:val="0"/>
          <w:sz w:val="24"/>
          <w:szCs w:val="24"/>
        </w:rPr>
      </w:pPr>
      <w:r>
        <w:rPr>
          <w:kern w:val="0"/>
          <w:sz w:val="24"/>
          <w:szCs w:val="24"/>
        </w:rPr>
        <w:t>注重运用现代信息技术，提升乡村治理智能化水平。</w:t>
      </w:r>
    </w:p>
    <w:p>
      <w:pPr>
        <w:pStyle w:val="63"/>
        <w:spacing w:before="218" w:after="218" w:line="412" w:lineRule="exact"/>
        <w:rPr>
          <w:kern w:val="0"/>
        </w:rPr>
      </w:pPr>
      <w:bookmarkStart w:id="1614" w:name="第七章"/>
      <w:bookmarkEnd w:id="1614"/>
      <w:bookmarkStart w:id="1615" w:name="sub3133529_2_7"/>
      <w:bookmarkEnd w:id="1615"/>
      <w:r>
        <w:rPr>
          <w:rFonts w:hint="eastAsia"/>
        </w:rPr>
        <w:t xml:space="preserve">第七章  </w:t>
      </w:r>
      <w:r>
        <w:rPr>
          <w:kern w:val="0"/>
        </w:rPr>
        <w:t>领导班子和干部队伍建设</w:t>
      </w:r>
    </w:p>
    <w:p>
      <w:pPr>
        <w:pStyle w:val="3"/>
        <w:topLinePunct/>
        <w:spacing w:line="412" w:lineRule="exact"/>
        <w:ind w:firstLine="482"/>
        <w:rPr>
          <w:kern w:val="0"/>
          <w:sz w:val="24"/>
          <w:szCs w:val="24"/>
        </w:rPr>
      </w:pPr>
      <w:r>
        <w:rPr>
          <w:b/>
          <w:kern w:val="0"/>
          <w:sz w:val="24"/>
          <w:szCs w:val="24"/>
        </w:rPr>
        <w:t>第二十三条</w:t>
      </w:r>
      <w:r>
        <w:rPr>
          <w:rFonts w:hint="eastAsia"/>
          <w:b/>
          <w:kern w:val="0"/>
          <w:sz w:val="24"/>
          <w:szCs w:val="24"/>
        </w:rPr>
        <w:t xml:space="preserve"> </w:t>
      </w:r>
      <w:r>
        <w:rPr>
          <w:kern w:val="0"/>
          <w:sz w:val="24"/>
          <w:szCs w:val="24"/>
        </w:rPr>
        <w:t xml:space="preserve"> 农村基层干部应当认真学习和忠实践行习近平新时代中国特色社会主义思想，学习党的基本理论、基本路线、基本方略，学习必备知识技能。懂农业，掌握“三农”政策，熟悉农村情况，有能力、有措施、有办法解决实际问题；爱农村，扎根农村基层，安身安心安业，甘于奉献、苦干实干；爱农民，对农民群众充满感情、始终放在心上，把农民群众的利益摆在第一位，与农民群众想在一起、干在一起，不断创造美好生活。</w:t>
      </w:r>
    </w:p>
    <w:p>
      <w:pPr>
        <w:pStyle w:val="3"/>
        <w:topLinePunct/>
        <w:spacing w:line="412" w:lineRule="exact"/>
        <w:ind w:firstLine="480"/>
        <w:rPr>
          <w:kern w:val="0"/>
          <w:sz w:val="24"/>
          <w:szCs w:val="24"/>
        </w:rPr>
      </w:pPr>
      <w:r>
        <w:rPr>
          <w:kern w:val="0"/>
          <w:sz w:val="24"/>
          <w:szCs w:val="24"/>
        </w:rPr>
        <w:t>各级党组织应当注重加强农村基层干部教育培训，不断提高素质。县级党委每年至少对村党组织书记培训1次。</w:t>
      </w:r>
    </w:p>
    <w:p>
      <w:pPr>
        <w:pStyle w:val="3"/>
        <w:topLinePunct/>
        <w:spacing w:line="412" w:lineRule="exact"/>
        <w:ind w:firstLine="482"/>
        <w:rPr>
          <w:kern w:val="0"/>
          <w:sz w:val="24"/>
          <w:szCs w:val="24"/>
        </w:rPr>
      </w:pPr>
      <w:r>
        <w:rPr>
          <w:b/>
          <w:kern w:val="0"/>
          <w:sz w:val="24"/>
          <w:szCs w:val="24"/>
        </w:rPr>
        <w:t>第二十四条</w:t>
      </w:r>
      <w:r>
        <w:rPr>
          <w:rFonts w:hint="eastAsia"/>
          <w:b/>
          <w:kern w:val="0"/>
          <w:sz w:val="24"/>
          <w:szCs w:val="24"/>
        </w:rPr>
        <w:t xml:space="preserve"> </w:t>
      </w:r>
      <w:r>
        <w:rPr>
          <w:kern w:val="0"/>
          <w:sz w:val="24"/>
          <w:szCs w:val="24"/>
        </w:rPr>
        <w:t xml:space="preserve"> 加强农村基层干部队伍作风建设。坚持实事求是，不准虚假浮夸；坚持依法办事，不准违法乱纪；坚持艰苦奋斗，不准奢侈浪费；坚持说服教育，不准强迫命令；坚持廉洁奉公，不准以权谋私。坚决反对形式主义、官僚主义、享乐主义和奢靡之风。</w:t>
      </w:r>
    </w:p>
    <w:p>
      <w:pPr>
        <w:pStyle w:val="3"/>
        <w:topLinePunct/>
        <w:spacing w:line="412" w:lineRule="exact"/>
        <w:ind w:firstLine="480"/>
        <w:rPr>
          <w:kern w:val="0"/>
          <w:sz w:val="24"/>
          <w:szCs w:val="24"/>
        </w:rPr>
      </w:pPr>
      <w:r>
        <w:rPr>
          <w:kern w:val="0"/>
          <w:sz w:val="24"/>
          <w:szCs w:val="24"/>
        </w:rPr>
        <w:t>严格农村基层干部管理监督，坚决纠正损害群众利益行为，严厉整治群众身边腐败问题。</w:t>
      </w:r>
    </w:p>
    <w:p>
      <w:pPr>
        <w:pStyle w:val="3"/>
        <w:topLinePunct/>
        <w:spacing w:line="412" w:lineRule="exact"/>
        <w:ind w:firstLine="482"/>
        <w:rPr>
          <w:kern w:val="0"/>
          <w:sz w:val="24"/>
          <w:szCs w:val="24"/>
        </w:rPr>
      </w:pPr>
      <w:r>
        <w:rPr>
          <w:b/>
          <w:kern w:val="0"/>
          <w:sz w:val="24"/>
          <w:szCs w:val="24"/>
        </w:rPr>
        <w:t>第二十五条</w:t>
      </w:r>
      <w:r>
        <w:rPr>
          <w:kern w:val="0"/>
          <w:sz w:val="24"/>
          <w:szCs w:val="24"/>
        </w:rPr>
        <w:t xml:space="preserve"> </w:t>
      </w:r>
      <w:r>
        <w:rPr>
          <w:rFonts w:hint="eastAsia"/>
          <w:kern w:val="0"/>
          <w:sz w:val="24"/>
          <w:szCs w:val="24"/>
        </w:rPr>
        <w:t xml:space="preserve"> </w:t>
      </w:r>
      <w:r>
        <w:rPr>
          <w:kern w:val="0"/>
          <w:sz w:val="24"/>
          <w:szCs w:val="24"/>
        </w:rPr>
        <w:t>乡镇党委领导班子应当由信念坚定、为民服务、勤政务实、敢于担当、清正廉洁，善于结合实际开展工作的党员干部组成。乡镇党委书记还应当具备一定的理论和政策水平，坚持依法办事，具有较强的组织协调能力、群众工作能力、处理农村复杂问题的能力，熟悉党务工作和“三农”工作，带头实干、敢抓敢管。</w:t>
      </w:r>
    </w:p>
    <w:p>
      <w:pPr>
        <w:pStyle w:val="3"/>
        <w:topLinePunct/>
        <w:spacing w:line="412" w:lineRule="exact"/>
        <w:ind w:firstLine="480"/>
        <w:rPr>
          <w:kern w:val="0"/>
          <w:sz w:val="24"/>
          <w:szCs w:val="24"/>
        </w:rPr>
      </w:pPr>
      <w:r>
        <w:rPr>
          <w:kern w:val="0"/>
          <w:sz w:val="24"/>
          <w:szCs w:val="24"/>
        </w:rPr>
        <w:t>注重从优秀村党组织书记、选调生、大学生村官、乡镇事业编制人员中选拔乡镇领导干部，从优秀村党组织书记中考录乡镇公务员、招聘乡镇事业编制人员。重视发现培养选拔优秀年轻干部、女干部和少数民族干部。</w:t>
      </w:r>
    </w:p>
    <w:p>
      <w:pPr>
        <w:pStyle w:val="3"/>
        <w:topLinePunct/>
        <w:spacing w:line="412" w:lineRule="exact"/>
        <w:ind w:firstLine="482"/>
        <w:rPr>
          <w:kern w:val="0"/>
          <w:sz w:val="24"/>
          <w:szCs w:val="24"/>
        </w:rPr>
      </w:pPr>
      <w:r>
        <w:rPr>
          <w:b/>
          <w:kern w:val="0"/>
          <w:sz w:val="24"/>
          <w:szCs w:val="24"/>
        </w:rPr>
        <w:t>第二十六条</w:t>
      </w:r>
      <w:r>
        <w:rPr>
          <w:kern w:val="0"/>
          <w:sz w:val="24"/>
          <w:szCs w:val="24"/>
        </w:rPr>
        <w:t xml:space="preserve"> </w:t>
      </w:r>
      <w:r>
        <w:rPr>
          <w:rFonts w:hint="eastAsia"/>
          <w:kern w:val="0"/>
          <w:sz w:val="24"/>
          <w:szCs w:val="24"/>
        </w:rPr>
        <w:t xml:space="preserve"> </w:t>
      </w:r>
      <w:r>
        <w:rPr>
          <w:kern w:val="0"/>
          <w:sz w:val="24"/>
          <w:szCs w:val="24"/>
        </w:rPr>
        <w:t>村党组织领导班子应当由思想政治素质好、道德品行好、带富能力强、协调能力强，公道正派、廉洁自律，热心为群众服务的党员组成。村党组织书记还应当具备一定的政策水平，坚持依法办事，善于做群众工作，甘于奉献、敢闯敢拼。</w:t>
      </w:r>
    </w:p>
    <w:p>
      <w:pPr>
        <w:pStyle w:val="3"/>
        <w:topLinePunct/>
        <w:spacing w:line="412" w:lineRule="exact"/>
        <w:ind w:firstLine="480"/>
        <w:rPr>
          <w:kern w:val="0"/>
          <w:sz w:val="24"/>
          <w:szCs w:val="24"/>
        </w:rPr>
      </w:pPr>
      <w:r>
        <w:rPr>
          <w:kern w:val="0"/>
          <w:sz w:val="24"/>
          <w:szCs w:val="24"/>
        </w:rPr>
        <w:t>村党组织书记应当注重从本村致富能手、外出务工经商返乡人员、本乡本土大学毕业生、退役军人中的党员培养选拔。每个村应当储备村级后备力量。</w:t>
      </w:r>
    </w:p>
    <w:p>
      <w:pPr>
        <w:pStyle w:val="3"/>
        <w:topLinePunct/>
        <w:spacing w:line="412" w:lineRule="exact"/>
        <w:ind w:firstLine="480"/>
        <w:rPr>
          <w:kern w:val="0"/>
          <w:sz w:val="24"/>
          <w:szCs w:val="24"/>
        </w:rPr>
      </w:pPr>
      <w:r>
        <w:rPr>
          <w:kern w:val="0"/>
          <w:sz w:val="24"/>
          <w:szCs w:val="24"/>
        </w:rPr>
        <w:t>村党组织书记由县级党委组织部门备案管理。</w:t>
      </w:r>
    </w:p>
    <w:p>
      <w:pPr>
        <w:pStyle w:val="3"/>
        <w:topLinePunct/>
        <w:spacing w:line="412" w:lineRule="exact"/>
        <w:ind w:firstLine="480"/>
        <w:rPr>
          <w:kern w:val="0"/>
          <w:sz w:val="24"/>
          <w:szCs w:val="24"/>
        </w:rPr>
      </w:pPr>
      <w:r>
        <w:rPr>
          <w:kern w:val="0"/>
          <w:sz w:val="24"/>
          <w:szCs w:val="24"/>
        </w:rPr>
        <w:t>根据工作需要，上级党组织可以向村党组织选派第一书记。</w:t>
      </w:r>
    </w:p>
    <w:p>
      <w:pPr>
        <w:pStyle w:val="3"/>
        <w:topLinePunct/>
        <w:spacing w:line="412" w:lineRule="exact"/>
        <w:ind w:firstLine="482"/>
        <w:rPr>
          <w:kern w:val="0"/>
          <w:sz w:val="24"/>
          <w:szCs w:val="24"/>
        </w:rPr>
      </w:pPr>
      <w:r>
        <w:rPr>
          <w:b/>
          <w:kern w:val="0"/>
          <w:sz w:val="24"/>
          <w:szCs w:val="24"/>
        </w:rPr>
        <w:t>第二十七条</w:t>
      </w:r>
      <w:r>
        <w:rPr>
          <w:kern w:val="0"/>
          <w:sz w:val="24"/>
          <w:szCs w:val="24"/>
        </w:rPr>
        <w:t xml:space="preserve"> </w:t>
      </w:r>
      <w:r>
        <w:rPr>
          <w:rFonts w:hint="eastAsia"/>
          <w:kern w:val="0"/>
          <w:sz w:val="24"/>
          <w:szCs w:val="24"/>
        </w:rPr>
        <w:t xml:space="preserve"> </w:t>
      </w:r>
      <w:r>
        <w:rPr>
          <w:kern w:val="0"/>
          <w:sz w:val="24"/>
          <w:szCs w:val="24"/>
        </w:rPr>
        <w:t>党的农村基层组织领导班子应当坚定执行党的政治路线。始终在政治立场、政治方向、政治原则、政治道路上同以习近平同志为核心的党中央保持高度一致，组织推进农村深化改革，促进各项事业发展，维护社会和谐稳定，不断增强群众获得感、幸福感、安全感。</w:t>
      </w:r>
    </w:p>
    <w:p>
      <w:pPr>
        <w:pStyle w:val="3"/>
        <w:topLinePunct/>
        <w:spacing w:line="412" w:lineRule="exact"/>
        <w:ind w:firstLine="482"/>
        <w:rPr>
          <w:kern w:val="0"/>
          <w:sz w:val="24"/>
          <w:szCs w:val="24"/>
        </w:rPr>
      </w:pPr>
      <w:r>
        <w:rPr>
          <w:b/>
          <w:kern w:val="0"/>
          <w:sz w:val="24"/>
          <w:szCs w:val="24"/>
        </w:rPr>
        <w:t>第二十八条</w:t>
      </w:r>
      <w:r>
        <w:rPr>
          <w:kern w:val="0"/>
          <w:sz w:val="24"/>
          <w:szCs w:val="24"/>
        </w:rPr>
        <w:t xml:space="preserve"> </w:t>
      </w:r>
      <w:r>
        <w:rPr>
          <w:rFonts w:hint="eastAsia"/>
          <w:kern w:val="0"/>
          <w:sz w:val="24"/>
          <w:szCs w:val="24"/>
        </w:rPr>
        <w:t xml:space="preserve"> </w:t>
      </w:r>
      <w:r>
        <w:rPr>
          <w:kern w:val="0"/>
          <w:sz w:val="24"/>
          <w:szCs w:val="24"/>
        </w:rPr>
        <w:t>党的农村基层组织领导班子应当贯彻党的思想路线。反映情况、安排工作、决定事项必须实事求是，一切从实际出发，说实话、办实事、求实效。</w:t>
      </w:r>
    </w:p>
    <w:p>
      <w:pPr>
        <w:pStyle w:val="3"/>
        <w:topLinePunct/>
        <w:spacing w:line="412" w:lineRule="exact"/>
        <w:ind w:firstLine="482"/>
        <w:rPr>
          <w:kern w:val="0"/>
          <w:sz w:val="24"/>
          <w:szCs w:val="24"/>
        </w:rPr>
      </w:pPr>
      <w:r>
        <w:rPr>
          <w:b/>
          <w:kern w:val="0"/>
          <w:sz w:val="24"/>
          <w:szCs w:val="24"/>
        </w:rPr>
        <w:t>第二十九条</w:t>
      </w:r>
      <w:r>
        <w:rPr>
          <w:kern w:val="0"/>
          <w:sz w:val="24"/>
          <w:szCs w:val="24"/>
        </w:rPr>
        <w:t xml:space="preserve"> </w:t>
      </w:r>
      <w:r>
        <w:rPr>
          <w:rFonts w:hint="eastAsia"/>
          <w:kern w:val="0"/>
          <w:sz w:val="24"/>
          <w:szCs w:val="24"/>
        </w:rPr>
        <w:t xml:space="preserve"> </w:t>
      </w:r>
      <w:r>
        <w:rPr>
          <w:kern w:val="0"/>
          <w:sz w:val="24"/>
          <w:szCs w:val="24"/>
        </w:rPr>
        <w:t>党的农村基层组织领导班子应当贯彻新时代党的组织路线。全面加强农村基层组织体系建设，建强战斗堡垒，把党员组织起来，把人才凝聚起来，把群众动员起来，合力推动新时代乡村全面振兴。</w:t>
      </w:r>
    </w:p>
    <w:p>
      <w:pPr>
        <w:pStyle w:val="3"/>
        <w:topLinePunct/>
        <w:spacing w:line="412" w:lineRule="exact"/>
        <w:ind w:firstLine="482"/>
        <w:rPr>
          <w:kern w:val="0"/>
          <w:sz w:val="24"/>
          <w:szCs w:val="24"/>
        </w:rPr>
      </w:pPr>
      <w:r>
        <w:rPr>
          <w:b/>
          <w:kern w:val="0"/>
          <w:sz w:val="24"/>
          <w:szCs w:val="24"/>
        </w:rPr>
        <w:t>第三十条</w:t>
      </w:r>
      <w:r>
        <w:rPr>
          <w:kern w:val="0"/>
          <w:sz w:val="24"/>
          <w:szCs w:val="24"/>
        </w:rPr>
        <w:t xml:space="preserve"> </w:t>
      </w:r>
      <w:r>
        <w:rPr>
          <w:rFonts w:hint="eastAsia"/>
          <w:kern w:val="0"/>
          <w:sz w:val="24"/>
          <w:szCs w:val="24"/>
        </w:rPr>
        <w:t xml:space="preserve"> </w:t>
      </w:r>
      <w:r>
        <w:rPr>
          <w:kern w:val="0"/>
          <w:sz w:val="24"/>
          <w:szCs w:val="24"/>
        </w:rPr>
        <w:t>党的农村基层组织领导班子应当贯彻党的群众路线。决定重大事项要同群众商量，布置工作任务要向群众讲清道理；经常听取群众意见，不断改进工作；关心群众生产生活，维护群众的合法权益，切实减轻群众负担。</w:t>
      </w:r>
    </w:p>
    <w:p>
      <w:pPr>
        <w:pStyle w:val="3"/>
        <w:topLinePunct/>
        <w:spacing w:line="412" w:lineRule="exact"/>
        <w:ind w:firstLine="482"/>
        <w:rPr>
          <w:kern w:val="0"/>
          <w:sz w:val="24"/>
          <w:szCs w:val="24"/>
        </w:rPr>
      </w:pPr>
      <w:r>
        <w:rPr>
          <w:b/>
          <w:kern w:val="0"/>
          <w:sz w:val="24"/>
          <w:szCs w:val="24"/>
        </w:rPr>
        <w:t>第三十一条</w:t>
      </w:r>
      <w:r>
        <w:rPr>
          <w:kern w:val="0"/>
          <w:sz w:val="24"/>
          <w:szCs w:val="24"/>
        </w:rPr>
        <w:t xml:space="preserve"> </w:t>
      </w:r>
      <w:r>
        <w:rPr>
          <w:rFonts w:hint="eastAsia"/>
          <w:kern w:val="0"/>
          <w:sz w:val="24"/>
          <w:szCs w:val="24"/>
        </w:rPr>
        <w:t xml:space="preserve"> </w:t>
      </w:r>
      <w:r>
        <w:rPr>
          <w:kern w:val="0"/>
          <w:sz w:val="24"/>
          <w:szCs w:val="24"/>
        </w:rPr>
        <w:t>党的农村基层组织领导班子应当贯彻党的民主集中制，认真执行集体领导和个人分工负责相结合的制度。凡属重要问题，必须经过集体讨论决定，不允许个人或者少数人说了算。书记应当有民主作风，善于发挥每个委员的作用，敢于负责。委员应当积极参与和维护集体领导，主动做好分工负责的工作。</w:t>
      </w:r>
    </w:p>
    <w:p>
      <w:pPr>
        <w:pStyle w:val="3"/>
        <w:topLinePunct/>
        <w:spacing w:line="412" w:lineRule="exact"/>
        <w:ind w:firstLine="482"/>
        <w:rPr>
          <w:kern w:val="0"/>
          <w:sz w:val="24"/>
          <w:szCs w:val="24"/>
        </w:rPr>
      </w:pPr>
      <w:r>
        <w:rPr>
          <w:b/>
          <w:kern w:val="0"/>
          <w:sz w:val="24"/>
          <w:szCs w:val="24"/>
        </w:rPr>
        <w:t>第三十二条</w:t>
      </w:r>
      <w:r>
        <w:rPr>
          <w:rFonts w:hint="eastAsia"/>
          <w:b/>
          <w:kern w:val="0"/>
          <w:sz w:val="24"/>
          <w:szCs w:val="24"/>
        </w:rPr>
        <w:t xml:space="preserve"> </w:t>
      </w:r>
      <w:r>
        <w:rPr>
          <w:kern w:val="0"/>
          <w:sz w:val="24"/>
          <w:szCs w:val="24"/>
        </w:rPr>
        <w:t xml:space="preserve"> 乡镇党委领导班子每年至少召开1次民主生活会，村党组织领导班子每年至少召开1次组织生活会，严肃认真地开展批评和自我批评，接受党员、群众的监督。</w:t>
      </w:r>
    </w:p>
    <w:p>
      <w:pPr>
        <w:pStyle w:val="63"/>
        <w:spacing w:before="218" w:after="218" w:line="412" w:lineRule="exact"/>
        <w:rPr>
          <w:kern w:val="0"/>
        </w:rPr>
      </w:pPr>
      <w:bookmarkStart w:id="1616" w:name="2-8"/>
      <w:bookmarkEnd w:id="1616"/>
      <w:bookmarkStart w:id="1617" w:name="2_8"/>
      <w:bookmarkEnd w:id="1617"/>
      <w:bookmarkStart w:id="1618" w:name="第八章"/>
      <w:bookmarkEnd w:id="1618"/>
      <w:bookmarkStart w:id="1619" w:name="sub3133529_2_8"/>
      <w:bookmarkEnd w:id="1619"/>
      <w:r>
        <w:rPr>
          <w:rFonts w:hint="eastAsia"/>
        </w:rPr>
        <w:t xml:space="preserve">第八章  </w:t>
      </w:r>
      <w:r>
        <w:rPr>
          <w:kern w:val="0"/>
        </w:rPr>
        <w:t>党员队伍建设</w:t>
      </w:r>
    </w:p>
    <w:p>
      <w:pPr>
        <w:pStyle w:val="3"/>
        <w:topLinePunct/>
        <w:spacing w:line="412" w:lineRule="exact"/>
        <w:ind w:firstLine="482"/>
        <w:rPr>
          <w:kern w:val="0"/>
          <w:sz w:val="24"/>
          <w:szCs w:val="24"/>
        </w:rPr>
      </w:pPr>
      <w:r>
        <w:rPr>
          <w:b/>
          <w:kern w:val="0"/>
          <w:sz w:val="24"/>
          <w:szCs w:val="24"/>
        </w:rPr>
        <w:t>第三十三条</w:t>
      </w:r>
      <w:r>
        <w:rPr>
          <w:kern w:val="0"/>
          <w:sz w:val="24"/>
          <w:szCs w:val="24"/>
        </w:rPr>
        <w:t xml:space="preserve"> </w:t>
      </w:r>
      <w:r>
        <w:rPr>
          <w:rFonts w:hint="eastAsia"/>
          <w:kern w:val="0"/>
          <w:sz w:val="24"/>
          <w:szCs w:val="24"/>
        </w:rPr>
        <w:t xml:space="preserve"> </w:t>
      </w:r>
      <w:r>
        <w:rPr>
          <w:kern w:val="0"/>
          <w:sz w:val="24"/>
          <w:szCs w:val="24"/>
        </w:rPr>
        <w:t>党的农村基层组织应当组织党员认真学习和忠实践行习近平新时代中国特色社会主义思想，推进“两学一做”学习教育常态化制度化，认真开展党内主题教育活动，学习党的基本理论、基本路线、基本方略，学习形势政策、科学文化、市场经济、党内法规和国家法律法规等知识。</w:t>
      </w:r>
    </w:p>
    <w:p>
      <w:pPr>
        <w:pStyle w:val="3"/>
        <w:topLinePunct/>
        <w:spacing w:line="412" w:lineRule="exact"/>
        <w:ind w:firstLine="480"/>
        <w:rPr>
          <w:kern w:val="0"/>
          <w:sz w:val="24"/>
          <w:szCs w:val="24"/>
        </w:rPr>
      </w:pPr>
      <w:r>
        <w:rPr>
          <w:kern w:val="0"/>
          <w:sz w:val="24"/>
          <w:szCs w:val="24"/>
        </w:rPr>
        <w:t>县、乡两级党委应当加强农村党员教育培训，建好用好乡镇党校、党员活动室，注重运用现代信息技术开展党员教育。乡镇党委每年至少对全体党员分期分批集中培训1次。</w:t>
      </w:r>
    </w:p>
    <w:p>
      <w:pPr>
        <w:pStyle w:val="3"/>
        <w:topLinePunct/>
        <w:spacing w:line="412" w:lineRule="exact"/>
        <w:ind w:firstLine="482"/>
        <w:rPr>
          <w:kern w:val="0"/>
          <w:sz w:val="24"/>
          <w:szCs w:val="24"/>
        </w:rPr>
      </w:pPr>
      <w:r>
        <w:rPr>
          <w:b/>
          <w:kern w:val="0"/>
          <w:sz w:val="24"/>
          <w:szCs w:val="24"/>
        </w:rPr>
        <w:t>第三十四条</w:t>
      </w:r>
      <w:r>
        <w:rPr>
          <w:kern w:val="0"/>
          <w:sz w:val="24"/>
          <w:szCs w:val="24"/>
        </w:rPr>
        <w:t xml:space="preserve"> </w:t>
      </w:r>
      <w:r>
        <w:rPr>
          <w:rFonts w:hint="eastAsia"/>
          <w:kern w:val="0"/>
          <w:sz w:val="24"/>
          <w:szCs w:val="24"/>
        </w:rPr>
        <w:t xml:space="preserve"> </w:t>
      </w:r>
      <w:r>
        <w:rPr>
          <w:kern w:val="0"/>
          <w:sz w:val="24"/>
          <w:szCs w:val="24"/>
        </w:rPr>
        <w:t>党的农村基层组织应当严格党的组织生活。坚持“三会一课”制度，村党组织应当以党支部为单位，每月相对固定1天开展主题党日，组织党员学习党的文件、上党课，开展民主议事、志愿服务等，突出党性锻炼，防止表面化、形式化。党员领导干部应当定期为基层党员讲党课。</w:t>
      </w:r>
    </w:p>
    <w:p>
      <w:pPr>
        <w:pStyle w:val="3"/>
        <w:topLinePunct/>
        <w:spacing w:line="412" w:lineRule="exact"/>
        <w:ind w:firstLine="480"/>
        <w:rPr>
          <w:kern w:val="0"/>
          <w:sz w:val="24"/>
          <w:szCs w:val="24"/>
        </w:rPr>
      </w:pPr>
      <w:r>
        <w:rPr>
          <w:kern w:val="0"/>
          <w:sz w:val="24"/>
          <w:szCs w:val="24"/>
        </w:rPr>
        <w:t>党支部应当经常开展谈心谈话。</w:t>
      </w:r>
    </w:p>
    <w:p>
      <w:pPr>
        <w:pStyle w:val="3"/>
        <w:topLinePunct/>
        <w:spacing w:line="412" w:lineRule="exact"/>
        <w:ind w:firstLine="482"/>
        <w:rPr>
          <w:kern w:val="0"/>
          <w:sz w:val="24"/>
          <w:szCs w:val="24"/>
        </w:rPr>
      </w:pPr>
      <w:r>
        <w:rPr>
          <w:b/>
          <w:kern w:val="0"/>
          <w:sz w:val="24"/>
          <w:szCs w:val="24"/>
        </w:rPr>
        <w:t>第三十五条</w:t>
      </w:r>
      <w:r>
        <w:rPr>
          <w:kern w:val="0"/>
          <w:sz w:val="24"/>
          <w:szCs w:val="24"/>
        </w:rPr>
        <w:t xml:space="preserve"> </w:t>
      </w:r>
      <w:r>
        <w:rPr>
          <w:rFonts w:hint="eastAsia"/>
          <w:kern w:val="0"/>
          <w:sz w:val="24"/>
          <w:szCs w:val="24"/>
        </w:rPr>
        <w:t xml:space="preserve"> </w:t>
      </w:r>
      <w:r>
        <w:rPr>
          <w:kern w:val="0"/>
          <w:sz w:val="24"/>
          <w:szCs w:val="24"/>
        </w:rPr>
        <w:t>党的农村基层组织应当坚持和完善民主评议党员制度。对优秀党员，进行表彰表扬；对不合格党员，加强教育帮助，依照有关规定，分别给予限期改正、劝其退党、党内除名等组织处置。</w:t>
      </w:r>
    </w:p>
    <w:p>
      <w:pPr>
        <w:pStyle w:val="3"/>
        <w:topLinePunct/>
        <w:spacing w:line="412" w:lineRule="exact"/>
        <w:ind w:firstLine="482"/>
        <w:rPr>
          <w:kern w:val="0"/>
          <w:sz w:val="24"/>
          <w:szCs w:val="24"/>
        </w:rPr>
      </w:pPr>
      <w:r>
        <w:rPr>
          <w:b/>
          <w:kern w:val="0"/>
          <w:sz w:val="24"/>
          <w:szCs w:val="24"/>
        </w:rPr>
        <w:t>第三十六条</w:t>
      </w:r>
      <w:r>
        <w:rPr>
          <w:kern w:val="0"/>
          <w:sz w:val="24"/>
          <w:szCs w:val="24"/>
        </w:rPr>
        <w:t xml:space="preserve"> </w:t>
      </w:r>
      <w:r>
        <w:rPr>
          <w:rFonts w:hint="eastAsia"/>
          <w:kern w:val="0"/>
          <w:sz w:val="24"/>
          <w:szCs w:val="24"/>
        </w:rPr>
        <w:t xml:space="preserve"> </w:t>
      </w:r>
      <w:r>
        <w:rPr>
          <w:kern w:val="0"/>
          <w:sz w:val="24"/>
          <w:szCs w:val="24"/>
        </w:rPr>
        <w:t>党的农村基层组织应当教育和监督党员履行义务，尊重和保障党员的各项权利。推进党务公开，使党员对党内事务有更多的了解和参与。</w:t>
      </w:r>
    </w:p>
    <w:p>
      <w:pPr>
        <w:pStyle w:val="3"/>
        <w:topLinePunct/>
        <w:spacing w:line="412" w:lineRule="exact"/>
        <w:ind w:firstLine="482"/>
        <w:rPr>
          <w:kern w:val="0"/>
          <w:sz w:val="24"/>
          <w:szCs w:val="24"/>
        </w:rPr>
      </w:pPr>
      <w:r>
        <w:rPr>
          <w:b/>
          <w:kern w:val="0"/>
          <w:sz w:val="24"/>
          <w:szCs w:val="24"/>
        </w:rPr>
        <w:t>第三十七条</w:t>
      </w:r>
      <w:r>
        <w:rPr>
          <w:kern w:val="0"/>
          <w:sz w:val="24"/>
          <w:szCs w:val="24"/>
        </w:rPr>
        <w:t xml:space="preserve"> </w:t>
      </w:r>
      <w:r>
        <w:rPr>
          <w:rFonts w:hint="eastAsia"/>
          <w:kern w:val="0"/>
          <w:sz w:val="24"/>
          <w:szCs w:val="24"/>
        </w:rPr>
        <w:t xml:space="preserve"> </w:t>
      </w:r>
      <w:r>
        <w:rPr>
          <w:kern w:val="0"/>
          <w:sz w:val="24"/>
          <w:szCs w:val="24"/>
        </w:rPr>
        <w:t>党的农村基层组织应当加强和改进流动党员教育管理。流入地党组织应当及时将外来党员编入党的支部和小组，组织他们参加组织生活和党的活动。流出地党组织应当加强对外出党员的经常联系，可以在外出党员相对集中的地方建立流动党员党组织。</w:t>
      </w:r>
    </w:p>
    <w:p>
      <w:pPr>
        <w:pStyle w:val="3"/>
        <w:topLinePunct/>
        <w:spacing w:line="412" w:lineRule="exact"/>
        <w:ind w:firstLine="480"/>
        <w:rPr>
          <w:kern w:val="0"/>
          <w:sz w:val="24"/>
          <w:szCs w:val="24"/>
        </w:rPr>
      </w:pPr>
      <w:r>
        <w:rPr>
          <w:kern w:val="0"/>
          <w:sz w:val="24"/>
          <w:szCs w:val="24"/>
        </w:rPr>
        <w:t>流动党员每半年至少向流出地党组织汇报1次在外情况。</w:t>
      </w:r>
    </w:p>
    <w:p>
      <w:pPr>
        <w:pStyle w:val="3"/>
        <w:topLinePunct/>
        <w:spacing w:line="412" w:lineRule="exact"/>
        <w:ind w:firstLine="482"/>
        <w:rPr>
          <w:kern w:val="0"/>
          <w:sz w:val="24"/>
          <w:szCs w:val="24"/>
        </w:rPr>
      </w:pPr>
      <w:r>
        <w:rPr>
          <w:b/>
          <w:kern w:val="0"/>
          <w:sz w:val="24"/>
          <w:szCs w:val="24"/>
        </w:rPr>
        <w:t>第三十八条</w:t>
      </w:r>
      <w:r>
        <w:rPr>
          <w:kern w:val="0"/>
          <w:sz w:val="24"/>
          <w:szCs w:val="24"/>
        </w:rPr>
        <w:t xml:space="preserve"> </w:t>
      </w:r>
      <w:r>
        <w:rPr>
          <w:rFonts w:hint="eastAsia"/>
          <w:kern w:val="0"/>
          <w:sz w:val="24"/>
          <w:szCs w:val="24"/>
        </w:rPr>
        <w:t xml:space="preserve"> </w:t>
      </w:r>
      <w:r>
        <w:rPr>
          <w:kern w:val="0"/>
          <w:sz w:val="24"/>
          <w:szCs w:val="24"/>
        </w:rPr>
        <w:t>党的农村基层组织应当严格执行党的纪律。经常对党员进行遵纪守法教育。党员违犯党的纪律，应当及时教育或者处理，问题严重的应当向上级党组织报告。对于受到党的纪律处分的，应当加强教育，帮助其改正错误。</w:t>
      </w:r>
    </w:p>
    <w:p>
      <w:pPr>
        <w:pStyle w:val="3"/>
        <w:topLinePunct/>
        <w:spacing w:line="412" w:lineRule="exact"/>
        <w:ind w:firstLine="482"/>
        <w:rPr>
          <w:kern w:val="0"/>
          <w:sz w:val="24"/>
          <w:szCs w:val="24"/>
        </w:rPr>
      </w:pPr>
      <w:r>
        <w:rPr>
          <w:b/>
          <w:kern w:val="0"/>
          <w:sz w:val="24"/>
          <w:szCs w:val="24"/>
        </w:rPr>
        <w:t>第三十九条</w:t>
      </w:r>
      <w:r>
        <w:rPr>
          <w:kern w:val="0"/>
          <w:sz w:val="24"/>
          <w:szCs w:val="24"/>
        </w:rPr>
        <w:t xml:space="preserve"> </w:t>
      </w:r>
      <w:r>
        <w:rPr>
          <w:rFonts w:hint="eastAsia"/>
          <w:kern w:val="0"/>
          <w:sz w:val="24"/>
          <w:szCs w:val="24"/>
        </w:rPr>
        <w:t xml:space="preserve"> </w:t>
      </w:r>
      <w:r>
        <w:rPr>
          <w:kern w:val="0"/>
          <w:sz w:val="24"/>
          <w:szCs w:val="24"/>
        </w:rPr>
        <w:t>党的农村基层组织应当按照控制总量、优化结构、提高质量、发挥作用的总要求和有关规定，把政治标准放在首位，做好发展党员工作。注重从青年农民、农村外出务工人员中发展党员，注意吸收妇女入党。</w:t>
      </w:r>
    </w:p>
    <w:p>
      <w:pPr>
        <w:pStyle w:val="3"/>
        <w:topLinePunct/>
        <w:spacing w:line="412" w:lineRule="exact"/>
        <w:ind w:firstLine="480"/>
        <w:rPr>
          <w:kern w:val="0"/>
          <w:sz w:val="24"/>
          <w:szCs w:val="24"/>
        </w:rPr>
      </w:pPr>
      <w:r>
        <w:rPr>
          <w:kern w:val="0"/>
          <w:sz w:val="24"/>
          <w:szCs w:val="24"/>
        </w:rPr>
        <w:t>村级党组织发展党员必须经过乡镇党委审批。</w:t>
      </w:r>
    </w:p>
    <w:p>
      <w:pPr>
        <w:pStyle w:val="3"/>
        <w:topLinePunct/>
        <w:spacing w:line="412" w:lineRule="exact"/>
        <w:ind w:firstLine="482"/>
        <w:rPr>
          <w:kern w:val="0"/>
          <w:sz w:val="24"/>
          <w:szCs w:val="24"/>
        </w:rPr>
      </w:pPr>
      <w:r>
        <w:rPr>
          <w:b/>
          <w:kern w:val="0"/>
          <w:sz w:val="24"/>
          <w:szCs w:val="24"/>
        </w:rPr>
        <w:t>第四十条</w:t>
      </w:r>
      <w:r>
        <w:rPr>
          <w:kern w:val="0"/>
          <w:sz w:val="24"/>
          <w:szCs w:val="24"/>
        </w:rPr>
        <w:t xml:space="preserve"> </w:t>
      </w:r>
      <w:r>
        <w:rPr>
          <w:rFonts w:hint="eastAsia"/>
          <w:kern w:val="0"/>
          <w:sz w:val="24"/>
          <w:szCs w:val="24"/>
        </w:rPr>
        <w:t xml:space="preserve"> </w:t>
      </w:r>
      <w:r>
        <w:rPr>
          <w:kern w:val="0"/>
          <w:sz w:val="24"/>
          <w:szCs w:val="24"/>
        </w:rPr>
        <w:t>农村党员应当在社会主义物质文明建设和精神文明建设中发挥先锋模范作用，带头投身乡村振兴，带领群众共同致富。</w:t>
      </w:r>
    </w:p>
    <w:p>
      <w:pPr>
        <w:pStyle w:val="3"/>
        <w:topLinePunct/>
        <w:spacing w:line="412" w:lineRule="exact"/>
        <w:ind w:firstLine="480"/>
        <w:rPr>
          <w:kern w:val="0"/>
          <w:sz w:val="24"/>
          <w:szCs w:val="24"/>
        </w:rPr>
      </w:pPr>
      <w:r>
        <w:rPr>
          <w:kern w:val="0"/>
          <w:sz w:val="24"/>
          <w:szCs w:val="24"/>
        </w:rPr>
        <w:t>党的农村基层组织应当组织开展党员联系农户、党员户挂牌、承诺践诺、设岗定责等活动，给党员分配适当的社会工作和群众工作，为党员发挥作用创造条件。</w:t>
      </w:r>
    </w:p>
    <w:p>
      <w:pPr>
        <w:pStyle w:val="63"/>
        <w:spacing w:before="218" w:after="218" w:line="412" w:lineRule="exact"/>
        <w:rPr>
          <w:kern w:val="0"/>
        </w:rPr>
      </w:pPr>
      <w:bookmarkStart w:id="1620" w:name="sub3133529_2_9"/>
      <w:bookmarkEnd w:id="1620"/>
      <w:bookmarkStart w:id="1621" w:name="第九章"/>
      <w:bookmarkEnd w:id="1621"/>
      <w:bookmarkStart w:id="1622" w:name="2_9"/>
      <w:bookmarkEnd w:id="1622"/>
      <w:bookmarkStart w:id="1623" w:name="2-9"/>
      <w:bookmarkEnd w:id="1623"/>
      <w:r>
        <w:rPr>
          <w:rFonts w:hint="eastAsia"/>
        </w:rPr>
        <w:t xml:space="preserve">第九章  </w:t>
      </w:r>
      <w:r>
        <w:rPr>
          <w:kern w:val="0"/>
        </w:rPr>
        <w:t>领导和保障</w:t>
      </w:r>
    </w:p>
    <w:p>
      <w:pPr>
        <w:pStyle w:val="3"/>
        <w:topLinePunct/>
        <w:spacing w:line="412" w:lineRule="exact"/>
        <w:ind w:firstLine="482"/>
        <w:rPr>
          <w:kern w:val="0"/>
          <w:sz w:val="24"/>
          <w:szCs w:val="24"/>
        </w:rPr>
      </w:pPr>
      <w:r>
        <w:rPr>
          <w:b/>
          <w:kern w:val="0"/>
          <w:sz w:val="24"/>
          <w:szCs w:val="24"/>
        </w:rPr>
        <w:t>第四十一条</w:t>
      </w:r>
      <w:r>
        <w:rPr>
          <w:rFonts w:hint="eastAsia"/>
          <w:b/>
          <w:kern w:val="0"/>
          <w:sz w:val="24"/>
          <w:szCs w:val="24"/>
        </w:rPr>
        <w:t xml:space="preserve"> </w:t>
      </w:r>
      <w:r>
        <w:rPr>
          <w:kern w:val="0"/>
          <w:sz w:val="24"/>
          <w:szCs w:val="24"/>
        </w:rPr>
        <w:t xml:space="preserve"> 各级党委特别是县级党委应当高度重视党的农村基层组织建设，认真履行主体责任。</w:t>
      </w:r>
    </w:p>
    <w:p>
      <w:pPr>
        <w:pStyle w:val="3"/>
        <w:topLinePunct/>
        <w:spacing w:line="412" w:lineRule="exact"/>
        <w:ind w:firstLine="480"/>
        <w:rPr>
          <w:kern w:val="0"/>
          <w:sz w:val="24"/>
          <w:szCs w:val="24"/>
        </w:rPr>
      </w:pPr>
      <w:r>
        <w:rPr>
          <w:kern w:val="0"/>
          <w:sz w:val="24"/>
          <w:szCs w:val="24"/>
        </w:rPr>
        <w:t>党的农村基层组织建设情况应当作为市县乡党委书记抓基层党建述职评议考核的重要内容，纳入巡视巡察工作内容，作为领导班子综合评价和领导干部选拔任用的重要依据。县级党委组织部门应当以足够精力抓好党的农村基层组织建设。</w:t>
      </w:r>
    </w:p>
    <w:p>
      <w:pPr>
        <w:pStyle w:val="3"/>
        <w:topLinePunct/>
        <w:spacing w:line="412" w:lineRule="exact"/>
        <w:ind w:firstLine="480"/>
        <w:rPr>
          <w:kern w:val="0"/>
          <w:sz w:val="24"/>
          <w:szCs w:val="24"/>
        </w:rPr>
      </w:pPr>
      <w:r>
        <w:rPr>
          <w:kern w:val="0"/>
          <w:sz w:val="24"/>
          <w:szCs w:val="24"/>
        </w:rPr>
        <w:t>对党的农村基层组织建设重视不够、落实不力的，应当及时提醒、约谈；出现严重问题的，应当严肃问责追责。督促抓好问题的整改落实。</w:t>
      </w:r>
    </w:p>
    <w:p>
      <w:pPr>
        <w:pStyle w:val="3"/>
        <w:topLinePunct/>
        <w:spacing w:line="412" w:lineRule="exact"/>
        <w:ind w:firstLine="482"/>
        <w:rPr>
          <w:kern w:val="0"/>
          <w:sz w:val="24"/>
          <w:szCs w:val="24"/>
        </w:rPr>
      </w:pPr>
      <w:r>
        <w:rPr>
          <w:b/>
          <w:kern w:val="0"/>
          <w:sz w:val="24"/>
          <w:szCs w:val="24"/>
        </w:rPr>
        <w:t>第四十二条</w:t>
      </w:r>
      <w:r>
        <w:rPr>
          <w:kern w:val="0"/>
          <w:sz w:val="24"/>
          <w:szCs w:val="24"/>
        </w:rPr>
        <w:t xml:space="preserve"> </w:t>
      </w:r>
      <w:r>
        <w:rPr>
          <w:rFonts w:hint="eastAsia"/>
          <w:kern w:val="0"/>
          <w:sz w:val="24"/>
          <w:szCs w:val="24"/>
        </w:rPr>
        <w:t xml:space="preserve"> </w:t>
      </w:r>
      <w:r>
        <w:rPr>
          <w:kern w:val="0"/>
          <w:sz w:val="24"/>
          <w:szCs w:val="24"/>
        </w:rPr>
        <w:t>各级党委特别是县级党委应当坚持抓乡促村，持续加强基本队伍、基本活动、基本阵地、基本制度、基本保障建设，整顿软弱涣散村党组织，整乡推进、整县提升。</w:t>
      </w:r>
    </w:p>
    <w:p>
      <w:pPr>
        <w:pStyle w:val="3"/>
        <w:topLinePunct/>
        <w:spacing w:line="412" w:lineRule="exact"/>
        <w:ind w:firstLine="480"/>
        <w:rPr>
          <w:kern w:val="0"/>
          <w:sz w:val="24"/>
          <w:szCs w:val="24"/>
        </w:rPr>
      </w:pPr>
      <w:r>
        <w:rPr>
          <w:kern w:val="0"/>
          <w:sz w:val="24"/>
          <w:szCs w:val="24"/>
        </w:rPr>
        <w:t>乡镇党委应当全面落实抓村级组织建设的直接责任。乡镇党委书记和党委领导班子其他成员应当包村联户，经常沉下去摸情况、查问题，及时研究解决。</w:t>
      </w:r>
    </w:p>
    <w:p>
      <w:pPr>
        <w:pStyle w:val="3"/>
        <w:topLinePunct/>
        <w:spacing w:line="412" w:lineRule="exact"/>
        <w:ind w:firstLine="482"/>
        <w:rPr>
          <w:kern w:val="0"/>
          <w:sz w:val="24"/>
          <w:szCs w:val="24"/>
        </w:rPr>
      </w:pPr>
      <w:r>
        <w:rPr>
          <w:b/>
          <w:kern w:val="0"/>
          <w:sz w:val="24"/>
          <w:szCs w:val="24"/>
        </w:rPr>
        <w:t>第四十三条</w:t>
      </w:r>
      <w:r>
        <w:rPr>
          <w:kern w:val="0"/>
          <w:sz w:val="24"/>
          <w:szCs w:val="24"/>
        </w:rPr>
        <w:t xml:space="preserve"> </w:t>
      </w:r>
      <w:r>
        <w:rPr>
          <w:rFonts w:hint="eastAsia"/>
          <w:kern w:val="0"/>
          <w:sz w:val="24"/>
          <w:szCs w:val="24"/>
        </w:rPr>
        <w:t xml:space="preserve"> </w:t>
      </w:r>
      <w:r>
        <w:rPr>
          <w:kern w:val="0"/>
          <w:sz w:val="24"/>
          <w:szCs w:val="24"/>
        </w:rPr>
        <w:t>乡镇工作机构设置和人员配备，应当坚持加强服务、密切联系群众、治理重心下移的原则，构建权责相称、简约高效的基层管理体制，保证乡镇工作力量。乡镇应当设立党建工作办公室或者党建工作站，配备专职组织员，配强党务力量。加强乡镇小食堂、小厕所、小澡堂、小图书室、小文体活动室和周转房建设，改善乡镇干部工作和生活条件。</w:t>
      </w:r>
    </w:p>
    <w:p>
      <w:pPr>
        <w:pStyle w:val="3"/>
        <w:topLinePunct/>
        <w:spacing w:line="412" w:lineRule="exact"/>
        <w:ind w:firstLine="482"/>
        <w:rPr>
          <w:kern w:val="0"/>
          <w:sz w:val="24"/>
          <w:szCs w:val="24"/>
        </w:rPr>
      </w:pPr>
      <w:r>
        <w:rPr>
          <w:b/>
          <w:kern w:val="0"/>
          <w:sz w:val="24"/>
          <w:szCs w:val="24"/>
        </w:rPr>
        <w:t>第四十四条</w:t>
      </w:r>
      <w:r>
        <w:rPr>
          <w:rFonts w:hint="eastAsia"/>
          <w:b/>
          <w:kern w:val="0"/>
          <w:sz w:val="24"/>
          <w:szCs w:val="24"/>
        </w:rPr>
        <w:t xml:space="preserve"> </w:t>
      </w:r>
      <w:r>
        <w:rPr>
          <w:kern w:val="0"/>
          <w:sz w:val="24"/>
          <w:szCs w:val="24"/>
        </w:rPr>
        <w:t xml:space="preserve"> 各级党委应当健全以财政投入为主的稳定的村级组织运转经费保障制度，建立正常增长机制。落实村干部基本报酬，发放人数和标准应当依据有关规定、从实际出发合理确定，保障正常离任村干部生活补贴。落实村级组织办公经费、服务群众经费、党员活动经费。建好管好用好村级组织活动场所，整合利用各类资源，规范标识、挂牌，发挥“一室多用”的综合功能，服务凝聚群众，教育引导群众。</w:t>
      </w:r>
    </w:p>
    <w:p>
      <w:pPr>
        <w:pStyle w:val="3"/>
        <w:topLinePunct/>
        <w:spacing w:line="412" w:lineRule="exact"/>
        <w:ind w:firstLine="482"/>
        <w:rPr>
          <w:kern w:val="0"/>
          <w:sz w:val="24"/>
          <w:szCs w:val="24"/>
        </w:rPr>
      </w:pPr>
      <w:r>
        <w:rPr>
          <w:b/>
          <w:kern w:val="0"/>
          <w:sz w:val="24"/>
          <w:szCs w:val="24"/>
        </w:rPr>
        <w:t>第四十五条</w:t>
      </w:r>
      <w:r>
        <w:rPr>
          <w:kern w:val="0"/>
          <w:sz w:val="24"/>
          <w:szCs w:val="24"/>
        </w:rPr>
        <w:t xml:space="preserve"> </w:t>
      </w:r>
      <w:r>
        <w:rPr>
          <w:rFonts w:hint="eastAsia"/>
          <w:kern w:val="0"/>
          <w:sz w:val="24"/>
          <w:szCs w:val="24"/>
        </w:rPr>
        <w:t xml:space="preserve"> </w:t>
      </w:r>
      <w:r>
        <w:rPr>
          <w:kern w:val="0"/>
          <w:sz w:val="24"/>
          <w:szCs w:val="24"/>
        </w:rPr>
        <w:t>各级党组织应当满怀热情关心关爱农村基层干部和党员，政治上激励、工作上支持、待遇上保障、心理上关怀，宣传表彰优秀农村基层干部先进典型，彰显榜样力量，激励新担当新作为。</w:t>
      </w:r>
      <w:r>
        <w:rPr>
          <w:kern w:val="0"/>
          <w:sz w:val="24"/>
          <w:szCs w:val="24"/>
          <w:vertAlign w:val="superscript"/>
        </w:rPr>
        <w:t> [1]</w:t>
      </w:r>
    </w:p>
    <w:p>
      <w:pPr>
        <w:pStyle w:val="63"/>
        <w:spacing w:before="218" w:after="218" w:line="412" w:lineRule="exact"/>
        <w:rPr>
          <w:kern w:val="0"/>
        </w:rPr>
      </w:pPr>
      <w:bookmarkStart w:id="1624" w:name="2-10"/>
      <w:bookmarkEnd w:id="1624"/>
      <w:bookmarkStart w:id="1625" w:name="第十章"/>
      <w:bookmarkEnd w:id="1625"/>
      <w:bookmarkStart w:id="1626" w:name="sub3133529_2_10"/>
      <w:bookmarkEnd w:id="1626"/>
      <w:bookmarkStart w:id="1627" w:name="2_10"/>
      <w:bookmarkEnd w:id="1627"/>
      <w:r>
        <w:rPr>
          <w:rFonts w:hint="eastAsia"/>
        </w:rPr>
        <w:t xml:space="preserve">第十章  </w:t>
      </w:r>
      <w:r>
        <w:rPr>
          <w:kern w:val="0"/>
        </w:rPr>
        <w:t>附</w:t>
      </w:r>
      <w:r>
        <w:rPr>
          <w:rFonts w:hint="eastAsia"/>
          <w:kern w:val="0"/>
        </w:rPr>
        <w:t xml:space="preserve">  </w:t>
      </w:r>
      <w:r>
        <w:rPr>
          <w:kern w:val="0"/>
        </w:rPr>
        <w:t>则</w:t>
      </w:r>
    </w:p>
    <w:p>
      <w:pPr>
        <w:pStyle w:val="3"/>
        <w:topLinePunct/>
        <w:spacing w:line="412" w:lineRule="exact"/>
        <w:ind w:firstLine="482"/>
        <w:rPr>
          <w:kern w:val="0"/>
          <w:sz w:val="24"/>
          <w:szCs w:val="24"/>
        </w:rPr>
      </w:pPr>
      <w:r>
        <w:rPr>
          <w:b/>
          <w:kern w:val="0"/>
          <w:sz w:val="24"/>
          <w:szCs w:val="24"/>
        </w:rPr>
        <w:t>第四十六条</w:t>
      </w:r>
      <w:r>
        <w:rPr>
          <w:kern w:val="0"/>
          <w:sz w:val="24"/>
          <w:szCs w:val="24"/>
        </w:rPr>
        <w:t xml:space="preserve"> </w:t>
      </w:r>
      <w:r>
        <w:rPr>
          <w:rFonts w:hint="eastAsia"/>
          <w:kern w:val="0"/>
          <w:sz w:val="24"/>
          <w:szCs w:val="24"/>
        </w:rPr>
        <w:t xml:space="preserve"> </w:t>
      </w:r>
      <w:r>
        <w:rPr>
          <w:kern w:val="0"/>
          <w:sz w:val="24"/>
          <w:szCs w:val="24"/>
        </w:rPr>
        <w:t>省、自治区、直辖市党委可以根据本条例，结合本地区情况制定实施办法。</w:t>
      </w:r>
    </w:p>
    <w:p>
      <w:pPr>
        <w:pStyle w:val="3"/>
        <w:topLinePunct/>
        <w:spacing w:line="412" w:lineRule="exact"/>
        <w:ind w:firstLine="482"/>
        <w:rPr>
          <w:kern w:val="0"/>
          <w:sz w:val="24"/>
          <w:szCs w:val="24"/>
        </w:rPr>
      </w:pPr>
      <w:r>
        <w:rPr>
          <w:b/>
          <w:kern w:val="0"/>
          <w:sz w:val="24"/>
          <w:szCs w:val="24"/>
        </w:rPr>
        <w:t>第四十七条</w:t>
      </w:r>
      <w:r>
        <w:rPr>
          <w:kern w:val="0"/>
          <w:sz w:val="24"/>
          <w:szCs w:val="24"/>
        </w:rPr>
        <w:t xml:space="preserve"> </w:t>
      </w:r>
      <w:r>
        <w:rPr>
          <w:rFonts w:hint="eastAsia"/>
          <w:kern w:val="0"/>
          <w:sz w:val="24"/>
          <w:szCs w:val="24"/>
        </w:rPr>
        <w:t xml:space="preserve"> </w:t>
      </w:r>
      <w:r>
        <w:rPr>
          <w:kern w:val="0"/>
          <w:sz w:val="24"/>
          <w:szCs w:val="24"/>
        </w:rPr>
        <w:t>本条例由中共中央组织部负责解释。</w:t>
      </w:r>
    </w:p>
    <w:p>
      <w:pPr>
        <w:pStyle w:val="3"/>
        <w:topLinePunct/>
        <w:spacing w:line="412" w:lineRule="exact"/>
        <w:ind w:firstLine="482"/>
        <w:rPr>
          <w:kern w:val="0"/>
          <w:sz w:val="24"/>
          <w:szCs w:val="24"/>
        </w:rPr>
      </w:pPr>
      <w:r>
        <w:rPr>
          <w:b/>
          <w:kern w:val="0"/>
          <w:sz w:val="24"/>
          <w:szCs w:val="24"/>
        </w:rPr>
        <w:t>第四十八条</w:t>
      </w:r>
      <w:r>
        <w:rPr>
          <w:rFonts w:hint="eastAsia"/>
          <w:b/>
          <w:kern w:val="0"/>
          <w:sz w:val="24"/>
          <w:szCs w:val="24"/>
        </w:rPr>
        <w:t xml:space="preserve"> </w:t>
      </w:r>
      <w:r>
        <w:rPr>
          <w:kern w:val="0"/>
          <w:sz w:val="24"/>
          <w:szCs w:val="24"/>
        </w:rPr>
        <w:t xml:space="preserve"> 本条例自2018年12月28日起施行。1999年2月13日中共中央印发的《中国共产党农村基层组织工作条例》同时废止</w:t>
      </w:r>
      <w:r>
        <w:rPr>
          <w:rFonts w:hint="eastAsia"/>
          <w:kern w:val="0"/>
          <w:sz w:val="24"/>
          <w:szCs w:val="24"/>
        </w:rPr>
        <w:t>。</w:t>
      </w:r>
    </w:p>
    <w:p>
      <w:pPr>
        <w:topLinePunct/>
        <w:spacing w:beforeLines="0" w:afterLines="0" w:line="416" w:lineRule="exact"/>
        <w:ind w:firstLine="480" w:firstLineChars="200"/>
        <w:rPr>
          <w:rFonts w:ascii="Times New Roman" w:hAnsi="Times New Roman" w:eastAsia="宋体" w:cs="Times New Roman"/>
          <w:kern w:val="0"/>
          <w:sz w:val="24"/>
          <w:szCs w:val="24"/>
        </w:rPr>
      </w:pPr>
      <w:r>
        <w:rPr>
          <w:kern w:val="0"/>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rPr>
          <w:shd w:val="clear" w:color="auto" w:fill="FFFFFF"/>
        </w:rPr>
      </w:pPr>
      <w:bookmarkStart w:id="1628" w:name="_Toc28251028"/>
      <w:bookmarkStart w:id="1629" w:name="_Toc26348078"/>
      <w:bookmarkStart w:id="1630" w:name="_Toc28252311"/>
      <w:bookmarkStart w:id="1631" w:name="_Toc25653825"/>
      <w:bookmarkStart w:id="1632" w:name="_Toc25648324"/>
      <w:bookmarkStart w:id="1633" w:name="_Toc28157100"/>
      <w:r>
        <w:rPr>
          <w:shd w:val="clear" w:color="auto" w:fill="FFFFFF"/>
        </w:rPr>
        <w:t>中华人民共和国村民委员会组织法</w:t>
      </w:r>
      <w:bookmarkEnd w:id="1628"/>
      <w:bookmarkEnd w:id="1629"/>
      <w:bookmarkEnd w:id="1630"/>
      <w:bookmarkEnd w:id="1631"/>
      <w:bookmarkEnd w:id="1632"/>
      <w:bookmarkEnd w:id="1633"/>
    </w:p>
    <w:p>
      <w:pPr>
        <w:pStyle w:val="62"/>
      </w:pPr>
      <w:r>
        <w:rPr>
          <w:shd w:val="clear" w:color="auto" w:fill="FFFFFF"/>
        </w:rPr>
        <w:t>（1998年11月4日第九届全国人民代表大会常务委员会第五次会议通过，根据2018年12月29日第十三届全国人民代表大会常务委员会第七次会议通过的全国人民代表大会常务委员会关于修改《中华人民共和国村民委员会组织法》的决定修订）</w:t>
      </w:r>
    </w:p>
    <w:p>
      <w:pPr>
        <w:pStyle w:val="63"/>
        <w:spacing w:before="218" w:after="218" w:line="412" w:lineRule="exact"/>
        <w:rPr>
          <w:kern w:val="0"/>
        </w:rPr>
      </w:pPr>
      <w:r>
        <w:rPr>
          <w:rFonts w:hint="eastAsia"/>
          <w:kern w:val="0"/>
        </w:rPr>
        <w:t xml:space="preserve">第一章  </w:t>
      </w:r>
      <w:r>
        <w:rPr>
          <w:kern w:val="0"/>
        </w:rPr>
        <w:t>总</w:t>
      </w:r>
      <w:r>
        <w:rPr>
          <w:rFonts w:hint="eastAsia"/>
          <w:kern w:val="0"/>
        </w:rPr>
        <w:t xml:space="preserve">  </w:t>
      </w:r>
      <w:r>
        <w:rPr>
          <w:kern w:val="0"/>
        </w:rP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第一条</w:t>
      </w:r>
      <w:r>
        <w:rPr>
          <w:rFonts w:asciiTheme="minorEastAsia" w:hAnsiTheme="minorEastAsia" w:eastAsiaTheme="minorEastAsia"/>
          <w:kern w:val="0"/>
          <w:sz w:val="24"/>
          <w:szCs w:val="24"/>
        </w:rPr>
        <w:t xml:space="preserve">  为了保障</w:t>
      </w:r>
      <w:r>
        <w:fldChar w:fldCharType="begin"/>
      </w:r>
      <w:r>
        <w:instrText xml:space="preserve"> HYPERLINK "https://baike.baidu.com/item/%E5%86%9C%E6%9D%91" \t "_blank" </w:instrText>
      </w:r>
      <w:r>
        <w:fldChar w:fldCharType="separate"/>
      </w:r>
      <w:r>
        <w:rPr>
          <w:rFonts w:asciiTheme="minorEastAsia" w:hAnsiTheme="minorEastAsia" w:eastAsiaTheme="minorEastAsia"/>
          <w:kern w:val="0"/>
          <w:sz w:val="24"/>
          <w:szCs w:val="24"/>
        </w:rPr>
        <w:t>农村</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村民实行自治，由</w:t>
      </w:r>
      <w:r>
        <w:fldChar w:fldCharType="begin"/>
      </w:r>
      <w:r>
        <w:instrText xml:space="preserve"> HYPERLINK "https://baike.baidu.com/item/%E6%9D%91%E6%B0%91" \t "_blank" </w:instrText>
      </w:r>
      <w:r>
        <w:fldChar w:fldCharType="separate"/>
      </w:r>
      <w:r>
        <w:rPr>
          <w:rFonts w:asciiTheme="minorEastAsia" w:hAnsiTheme="minorEastAsia" w:eastAsiaTheme="minorEastAsia"/>
          <w:kern w:val="0"/>
          <w:sz w:val="24"/>
          <w:szCs w:val="24"/>
        </w:rPr>
        <w:t>村民</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依法办理自己的事情，发展</w:t>
      </w:r>
      <w:r>
        <w:fldChar w:fldCharType="begin"/>
      </w:r>
      <w:r>
        <w:instrText xml:space="preserve"> HYPERLINK "https://baike.baidu.com/item/%E5%86%9C%E6%9D%91%E5%9F%BA%E5%B1%82%E6%B0%91%E4%B8%BB" \t "_blank" </w:instrText>
      </w:r>
      <w:r>
        <w:fldChar w:fldCharType="separate"/>
      </w:r>
      <w:r>
        <w:rPr>
          <w:rFonts w:asciiTheme="minorEastAsia" w:hAnsiTheme="minorEastAsia" w:eastAsiaTheme="minorEastAsia"/>
          <w:kern w:val="0"/>
          <w:sz w:val="24"/>
          <w:szCs w:val="24"/>
        </w:rPr>
        <w:t>农村基层民主</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，维护村民的合法权益，促进</w:t>
      </w:r>
      <w:r>
        <w:fldChar w:fldCharType="begin"/>
      </w:r>
      <w:r>
        <w:instrText xml:space="preserve"> HYPERLINK "https://baike.baidu.com/item/%E7%A4%BE%E4%BC%9A%E4%B8%BB%E4%B9%89%E6%96%B0%E5%86%9C%E6%9D%91" \t "_blank" </w:instrText>
      </w:r>
      <w:r>
        <w:fldChar w:fldCharType="separate"/>
      </w:r>
      <w:r>
        <w:rPr>
          <w:rFonts w:asciiTheme="minorEastAsia" w:hAnsiTheme="minorEastAsia" w:eastAsiaTheme="minorEastAsia"/>
          <w:kern w:val="0"/>
          <w:sz w:val="24"/>
          <w:szCs w:val="24"/>
        </w:rPr>
        <w:t>社会主义新农村</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建设，根据</w:t>
      </w:r>
      <w:r>
        <w:fldChar w:fldCharType="begin"/>
      </w:r>
      <w:r>
        <w:instrText xml:space="preserve"> HYPERLINK "https://baike.baidu.com/item/%E5%AE%AA%E6%B3%95" \t "_blank" </w:instrText>
      </w:r>
      <w:r>
        <w:fldChar w:fldCharType="separate"/>
      </w:r>
      <w:r>
        <w:rPr>
          <w:rFonts w:asciiTheme="minorEastAsia" w:hAnsiTheme="minorEastAsia" w:eastAsiaTheme="minorEastAsia"/>
          <w:kern w:val="0"/>
          <w:sz w:val="24"/>
          <w:szCs w:val="24"/>
        </w:rPr>
        <w:t>宪法</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，制定本法。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第二条</w:t>
      </w:r>
      <w:r>
        <w:rPr>
          <w:rFonts w:asciiTheme="minorEastAsia" w:hAnsiTheme="minorEastAsia" w:eastAsiaTheme="minorEastAsia"/>
          <w:kern w:val="0"/>
          <w:sz w:val="24"/>
          <w:szCs w:val="24"/>
        </w:rPr>
        <w:t xml:space="preserve">  村民委员会是村民自我管理、自我</w:t>
      </w:r>
      <w:r>
        <w:fldChar w:fldCharType="begin"/>
      </w:r>
      <w:r>
        <w:instrText xml:space="preserve"> HYPERLINK "https://baike.baidu.com/item/%E6%95%99%E8%82%B2" \t "_blank" </w:instrText>
      </w:r>
      <w:r>
        <w:fldChar w:fldCharType="separate"/>
      </w:r>
      <w:r>
        <w:rPr>
          <w:rFonts w:asciiTheme="minorEastAsia" w:hAnsiTheme="minorEastAsia" w:eastAsiaTheme="minorEastAsia"/>
          <w:kern w:val="0"/>
          <w:sz w:val="24"/>
          <w:szCs w:val="24"/>
        </w:rPr>
        <w:t>教育</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、自我服务的</w:t>
      </w:r>
      <w:r>
        <w:fldChar w:fldCharType="begin"/>
      </w:r>
      <w:r>
        <w:instrText xml:space="preserve"> HYPERLINK "https://baike.baidu.com/item/%E5%9F%BA%E5%B1%82%E7%BE%A4%E4%BC%97%E6%80%A7%E8%87%AA%E6%B2%BB%E7%BB%84%E7%BB%87" \t "_blank" </w:instrText>
      </w:r>
      <w:r>
        <w:fldChar w:fldCharType="separate"/>
      </w:r>
      <w:r>
        <w:rPr>
          <w:rFonts w:asciiTheme="minorEastAsia" w:hAnsiTheme="minorEastAsia" w:eastAsiaTheme="minorEastAsia"/>
          <w:kern w:val="0"/>
          <w:sz w:val="24"/>
          <w:szCs w:val="24"/>
        </w:rPr>
        <w:t>基层群众性自治组织</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，实行</w:t>
      </w:r>
      <w:r>
        <w:fldChar w:fldCharType="begin"/>
      </w:r>
      <w:r>
        <w:instrText xml:space="preserve"> HYPERLINK "https://baike.baidu.com/item/%E6%B0%91%E4%B8%BB%E9%80%89%E4%B8%BE" \t "_blank" </w:instrText>
      </w:r>
      <w:r>
        <w:fldChar w:fldCharType="separate"/>
      </w:r>
      <w:r>
        <w:rPr>
          <w:rFonts w:asciiTheme="minorEastAsia" w:hAnsiTheme="minorEastAsia" w:eastAsiaTheme="minorEastAsia"/>
          <w:kern w:val="0"/>
          <w:sz w:val="24"/>
          <w:szCs w:val="24"/>
        </w:rPr>
        <w:t>民主选举</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r>
        <w:fldChar w:fldCharType="begin"/>
      </w:r>
      <w:r>
        <w:instrText xml:space="preserve"> HYPERLINK "https://baike.baidu.com/item/%E6%B0%91%E4%B8%BB%E5%86%B3%E7%AD%96" \t "_blank" </w:instrText>
      </w:r>
      <w:r>
        <w:fldChar w:fldCharType="separate"/>
      </w:r>
      <w:r>
        <w:rPr>
          <w:rFonts w:asciiTheme="minorEastAsia" w:hAnsiTheme="minorEastAsia" w:eastAsiaTheme="minorEastAsia"/>
          <w:kern w:val="0"/>
          <w:sz w:val="24"/>
          <w:szCs w:val="24"/>
        </w:rPr>
        <w:t>民主决策</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r>
        <w:fldChar w:fldCharType="begin"/>
      </w:r>
      <w:r>
        <w:instrText xml:space="preserve"> HYPERLINK "https://baike.baidu.com/item/%E6%B0%91%E4%B8%BB%E7%AE%A1%E7%90%86" \t "_blank" </w:instrText>
      </w:r>
      <w:r>
        <w:fldChar w:fldCharType="separate"/>
      </w:r>
      <w:r>
        <w:rPr>
          <w:rFonts w:asciiTheme="minorEastAsia" w:hAnsiTheme="minorEastAsia" w:eastAsiaTheme="minorEastAsia"/>
          <w:kern w:val="0"/>
          <w:sz w:val="24"/>
          <w:szCs w:val="24"/>
        </w:rPr>
        <w:t>民主管理</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r>
        <w:fldChar w:fldCharType="begin"/>
      </w:r>
      <w:r>
        <w:instrText xml:space="preserve"> HYPERLINK "https://baike.baidu.com/item/%E6%B0%91%E4%B8%BB%E7%9B%91%E7%9D%A3" \t "_blank" </w:instrText>
      </w:r>
      <w:r>
        <w:fldChar w:fldCharType="separate"/>
      </w:r>
      <w:r>
        <w:rPr>
          <w:rFonts w:asciiTheme="minorEastAsia" w:hAnsiTheme="minorEastAsia" w:eastAsiaTheme="minorEastAsia"/>
          <w:kern w:val="0"/>
          <w:sz w:val="24"/>
          <w:szCs w:val="24"/>
        </w:rPr>
        <w:t>民主监督</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村民委员会办理本村的公共事务和公益事业，</w:t>
      </w:r>
      <w:r>
        <w:fldChar w:fldCharType="begin"/>
      </w:r>
      <w:r>
        <w:instrText xml:space="preserve"> HYPERLINK "https://baike.baidu.com/item/%E8%B0%83%E8%A7%A3%E6%B0%91%E9%97%B4%E7%BA%A0%E7%BA%B7" \t "_blank" </w:instrText>
      </w:r>
      <w:r>
        <w:fldChar w:fldCharType="separate"/>
      </w:r>
      <w:r>
        <w:rPr>
          <w:rFonts w:asciiTheme="minorEastAsia" w:hAnsiTheme="minorEastAsia" w:eastAsiaTheme="minorEastAsia"/>
          <w:kern w:val="0"/>
          <w:sz w:val="24"/>
          <w:szCs w:val="24"/>
        </w:rPr>
        <w:t>调解民间纠纷</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，协助维护社会治安，向</w:t>
      </w:r>
      <w:r>
        <w:fldChar w:fldCharType="begin"/>
      </w:r>
      <w:r>
        <w:instrText xml:space="preserve"> HYPERLINK "https://baike.baidu.com/item/%E4%BA%BA%E6%B0%91%E6%94%BF%E5%BA%9C" \t "_blank" </w:instrText>
      </w:r>
      <w:r>
        <w:fldChar w:fldCharType="separate"/>
      </w:r>
      <w:r>
        <w:rPr>
          <w:rFonts w:asciiTheme="minorEastAsia" w:hAnsiTheme="minorEastAsia" w:eastAsiaTheme="minorEastAsia"/>
          <w:kern w:val="0"/>
          <w:sz w:val="24"/>
          <w:szCs w:val="24"/>
        </w:rPr>
        <w:t>人民政府</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反映村民的意见、要求和提出建议。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村民委员会向村民会议、村民代表会议负责并报告工作。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第三条</w:t>
      </w:r>
      <w:r>
        <w:rPr>
          <w:rFonts w:asciiTheme="minorEastAsia" w:hAnsiTheme="minorEastAsia" w:eastAsiaTheme="minorEastAsia"/>
          <w:kern w:val="0"/>
          <w:sz w:val="24"/>
          <w:szCs w:val="24"/>
        </w:rPr>
        <w:t xml:space="preserve">  村民委员会根据村民居住状况、人口多少，按照便于群众自治，有利于经济发展和社会管理的原则设立。</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村民委员会的设立、撤销、范围调整，由乡、</w:t>
      </w:r>
      <w:r>
        <w:fldChar w:fldCharType="begin"/>
      </w:r>
      <w:r>
        <w:instrText xml:space="preserve"> HYPERLINK "https://baike.baidu.com/item/%E6%B0%91%E6%97%8F%E4%B9%A1" \t "_blank" </w:instrText>
      </w:r>
      <w:r>
        <w:fldChar w:fldCharType="separate"/>
      </w:r>
      <w:r>
        <w:rPr>
          <w:rFonts w:asciiTheme="minorEastAsia" w:hAnsiTheme="minorEastAsia" w:eastAsiaTheme="minorEastAsia"/>
          <w:kern w:val="0"/>
          <w:sz w:val="24"/>
          <w:szCs w:val="24"/>
        </w:rPr>
        <w:t>民族乡</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、镇的人民政府提出，经村民会议讨论同意，报县级人民政府批准。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村民委员会可以根据村民居住状况、</w:t>
      </w:r>
      <w:r>
        <w:fldChar w:fldCharType="begin"/>
      </w:r>
      <w:r>
        <w:instrText xml:space="preserve"> HYPERLINK "https://baike.baidu.com/item/%E9%9B%86%E4%BD%93%E5%9C%9F%E5%9C%B0%E6%89%80%E6%9C%89%E6%9D%83" \t "_blank" </w:instrText>
      </w:r>
      <w:r>
        <w:fldChar w:fldCharType="separate"/>
      </w:r>
      <w:r>
        <w:rPr>
          <w:rFonts w:asciiTheme="minorEastAsia" w:hAnsiTheme="minorEastAsia" w:eastAsiaTheme="minorEastAsia"/>
          <w:kern w:val="0"/>
          <w:sz w:val="24"/>
          <w:szCs w:val="24"/>
        </w:rPr>
        <w:t>集体土地所有权</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关系等分设若干</w:t>
      </w:r>
      <w:r>
        <w:fldChar w:fldCharType="begin"/>
      </w:r>
      <w:r>
        <w:instrText xml:space="preserve"> HYPERLINK "https://baike.baidu.com/item/%E6%9D%91%E6%B0%91%E5%B0%8F%E7%BB%84" \t "_blank" </w:instrText>
      </w:r>
      <w:r>
        <w:fldChar w:fldCharType="separate"/>
      </w:r>
      <w:r>
        <w:rPr>
          <w:rFonts w:asciiTheme="minorEastAsia" w:hAnsiTheme="minorEastAsia" w:eastAsiaTheme="minorEastAsia"/>
          <w:kern w:val="0"/>
          <w:sz w:val="24"/>
          <w:szCs w:val="24"/>
        </w:rPr>
        <w:t>村民小组</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第四条</w:t>
      </w:r>
      <w:r>
        <w:rPr>
          <w:rFonts w:asciiTheme="minorEastAsia" w:hAnsiTheme="minorEastAsia" w:eastAsiaTheme="minorEastAsia"/>
          <w:kern w:val="0"/>
          <w:sz w:val="24"/>
          <w:szCs w:val="24"/>
        </w:rPr>
        <w:t xml:space="preserve">  </w:t>
      </w:r>
      <w:r>
        <w:fldChar w:fldCharType="begin"/>
      </w:r>
      <w:r>
        <w:instrText xml:space="preserve"> HYPERLINK "https://baike.baidu.com/item/%E4%B8%AD%E5%9B%BD%E5%85%B1%E4%BA%A7%E5%85%9A" \t "_blank" </w:instrText>
      </w:r>
      <w:r>
        <w:fldChar w:fldCharType="separate"/>
      </w:r>
      <w:r>
        <w:rPr>
          <w:rFonts w:asciiTheme="minorEastAsia" w:hAnsiTheme="minorEastAsia" w:eastAsiaTheme="minorEastAsia"/>
          <w:kern w:val="0"/>
          <w:sz w:val="24"/>
          <w:szCs w:val="24"/>
        </w:rPr>
        <w:t>中国共产党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在农村的基层组织，按照</w:t>
      </w:r>
      <w:r>
        <w:fldChar w:fldCharType="begin"/>
      </w:r>
      <w:r>
        <w:instrText xml:space="preserve"> HYPERLINK "https://baike.baidu.com/item/%E4%B8%AD%E5%9B%BD%E5%85%B1%E4%BA%A7%E5%85%9A%E7%AB%A0%E7%A8%8B" \t "_blank" </w:instrText>
      </w:r>
      <w:r>
        <w:fldChar w:fldCharType="separate"/>
      </w:r>
      <w:r>
        <w:rPr>
          <w:rFonts w:asciiTheme="minorEastAsia" w:hAnsiTheme="minorEastAsia" w:eastAsiaTheme="minorEastAsia"/>
          <w:kern w:val="0"/>
          <w:sz w:val="24"/>
          <w:szCs w:val="24"/>
        </w:rPr>
        <w:t>中国共产党章程</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进行工作，发挥领导核心作用，领导和支持村民委员会行使职权；依照宪法和法律，支持和保障村民开展自治活动、直接行使</w:t>
      </w:r>
      <w:r>
        <w:fldChar w:fldCharType="begin"/>
      </w:r>
      <w:r>
        <w:instrText xml:space="preserve"> HYPERLINK "https://baike.baidu.com/item/%E6%B0%91%E4%B8%BB%E6%9D%83%E5%88%A9" \t "_blank" </w:instrText>
      </w:r>
      <w:r>
        <w:fldChar w:fldCharType="separate"/>
      </w:r>
      <w:r>
        <w:rPr>
          <w:rFonts w:asciiTheme="minorEastAsia" w:hAnsiTheme="minorEastAsia" w:eastAsiaTheme="minorEastAsia"/>
          <w:kern w:val="0"/>
          <w:sz w:val="24"/>
          <w:szCs w:val="24"/>
        </w:rPr>
        <w:t>民主权利</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第五条</w:t>
      </w:r>
      <w:r>
        <w:rPr>
          <w:rFonts w:asciiTheme="minorEastAsia" w:hAnsiTheme="minorEastAsia" w:eastAsiaTheme="minorEastAsia"/>
          <w:kern w:val="0"/>
          <w:sz w:val="24"/>
          <w:szCs w:val="24"/>
        </w:rPr>
        <w:t xml:space="preserve">  乡、民族乡、镇的人民政府对村民委员会的工作给予指导、支持和帮助，但是不得干预依法属于村民自治范围内的事项。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村民委员会协助乡、民族乡、镇的人民政府开展工作。</w:t>
      </w:r>
    </w:p>
    <w:p>
      <w:pPr>
        <w:pStyle w:val="63"/>
        <w:spacing w:before="218" w:after="218" w:line="412" w:lineRule="exact"/>
        <w:rPr>
          <w:kern w:val="0"/>
        </w:rPr>
      </w:pPr>
      <w:bookmarkStart w:id="1634" w:name="组织结构"/>
      <w:bookmarkEnd w:id="1634"/>
      <w:bookmarkStart w:id="1635" w:name="2-3"/>
      <w:bookmarkEnd w:id="1635"/>
      <w:bookmarkStart w:id="1636" w:name="sub27973_2_3"/>
      <w:bookmarkEnd w:id="1636"/>
      <w:bookmarkStart w:id="1637" w:name="2_3"/>
      <w:bookmarkEnd w:id="1637"/>
      <w:r>
        <w:rPr>
          <w:rFonts w:hint="eastAsia"/>
          <w:kern w:val="0"/>
        </w:rPr>
        <w:t xml:space="preserve">第二章  </w:t>
      </w:r>
      <w:r>
        <w:rPr>
          <w:kern w:val="0"/>
        </w:rPr>
        <w:t>组织结构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第六条</w:t>
      </w:r>
      <w:r>
        <w:rPr>
          <w:rFonts w:asciiTheme="minorEastAsia" w:hAnsiTheme="minorEastAsia" w:eastAsiaTheme="minorEastAsia"/>
          <w:kern w:val="0"/>
          <w:sz w:val="24"/>
          <w:szCs w:val="24"/>
        </w:rPr>
        <w:t xml:space="preserve">  村民委员会由主任、副主任和委员共三至七人组成。</w:t>
      </w:r>
    </w:p>
    <w:p>
      <w:pPr>
        <w:pStyle w:val="3"/>
        <w:topLinePunct/>
        <w:spacing w:line="412" w:lineRule="exact"/>
        <w:rPr>
          <w:rFonts w:asciiTheme="minorEastAsia" w:hAnsiTheme="minorEastAsia" w:eastAsiaTheme="minorEastAsia"/>
          <w:kern w:val="0"/>
          <w:sz w:val="24"/>
          <w:szCs w:val="24"/>
        </w:rPr>
      </w:pPr>
      <w:r>
        <w:fldChar w:fldCharType="begin"/>
      </w:r>
      <w:r>
        <w:instrText xml:space="preserve"> HYPERLINK "https://baike.baidu.com/item/%E6%9D%91%E6%B0%91%E5%A7%94%E5%91%98%E4%BC%9A" \t "_blank" </w:instrText>
      </w:r>
      <w:r>
        <w:fldChar w:fldCharType="separate"/>
      </w:r>
      <w:r>
        <w:rPr>
          <w:rFonts w:asciiTheme="minorEastAsia" w:hAnsiTheme="minorEastAsia" w:eastAsiaTheme="minorEastAsia"/>
          <w:kern w:val="0"/>
          <w:sz w:val="24"/>
          <w:szCs w:val="24"/>
        </w:rPr>
        <w:t>村民委员会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成员中，应当有</w:t>
      </w:r>
      <w:r>
        <w:fldChar w:fldCharType="begin"/>
      </w:r>
      <w:r>
        <w:instrText xml:space="preserve"> HYPERLINK "https://baike.baidu.com/item/%E5%A6%87%E5%A5%B3" \t "_blank" </w:instrText>
      </w:r>
      <w:r>
        <w:fldChar w:fldCharType="separate"/>
      </w:r>
      <w:r>
        <w:rPr>
          <w:rFonts w:asciiTheme="minorEastAsia" w:hAnsiTheme="minorEastAsia" w:eastAsiaTheme="minorEastAsia"/>
          <w:kern w:val="0"/>
          <w:sz w:val="24"/>
          <w:szCs w:val="24"/>
        </w:rPr>
        <w:t>妇女</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成员，多民族村民居住的村应当有人数较少的民族的成员。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对村民委员会成员，根据工作情况，给予适当补贴。</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第七条</w:t>
      </w:r>
      <w:r>
        <w:rPr>
          <w:rFonts w:asciiTheme="minorEastAsia" w:hAnsiTheme="minorEastAsia" w:eastAsiaTheme="minorEastAsia"/>
          <w:kern w:val="0"/>
          <w:sz w:val="24"/>
          <w:szCs w:val="24"/>
        </w:rPr>
        <w:t xml:space="preserve">  村民委员会根据需要设人民调解、治安保卫、公共卫生与</w:t>
      </w:r>
      <w:r>
        <w:fldChar w:fldCharType="begin"/>
      </w:r>
      <w:r>
        <w:instrText xml:space="preserve"> HYPERLINK "https://baike.baidu.com/item/%E8%AE%A1%E5%88%92%E7%94%9F%E8%82%B2" \t "_blank" </w:instrText>
      </w:r>
      <w:r>
        <w:fldChar w:fldCharType="separate"/>
      </w:r>
      <w:r>
        <w:rPr>
          <w:rFonts w:asciiTheme="minorEastAsia" w:hAnsiTheme="minorEastAsia" w:eastAsiaTheme="minorEastAsia"/>
          <w:kern w:val="0"/>
          <w:sz w:val="24"/>
          <w:szCs w:val="24"/>
        </w:rPr>
        <w:t>计划生育</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等委员会。村民委员会成员可以兼任下属委员会的成员。人口少的村的村民委员会可以不设下属委员会，由村民委员会成员分工负责人民调解、治安保卫、公共卫生与计划生育等工作。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第八条</w:t>
      </w:r>
      <w:r>
        <w:rPr>
          <w:rFonts w:asciiTheme="minorEastAsia" w:hAnsiTheme="minorEastAsia" w:eastAsiaTheme="minorEastAsia"/>
          <w:kern w:val="0"/>
          <w:sz w:val="24"/>
          <w:szCs w:val="24"/>
        </w:rPr>
        <w:t xml:space="preserve">  村民委员会应当支持和组织村民依法发展各种形式的</w:t>
      </w:r>
      <w:r>
        <w:fldChar w:fldCharType="begin"/>
      </w:r>
      <w:r>
        <w:instrText xml:space="preserve"> HYPERLINK "https://baike.baidu.com/item/%E5%90%88%E4%BD%9C%E7%BB%8F%E6%B5%8E" \t "_blank" </w:instrText>
      </w:r>
      <w:r>
        <w:fldChar w:fldCharType="separate"/>
      </w:r>
      <w:r>
        <w:rPr>
          <w:rFonts w:asciiTheme="minorEastAsia" w:hAnsiTheme="minorEastAsia" w:eastAsiaTheme="minorEastAsia"/>
          <w:kern w:val="0"/>
          <w:sz w:val="24"/>
          <w:szCs w:val="24"/>
        </w:rPr>
        <w:t>合作经济</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和其他经济，承担本村生产的服务和协调工作，促进农村生产建设和经济发展。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村民委员会依照法律</w:t>
      </w:r>
      <w:r>
        <w:fldChar w:fldCharType="begin"/>
      </w:r>
      <w:r>
        <w:instrText xml:space="preserve"> HYPERLINK "https://baike.baidu.com/item/%E8%A7%84%E5%AE%9A" \t "_blank" </w:instrText>
      </w:r>
      <w:r>
        <w:fldChar w:fldCharType="separate"/>
      </w:r>
      <w:r>
        <w:rPr>
          <w:rFonts w:asciiTheme="minorEastAsia" w:hAnsiTheme="minorEastAsia" w:eastAsiaTheme="minorEastAsia"/>
          <w:kern w:val="0"/>
          <w:sz w:val="24"/>
          <w:szCs w:val="24"/>
        </w:rPr>
        <w:t>规定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，管理本村属于村</w:t>
      </w:r>
      <w:r>
        <w:fldChar w:fldCharType="begin"/>
      </w:r>
      <w:r>
        <w:instrText xml:space="preserve"> HYPERLINK "https://baike.baidu.com/item/%E5%86%9C%E6%B0%91" \t "_blank" </w:instrText>
      </w:r>
      <w:r>
        <w:fldChar w:fldCharType="separate"/>
      </w:r>
      <w:r>
        <w:rPr>
          <w:rFonts w:asciiTheme="minorEastAsia" w:hAnsiTheme="minorEastAsia" w:eastAsiaTheme="minorEastAsia"/>
          <w:kern w:val="0"/>
          <w:sz w:val="24"/>
          <w:szCs w:val="24"/>
        </w:rPr>
        <w:t>农民</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集体所有的土地和其他</w:t>
      </w:r>
      <w:r>
        <w:fldChar w:fldCharType="begin"/>
      </w:r>
      <w:r>
        <w:instrText xml:space="preserve"> HYPERLINK "https://baike.baidu.com/item/%E8%B4%A2%E4%BA%A7" \t "_blank" </w:instrText>
      </w:r>
      <w:r>
        <w:fldChar w:fldCharType="separate"/>
      </w:r>
      <w:r>
        <w:rPr>
          <w:rFonts w:asciiTheme="minorEastAsia" w:hAnsiTheme="minorEastAsia" w:eastAsiaTheme="minorEastAsia"/>
          <w:kern w:val="0"/>
          <w:sz w:val="24"/>
          <w:szCs w:val="24"/>
        </w:rPr>
        <w:t>财产</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，引导村民合理利用自然资源，保护和改善生态环境。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村民委员会应当尊重并支持集体经济组织依法独立进行经济活动的自主权，维护以</w:t>
      </w:r>
      <w:r>
        <w:fldChar w:fldCharType="begin"/>
      </w:r>
      <w:r>
        <w:instrText xml:space="preserve"> HYPERLINK "https://baike.baidu.com/item/%E5%AE%B6%E5%BA%AD%E6%89%BF%E5%8C%85%E7%BB%8F%E8%90%A5" \t "_blank" </w:instrText>
      </w:r>
      <w:r>
        <w:fldChar w:fldCharType="separate"/>
      </w:r>
      <w:r>
        <w:rPr>
          <w:rFonts w:asciiTheme="minorEastAsia" w:hAnsiTheme="minorEastAsia" w:eastAsiaTheme="minorEastAsia"/>
          <w:kern w:val="0"/>
          <w:sz w:val="24"/>
          <w:szCs w:val="24"/>
        </w:rPr>
        <w:t>家庭承包经营</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为基础、统分结合的</w:t>
      </w:r>
      <w:r>
        <w:fldChar w:fldCharType="begin"/>
      </w:r>
      <w:r>
        <w:instrText xml:space="preserve"> HYPERLINK "https://baike.baidu.com/item/%E5%8F%8C%E5%B1%82%E7%BB%8F%E8%90%A5%E4%BD%93%E5%88%B6" \t "_blank" </w:instrText>
      </w:r>
      <w:r>
        <w:fldChar w:fldCharType="separate"/>
      </w:r>
      <w:r>
        <w:rPr>
          <w:rFonts w:asciiTheme="minorEastAsia" w:hAnsiTheme="minorEastAsia" w:eastAsiaTheme="minorEastAsia"/>
          <w:kern w:val="0"/>
          <w:sz w:val="24"/>
          <w:szCs w:val="24"/>
        </w:rPr>
        <w:t>双层经营体制</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，保障集体经济组织和村民、承包经营户、联户或者合伙的合法财产权和其他合法权益。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第九条</w:t>
      </w:r>
      <w:r>
        <w:rPr>
          <w:rFonts w:asciiTheme="minorEastAsia" w:hAnsiTheme="minorEastAsia" w:eastAsiaTheme="minorEastAsia"/>
          <w:kern w:val="0"/>
          <w:sz w:val="24"/>
          <w:szCs w:val="24"/>
        </w:rPr>
        <w:t xml:space="preserve">  村民委员会应当宣传宪法、法律、法规和国家的政策，教育和推动村民履行法律规定的</w:t>
      </w:r>
      <w:r>
        <w:fldChar w:fldCharType="begin"/>
      </w:r>
      <w:r>
        <w:instrText xml:space="preserve"> HYPERLINK "https://baike.baidu.com/item/%E4%B9%89%E5%8A%A1" \t "_blank" </w:instrText>
      </w:r>
      <w:r>
        <w:fldChar w:fldCharType="separate"/>
      </w:r>
      <w:r>
        <w:rPr>
          <w:rFonts w:asciiTheme="minorEastAsia" w:hAnsiTheme="minorEastAsia" w:eastAsiaTheme="minorEastAsia"/>
          <w:kern w:val="0"/>
          <w:sz w:val="24"/>
          <w:szCs w:val="24"/>
        </w:rPr>
        <w:t>义务</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、爱护公共财产，维护村民的合法权益，发展文化教育，普及科技知识，促进男女平等，做好计划生育工作，促进村与村之间的团结、互助，开展多种形式的</w:t>
      </w:r>
      <w:r>
        <w:fldChar w:fldCharType="begin"/>
      </w:r>
      <w:r>
        <w:instrText xml:space="preserve"> HYPERLINK "https://baike.baidu.com/item/%E7%A4%BE%E4%BC%9A%E4%B8%BB%E4%B9%89%E7%B2%BE%E7%A5%9E%E6%96%87%E6%98%8E%E5%BB%BA%E8%AE%BE" \t "_blank" </w:instrText>
      </w:r>
      <w:r>
        <w:fldChar w:fldCharType="separate"/>
      </w:r>
      <w:r>
        <w:rPr>
          <w:rFonts w:asciiTheme="minorEastAsia" w:hAnsiTheme="minorEastAsia" w:eastAsiaTheme="minorEastAsia"/>
          <w:kern w:val="0"/>
          <w:sz w:val="24"/>
          <w:szCs w:val="24"/>
        </w:rPr>
        <w:t>社会主义精神文明建设</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活动。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村民委员会应当支持服务性、公益性、互助性社会组织依法开展活动，推动</w:t>
      </w:r>
      <w:r>
        <w:fldChar w:fldCharType="begin"/>
      </w:r>
      <w:r>
        <w:instrText xml:space="preserve"> HYPERLINK "https://baike.baidu.com/item/%E5%86%9C%E6%9D%91%E7%A4%BE%E5%8C%BA%E5%BB%BA%E8%AE%BE" \t "_blank" </w:instrText>
      </w:r>
      <w:r>
        <w:fldChar w:fldCharType="separate"/>
      </w:r>
      <w:r>
        <w:rPr>
          <w:rFonts w:asciiTheme="minorEastAsia" w:hAnsiTheme="minorEastAsia" w:eastAsiaTheme="minorEastAsia"/>
          <w:kern w:val="0"/>
          <w:sz w:val="24"/>
          <w:szCs w:val="24"/>
        </w:rPr>
        <w:t>农村社区建设</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多民族村民居住的村，村民委员会应当教育和引导各民族村民增进团结、互相尊重、互相帮助。</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第十条</w:t>
      </w:r>
      <w:r>
        <w:rPr>
          <w:rFonts w:asciiTheme="minorEastAsia" w:hAnsiTheme="minorEastAsia" w:eastAsiaTheme="minorEastAsia"/>
          <w:kern w:val="0"/>
          <w:sz w:val="24"/>
          <w:szCs w:val="24"/>
        </w:rPr>
        <w:t xml:space="preserve">  村民委员会及其成员应当遵守宪法、法律、法规和国家的政策，遵守并组织实施村民自治章程、村规民约，执行村民会议、村民代表会议的决定、决议，办事公道，</w:t>
      </w:r>
      <w:r>
        <w:fldChar w:fldCharType="begin"/>
      </w:r>
      <w:r>
        <w:instrText xml:space="preserve"> HYPERLINK "https://baike.baidu.com/item/%E5%BB%89%E6%B4%81%E5%A5%89%E5%85%AC" \t "_blank" </w:instrText>
      </w:r>
      <w:r>
        <w:fldChar w:fldCharType="separate"/>
      </w:r>
      <w:r>
        <w:rPr>
          <w:rFonts w:asciiTheme="minorEastAsia" w:hAnsiTheme="minorEastAsia" w:eastAsiaTheme="minorEastAsia"/>
          <w:kern w:val="0"/>
          <w:sz w:val="24"/>
          <w:szCs w:val="24"/>
        </w:rPr>
        <w:t>廉洁奉公</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，热心为村民服务，接受村民监督。</w:t>
      </w:r>
    </w:p>
    <w:p>
      <w:pPr>
        <w:pStyle w:val="63"/>
        <w:spacing w:before="218" w:after="218" w:line="412" w:lineRule="exact"/>
        <w:rPr>
          <w:kern w:val="0"/>
        </w:rPr>
      </w:pPr>
      <w:bookmarkStart w:id="1638" w:name="民主选举"/>
      <w:bookmarkEnd w:id="1638"/>
      <w:bookmarkStart w:id="1639" w:name="2-4"/>
      <w:bookmarkEnd w:id="1639"/>
      <w:bookmarkStart w:id="1640" w:name="2_4"/>
      <w:bookmarkEnd w:id="1640"/>
      <w:bookmarkStart w:id="1641" w:name="sub27973_2_4"/>
      <w:bookmarkEnd w:id="1641"/>
      <w:r>
        <w:rPr>
          <w:rFonts w:hint="eastAsia"/>
          <w:kern w:val="0"/>
        </w:rPr>
        <w:t xml:space="preserve">第三章  </w:t>
      </w:r>
      <w:r>
        <w:rPr>
          <w:kern w:val="0"/>
        </w:rPr>
        <w:t>民主选举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第十一条</w:t>
      </w:r>
      <w:r>
        <w:rPr>
          <w:rFonts w:asciiTheme="minorEastAsia" w:hAnsiTheme="minorEastAsia" w:eastAsiaTheme="minorEastAsia"/>
          <w:kern w:val="0"/>
          <w:sz w:val="24"/>
          <w:szCs w:val="24"/>
        </w:rPr>
        <w:t xml:space="preserve">  村民委员会主任、副主任和委员，由村民直接选举产生。任何组织或者个人不得指定、委派或者撤换村民委员会成员。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村民委员会每届任期五年，届满应当及时举行换届选举。村民委员会成员可以连选连任。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第十二条</w:t>
      </w:r>
      <w:r>
        <w:rPr>
          <w:rFonts w:asciiTheme="minorEastAsia" w:hAnsiTheme="minorEastAsia" w:eastAsiaTheme="minorEastAsia"/>
          <w:kern w:val="0"/>
          <w:sz w:val="24"/>
          <w:szCs w:val="24"/>
        </w:rPr>
        <w:t xml:space="preserve">  村民委员会的选举，由村民选举委员会主持。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村民选举委员会由主任和委员组成，由村民会议、村民代表会议或者各村民小组会议推选产生。</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村民选举委员会成员被提名为村民委员会成员候选人，应当退出村民选举</w:t>
      </w:r>
      <w:r>
        <w:fldChar w:fldCharType="begin"/>
      </w:r>
      <w:r>
        <w:instrText xml:space="preserve"> HYPERLINK "https://baike.baidu.com/item/%E5%A7%94%E5%91%98%E4%BC%9A" \t "_blank" </w:instrText>
      </w:r>
      <w:r>
        <w:fldChar w:fldCharType="separate"/>
      </w:r>
      <w:r>
        <w:rPr>
          <w:rFonts w:asciiTheme="minorEastAsia" w:hAnsiTheme="minorEastAsia" w:eastAsiaTheme="minorEastAsia"/>
          <w:kern w:val="0"/>
          <w:sz w:val="24"/>
          <w:szCs w:val="24"/>
        </w:rPr>
        <w:t>委员会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村民选举委员会成员退出村民选举委员会或者因其他原因出缺的，按照原推选结果依次递补，也可以另行推选。</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第十三条</w:t>
      </w:r>
      <w:r>
        <w:rPr>
          <w:rFonts w:asciiTheme="minorEastAsia" w:hAnsiTheme="minorEastAsia" w:eastAsiaTheme="minorEastAsia"/>
          <w:kern w:val="0"/>
          <w:sz w:val="24"/>
          <w:szCs w:val="24"/>
        </w:rPr>
        <w:t xml:space="preserve">  年满十八周岁的村民，不分民族、种族、性别、职业、</w:t>
      </w:r>
      <w:r>
        <w:fldChar w:fldCharType="begin"/>
      </w:r>
      <w:r>
        <w:instrText xml:space="preserve"> HYPERLINK "https://baike.baidu.com/item/%E5%AE%B6%E5%BA%AD%E5%87%BA%E8%BA%AB" \t "_blank" </w:instrText>
      </w:r>
      <w:r>
        <w:fldChar w:fldCharType="separate"/>
      </w:r>
      <w:r>
        <w:rPr>
          <w:rFonts w:asciiTheme="minorEastAsia" w:hAnsiTheme="minorEastAsia" w:eastAsiaTheme="minorEastAsia"/>
          <w:kern w:val="0"/>
          <w:sz w:val="24"/>
          <w:szCs w:val="24"/>
        </w:rPr>
        <w:t>家庭出身</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r>
        <w:fldChar w:fldCharType="begin"/>
      </w:r>
      <w:r>
        <w:instrText xml:space="preserve"> HYPERLINK "https://baike.baidu.com/item/%E5%AE%97%E6%95%99%E4%BF%A1%E4%BB%B0" \t "_blank" </w:instrText>
      </w:r>
      <w:r>
        <w:fldChar w:fldCharType="separate"/>
      </w:r>
      <w:r>
        <w:rPr>
          <w:rFonts w:asciiTheme="minorEastAsia" w:hAnsiTheme="minorEastAsia" w:eastAsiaTheme="minorEastAsia"/>
          <w:kern w:val="0"/>
          <w:sz w:val="24"/>
          <w:szCs w:val="24"/>
        </w:rPr>
        <w:t>宗教信仰</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、教育程度、财产状况、居住期限，都有</w:t>
      </w:r>
      <w:r>
        <w:fldChar w:fldCharType="begin"/>
      </w:r>
      <w:r>
        <w:instrText xml:space="preserve"> HYPERLINK "https://baike.baidu.com/item/%E9%80%89%E4%B8%BE%E6%9D%83" \t "_blank" </w:instrText>
      </w:r>
      <w:r>
        <w:fldChar w:fldCharType="separate"/>
      </w:r>
      <w:r>
        <w:rPr>
          <w:rFonts w:asciiTheme="minorEastAsia" w:hAnsiTheme="minorEastAsia" w:eastAsiaTheme="minorEastAsia"/>
          <w:kern w:val="0"/>
          <w:sz w:val="24"/>
          <w:szCs w:val="24"/>
        </w:rPr>
        <w:t>选举权</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和被选举权；但是，依照法律被</w:t>
      </w:r>
      <w:r>
        <w:fldChar w:fldCharType="begin"/>
      </w:r>
      <w:r>
        <w:instrText xml:space="preserve"> HYPERLINK "https://baike.baidu.com/item/%E5%89%A5%E5%A4%BA%E6%94%BF%E6%B2%BB%E6%9D%83%E5%88%A9" \t "_blank" </w:instrText>
      </w:r>
      <w:r>
        <w:fldChar w:fldCharType="separate"/>
      </w:r>
      <w:r>
        <w:rPr>
          <w:rFonts w:asciiTheme="minorEastAsia" w:hAnsiTheme="minorEastAsia" w:eastAsiaTheme="minorEastAsia"/>
          <w:kern w:val="0"/>
          <w:sz w:val="24"/>
          <w:szCs w:val="24"/>
        </w:rPr>
        <w:t>剥夺政治权利</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的人除外。</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村民委员会选举前，应当对下列人员进行登记，列入参加选举的村民名单：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户籍在本村并且在本村居住的村民；</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户籍在本村，不在本村居住，本人表示参加选举的村民；</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户籍不在本村，在本村居住一年以上，本人申请参加选举，并且经村民会议或者村民代表会议同意参加选举的</w:t>
      </w:r>
      <w:r>
        <w:fldChar w:fldCharType="begin"/>
      </w:r>
      <w:r>
        <w:instrText xml:space="preserve"> HYPERLINK "https://baike.baidu.com/item/%E5%85%AC%E6%B0%91" \t "_blank" </w:instrText>
      </w:r>
      <w:r>
        <w:fldChar w:fldCharType="separate"/>
      </w:r>
      <w:r>
        <w:rPr>
          <w:rFonts w:asciiTheme="minorEastAsia" w:hAnsiTheme="minorEastAsia" w:eastAsiaTheme="minorEastAsia"/>
          <w:kern w:val="0"/>
          <w:sz w:val="24"/>
          <w:szCs w:val="24"/>
        </w:rPr>
        <w:t>公民</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已在户籍所在村或者居住村登记参加选举的村民，不得再参加其他地方村民委员会的选举。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第十四条</w:t>
      </w:r>
      <w:r>
        <w:rPr>
          <w:rFonts w:asciiTheme="minorEastAsia" w:hAnsiTheme="minorEastAsia" w:eastAsiaTheme="minorEastAsia"/>
          <w:kern w:val="0"/>
          <w:sz w:val="24"/>
          <w:szCs w:val="24"/>
        </w:rPr>
        <w:t xml:space="preserve">  登记参加选举的村民名单应当在选举日的二十日前由村民选举委员会公布。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对登记参加选举的村民名单有异议的，应当自名单公布之日起五日内向村民选举委员会申诉，村民选举委员会应当自收到申诉之日起三日内作出处理决定，并公布处理结果。</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第十五条</w:t>
      </w:r>
      <w:r>
        <w:rPr>
          <w:rFonts w:asciiTheme="minorEastAsia" w:hAnsiTheme="minorEastAsia" w:eastAsiaTheme="minorEastAsia"/>
          <w:kern w:val="0"/>
          <w:sz w:val="24"/>
          <w:szCs w:val="24"/>
        </w:rPr>
        <w:t xml:space="preserve">  选举村民委员会，由登记参加选举的村民直接提名候选人。村民提名候选人，应当从全体村民利益出发，推荐奉公守法、品行良好、</w:t>
      </w:r>
      <w:r>
        <w:fldChar w:fldCharType="begin"/>
      </w:r>
      <w:r>
        <w:instrText xml:space="preserve"> HYPERLINK "https://baike.baidu.com/item/%E5%85%AC%E9%81%93%E6%AD%A3%E6%B4%BE" \t "_blank" </w:instrText>
      </w:r>
      <w:r>
        <w:fldChar w:fldCharType="separate"/>
      </w:r>
      <w:r>
        <w:rPr>
          <w:rFonts w:asciiTheme="minorEastAsia" w:hAnsiTheme="minorEastAsia" w:eastAsiaTheme="minorEastAsia"/>
          <w:kern w:val="0"/>
          <w:sz w:val="24"/>
          <w:szCs w:val="24"/>
        </w:rPr>
        <w:t>公道正派</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、热心公益、具有一定文化水平和工作能力的村民为候选人。候选人的名额应当多于</w:t>
      </w:r>
      <w:r>
        <w:fldChar w:fldCharType="begin"/>
      </w:r>
      <w:r>
        <w:instrText xml:space="preserve"> HYPERLINK "https://baike.baidu.com/item/%E5%BA%94%E9%80%89" \t "_blank" </w:instrText>
      </w:r>
      <w:r>
        <w:fldChar w:fldCharType="separate"/>
      </w:r>
      <w:r>
        <w:rPr>
          <w:rFonts w:asciiTheme="minorEastAsia" w:hAnsiTheme="minorEastAsia" w:eastAsiaTheme="minorEastAsia"/>
          <w:kern w:val="0"/>
          <w:sz w:val="24"/>
          <w:szCs w:val="24"/>
        </w:rPr>
        <w:t>应选</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名额。村民选举委员会应当组织候选人与村民见面，由候选人介绍履行职责的设想，回答村民提出的问题。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选举村民委员会，有登记参加选举的村民过半数投票，选举有效；候选人获得参加投票的村民过半数的选票，始得当选。当选人数不足</w:t>
      </w:r>
      <w:r>
        <w:fldChar w:fldCharType="begin"/>
      </w:r>
      <w:r>
        <w:instrText xml:space="preserve"> HYPERLINK "https://baike.baidu.com/item/%E5%BA%94%E9%80%89" \t "_blank" </w:instrText>
      </w:r>
      <w:r>
        <w:fldChar w:fldCharType="separate"/>
      </w:r>
      <w:r>
        <w:rPr>
          <w:rFonts w:asciiTheme="minorEastAsia" w:hAnsiTheme="minorEastAsia" w:eastAsiaTheme="minorEastAsia"/>
          <w:kern w:val="0"/>
          <w:sz w:val="24"/>
          <w:szCs w:val="24"/>
        </w:rPr>
        <w:t>应选</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名额的，不足的名额另行选举。另行选举的，第一次投票未当选的人员得票多的为候选人，候选人以得票多的当选，但是所得票数不得少于已投选票总数的三分之一。</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选举实行无记名投票、公开计票的方法，选举结果应当当场公布。选举时，应当设立秘密写票处。</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登记参加选举的村民，选举期间外出不能参加投票的，可以书面委托本村有选举权的近亲属代为投票。村民选举委员会应当公布委托人和受委托人的名单。</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具体选举办法由省、</w:t>
      </w:r>
      <w:r>
        <w:fldChar w:fldCharType="begin"/>
      </w:r>
      <w:r>
        <w:instrText xml:space="preserve"> HYPERLINK "https://baike.baidu.com/item/%E8%87%AA%E6%B2%BB%E5%8C%BA" \t "_blank" </w:instrText>
      </w:r>
      <w:r>
        <w:fldChar w:fldCharType="separate"/>
      </w:r>
      <w:r>
        <w:rPr>
          <w:rFonts w:asciiTheme="minorEastAsia" w:hAnsiTheme="minorEastAsia" w:eastAsiaTheme="minorEastAsia"/>
          <w:kern w:val="0"/>
          <w:sz w:val="24"/>
          <w:szCs w:val="24"/>
        </w:rPr>
        <w:t>自治区</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、直辖市的</w:t>
      </w:r>
      <w:r>
        <w:fldChar w:fldCharType="begin"/>
      </w:r>
      <w:r>
        <w:instrText xml:space="preserve"> HYPERLINK "https://baike.baidu.com/item/%E4%BA%BA%E6%B0%91%E4%BB%A3%E8%A1%A8%E5%A4%A7%E4%BC%9A" \t "_blank" </w:instrText>
      </w:r>
      <w:r>
        <w:fldChar w:fldCharType="separate"/>
      </w:r>
      <w:r>
        <w:rPr>
          <w:rFonts w:asciiTheme="minorEastAsia" w:hAnsiTheme="minorEastAsia" w:eastAsiaTheme="minorEastAsia"/>
          <w:kern w:val="0"/>
          <w:sz w:val="24"/>
          <w:szCs w:val="24"/>
        </w:rPr>
        <w:t>人民代表大会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常务委员会规定。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第十六条</w:t>
      </w:r>
      <w:r>
        <w:rPr>
          <w:rFonts w:asciiTheme="minorEastAsia" w:hAnsiTheme="minorEastAsia" w:eastAsiaTheme="minorEastAsia"/>
          <w:kern w:val="0"/>
          <w:sz w:val="24"/>
          <w:szCs w:val="24"/>
        </w:rPr>
        <w:t xml:space="preserve">  本村五分之一以上有选举权的村民或者三分之一以上的村民代表联名，可以提出罢免村民委员会成员的要求，并说明要求罢免的理由。被提出罢免的村民委员会成员有权提出申辩意见。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罢免村民委员会成员，须有登记参加选举的村民过半数投票，并须经投票的村民过半数通过。</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第十七条</w:t>
      </w:r>
      <w:r>
        <w:rPr>
          <w:rFonts w:asciiTheme="minorEastAsia" w:hAnsiTheme="minorEastAsia" w:eastAsiaTheme="minorEastAsia"/>
          <w:kern w:val="0"/>
          <w:sz w:val="24"/>
          <w:szCs w:val="24"/>
        </w:rPr>
        <w:t xml:space="preserve">  以暴力、威胁、欺骗、贿赂、伪造选票、虚报选举票数等不正当手段当选村民委员会成员的，当选无效。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对以暴力、威胁、欺骗、贿赂、伪造选票、虚报选举票数等不正当手段，妨害村民行使选举权、被选举权，破坏村民委员会选举的行为，村民有权向乡、民族乡、镇的人民代表大会和人民政府或者县级</w:t>
      </w:r>
      <w:r>
        <w:fldChar w:fldCharType="begin"/>
      </w:r>
      <w:r>
        <w:instrText xml:space="preserve"> HYPERLINK "https://baike.baidu.com/item/%E4%BA%BA%E6%B0%91%E4%BB%A3%E8%A1%A8%E5%A4%A7%E4%BC%9A%E5%B8%B8%E5%8A%A1%E5%A7%94%E5%91%98%E4%BC%9A" \t "_blank" </w:instrText>
      </w:r>
      <w:r>
        <w:fldChar w:fldCharType="separate"/>
      </w:r>
      <w:r>
        <w:rPr>
          <w:rFonts w:asciiTheme="minorEastAsia" w:hAnsiTheme="minorEastAsia" w:eastAsiaTheme="minorEastAsia"/>
          <w:kern w:val="0"/>
          <w:sz w:val="24"/>
          <w:szCs w:val="24"/>
        </w:rPr>
        <w:t>人民代表大会常务委员会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和人民政府及其有关主管部门举报，由乡级或者县级人民政府负责调查并依法处理。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第十八条</w:t>
      </w:r>
      <w:r>
        <w:rPr>
          <w:rFonts w:asciiTheme="minorEastAsia" w:hAnsiTheme="minorEastAsia" w:eastAsiaTheme="minorEastAsia"/>
          <w:kern w:val="0"/>
          <w:sz w:val="24"/>
          <w:szCs w:val="24"/>
        </w:rPr>
        <w:t xml:space="preserve">  村民委员会成员丧失行为能力或者被判处刑罚的，其职务自行终止。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第十九条</w:t>
      </w:r>
      <w:r>
        <w:rPr>
          <w:rFonts w:asciiTheme="minorEastAsia" w:hAnsiTheme="minorEastAsia" w:eastAsiaTheme="minorEastAsia"/>
          <w:kern w:val="0"/>
          <w:sz w:val="24"/>
          <w:szCs w:val="24"/>
        </w:rPr>
        <w:t xml:space="preserve">  村民委员会成员出缺，可以由村民会议或者村民代表会议进行补选。补选程序参照本法第十五条的规定办理。补选的村民委员会成员的任期到本届村民委员会任期届满时止。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第二十条</w:t>
      </w:r>
      <w:r>
        <w:rPr>
          <w:rFonts w:asciiTheme="minorEastAsia" w:hAnsiTheme="minorEastAsia" w:eastAsiaTheme="minorEastAsia"/>
          <w:kern w:val="0"/>
          <w:sz w:val="24"/>
          <w:szCs w:val="24"/>
        </w:rPr>
        <w:t xml:space="preserve">  村民委员会应当自新一届村民委员会产生之日起十日内完成工作移交。工作移交由村民选举委员会主持，由乡、民族乡、镇的人民政府监督。</w:t>
      </w:r>
    </w:p>
    <w:p>
      <w:pPr>
        <w:pStyle w:val="63"/>
        <w:spacing w:before="218" w:after="218" w:line="412" w:lineRule="exact"/>
        <w:rPr>
          <w:kern w:val="0"/>
        </w:rPr>
      </w:pPr>
      <w:bookmarkStart w:id="1642" w:name="sub27973_2_5"/>
      <w:bookmarkEnd w:id="1642"/>
      <w:bookmarkStart w:id="1643" w:name="会议"/>
      <w:bookmarkEnd w:id="1643"/>
      <w:bookmarkStart w:id="1644" w:name="2-5"/>
      <w:bookmarkEnd w:id="1644"/>
      <w:bookmarkStart w:id="1645" w:name="2_5"/>
      <w:bookmarkEnd w:id="1645"/>
      <w:r>
        <w:rPr>
          <w:rFonts w:hint="eastAsia"/>
          <w:kern w:val="0"/>
        </w:rPr>
        <w:t xml:space="preserve">第四章  </w:t>
      </w:r>
      <w:r>
        <w:rPr>
          <w:kern w:val="0"/>
        </w:rPr>
        <w:t>会议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第二十一条</w:t>
      </w:r>
      <w:r>
        <w:rPr>
          <w:rFonts w:asciiTheme="minorEastAsia" w:hAnsiTheme="minorEastAsia" w:eastAsiaTheme="minorEastAsia"/>
          <w:kern w:val="0"/>
          <w:sz w:val="24"/>
          <w:szCs w:val="24"/>
        </w:rPr>
        <w:t xml:space="preserve">  村民会议由本村十八周岁以上的村民组成。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村民会议由村民委员会召集。有十分之一以上的村民或者三分之一以上的村民代表提议，应当召集村民会议。召集村民会议，应当提前十天通知村民。</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第二十二条</w:t>
      </w:r>
      <w:r>
        <w:rPr>
          <w:rFonts w:asciiTheme="minorEastAsia" w:hAnsiTheme="minorEastAsia" w:eastAsiaTheme="minorEastAsia"/>
          <w:kern w:val="0"/>
          <w:sz w:val="24"/>
          <w:szCs w:val="24"/>
        </w:rPr>
        <w:t xml:space="preserve">  召开村民会议，应当有本村十八周岁以上村民的过半数，或者本村三分之二以上的户的代表参加，村民会议所作决定应当经到会人员的过半数通过。法律对召开村民会议及作出决定另有规定的，依照其规定。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召开村民会议，根据需要可以邀请驻本村的企业、事业单位和群众组织派代表列席。</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第二十三条</w:t>
      </w:r>
      <w:r>
        <w:rPr>
          <w:rFonts w:asciiTheme="minorEastAsia" w:hAnsiTheme="minorEastAsia" w:eastAsiaTheme="minorEastAsia"/>
          <w:kern w:val="0"/>
          <w:sz w:val="24"/>
          <w:szCs w:val="24"/>
        </w:rPr>
        <w:t xml:space="preserve">  村民会议审议村民委员会的年度工作报告，评议村民委员会成员的工作；有权撤销或者变更村民委员会不适当的决定；有权撤销或者变更村民代表会议不适当的决定。</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村民会议可以授权村民代表会议审议村民委员会的年度工作报告，评议村民委员会成员的工作，撤销或者变更村民委员会不适当的决定。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第二十四条</w:t>
      </w:r>
      <w:r>
        <w:rPr>
          <w:rFonts w:asciiTheme="minorEastAsia" w:hAnsiTheme="minorEastAsia" w:eastAsiaTheme="minorEastAsia"/>
          <w:kern w:val="0"/>
          <w:sz w:val="24"/>
          <w:szCs w:val="24"/>
        </w:rPr>
        <w:t xml:space="preserve">  涉及村民利益的下列事项，经村民会议讨论决定方可办理：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本村享受误工补贴的人员及补贴标准；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从村集体经济所得收益的使用；</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本村公益事业的兴办和筹资筹劳</w:t>
      </w:r>
      <w:r>
        <w:fldChar w:fldCharType="begin"/>
      </w:r>
      <w:r>
        <w:instrText xml:space="preserve"> HYPERLINK "https://baike.baidu.com/item/%E6%96%B9%E6%A1%88" \t "_blank" </w:instrText>
      </w:r>
      <w:r>
        <w:fldChar w:fldCharType="separate"/>
      </w:r>
      <w:r>
        <w:rPr>
          <w:rFonts w:asciiTheme="minorEastAsia" w:hAnsiTheme="minorEastAsia" w:eastAsiaTheme="minorEastAsia"/>
          <w:kern w:val="0"/>
          <w:sz w:val="24"/>
          <w:szCs w:val="24"/>
        </w:rPr>
        <w:t>方案</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及建设承包方案；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土地承包经营方案；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村集体经济项目的立项、承包方案；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宅基地的使用方案；</w:t>
      </w:r>
    </w:p>
    <w:p>
      <w:pPr>
        <w:pStyle w:val="3"/>
        <w:topLinePunct/>
        <w:spacing w:line="412" w:lineRule="exact"/>
        <w:rPr>
          <w:rFonts w:asciiTheme="minorEastAsia" w:hAnsiTheme="minorEastAsia" w:eastAsiaTheme="minorEastAsia"/>
          <w:kern w:val="0"/>
          <w:sz w:val="24"/>
          <w:szCs w:val="24"/>
        </w:rPr>
      </w:pPr>
      <w:r>
        <w:fldChar w:fldCharType="begin"/>
      </w:r>
      <w:r>
        <w:instrText xml:space="preserve"> HYPERLINK "https://baike.baidu.com/item/%E5%BE%81%E5%9C%B0%E8%A1%A5%E5%81%BF%E8%B4%B9" \t "_blank" </w:instrText>
      </w:r>
      <w:r>
        <w:fldChar w:fldCharType="separate"/>
      </w:r>
      <w:r>
        <w:rPr>
          <w:rFonts w:asciiTheme="minorEastAsia" w:hAnsiTheme="minorEastAsia" w:eastAsiaTheme="minorEastAsia"/>
          <w:kern w:val="0"/>
          <w:sz w:val="24"/>
          <w:szCs w:val="24"/>
        </w:rPr>
        <w:t>征地补偿费</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的使用、分配方案；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以借贷、租赁或者其他方式处分村集体财产；</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村民会议认为应当由村民会议讨论决定的涉及村民利益的其他事项。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村民会议可以授权村民代表会议讨论决定前款规定的事项。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法律对讨论决定村集体经济组织财产和成员权益的事项另有规定的，依照其规定。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第二十五条</w:t>
      </w:r>
      <w:r>
        <w:rPr>
          <w:rFonts w:asciiTheme="minorEastAsia" w:hAnsiTheme="minorEastAsia" w:eastAsiaTheme="minorEastAsia"/>
          <w:kern w:val="0"/>
          <w:sz w:val="24"/>
          <w:szCs w:val="24"/>
        </w:rPr>
        <w:t xml:space="preserve">  人数较多或者居住分散的村，可以设立村民代表会议，讨论决定村民会议授权的事项。村民代表会议由村民委员会成员和村民代表组成，村民代表应当占村民代表会议组成人员的五分之四以上，妇女村民代表应当占村民代表会议组成人员的三分之一以上。</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村民代表由村民按每五户至十五户推选一人，或者由各村民小组推选若干人。村民代表的任期与村民委员会的任期相同。村民代表可以连选连任。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村民代表应当向其推选户或者村民小组负责，接受村民监督。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第二十六条</w:t>
      </w:r>
      <w:r>
        <w:rPr>
          <w:rFonts w:asciiTheme="minorEastAsia" w:hAnsiTheme="minorEastAsia" w:eastAsiaTheme="minorEastAsia"/>
          <w:kern w:val="0"/>
          <w:sz w:val="24"/>
          <w:szCs w:val="24"/>
        </w:rPr>
        <w:t xml:space="preserve">  村民代表会议由村民委员会召集。村民代表会议每季度召开一次。有五分之一以上的村民代表提议，应当召集村民代表会议。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村民代表会议有三分之二以上的组成人员参加方可召开，所作决定应当经到会人员的过半数同意。</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第二十七条</w:t>
      </w:r>
      <w:r>
        <w:rPr>
          <w:rFonts w:asciiTheme="minorEastAsia" w:hAnsiTheme="minorEastAsia" w:eastAsiaTheme="minorEastAsia"/>
          <w:kern w:val="0"/>
          <w:sz w:val="24"/>
          <w:szCs w:val="24"/>
        </w:rPr>
        <w:t xml:space="preserve">  村民会议可以制定和修改村民自治章程、村规民约，并报乡、民族乡、镇的人民政府备案。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村民自治章程、村规民约以及村民会议或者村民代表会议的决定不得与宪法、法律、法规和国家的政策相抵触，不得有侵犯村民的人身</w:t>
      </w:r>
      <w:r>
        <w:fldChar w:fldCharType="begin"/>
      </w:r>
      <w:r>
        <w:instrText xml:space="preserve"> HYPERLINK "https://baike.baidu.com/item/%E6%9D%83%E5%88%A9" \t "_blank" </w:instrText>
      </w:r>
      <w:r>
        <w:fldChar w:fldCharType="separate"/>
      </w:r>
      <w:r>
        <w:rPr>
          <w:rFonts w:asciiTheme="minorEastAsia" w:hAnsiTheme="minorEastAsia" w:eastAsiaTheme="minorEastAsia"/>
          <w:kern w:val="0"/>
          <w:sz w:val="24"/>
          <w:szCs w:val="24"/>
        </w:rPr>
        <w:t>权利</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、民主权利和合法财产权利的内容。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村民自治章程、村规民约以及村民会议或者村民代表会议的决定违反前款规定的，由乡、民族乡、镇的人民政府责令改正。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第二十八条</w:t>
      </w:r>
      <w:r>
        <w:rPr>
          <w:rFonts w:asciiTheme="minorEastAsia" w:hAnsiTheme="minorEastAsia" w:eastAsiaTheme="minorEastAsia"/>
          <w:kern w:val="0"/>
          <w:sz w:val="24"/>
          <w:szCs w:val="24"/>
        </w:rPr>
        <w:t xml:space="preserve">  召开村民小组会议，应当有本村民小组十八周岁以上的村民三分之二以上，或者本村民小组三分之二以上的户的代表参加，所作决定应当经到会人员的过半数同意。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村民小组组长由村民小组会议推选。村民小组组长任期与村民委员会的任期相同，可以连选连任。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属于村民小组的集体所有的土地、企业和其他财产的经营管理以及公益事项的办理，由村民小组会议依照有关法律的规定讨论决定，所作决定及实施情况应当及时向本村民小组的村民公布。</w:t>
      </w:r>
    </w:p>
    <w:p>
      <w:pPr>
        <w:pStyle w:val="63"/>
        <w:spacing w:before="218" w:after="218" w:line="412" w:lineRule="exact"/>
        <w:rPr>
          <w:kern w:val="0"/>
        </w:rPr>
      </w:pPr>
      <w:bookmarkStart w:id="1646" w:name="2_6"/>
      <w:bookmarkEnd w:id="1646"/>
      <w:bookmarkStart w:id="1647" w:name="民主管理与监督"/>
      <w:bookmarkEnd w:id="1647"/>
      <w:bookmarkStart w:id="1648" w:name="sub27973_2_6"/>
      <w:bookmarkEnd w:id="1648"/>
      <w:bookmarkStart w:id="1649" w:name="2-6"/>
      <w:bookmarkEnd w:id="1649"/>
      <w:r>
        <w:rPr>
          <w:rFonts w:hint="eastAsia"/>
          <w:kern w:val="0"/>
        </w:rPr>
        <w:t xml:space="preserve">第五章  </w:t>
      </w:r>
      <w:r>
        <w:rPr>
          <w:kern w:val="0"/>
        </w:rPr>
        <w:t>民主管理与监督</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第二十九条</w:t>
      </w:r>
      <w:r>
        <w:rPr>
          <w:rFonts w:asciiTheme="minorEastAsia" w:hAnsiTheme="minorEastAsia" w:eastAsiaTheme="minorEastAsia"/>
          <w:kern w:val="0"/>
          <w:sz w:val="24"/>
          <w:szCs w:val="24"/>
        </w:rPr>
        <w:t xml:space="preserve">  村民委员会应当实行</w:t>
      </w:r>
      <w:r>
        <w:fldChar w:fldCharType="begin"/>
      </w:r>
      <w:r>
        <w:instrText xml:space="preserve"> HYPERLINK "https://baike.baidu.com/item/%E5%B0%91%E6%95%B0%E6%9C%8D%E4%BB%8E%E5%A4%9A%E6%95%B0" \t "_blank" </w:instrText>
      </w:r>
      <w:r>
        <w:fldChar w:fldCharType="separate"/>
      </w:r>
      <w:r>
        <w:rPr>
          <w:rFonts w:asciiTheme="minorEastAsia" w:hAnsiTheme="minorEastAsia" w:eastAsiaTheme="minorEastAsia"/>
          <w:kern w:val="0"/>
          <w:sz w:val="24"/>
          <w:szCs w:val="24"/>
        </w:rPr>
        <w:t>少数服从多数</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的民主决策机制和公开透明的工作原则，建立健全各种工作制度。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第三十条</w:t>
      </w:r>
      <w:r>
        <w:rPr>
          <w:rFonts w:asciiTheme="minorEastAsia" w:hAnsiTheme="minorEastAsia" w:eastAsiaTheme="minorEastAsia"/>
          <w:kern w:val="0"/>
          <w:sz w:val="24"/>
          <w:szCs w:val="24"/>
        </w:rPr>
        <w:t xml:space="preserve">  村民委员会实行</w:t>
      </w:r>
      <w:r>
        <w:fldChar w:fldCharType="begin"/>
      </w:r>
      <w:r>
        <w:instrText xml:space="preserve"> HYPERLINK "https://baike.baidu.com/item/%E6%9D%91%E5%8A%A1%E5%85%AC%E5%BC%80%E5%88%B6%E5%BA%A6" \t "_blank" </w:instrText>
      </w:r>
      <w:r>
        <w:fldChar w:fldCharType="separate"/>
      </w:r>
      <w:r>
        <w:rPr>
          <w:rFonts w:asciiTheme="minorEastAsia" w:hAnsiTheme="minorEastAsia" w:eastAsiaTheme="minorEastAsia"/>
          <w:kern w:val="0"/>
          <w:sz w:val="24"/>
          <w:szCs w:val="24"/>
        </w:rPr>
        <w:t>村务公开制度</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村民委员会应当及时公布下列事项，接受村民的监督：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本法第二十三条、第二十四条规定的由村民会议、村民代表会议讨论决定的事项及其实施情况；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国家计划生育政策的落实方案；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政府拨付和接受社会捐赠的救灾救助、补贴补助等资金、物资的管理使用情况；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村民委员会协助人民政府开展工作的情况；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涉及本村村民利益，村民普遍关心的其他事项。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前款规定事项中，一般事项至少每季度公布一次；集体财务往来较多的，财务收支情况应当每月公布一次；涉及村民利益的重大事项应当随时公布。</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村民委员会应当保证所公布事项的真实性，并接受村民的查询。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第三十一条</w:t>
      </w:r>
      <w:r>
        <w:rPr>
          <w:rFonts w:asciiTheme="minorEastAsia" w:hAnsiTheme="minorEastAsia" w:eastAsiaTheme="minorEastAsia"/>
          <w:kern w:val="0"/>
          <w:sz w:val="24"/>
          <w:szCs w:val="24"/>
        </w:rPr>
        <w:t xml:space="preserve">  村民委员会不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第三十二条</w:t>
      </w:r>
      <w:r>
        <w:rPr>
          <w:rFonts w:asciiTheme="minorEastAsia" w:hAnsiTheme="minorEastAsia" w:eastAsiaTheme="minorEastAsia"/>
          <w:kern w:val="0"/>
          <w:sz w:val="24"/>
          <w:szCs w:val="24"/>
        </w:rPr>
        <w:t xml:space="preserve">  村应当建立</w:t>
      </w:r>
      <w:r>
        <w:fldChar w:fldCharType="begin"/>
      </w:r>
      <w:r>
        <w:instrText xml:space="preserve"> HYPERLINK "https://baike.baidu.com/item/%E6%9D%91%E5%8A%A1%E7%9B%91%E7%9D%A3%E5%A7%94%E5%91%98%E4%BC%9A" \t "_blank" </w:instrText>
      </w:r>
      <w:r>
        <w:fldChar w:fldCharType="separate"/>
      </w:r>
      <w:r>
        <w:rPr>
          <w:rFonts w:asciiTheme="minorEastAsia" w:hAnsiTheme="minorEastAsia" w:eastAsiaTheme="minorEastAsia"/>
          <w:kern w:val="0"/>
          <w:sz w:val="24"/>
          <w:szCs w:val="24"/>
        </w:rPr>
        <w:t>村务监督委员会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或者其他形式的村务监督机构，负责村民民主理财，监督村务公开等制度的落实，其成员由村民会议或者村民代表会议在村民中推选产生，其中应有具备财会、管理知识的人员。村民委员会成员及其近亲属不得担任村务监督机构成员。村务监督机构成员向村民会议和村民代表会议负责，可以列席村民委员会会议。</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第三十三条</w:t>
      </w:r>
      <w:r>
        <w:rPr>
          <w:rFonts w:asciiTheme="minorEastAsia" w:hAnsiTheme="minorEastAsia" w:eastAsiaTheme="minorEastAsia"/>
          <w:kern w:val="0"/>
          <w:sz w:val="24"/>
          <w:szCs w:val="24"/>
        </w:rPr>
        <w:t xml:space="preserve">  村民委员会成员以及由村民或者村集体承担误工补贴的聘用人员，应当接受村民会议或者村民代表会议对其履行职责情况的民主评议。民主评议每年至少进行一次，由村务监督机构主持。</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村民委员会成员连续两次被评议不称职的，其职务终止。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第三十四条</w:t>
      </w:r>
      <w:r>
        <w:rPr>
          <w:rFonts w:asciiTheme="minorEastAsia" w:hAnsiTheme="minorEastAsia" w:eastAsiaTheme="minorEastAsia"/>
          <w:kern w:val="0"/>
          <w:sz w:val="24"/>
          <w:szCs w:val="24"/>
        </w:rPr>
        <w:t xml:space="preserve">  村民委员会和村务监督机构应当建立村务档案。村务档案包括：选举文件和选票，会议记录，土地发包方案和承包合同，经济合同，集体财务账目，集体资产登记文件，公益设施基本资料，基本建设资料，宅基地使用方案，征地补偿费使用及分配方案等。村务档案应当真实、准确、完整、规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第三十五条</w:t>
      </w:r>
      <w:r>
        <w:rPr>
          <w:rFonts w:asciiTheme="minorEastAsia" w:hAnsiTheme="minorEastAsia" w:eastAsiaTheme="minorEastAsia"/>
          <w:kern w:val="0"/>
          <w:sz w:val="24"/>
          <w:szCs w:val="24"/>
        </w:rPr>
        <w:t xml:space="preserve">  村民委员会成员实行任期和</w:t>
      </w:r>
      <w:r>
        <w:fldChar w:fldCharType="begin"/>
      </w:r>
      <w:r>
        <w:instrText xml:space="preserve"> HYPERLINK "https://baike.baidu.com/item/%E7%A6%BB%E4%BB%BB%E7%BB%8F%E6%B5%8E%E8%B4%A3%E4%BB%BB%E5%AE%A1%E8%AE%A1" \t "_blank" </w:instrText>
      </w:r>
      <w:r>
        <w:fldChar w:fldCharType="separate"/>
      </w:r>
      <w:r>
        <w:rPr>
          <w:rFonts w:asciiTheme="minorEastAsia" w:hAnsiTheme="minorEastAsia" w:eastAsiaTheme="minorEastAsia"/>
          <w:kern w:val="0"/>
          <w:sz w:val="24"/>
          <w:szCs w:val="24"/>
        </w:rPr>
        <w:t>离任经济责任审计</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，审计包括下列事项：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本村财务收支情况；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本村债权债务情况；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政府拨付和接受社会捐赠的资金、物资管理使用情况；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本村生产经营和建设项目的发包管理以及公益事业建设项目招标投标情况；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本村资金管理使用以及本村集体资产、资源的承包、租赁、担保、出让情况，征地补偿费的使用、分配情况；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本村五分之一以上的村民要求审计的其他事项。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成员的任期和离任经济责任审计，由县级人民政府农业部门、财政部门或者乡、民族乡、镇的人民政府负责组织，审计结果应当公布，其中离任经济责任审计结果应当在下一届村民委员会选举之前公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第三十六条</w:t>
      </w:r>
      <w:r>
        <w:rPr>
          <w:rFonts w:asciiTheme="minorEastAsia" w:hAnsiTheme="minorEastAsia" w:eastAsiaTheme="minorEastAsia"/>
          <w:kern w:val="0"/>
          <w:sz w:val="24"/>
          <w:szCs w:val="24"/>
        </w:rPr>
        <w:t xml:space="preserve">  村民委员会或者村民委员会成员作出的决定侵害村民合法权益的，受侵害的村民可以申请</w:t>
      </w:r>
      <w:r>
        <w:fldChar w:fldCharType="begin"/>
      </w:r>
      <w:r>
        <w:instrText xml:space="preserve"> HYPERLINK "https://baike.baidu.com/item/%E4%BA%BA%E6%B0%91%E6%B3%95%E9%99%A2" \t "_blank" </w:instrText>
      </w:r>
      <w:r>
        <w:fldChar w:fldCharType="separate"/>
      </w:r>
      <w:r>
        <w:rPr>
          <w:rFonts w:asciiTheme="minorEastAsia" w:hAnsiTheme="minorEastAsia" w:eastAsiaTheme="minorEastAsia"/>
          <w:kern w:val="0"/>
          <w:sz w:val="24"/>
          <w:szCs w:val="24"/>
        </w:rPr>
        <w:t>人民法院</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予以撤销，责任人依法承担法律责任。</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村民委员会不依照法律、法规的规定履行法定义务的，由乡、民族乡、镇的人民政府责令改正。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乡、民族乡、镇的人民政府干预依法属于村民自治范围事项的，由上一级人民政府责令改正。</w:t>
      </w:r>
    </w:p>
    <w:p>
      <w:pPr>
        <w:pStyle w:val="63"/>
        <w:spacing w:before="218" w:after="218" w:line="412" w:lineRule="exact"/>
        <w:rPr>
          <w:kern w:val="0"/>
        </w:rPr>
      </w:pPr>
      <w:bookmarkStart w:id="1650" w:name="附则"/>
      <w:bookmarkEnd w:id="1650"/>
      <w:bookmarkStart w:id="1651" w:name="sub27973_2_7"/>
      <w:bookmarkEnd w:id="1651"/>
      <w:r>
        <w:rPr>
          <w:rFonts w:hint="eastAsia"/>
          <w:kern w:val="0"/>
        </w:rPr>
        <w:t xml:space="preserve">第六章  </w:t>
      </w:r>
      <w:r>
        <w:rPr>
          <w:kern w:val="0"/>
        </w:rPr>
        <w:t>附</w:t>
      </w:r>
      <w:r>
        <w:rPr>
          <w:rFonts w:hint="eastAsia"/>
          <w:kern w:val="0"/>
        </w:rPr>
        <w:t xml:space="preserve">  </w:t>
      </w:r>
      <w:r>
        <w:rPr>
          <w:kern w:val="0"/>
        </w:rPr>
        <w:t>则</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第三十七条</w:t>
      </w:r>
      <w:r>
        <w:rPr>
          <w:rFonts w:asciiTheme="minorEastAsia" w:hAnsiTheme="minorEastAsia" w:eastAsiaTheme="minorEastAsia"/>
          <w:kern w:val="0"/>
          <w:sz w:val="24"/>
          <w:szCs w:val="24"/>
        </w:rPr>
        <w:t xml:space="preserve">  人民政府对村民委员会协助政府开展工作应当提供必要的条件；人民政府有关部门委托村民委员会开展工作需要经费的，由委托部门承担。</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村民委员会办理本村公益事业所需的经费，由村民会议通过筹资筹劳解决；经费确有困难的，由地方人民政府给予适当支持。</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第三十八条</w:t>
      </w:r>
      <w:r>
        <w:rPr>
          <w:rFonts w:asciiTheme="minorEastAsia" w:hAnsiTheme="minorEastAsia" w:eastAsiaTheme="minorEastAsia"/>
          <w:kern w:val="0"/>
          <w:sz w:val="24"/>
          <w:szCs w:val="24"/>
        </w:rPr>
        <w:t xml:space="preserve">  驻在农村的机关、团体、部队、国有及</w:t>
      </w:r>
      <w:r>
        <w:fldChar w:fldCharType="begin"/>
      </w:r>
      <w:r>
        <w:instrText xml:space="preserve"> HYPERLINK "https://baike.baidu.com/item/%E5%9B%BD%E6%9C%89%E6%8E%A7%E8%82%A1%E4%BC%81%E4%B8%9A" \t "_blank" </w:instrText>
      </w:r>
      <w:r>
        <w:fldChar w:fldCharType="separate"/>
      </w:r>
      <w:r>
        <w:rPr>
          <w:rFonts w:asciiTheme="minorEastAsia" w:hAnsiTheme="minorEastAsia" w:eastAsiaTheme="minorEastAsia"/>
          <w:kern w:val="0"/>
          <w:sz w:val="24"/>
          <w:szCs w:val="24"/>
        </w:rPr>
        <w:t>国有控股企业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、事业单位及其人员不参加村民委员会组织，但应当通过多种形式参与农村社区建设，并遵守有关村规民约。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村民委员会、村民会议或者村民代表会议讨论决定与前款规定的单位有关的事项，应当与其协商。</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第三十九条</w:t>
      </w:r>
      <w:r>
        <w:rPr>
          <w:rFonts w:asciiTheme="minorEastAsia" w:hAnsiTheme="minorEastAsia" w:eastAsiaTheme="minorEastAsia"/>
          <w:kern w:val="0"/>
          <w:sz w:val="24"/>
          <w:szCs w:val="24"/>
        </w:rPr>
        <w:t xml:space="preserve">  地方各级人民代表大会和县级以上地方各级人民代表大会常务委员会在本行政区域内保证本法的实施，保障村民依法行使自治权利。</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第四十条</w:t>
      </w:r>
      <w:r>
        <w:rPr>
          <w:rFonts w:asciiTheme="minorEastAsia" w:hAnsiTheme="minorEastAsia" w:eastAsiaTheme="minorEastAsia"/>
          <w:kern w:val="0"/>
          <w:sz w:val="24"/>
          <w:szCs w:val="24"/>
        </w:rPr>
        <w:t xml:space="preserve">  省、自治区、</w:t>
      </w:r>
      <w:r>
        <w:fldChar w:fldCharType="begin"/>
      </w:r>
      <w:r>
        <w:instrText xml:space="preserve"> HYPERLINK "https://baike.baidu.com/item/%E7%9B%B4%E8%BE%96%E5%B8%82" \t "_blank" </w:instrText>
      </w:r>
      <w:r>
        <w:fldChar w:fldCharType="separate"/>
      </w:r>
      <w:r>
        <w:rPr>
          <w:rFonts w:asciiTheme="minorEastAsia" w:hAnsiTheme="minorEastAsia" w:eastAsiaTheme="minorEastAsia"/>
          <w:kern w:val="0"/>
          <w:sz w:val="24"/>
          <w:szCs w:val="24"/>
        </w:rPr>
        <w:t>直辖市</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的</w:t>
      </w:r>
      <w:r>
        <w:fldChar w:fldCharType="begin"/>
      </w:r>
      <w:r>
        <w:instrText xml:space="preserve"> HYPERLINK "https://baike.baidu.com/item/%E4%BA%BA%E6%B0%91%E4%BB%A3%E8%A1%A8%E5%A4%A7%E4%BC%9A%E5%B8%B8%E5%8A%A1%E5%A7%94%E5%91%98%E4%BC%9A" \t "_blank" </w:instrText>
      </w:r>
      <w:r>
        <w:fldChar w:fldCharType="separate"/>
      </w:r>
      <w:r>
        <w:rPr>
          <w:rFonts w:asciiTheme="minorEastAsia" w:hAnsiTheme="minorEastAsia" w:eastAsiaTheme="minorEastAsia"/>
          <w:kern w:val="0"/>
          <w:sz w:val="24"/>
          <w:szCs w:val="24"/>
        </w:rPr>
        <w:t>人民代表大会常务委员会</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根据本法，结合本行政区域的实际情况，制定实施办法。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kern w:val="0"/>
          <w:sz w:val="24"/>
          <w:szCs w:val="24"/>
        </w:rPr>
        <w:t>第四十一条</w:t>
      </w:r>
      <w:r>
        <w:rPr>
          <w:rFonts w:asciiTheme="minorEastAsia" w:hAnsiTheme="minorEastAsia" w:eastAsiaTheme="minorEastAsia"/>
          <w:kern w:val="0"/>
          <w:sz w:val="24"/>
          <w:szCs w:val="24"/>
        </w:rPr>
        <w:t xml:space="preserve">  本法自公布之日起施行。</w:t>
      </w:r>
      <w:r>
        <w:rPr>
          <w:rFonts w:asciiTheme="minorEastAsia" w:hAnsiTheme="minorEastAsia" w:eastAsiaTheme="minorEastAsia"/>
          <w:sz w:val="24"/>
          <w:szCs w:val="24"/>
        </w:rPr>
        <w:br w:type="page"/>
      </w:r>
      <w:bookmarkStart w:id="1652" w:name="_Toc18915817"/>
      <w:bookmarkStart w:id="1653" w:name="_Toc18942546"/>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654" w:name="_Toc26348079"/>
      <w:bookmarkStart w:id="1655" w:name="_Toc28157101"/>
      <w:bookmarkStart w:id="1656" w:name="_Toc25648325"/>
      <w:bookmarkStart w:id="1657" w:name="_Toc28251029"/>
      <w:bookmarkStart w:id="1658" w:name="_Toc25653826"/>
      <w:bookmarkStart w:id="1659" w:name="_Toc28252312"/>
      <w:r>
        <w:t>北京市实施《中华人民共和国村民</w:t>
      </w:r>
      <w:r>
        <w:rPr>
          <w:rFonts w:hint="eastAsia"/>
        </w:rPr>
        <w:br w:type="textWrapping"/>
      </w:r>
      <w:r>
        <w:t>委员会组织法》的若干规定</w:t>
      </w:r>
      <w:bookmarkEnd w:id="1652"/>
      <w:bookmarkEnd w:id="1653"/>
      <w:bookmarkEnd w:id="1654"/>
      <w:bookmarkEnd w:id="1655"/>
      <w:bookmarkEnd w:id="1656"/>
      <w:bookmarkEnd w:id="1657"/>
      <w:bookmarkEnd w:id="1658"/>
      <w:bookmarkEnd w:id="1659"/>
    </w:p>
    <w:p>
      <w:pPr>
        <w:pStyle w:val="62"/>
        <w:rPr>
          <w:b/>
        </w:rPr>
      </w:pPr>
      <w:r>
        <w:t>（2001年8月3日北京市第十一届人民代表大会常务委员会第28次会议通过，</w:t>
      </w:r>
      <w:r>
        <w:rPr>
          <w:rFonts w:hint="eastAsia"/>
        </w:rPr>
        <w:t>根据</w:t>
      </w:r>
      <w:r>
        <w:t>2012年9月28日北京市第十三届人民代表大会常务委员会第35次会议修订）</w:t>
      </w:r>
    </w:p>
    <w:p>
      <w:pPr>
        <w:pStyle w:val="3"/>
        <w:topLinePunct/>
        <w:spacing w:line="412" w:lineRule="exact"/>
        <w:ind w:firstLine="482"/>
        <w:rPr>
          <w:rFonts w:asciiTheme="minorEastAsia" w:hAnsiTheme="minorEastAsia" w:eastAsiaTheme="minorEastAsia"/>
          <w:b/>
          <w:kern w:val="0"/>
          <w:sz w:val="24"/>
          <w:szCs w:val="24"/>
        </w:rPr>
      </w:pP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第一条  </w:t>
      </w:r>
      <w:r>
        <w:rPr>
          <w:rFonts w:asciiTheme="minorEastAsia" w:hAnsiTheme="minorEastAsia" w:eastAsiaTheme="minorEastAsia"/>
          <w:kern w:val="0"/>
          <w:sz w:val="24"/>
          <w:szCs w:val="24"/>
        </w:rPr>
        <w:t>为实施《</w:t>
      </w:r>
      <w:r>
        <w:fldChar w:fldCharType="begin"/>
      </w:r>
      <w:r>
        <w:instrText xml:space="preserve"> HYPERLINK "https://baike.baidu.com/item/%E4%B8%AD%E5%8D%8E%E4%BA%BA%E6%B0%91%E5%85%B1%E5%92%8C%E5%9B%BD%E6%9D%91%E6%B0%91%E5%A7%94%E5%91%98%E4%BC%9A%E7%BB%84%E7%BB%87%E6%B3%95" \t "_blank" </w:instrText>
      </w:r>
      <w:r>
        <w:fldChar w:fldCharType="separate"/>
      </w:r>
      <w:r>
        <w:rPr>
          <w:rFonts w:asciiTheme="minorEastAsia" w:hAnsiTheme="minorEastAsia" w:eastAsiaTheme="minorEastAsia"/>
          <w:kern w:val="0"/>
          <w:sz w:val="24"/>
          <w:szCs w:val="24"/>
        </w:rPr>
        <w:t>中华人民共和国村民委员会组织法</w:t>
      </w:r>
      <w:r>
        <w:rPr>
          <w:rFonts w:asciiTheme="minorEastAsia" w:hAnsiTheme="minorEastAsia" w:eastAsiaTheme="minorEastAsia"/>
          <w:kern w:val="0"/>
          <w:sz w:val="24"/>
          <w:szCs w:val="24"/>
        </w:rPr>
        <w:fldChar w:fldCharType="end"/>
      </w:r>
      <w:r>
        <w:rPr>
          <w:rFonts w:asciiTheme="minorEastAsia" w:hAnsiTheme="minorEastAsia" w:eastAsiaTheme="minorEastAsia"/>
          <w:kern w:val="0"/>
          <w:sz w:val="24"/>
          <w:szCs w:val="24"/>
        </w:rPr>
        <w:t>》，根据本市实际，制定本规定。</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第二条  </w:t>
      </w:r>
      <w:r>
        <w:rPr>
          <w:rFonts w:asciiTheme="minorEastAsia" w:hAnsiTheme="minorEastAsia" w:eastAsiaTheme="minorEastAsia"/>
          <w:kern w:val="0"/>
          <w:sz w:val="24"/>
          <w:szCs w:val="24"/>
        </w:rPr>
        <w:t>本市按照党的领导、人民当家作主、依法治国有机统一的要求，依法推进村民自治制度建设，促进农村经济社会发展。</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第三条  </w:t>
      </w:r>
      <w:r>
        <w:rPr>
          <w:rFonts w:asciiTheme="minorEastAsia" w:hAnsiTheme="minorEastAsia" w:eastAsiaTheme="minorEastAsia"/>
          <w:kern w:val="0"/>
          <w:sz w:val="24"/>
          <w:szCs w:val="24"/>
        </w:rPr>
        <w:t>村民委员会是村民自我管理、自我教育、自我服务的基层群众性自治组织，实行民主选举、民主决策、民主管理、民主监督。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村民委员会办理本村的公共事务和公益事业，调解民间纠纷，协助维护社会治安，向人民政府反映村民的意见、要求和提出建议。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村民委员会向村民会议、村民代表会议负责并报告工作。</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村民委员会实行少数服从多数的民主决策机制和公开透明的工作原则，建立健全各种工作制度。</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第四条  </w:t>
      </w:r>
      <w:r>
        <w:rPr>
          <w:rFonts w:asciiTheme="minorEastAsia" w:hAnsiTheme="minorEastAsia" w:eastAsiaTheme="minorEastAsia"/>
          <w:kern w:val="0"/>
          <w:sz w:val="24"/>
          <w:szCs w:val="24"/>
        </w:rPr>
        <w:t>中国共产党在农村的基层组织，按照《中国共产党章程》以及《中国共产党农村基层组织工作条例》进行工作，发挥领导核心作用，领导和支持村民委员会行使职权；依照宪法和法律，支持和保障村民开展自治活动、直接行使民主权利，推进农村基层民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第五条  </w:t>
      </w:r>
      <w:r>
        <w:rPr>
          <w:rFonts w:asciiTheme="minorEastAsia" w:hAnsiTheme="minorEastAsia" w:eastAsiaTheme="minorEastAsia"/>
          <w:kern w:val="0"/>
          <w:sz w:val="24"/>
          <w:szCs w:val="24"/>
        </w:rPr>
        <w:t>乡、民族乡、镇人民政府指导、支持和帮助村民委员会建立健全各项自治制度，依法开展自治活动，但不得干预依法属于村民自治范围内的事项，不得侵占或者自行处置村集体财产。</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村民委员会协助乡、民族乡、镇人民政府开展工作。</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第六条  </w:t>
      </w:r>
      <w:r>
        <w:rPr>
          <w:rFonts w:asciiTheme="minorEastAsia" w:hAnsiTheme="minorEastAsia" w:eastAsiaTheme="minorEastAsia"/>
          <w:kern w:val="0"/>
          <w:sz w:val="24"/>
          <w:szCs w:val="24"/>
        </w:rPr>
        <w:t>村民委员会应当尊重并支持集体经济组织依法独立进行经济活动的自主权，维护以家庭承包经营为基础、统分结合的双层经营体制，保障集体经济组织和村民、承包经营户、联户或者合伙的合法财产权和其他合法权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第七条  </w:t>
      </w:r>
      <w:r>
        <w:rPr>
          <w:rFonts w:asciiTheme="minorEastAsia" w:hAnsiTheme="minorEastAsia" w:eastAsiaTheme="minorEastAsia"/>
          <w:kern w:val="0"/>
          <w:sz w:val="24"/>
          <w:szCs w:val="24"/>
        </w:rPr>
        <w:t>村民委员会根据需要设人民调解、治安保卫、公共卫生与计划生育、文化体育、妇女儿童等委员会。村民委员会成员可以兼任下属委员会的成员。人口少的村的村民委员会可以不设下属委员会，由村民委员会成员分工负责有关工作。</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村民委员会设立下属委员会的，应当在村民委员会选举结果公布后十五日内由村民会议或者村民代表会议推选产生下属委员会成员。</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第八条  </w:t>
      </w:r>
      <w:r>
        <w:rPr>
          <w:rFonts w:asciiTheme="minorEastAsia" w:hAnsiTheme="minorEastAsia" w:eastAsiaTheme="minorEastAsia"/>
          <w:kern w:val="0"/>
          <w:sz w:val="24"/>
          <w:szCs w:val="24"/>
        </w:rPr>
        <w:t>村民委员会可以根据村民居住状况、集体土地所有权关系等分设若干村民小组。</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第九条  </w:t>
      </w:r>
      <w:r>
        <w:rPr>
          <w:rFonts w:asciiTheme="minorEastAsia" w:hAnsiTheme="minorEastAsia" w:eastAsiaTheme="minorEastAsia"/>
          <w:kern w:val="0"/>
          <w:sz w:val="24"/>
          <w:szCs w:val="24"/>
        </w:rPr>
        <w:t>村民委员会应当宣传贯彻宪法、法律、法规和国家的政策，维护村民的合法权益；教育和推动村民履行纳税、服兵役、拥军优属、抢险救灾、计划生育等法律规定的义务，爱护公共财产，开展爱国卫生运动。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多民族村民居住的村，村民委员会应当教育和引导村民加强民族团结，互相帮助，互相尊重。</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第十条  </w:t>
      </w:r>
      <w:r>
        <w:rPr>
          <w:rFonts w:asciiTheme="minorEastAsia" w:hAnsiTheme="minorEastAsia" w:eastAsiaTheme="minorEastAsia"/>
          <w:kern w:val="0"/>
          <w:sz w:val="24"/>
          <w:szCs w:val="24"/>
        </w:rPr>
        <w:t>村民委员会应当依法调解民间纠纷，维护生产、生活秩序；协助政府做好流动人口的服务和管理工作。</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第十一条  </w:t>
      </w:r>
      <w:r>
        <w:rPr>
          <w:rFonts w:asciiTheme="minorEastAsia" w:hAnsiTheme="minorEastAsia" w:eastAsiaTheme="minorEastAsia"/>
          <w:kern w:val="0"/>
          <w:sz w:val="24"/>
          <w:szCs w:val="24"/>
        </w:rPr>
        <w:t>村民委员会应当发展文化教育，开展健康有益的文体娱乐活动，提高村民思想道德素质和科学文化水平，树立社会主义新风尚，促进村和村之间的团结、互助，开展多种形式的社会主义精神文明建设活动。</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第十二条  </w:t>
      </w:r>
      <w:r>
        <w:rPr>
          <w:rFonts w:asciiTheme="minorEastAsia" w:hAnsiTheme="minorEastAsia" w:eastAsiaTheme="minorEastAsia"/>
          <w:kern w:val="0"/>
          <w:sz w:val="24"/>
          <w:szCs w:val="24"/>
        </w:rPr>
        <w:t>村民委员会应当支持和组织村民依法发展各种形式的合作经济和其他经济，承担本村生产的服务和协调工作，促进农村生产建设和经济发展，引导村民合理利用自然资源，保护和改善生态环境。</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第十三条  </w:t>
      </w:r>
      <w:r>
        <w:rPr>
          <w:rFonts w:asciiTheme="minorEastAsia" w:hAnsiTheme="minorEastAsia" w:eastAsiaTheme="minorEastAsia"/>
          <w:kern w:val="0"/>
          <w:sz w:val="24"/>
          <w:szCs w:val="24"/>
        </w:rPr>
        <w:t>村民委员会应当组织开展公益服务和便民利民服务，鼓励和引导村民建立服务性、公益性和互助性社会组织，并支持其依法开展活动，推动农村社区建设。</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第十四条  </w:t>
      </w:r>
      <w:r>
        <w:rPr>
          <w:rFonts w:asciiTheme="minorEastAsia" w:hAnsiTheme="minorEastAsia" w:eastAsiaTheme="minorEastAsia"/>
          <w:kern w:val="0"/>
          <w:sz w:val="24"/>
          <w:szCs w:val="24"/>
        </w:rPr>
        <w:t>村民委员会成员的任期和离任经济责任审计，由乡、民族乡、镇人民政府负责组织，区、县人民政府农村集体经济审计机构根据实际情况也可以组织审计，审计结果应当按照国家和本市规定及时向村民公布。</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第十五条  </w:t>
      </w:r>
      <w:r>
        <w:rPr>
          <w:rFonts w:asciiTheme="minorEastAsia" w:hAnsiTheme="minorEastAsia" w:eastAsiaTheme="minorEastAsia"/>
          <w:kern w:val="0"/>
          <w:sz w:val="24"/>
          <w:szCs w:val="24"/>
        </w:rPr>
        <w:t>村民会议由本村十八周岁以上的村民组成。</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村民会议每年至少召开一次，由村民委员会召集，并应当提前十日通知村民。</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召开村民会议，应当有本村十八周岁以上村民的过半数，或者有本村三分之二以上的户的代表参加，村民会议所作决定应当经到会人员的过半数通过。</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召开村民会议，根据需要可以邀请驻本村的企业、事业单位和群众组织派代表列席。</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第十六条  </w:t>
      </w:r>
      <w:r>
        <w:rPr>
          <w:rFonts w:asciiTheme="minorEastAsia" w:hAnsiTheme="minorEastAsia" w:eastAsiaTheme="minorEastAsia"/>
          <w:kern w:val="0"/>
          <w:sz w:val="24"/>
          <w:szCs w:val="24"/>
        </w:rPr>
        <w:t>一百户以上或者居住分散的村，可以设立村民代表会议，讨论决定村民会议授权的事项。村民代表会议由村民委员会成员和村民代表组成，村民代表应当占村民代表会议组成人员的五分之四以上，妇女村民代表应当占村民代表会议组成人员的三分之一以上。</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第十七条  </w:t>
      </w:r>
      <w:r>
        <w:rPr>
          <w:rFonts w:asciiTheme="minorEastAsia" w:hAnsiTheme="minorEastAsia" w:eastAsiaTheme="minorEastAsia"/>
          <w:kern w:val="0"/>
          <w:sz w:val="24"/>
          <w:szCs w:val="24"/>
        </w:rPr>
        <w:t>村民会议根据法律、法规和相关政策，结合本村实际情况，制定和修改村民自治章程、村规民约。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村民自治章程应当包括本村村民会议、村民代表会议开展民主决策的基本规则，民主管理和民主监督的基本工作制度，公益事业服务和公共事务管理，以及村民自治的其他重大事项。</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村民委员会应当在广泛征集村民意见的基础上，提出制定或者修改村民自治章程、村规民约的建议。村民自治章程、村规民约经村民会议讨论通过后，由村民委员会报乡、民族乡、镇人民政府备案。</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第十八条  </w:t>
      </w:r>
      <w:r>
        <w:rPr>
          <w:rFonts w:asciiTheme="minorEastAsia" w:hAnsiTheme="minorEastAsia" w:eastAsiaTheme="minorEastAsia"/>
          <w:kern w:val="0"/>
          <w:sz w:val="24"/>
          <w:szCs w:val="24"/>
        </w:rPr>
        <w:t>村民会议审议村民委员会的年度工作报告，评议村民委员会成员的工作；有权撤销或者变更村民委员会不适当的决定；有权撤销或者变更村民代表会议不适当的决定。</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村民会议可以授权村民代表会议审议村民委员会的年度工作报告，评议村民委员会成员的工作，撤销或者变更村民委员会不适当的决定。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第十九条  </w:t>
      </w:r>
      <w:r>
        <w:rPr>
          <w:rFonts w:asciiTheme="minorEastAsia" w:hAnsiTheme="minorEastAsia" w:eastAsiaTheme="minorEastAsia"/>
          <w:kern w:val="0"/>
          <w:sz w:val="24"/>
          <w:szCs w:val="24"/>
        </w:rPr>
        <w:t>涉及村民利益的下列事项，经村民会议或者村民会议授权村民代表会议讨论决定，方可办理：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（一）本村享受误工补贴或者村财务开支的人员，以及补贴或者报酬标准；</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（二）本村公益事业的兴办和筹资筹劳方案及建设承包方案；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（三）村公益事业专项补助资金的使用方案；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（四）村日常运行经费的使用方案；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（五）按照国家和本市规定应当由村民会议讨论决定的事项。</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村民会议授权村民代表会议讨论决定的具体事项应当在村民自治章程中规定。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第二十条  </w:t>
      </w:r>
      <w:r>
        <w:rPr>
          <w:rFonts w:asciiTheme="minorEastAsia" w:hAnsiTheme="minorEastAsia" w:eastAsiaTheme="minorEastAsia"/>
          <w:kern w:val="0"/>
          <w:sz w:val="24"/>
          <w:szCs w:val="24"/>
        </w:rPr>
        <w:t>村民代表会议由村民委员会召集。村民代表会议每季度至少召开一次。特殊情况或者有五分之一以上的村民代表提议，应当在五日内召集村民代表会议。村民代表会议有三分之二以上的组成人员参加方可召开，所作决定应当经到会人员的过半数同意。</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召开村民代表会议，根据需要可以邀请驻本村的企业、事业单位和群众组织派代表列席会议。</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第二十一条  </w:t>
      </w:r>
      <w:r>
        <w:rPr>
          <w:rFonts w:asciiTheme="minorEastAsia" w:hAnsiTheme="minorEastAsia" w:eastAsiaTheme="minorEastAsia"/>
          <w:kern w:val="0"/>
          <w:sz w:val="24"/>
          <w:szCs w:val="24"/>
        </w:rPr>
        <w:t>村民代表会议的议题应当由村民委员会在会议召开的三日前公布。村民代表在会前应当征求所代表的村民的意见，对村民代表会议决定的事项，应当及时向所代表的村民进行传达。</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第二十二条  </w:t>
      </w:r>
      <w:r>
        <w:rPr>
          <w:rFonts w:asciiTheme="minorEastAsia" w:hAnsiTheme="minorEastAsia" w:eastAsiaTheme="minorEastAsia"/>
          <w:kern w:val="0"/>
          <w:sz w:val="24"/>
          <w:szCs w:val="24"/>
        </w:rPr>
        <w:t>村民代表由村民按每五户至十五户推选一人，或者由各村民小组推选若干人。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村民代表由村民小组推选的，村民代表总数一般不得少于三十人。</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多民族村民居住的村，应当有人口较少的民族的代表。</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任何组织和个人不得指定、委派或者撤换村民代表。</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第二十三条  </w:t>
      </w:r>
      <w:r>
        <w:rPr>
          <w:rFonts w:asciiTheme="minorEastAsia" w:hAnsiTheme="minorEastAsia" w:eastAsiaTheme="minorEastAsia"/>
          <w:kern w:val="0"/>
          <w:sz w:val="24"/>
          <w:szCs w:val="24"/>
        </w:rPr>
        <w:t>村民代表应当具备下列条件：</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（一）年满十八周岁，具有选举权和被选举权的本村村民；</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（二）遵纪守法、品行良好，办事公道，有较高的群众威信；</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（三）具有正常履行职责的身体条件；</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（四）具有一定议事能力。</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第二十四条  </w:t>
      </w:r>
      <w:r>
        <w:rPr>
          <w:rFonts w:asciiTheme="minorEastAsia" w:hAnsiTheme="minorEastAsia" w:eastAsiaTheme="minorEastAsia"/>
          <w:kern w:val="0"/>
          <w:sz w:val="24"/>
          <w:szCs w:val="24"/>
        </w:rPr>
        <w:t>村民代表应当向其推选户或者村民小组负责，接受村民监督。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村民代表的职责：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（一）参加村民代表会议，讨论决定村民会议授权的事项；</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（二）联系其推选户或者村民小组，反映其推选户或者村民小组的意见和建议；</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（三）向其推选户或者村民小组传达村民代表会议决定，并动员村民遵守和执行；</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（四）村民自治章程中规定的其他职责。</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村民代表不依法履行职责的，由原推选户或者村民小组撤换。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第二十五条  </w:t>
      </w:r>
      <w:r>
        <w:rPr>
          <w:rFonts w:asciiTheme="minorEastAsia" w:hAnsiTheme="minorEastAsia" w:eastAsiaTheme="minorEastAsia"/>
          <w:kern w:val="0"/>
          <w:sz w:val="24"/>
          <w:szCs w:val="24"/>
        </w:rPr>
        <w:t>召开村民小组会议，应当有本村民小组十八周岁以上的村民三分之二以上，或者本村民小组三分之二以上的户的代表参加，所作决定应当经到会人员的过半数同意。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村民小组组长应当在新一届村民委员会产生后十五日内由村民小组会议从本组村民中推选产生。村民小组组长任期与村民委员会的任期相同，可以连选连任。</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村民小组组长负责组织督促本组村民执行村民委员会的决定，完成村民委员会交给的工作任务，办理本组的公共事务和公益事业，并向村民委员会反映本组村民的意见和要求。</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第二十六条  </w:t>
      </w:r>
      <w:r>
        <w:rPr>
          <w:rFonts w:asciiTheme="minorEastAsia" w:hAnsiTheme="minorEastAsia" w:eastAsiaTheme="minorEastAsia"/>
          <w:kern w:val="0"/>
          <w:sz w:val="24"/>
          <w:szCs w:val="24"/>
        </w:rPr>
        <w:t>村民小组组长、村民代表认为需要由村民委员会研究决定的事项，可以向村民委员会提出。村民委员会不采纳的，应当说明理由。</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第二十七条  </w:t>
      </w:r>
      <w:r>
        <w:rPr>
          <w:rFonts w:asciiTheme="minorEastAsia" w:hAnsiTheme="minorEastAsia" w:eastAsiaTheme="minorEastAsia"/>
          <w:kern w:val="0"/>
          <w:sz w:val="24"/>
          <w:szCs w:val="24"/>
        </w:rPr>
        <w:t>村应当建立村务监督委员会，负责村民民主理财、监督村务公开等制度的落实，履行依法公布村民委员会成员职务的自行终止、监督村民委员会成员的罢免工作等职责。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务监督委员会由三至五人组成，由村民会议或者村民代表会议在村民中推选产生，其中应当有具备财会、管理知识的人员。村务监督委员会成员与村民委员会成员同期换届，任期与村民委员会成员相同。村民委员会成员及其近亲属不得担任村务监督委员会成员。</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村务监督委员会向村民会议和村民代表会议负责并报告工作，村务监督委员会成员可以列席村民委员会会议和村民代表会议。</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村务监督委员会成员不依法履行职责的，由村民会议或者村民代表会议撤换。</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第二十八条  </w:t>
      </w:r>
      <w:r>
        <w:rPr>
          <w:rFonts w:asciiTheme="minorEastAsia" w:hAnsiTheme="minorEastAsia" w:eastAsiaTheme="minorEastAsia"/>
          <w:kern w:val="0"/>
          <w:sz w:val="24"/>
          <w:szCs w:val="24"/>
        </w:rPr>
        <w:t>村民委员会实行村务公开制度。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村民委员会应当及时公布下列事项，接受村民的监督：</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（一）村民会议或者村民代表会议讨论决定的事项及其实施情况；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（二）国家计划生育政策的落实方案；</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（三）村社会保障、合作医疗、优抚救济政策、工作措施和落实情况；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（四）政府拨付和接受社会捐赠的救灾救助、补贴补助、支援新农村建设等资金、物资的管理使用情况；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（五）村财务收支情况；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（六）村民负担费用的收缴及使用情况；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（七）农转非情况；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（八）村民委员会协助政府开展工作的情况；</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（九）村民自治章程、村规民约的制定实施情况；</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（十）按照国家和本市规定应当公布的其他事项。</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第二十九条  </w:t>
      </w:r>
      <w:r>
        <w:rPr>
          <w:rFonts w:asciiTheme="minorEastAsia" w:hAnsiTheme="minorEastAsia" w:eastAsiaTheme="minorEastAsia"/>
          <w:kern w:val="0"/>
          <w:sz w:val="24"/>
          <w:szCs w:val="24"/>
        </w:rPr>
        <w:t>村民委员会应当在本村明显的地方设置固定的村务公开栏和意见箱。村务公开还可以采取广播、闭路电视、网络、刊物等辅助形式。</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村民委员会应当广泛听取群众对村务公开的意见，接受群众查询，并作好答复工作。</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务公开不及时或者公开内容不真实的，村民有权向村民委员会提出质询，向村务监督委员会投诉，向乡、民族乡、镇人民政府，区、县人民政府及其有关主管部门反映。有关人民政府或者主管部门应当负责调查核实，责令依法公布；经查证确有违法行为的，有关人员应当依法承担责任。</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第三十条  </w:t>
      </w:r>
      <w:r>
        <w:rPr>
          <w:rFonts w:asciiTheme="minorEastAsia" w:hAnsiTheme="minorEastAsia" w:eastAsiaTheme="minorEastAsia"/>
          <w:kern w:val="0"/>
          <w:sz w:val="24"/>
          <w:szCs w:val="24"/>
        </w:rPr>
        <w:t>村应当建立健全财务管理制度。</w:t>
      </w:r>
    </w:p>
    <w:p>
      <w:pPr>
        <w:pStyle w:val="3"/>
        <w:topLinePunct/>
        <w:spacing w:line="412" w:lineRule="exact"/>
        <w:ind w:firstLine="480"/>
        <w:rPr>
          <w:rFonts w:asciiTheme="minorEastAsia" w:hAnsiTheme="minorEastAsia" w:eastAsiaTheme="minorEastAsia"/>
          <w:kern w:val="0"/>
          <w:sz w:val="24"/>
          <w:szCs w:val="24"/>
        </w:rPr>
      </w:pPr>
      <w:r>
        <w:rPr>
          <w:rFonts w:asciiTheme="minorEastAsia" w:hAnsiTheme="minorEastAsia" w:eastAsiaTheme="minorEastAsia"/>
          <w:kern w:val="0"/>
          <w:sz w:val="24"/>
          <w:szCs w:val="24"/>
        </w:rPr>
        <w:t>村财务经村民会议或者村民代表会议讨论决定，可以采取会计委托代理等财务管理方式。</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村民委员会成员的配偶、直系亲属不得担任本村财务管理工作人员。</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第三十一条  </w:t>
      </w:r>
      <w:r>
        <w:rPr>
          <w:rFonts w:asciiTheme="minorEastAsia" w:hAnsiTheme="minorEastAsia" w:eastAsiaTheme="minorEastAsia"/>
          <w:kern w:val="0"/>
          <w:sz w:val="24"/>
          <w:szCs w:val="24"/>
        </w:rPr>
        <w:t>村应当建立村民委员会印章使用的审批、登记、备案等管理制度，并纳入村民自治章程或者村规民约。</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第三十二条  </w:t>
      </w:r>
      <w:r>
        <w:rPr>
          <w:rFonts w:asciiTheme="minorEastAsia" w:hAnsiTheme="minorEastAsia" w:eastAsiaTheme="minorEastAsia"/>
          <w:kern w:val="0"/>
          <w:sz w:val="24"/>
          <w:szCs w:val="24"/>
        </w:rPr>
        <w:t>村民委员会和村务监督委员会应当建立村务档案。村务档案包括：选举文件和选票，会议记录，公益设施基本资料，基本建设资料，村务公开资料，村民自治章程，村规民约等，以及按照国家和本市规定需要建立村务档案的文件材料。</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村务档案的归档范围和档案保管期限应当符合本市档案管理的有关规定。</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第三十三条  </w:t>
      </w:r>
      <w:r>
        <w:rPr>
          <w:rFonts w:asciiTheme="minorEastAsia" w:hAnsiTheme="minorEastAsia" w:eastAsiaTheme="minorEastAsia"/>
          <w:kern w:val="0"/>
          <w:sz w:val="24"/>
          <w:szCs w:val="24"/>
        </w:rPr>
        <w:t>村民委员会成员应当接受村民会议或者村民代表会议对其履行职责情况和廉洁情况的民主评议；由村民或者村集体承担误工补贴的聘用人员，应当接受村民会议或者村民代表会议对其履行职责情况的民主评议。民主评议每年至少进行一次，由村务监督委员会主持，并公布评议结果。</w:t>
      </w:r>
    </w:p>
    <w:p>
      <w:pPr>
        <w:pStyle w:val="3"/>
        <w:topLinePunct/>
        <w:spacing w:line="412" w:lineRule="exact"/>
        <w:ind w:firstLine="480"/>
        <w:rPr>
          <w:rFonts w:asciiTheme="minorEastAsia" w:hAnsiTheme="minorEastAsia" w:eastAsiaTheme="minorEastAsia"/>
          <w:b/>
          <w:kern w:val="0"/>
          <w:sz w:val="24"/>
          <w:szCs w:val="24"/>
        </w:rPr>
      </w:pPr>
      <w:r>
        <w:rPr>
          <w:rFonts w:asciiTheme="minorEastAsia" w:hAnsiTheme="minorEastAsia" w:eastAsiaTheme="minorEastAsia"/>
          <w:kern w:val="0"/>
          <w:sz w:val="24"/>
          <w:szCs w:val="24"/>
        </w:rPr>
        <w:t>村民委员会成员连续两次被评议不称职的，其职务终止，由村务监督委员会予以公布。</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第三十四条  </w:t>
      </w:r>
      <w:r>
        <w:rPr>
          <w:rFonts w:asciiTheme="minorEastAsia" w:hAnsiTheme="minorEastAsia" w:eastAsiaTheme="minorEastAsia"/>
          <w:kern w:val="0"/>
          <w:sz w:val="24"/>
          <w:szCs w:val="24"/>
        </w:rPr>
        <w:t>区、县民政部门和乡、民族乡、镇人民政府负责制定和实施村民委员会成员的培训计划，实行培训制度。村民委员会成员至少在当选后的两个月内接受一次培训。培训经费由区、县和乡、民族乡、镇人民政府承担。</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第三十五条  </w:t>
      </w:r>
      <w:r>
        <w:rPr>
          <w:rFonts w:asciiTheme="minorEastAsia" w:hAnsiTheme="minorEastAsia" w:eastAsiaTheme="minorEastAsia"/>
          <w:kern w:val="0"/>
          <w:sz w:val="24"/>
          <w:szCs w:val="24"/>
        </w:rPr>
        <w:t>本市实行村级公益事业专项补助制度，并逐步提高补助标准。乡、民族乡、镇人民政府应当加强对村级公益事业专项补助资金使用的审核和监督。</w:t>
      </w:r>
    </w:p>
    <w:p>
      <w:pPr>
        <w:pStyle w:val="3"/>
        <w:topLinePunct/>
        <w:spacing w:line="412" w:lineRule="exact"/>
        <w:ind w:firstLine="482"/>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 xml:space="preserve">第三十六条  </w:t>
      </w:r>
      <w:r>
        <w:rPr>
          <w:rFonts w:asciiTheme="minorEastAsia" w:hAnsiTheme="minorEastAsia" w:eastAsiaTheme="minorEastAsia"/>
          <w:kern w:val="0"/>
          <w:sz w:val="24"/>
          <w:szCs w:val="24"/>
        </w:rPr>
        <w:t>本市区、县人民代表大会及其常务委员会，乡、民族乡、镇人民代表大会在本行政区域内保证《中华人民共和国村民委员会组织法》和本规定的实施，保障村民依法行使自治权利。</w:t>
      </w:r>
    </w:p>
    <w:p>
      <w:pPr>
        <w:pStyle w:val="3"/>
        <w:topLinePunct/>
        <w:spacing w:line="412" w:lineRule="exact"/>
        <w:ind w:firstLine="482"/>
        <w:rPr>
          <w:rFonts w:asciiTheme="minorEastAsia" w:hAnsiTheme="minorEastAsia" w:eastAsiaTheme="minorEastAsia"/>
          <w:kern w:val="0"/>
          <w:sz w:val="24"/>
          <w:szCs w:val="24"/>
        </w:rPr>
      </w:pPr>
      <w:r>
        <w:rPr>
          <w:rFonts w:asciiTheme="minorEastAsia" w:hAnsiTheme="minorEastAsia" w:eastAsiaTheme="minorEastAsia"/>
          <w:b/>
          <w:kern w:val="0"/>
          <w:sz w:val="24"/>
          <w:szCs w:val="24"/>
        </w:rPr>
        <w:t xml:space="preserve">第三十七条  </w:t>
      </w:r>
      <w:r>
        <w:rPr>
          <w:rFonts w:asciiTheme="minorEastAsia" w:hAnsiTheme="minorEastAsia" w:eastAsiaTheme="minorEastAsia"/>
          <w:kern w:val="0"/>
          <w:sz w:val="24"/>
          <w:szCs w:val="24"/>
        </w:rPr>
        <w:t>本规定自2012年11月1日起施行。</w:t>
      </w:r>
    </w:p>
    <w:p>
      <w:pPr>
        <w:pStyle w:val="3"/>
        <w:topLinePunct/>
        <w:spacing w:line="412" w:lineRule="exact"/>
        <w:ind w:firstLine="480"/>
        <w:rPr>
          <w:rFonts w:asciiTheme="minorEastAsia" w:hAnsiTheme="minorEastAsia" w:eastAsiaTheme="minorEastAsia"/>
          <w:kern w:val="0"/>
          <w:sz w:val="24"/>
          <w:szCs w:val="24"/>
        </w:rPr>
      </w:pPr>
    </w:p>
    <w:p>
      <w:pPr>
        <w:widowControl/>
        <w:spacing w:before="156" w:after="156"/>
        <w:ind w:firstLine="240"/>
        <w:rPr>
          <w:rFonts w:cs="Times New Roman" w:asciiTheme="minorEastAsia" w:hAnsiTheme="minorEastAsia"/>
          <w:kern w:val="0"/>
          <w:sz w:val="24"/>
          <w:szCs w:val="24"/>
        </w:rPr>
      </w:pPr>
      <w:r>
        <w:rPr>
          <w:rFonts w:asciiTheme="minorEastAsia" w:hAnsiTheme="minorEastAsia"/>
          <w:kern w:val="0"/>
          <w:sz w:val="24"/>
          <w:szCs w:val="24"/>
        </w:rPr>
        <w:br w:type="page"/>
      </w:r>
    </w:p>
    <w:p>
      <w:pPr>
        <w:pStyle w:val="3"/>
        <w:topLinePunct/>
        <w:spacing w:line="412" w:lineRule="exact"/>
        <w:ind w:firstLine="480"/>
        <w:rPr>
          <w:rFonts w:asciiTheme="minorEastAsia" w:hAnsiTheme="minorEastAsia" w:eastAsiaTheme="minorEastAsia"/>
          <w:kern w:val="0"/>
          <w:sz w:val="24"/>
          <w:szCs w:val="24"/>
        </w:rPr>
      </w:pPr>
    </w:p>
    <w:p>
      <w:pPr>
        <w:pStyle w:val="61"/>
      </w:pPr>
      <w:bookmarkStart w:id="1660" w:name="_Toc28252313"/>
      <w:bookmarkStart w:id="1661" w:name="_Toc28251030"/>
      <w:r>
        <w:rPr>
          <w:rFonts w:hint="eastAsia"/>
        </w:rPr>
        <w:t>北京市村民委员会选举办法</w:t>
      </w:r>
      <w:bookmarkEnd w:id="1660"/>
      <w:bookmarkEnd w:id="1661"/>
    </w:p>
    <w:p>
      <w:pPr>
        <w:pStyle w:val="62"/>
      </w:pPr>
      <w:r>
        <w:rPr>
          <w:rFonts w:hint="eastAsia"/>
        </w:rPr>
        <w:t>（2000年9月22日北京市第十一届人民代表大会常务委员会第二十一次会议通过，2012年9月28日北京市第十三届人民代表大会常务委员会第三十五次会议修订，2019年11月27日北京市第十五届人民代表大会常务委员会第十六次会议修订）</w:t>
      </w:r>
    </w:p>
    <w:p>
      <w:pPr>
        <w:pStyle w:val="63"/>
        <w:spacing w:before="218" w:after="218"/>
        <w:rPr>
          <w:kern w:val="0"/>
        </w:rPr>
      </w:pPr>
      <w:r>
        <w:rPr>
          <w:rFonts w:hint="eastAsia"/>
          <w:kern w:val="0"/>
        </w:rPr>
        <w:t>第一章</w:t>
      </w:r>
      <w:r>
        <w:rPr>
          <w:kern w:val="0"/>
        </w:rPr>
        <w:t xml:space="preserve">  </w:t>
      </w:r>
      <w:r>
        <w:rPr>
          <w:rFonts w:hint="eastAsia"/>
          <w:kern w:val="0"/>
        </w:rPr>
        <w:t>总</w:t>
      </w:r>
      <w:r>
        <w:rPr>
          <w:kern w:val="0"/>
        </w:rPr>
        <w:t xml:space="preserve">  </w:t>
      </w:r>
      <w:r>
        <w:rPr>
          <w:rFonts w:hint="eastAsia"/>
          <w:kern w:val="0"/>
        </w:rPr>
        <w:t>则</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第一条</w:t>
      </w:r>
      <w:r>
        <w:rPr>
          <w:rFonts w:asciiTheme="minorEastAsia" w:hAnsiTheme="minorEastAsia" w:eastAsiaTheme="minorEastAsia"/>
          <w:b/>
          <w:kern w:val="0"/>
          <w:sz w:val="24"/>
          <w:szCs w:val="24"/>
        </w:rPr>
        <w:t xml:space="preserve">  </w:t>
      </w:r>
      <w:r>
        <w:rPr>
          <w:rFonts w:hint="eastAsia" w:asciiTheme="minorEastAsia" w:hAnsiTheme="minorEastAsia" w:eastAsiaTheme="minorEastAsia"/>
          <w:kern w:val="0"/>
          <w:sz w:val="24"/>
          <w:szCs w:val="24"/>
        </w:rPr>
        <w:t>为规范村民委员会选举，保障村民依法行使民主权利，根据《中华人民共和国村民委员会组织法》，结合本市实际，制定本办法。</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第二条</w:t>
      </w:r>
      <w:r>
        <w:rPr>
          <w:rFonts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村民委员会主任、副主任和委员，由本村有选举权的村民直接选举产生。任何组织或者个人不得指定、委派或者撤换村民委员会成员。</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村民委员会由主任、副主任和委员共三至七人组成，至少有一名妇女成员。村民委员会成员的具体人数和妇女成员所担任的职位由村民会议或者村民代表会议决定。</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第四条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村民委员会每届任期五年，届满应当举行换届选举。村民委员会成员可以连选连任。</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第五条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村民委员会的换届选举工作由市人民政府统一部署。区和乡、民族乡、镇人民政府负责组织和指导选举工作的具体实施。</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第六条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中国共产党在农村的基层组织，按照《中国共产党章程》，在村民委员会选举工作中发挥领导核心作用，依照宪法和有关法律、法规，支持和保障村民直接行使民主权利。</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第七条</w:t>
      </w:r>
      <w:r>
        <w:rPr>
          <w:rFonts w:asciiTheme="minorEastAsia" w:hAnsiTheme="minorEastAsia" w:eastAsiaTheme="minorEastAsia"/>
          <w:b/>
          <w:kern w:val="0"/>
          <w:sz w:val="24"/>
          <w:szCs w:val="24"/>
        </w:rPr>
        <w:t xml:space="preserve"> </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村民委员会的选举经费由村自行解决，确有困难的，乡、民族乡、镇人民政府应当给予适当补助。</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各级人民政府组织指导村民委员会选举工作所需经费由同级财政安排。</w:t>
      </w:r>
    </w:p>
    <w:p>
      <w:pPr>
        <w:pStyle w:val="63"/>
        <w:spacing w:before="218" w:after="218"/>
        <w:rPr>
          <w:kern w:val="0"/>
        </w:rPr>
      </w:pPr>
      <w:r>
        <w:rPr>
          <w:rFonts w:hint="eastAsia"/>
          <w:kern w:val="0"/>
        </w:rPr>
        <w:t>第二章</w:t>
      </w:r>
      <w:r>
        <w:rPr>
          <w:kern w:val="0"/>
        </w:rPr>
        <w:t xml:space="preserve">  </w:t>
      </w:r>
      <w:r>
        <w:rPr>
          <w:rFonts w:hint="eastAsia"/>
          <w:kern w:val="0"/>
        </w:rPr>
        <w:t>选举工作机构</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第八条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村民委员会选举期间，市和区人民政府成立负责村民委员会选举工作的机构，组织领导下级人民政府指导村民委员会选举工作。</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乡、民族乡、镇人民政府成立村民委员会选举工作指导机构，负责制定本辖区村民委员会选举工作实施方案，部署选举工作，动员村民依法参加选举，协助确认登记参加选举的村民资格等工作。</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第九条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村民委员会的选举工作由村民选举委员会主持。村民选举委员会由主任和委员共五至九人组成，由村民会议或者村民代表会议、各村民小组会议推选产生。</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村民选举委员会成员名单应当及时向村民公告，并报乡、民族乡、镇人民政府备案。</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村民选举委员会履行下列职责：</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（一）宣传选举的目的、意义和有关法律、法规；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（二）制定选举工作实施方案；</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（三）确定和培训选举工作人员；</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（四）审查、登记并公布参加选举的村民名单；</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（五）组织提名村民委员会成员候选人，审查候选人资格，确定并公布候选人名单，组织宣传介绍候选人；</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（六）确定并公告选举日期、投票方式、投票地点和投票时间；</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（七）主持选举大会，组织选举投票、公开计票，认定疑难选票，确认选举效力，公布选举结果，并报乡、民族乡、镇人民政府备案；</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（八）受理有关选举工作的申诉；</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（九）主持村民委员会的工作移交；</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（十）总结选举工作，整理、建立选举工作档案；</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（十一）办理其他选举工作事项。</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村民选举委员会遵循少数服从多数的议事原则。</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村民选举委员会履行职责，从组成之日起至完成村民委员会工作交接之日止。</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第十一条</w:t>
      </w:r>
      <w:r>
        <w:rPr>
          <w:rFonts w:hint="eastAsia" w:asciiTheme="minorEastAsia" w:hAnsiTheme="minorEastAsia" w:eastAsiaTheme="minorEastAsia"/>
          <w:kern w:val="0"/>
          <w:sz w:val="24"/>
          <w:szCs w:val="24"/>
        </w:rPr>
        <w:t xml:space="preserve">  村民选举委员会成员不依法履行职责的，经村民会议、村民代表会议或者推选其为村民选举委员会成员的村民小组会议讨论决定，予以免职。乡、民族乡、镇村民委员会选举工作指导机构对不依法履行职责的村民选举委员会成员，可以提出免职建议。村民选举委员会成员被提名为村民委员会成员候选人，应当退出村民选举委员会。村民选举委员会因故出现缺额，按照原推选结果依次递补；没有候补人选的，也可另行推选。</w:t>
      </w:r>
    </w:p>
    <w:p>
      <w:pPr>
        <w:pStyle w:val="63"/>
        <w:spacing w:before="218" w:after="218"/>
        <w:rPr>
          <w:kern w:val="0"/>
        </w:rPr>
      </w:pPr>
      <w:r>
        <w:rPr>
          <w:rFonts w:hint="eastAsia"/>
          <w:kern w:val="0"/>
        </w:rPr>
        <w:t>第三章　参加选举村民的登记</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第十二条</w:t>
      </w:r>
      <w:r>
        <w:rPr>
          <w:rFonts w:hint="eastAsia" w:asciiTheme="minorEastAsia" w:hAnsiTheme="minorEastAsia" w:eastAsiaTheme="minorEastAsia"/>
          <w:kern w:val="0"/>
          <w:sz w:val="24"/>
          <w:szCs w:val="24"/>
        </w:rPr>
        <w:t>　年满十八周岁的村民，不分民族、种族、性别、职业、家庭出身、宗教信仰、教育程度、财产状况、居住期限，都有选举权和被选举权；但是，依照法律被剥夺政治权利的人除外。</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村民的年龄计算到选举日为止。</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第十三条</w:t>
      </w:r>
      <w:r>
        <w:rPr>
          <w:rFonts w:hint="eastAsia" w:asciiTheme="minorEastAsia" w:hAnsiTheme="minorEastAsia" w:eastAsiaTheme="minorEastAsia"/>
          <w:kern w:val="0"/>
          <w:sz w:val="24"/>
          <w:szCs w:val="24"/>
        </w:rPr>
        <w:t>　村民委员会选举前，应当对下列人员进行登记，列入参加选举村民名单：</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（一）户籍在本村并且在本村居住的村民；</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（二）户籍在本村，不在本村居住，本人表示参加选举的村民；</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（三）原为本村农业户籍，现已转为非农业户籍，但仍在本村居住或者工作，并且未参加居民委员会选举，经村民会议或者村民代表会议同意参加选举的人员；</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（四）户籍不在本村，在本村居住或者工作一年以上，本人申请参加选举，并且经村民会议或者村民代表会议同意参加选举的公民。</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已在户籍所在地或者居住地登记参加选举的人员，不得再参加其他地方村民委员会选举。</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第十四条</w:t>
      </w:r>
      <w:r>
        <w:rPr>
          <w:rFonts w:hint="eastAsia" w:asciiTheme="minorEastAsia" w:hAnsiTheme="minorEastAsia" w:eastAsiaTheme="minorEastAsia"/>
          <w:kern w:val="0"/>
          <w:sz w:val="24"/>
          <w:szCs w:val="24"/>
        </w:rPr>
        <w:t>　村民有下列情形之一，经村民选举委员会确认，不列入参加选举的村民名单：</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（一）丧失行为能力的；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（二）依照法律被剥夺政治权利的；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（三）登记期间，经公告、电话、信函等多种方式确实无法取得联系的。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选举日前，以上情形消失的，经村民选举委员会确认，应当列入参加选举的村民名单。</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第十五条</w:t>
      </w:r>
      <w:r>
        <w:rPr>
          <w:rFonts w:hint="eastAsia" w:asciiTheme="minorEastAsia" w:hAnsiTheme="minorEastAsia" w:eastAsiaTheme="minorEastAsia"/>
          <w:kern w:val="0"/>
          <w:sz w:val="24"/>
          <w:szCs w:val="24"/>
        </w:rPr>
        <w:t>　登记参加选举的村民名单应当在选举日的二十日前由村民选举委员会张榜公布。村民对登记参加选举的村民名单有异议的，应当自名单公布之日起五日内向村民选举委员会提出申诉；村民选举委员会应当自收到申诉之日起三日内作出书面处理决定，并公布处理结果。</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对登记参加选举的村民，由村民选举委员会发给参选证。</w:t>
      </w:r>
    </w:p>
    <w:p>
      <w:pPr>
        <w:pStyle w:val="63"/>
        <w:spacing w:before="218" w:after="218"/>
        <w:rPr>
          <w:kern w:val="0"/>
        </w:rPr>
      </w:pPr>
      <w:r>
        <w:rPr>
          <w:rFonts w:hint="eastAsia"/>
          <w:kern w:val="0"/>
        </w:rPr>
        <w:t>第四章　候选人的产生</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第十六条</w:t>
      </w:r>
      <w:r>
        <w:rPr>
          <w:rFonts w:hint="eastAsia" w:asciiTheme="minorEastAsia" w:hAnsiTheme="minorEastAsia" w:eastAsiaTheme="minorEastAsia"/>
          <w:kern w:val="0"/>
          <w:sz w:val="24"/>
          <w:szCs w:val="24"/>
        </w:rPr>
        <w:t>　村民委员会成员候选人，由登记参加选举的村民直接提名产生。村民选举委员会应当组织召开候选人提名会议，投票产生候选人。提名会议应当有登记参加选举的村民过半数参加。</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村民委员会主任、副主任、委员候选人数应当分别多于应选名额一至二人，按照获得提名得票多少的顺序确定。</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每个登记参加选举的村民提名的候选人人数，不得超过应选名额。</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第十七条</w:t>
      </w:r>
      <w:r>
        <w:rPr>
          <w:rFonts w:hint="eastAsia" w:asciiTheme="minorEastAsia" w:hAnsiTheme="minorEastAsia" w:eastAsiaTheme="minorEastAsia"/>
          <w:kern w:val="0"/>
          <w:sz w:val="24"/>
          <w:szCs w:val="24"/>
        </w:rPr>
        <w:t>　村民提名村民委员会成员候选人，应当从全体村民利益出发，推荐奉公守法、品行良好、公道正派、热心公益、具有一定文化水平和工作能力的村民为候选人。</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第十八条</w:t>
      </w:r>
      <w:r>
        <w:rPr>
          <w:rFonts w:hint="eastAsia" w:asciiTheme="minorEastAsia" w:hAnsiTheme="minorEastAsia" w:eastAsiaTheme="minorEastAsia"/>
          <w:kern w:val="0"/>
          <w:sz w:val="24"/>
          <w:szCs w:val="24"/>
        </w:rPr>
        <w:t>　具有《中华人民共和国村民委员会组织法》第十八条规定情形的，不提名为村民委员会成员候选人。</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前款规定以外的严重违反法律、法规，或者被依法限制人身自由客观上不能履行村民委员会成员职责的村民，经村民会议或者村民代表会议决定，不提名为村民委员会成员候选人。</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第十九条</w:t>
      </w:r>
      <w:r>
        <w:rPr>
          <w:rFonts w:hint="eastAsia" w:asciiTheme="minorEastAsia" w:hAnsiTheme="minorEastAsia" w:eastAsiaTheme="minorEastAsia"/>
          <w:kern w:val="0"/>
          <w:sz w:val="24"/>
          <w:szCs w:val="24"/>
        </w:rPr>
        <w:t>　村民选举委员会应当在选举日前组织村民委员会成员候选人与村民见面，向登记参加选举的村民介绍候选人情况，由候选人介绍履行职责的设想，回答村民提出的问题。</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第二十条</w:t>
      </w:r>
      <w:r>
        <w:rPr>
          <w:rFonts w:hint="eastAsia" w:asciiTheme="minorEastAsia" w:hAnsiTheme="minorEastAsia" w:eastAsiaTheme="minorEastAsia"/>
          <w:kern w:val="0"/>
          <w:sz w:val="24"/>
          <w:szCs w:val="24"/>
        </w:rPr>
        <w:t>　村民委员会成员候选人名单应当在选举日的五日前，按照获得提名票数多少的顺序张榜公布。</w:t>
      </w:r>
    </w:p>
    <w:p>
      <w:pPr>
        <w:pStyle w:val="63"/>
        <w:spacing w:before="218" w:after="218"/>
        <w:rPr>
          <w:kern w:val="0"/>
        </w:rPr>
      </w:pPr>
      <w:r>
        <w:rPr>
          <w:rFonts w:hint="eastAsia"/>
          <w:kern w:val="0"/>
        </w:rPr>
        <w:t>第五章　投票选举</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第二十一条</w:t>
      </w:r>
      <w:r>
        <w:rPr>
          <w:rFonts w:hint="eastAsia" w:asciiTheme="minorEastAsia" w:hAnsiTheme="minorEastAsia" w:eastAsiaTheme="minorEastAsia"/>
          <w:kern w:val="0"/>
          <w:sz w:val="24"/>
          <w:szCs w:val="24"/>
        </w:rPr>
        <w:t>　村民选举委员会应当在选举日前做好以下准备工作：</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（一）制定投票办法，公布投票选举的具体时间和地点；</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（二）准备选票和票箱，布置选举大会会场和投票站，设立发票处和秘密写票处；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（三）确定和培训监票人、唱票人、计票人、代书人及其他选举工作人员；</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（四）其他选举事务工作。</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村民委员会成员候选人及其配偶、直系亲属不得担任监票人、唱票人、计票人、代书人和其他选举工作人员。</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第二十二条</w:t>
      </w:r>
      <w:r>
        <w:rPr>
          <w:rFonts w:hint="eastAsia" w:asciiTheme="minorEastAsia" w:hAnsiTheme="minorEastAsia" w:eastAsiaTheme="minorEastAsia"/>
          <w:kern w:val="0"/>
          <w:sz w:val="24"/>
          <w:szCs w:val="24"/>
        </w:rPr>
        <w:t>　选举村民委员会，可以采取一次投票选举主任、副主任和委员的方式；也可以采取分次投票选举主任、副主任和委员的方式。具体选举方式，由村民选举委员会根据多数登记参加选举村民的意见在选举方案中确定。</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第二十三条</w:t>
      </w:r>
      <w:r>
        <w:rPr>
          <w:rFonts w:hint="eastAsia" w:asciiTheme="minorEastAsia" w:hAnsiTheme="minorEastAsia" w:eastAsiaTheme="minorEastAsia"/>
          <w:kern w:val="0"/>
          <w:sz w:val="24"/>
          <w:szCs w:val="24"/>
        </w:rPr>
        <w:t>　投票选举时，应当由村民选举委员会主持召开选举大会。村民选举委员会应当根据村民居住状况和便于组织选举的原则，设立中心投票会场和若干投票站。对老年人、残疾人等因行动困难不便到会场或者投票站投票的，可以设立流动票箱。每个投票站或者流动票箱必须有三名以上监票人负责。</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第二十四条</w:t>
      </w:r>
      <w:r>
        <w:rPr>
          <w:rFonts w:hint="eastAsia" w:asciiTheme="minorEastAsia" w:hAnsiTheme="minorEastAsia" w:eastAsiaTheme="minorEastAsia"/>
          <w:kern w:val="0"/>
          <w:sz w:val="24"/>
          <w:szCs w:val="24"/>
        </w:rPr>
        <w:t>　选举现场应当设立代书处。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投票时，村民自己不能填写选票的，可以委托代书人代写。代书人不得违背委托人的意愿。</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任何人不得强制村民委托代书人填写选票。</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村民及代书人填写选票，其他人不得围观和干预。</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第二十五条</w:t>
      </w:r>
      <w:r>
        <w:rPr>
          <w:rFonts w:hint="eastAsia" w:asciiTheme="minorEastAsia" w:hAnsiTheme="minorEastAsia" w:eastAsiaTheme="minorEastAsia"/>
          <w:kern w:val="0"/>
          <w:sz w:val="24"/>
          <w:szCs w:val="24"/>
        </w:rPr>
        <w:t>　登记参加选举的村民，选举期间外出不能参加投票的，可以书面委托本村具有选举权的近亲属代为投票，委托投票手续应当在投票选举日前办理。</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每一村民接受委托投票不得超过三人。受委托人应当按照委托人的意愿填写选票和投票。村民委员会成员候选人不得接受他人委托代为投票。</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村民选举委员会应当公布委托人和受委托人的名单，并在发票时查验委托书。</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第二十六条</w:t>
      </w:r>
      <w:r>
        <w:rPr>
          <w:rFonts w:hint="eastAsia" w:asciiTheme="minorEastAsia" w:hAnsiTheme="minorEastAsia" w:eastAsiaTheme="minorEastAsia"/>
          <w:kern w:val="0"/>
          <w:sz w:val="24"/>
          <w:szCs w:val="24"/>
        </w:rPr>
        <w:t>　村民委员会选举采取无记名投票方式。登记参加选举的村民对候选人可以投赞成票、反对票或者另选他人，也可以弃权。</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第二十七条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 xml:space="preserve"> 投票选举前，村民选举委员会应当核实参加选举的人数；投票结束后，所有投票箱应当立即集中到选举大会会场，当众开箱，公开唱票、计票，当场公布选举结果。</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第二十八条</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 xml:space="preserve"> 选举村民委员会，有登记参加选举的村民过半数投票，选举有效。</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每次选举所投的票数，等于或者少于投票人数的有效，多于投票人数的无效；每一选票所选的人数，等于或者少于应选名额的有效，多于应选名额的无效。选票无法辨认的，经村民选举委员会认定，作废票处理。废票计入选票总数。</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第二十九条</w:t>
      </w:r>
      <w:r>
        <w:rPr>
          <w:rFonts w:hint="eastAsia" w:asciiTheme="minorEastAsia" w:hAnsiTheme="minorEastAsia" w:eastAsiaTheme="minorEastAsia"/>
          <w:kern w:val="0"/>
          <w:sz w:val="24"/>
          <w:szCs w:val="24"/>
        </w:rPr>
        <w:t>　候选人获得参加投票的村民过半数的选票，始得当选。获得过半数选票的候选人人数多于应选名额时，以得票多者当选。如遇票数相同，无法确定当选人时，应当就得票相同的候选人再次投票，以得票多者当选。</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第三十条</w:t>
      </w:r>
      <w:r>
        <w:rPr>
          <w:rFonts w:hint="eastAsia" w:asciiTheme="minorEastAsia" w:hAnsiTheme="minorEastAsia" w:eastAsiaTheme="minorEastAsia"/>
          <w:kern w:val="0"/>
          <w:sz w:val="24"/>
          <w:szCs w:val="24"/>
        </w:rPr>
        <w:t>　当选的村民委员会成员人数少于应选名额时，应当在十五日内就不足的名额另行选举。</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另行选举时，根据第一次投票时得票多少的顺序，差额确定候选人。候选人以得票多者当选，但得票数不得少于已投选票总数的三分之一。</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另行选举后，当选人数超过三人并已选出村民委员会主任，但仍不足应选名额时，经村民会议或者村民代表会议决定，可以不再另行选举。</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第三十一条</w:t>
      </w:r>
      <w:r>
        <w:rPr>
          <w:rFonts w:hint="eastAsia" w:asciiTheme="minorEastAsia" w:hAnsiTheme="minorEastAsia" w:eastAsiaTheme="minorEastAsia"/>
          <w:kern w:val="0"/>
          <w:sz w:val="24"/>
          <w:szCs w:val="24"/>
        </w:rPr>
        <w:t>　村民选举委员会确认选举有效后，当场公布选举结果，并报乡、民族乡、镇人民政府备案。</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第三十二条</w:t>
      </w:r>
      <w:r>
        <w:rPr>
          <w:rFonts w:hint="eastAsia" w:asciiTheme="minorEastAsia" w:hAnsiTheme="minorEastAsia" w:eastAsiaTheme="minorEastAsia"/>
          <w:kern w:val="0"/>
          <w:sz w:val="24"/>
          <w:szCs w:val="24"/>
        </w:rPr>
        <w:t>　村民委员会应当自新一届村民委员会产生之日起十日内，向新一届村民委员会完成公共财物、集体财务账目、债权债务凭证、档案资料、印章等工作移交。工作移交由村民选举委员会主持，由乡、民族乡、镇人民政府监督。</w:t>
      </w:r>
    </w:p>
    <w:p>
      <w:pPr>
        <w:pStyle w:val="63"/>
        <w:spacing w:before="218" w:after="218"/>
        <w:rPr>
          <w:kern w:val="0"/>
        </w:rPr>
      </w:pPr>
      <w:r>
        <w:rPr>
          <w:rFonts w:hint="eastAsia"/>
          <w:kern w:val="0"/>
        </w:rPr>
        <w:t>第六章　罢免、辞职和补选</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第三十三条</w:t>
      </w:r>
      <w:r>
        <w:rPr>
          <w:rFonts w:hint="eastAsia" w:asciiTheme="minorEastAsia" w:hAnsiTheme="minorEastAsia" w:eastAsiaTheme="minorEastAsia"/>
          <w:kern w:val="0"/>
          <w:sz w:val="24"/>
          <w:szCs w:val="24"/>
        </w:rPr>
        <w:t>　村民委员会成员受村民监督。</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本村五分之一以上有选举权的村民或者三分之一以上的村民代表联名，可以提出罢免</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委员会成员的要求。罢免要求和理由应当以书面形式同时向村民委员会和村务监督委员会提出。村民委员会应当在接到罢免要求之日起三十日内，就罢免理由和联名情况进行调查核实，并依法召集登记参加选举的村民进行无记名投票表决。村务监督委员会应当对村民委员会成员的罢免工作进行监督。</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村民委员会逾期不召集登记参加选举的村民投票表决罢免要求的，乡、民族乡、镇人民政府可以督促村民委员会召集；经督促仍不召集的，乡、民族乡、镇人民政府可以召集登记参加选举的村民投票表决。</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乡、民族乡、镇人民政府对严重违反国家法律、法规受到处罚的村民委员会成员，可以向村民委员会提出罢免建议。</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第三十四条</w:t>
      </w:r>
      <w:r>
        <w:rPr>
          <w:rFonts w:hint="eastAsia" w:asciiTheme="minorEastAsia" w:hAnsiTheme="minorEastAsia" w:eastAsiaTheme="minorEastAsia"/>
          <w:kern w:val="0"/>
          <w:sz w:val="24"/>
          <w:szCs w:val="24"/>
        </w:rPr>
        <w:t>　登记参加选举的村民讨论表决罢免要求时，被提出罢免的村民委员会成员有权出席会议并提出申辩意见。</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罢免村民委员会成员，须有登记参加选举的村民过半数投票，并须经参加投票的村民过半数通过。表决的程序和方法适用本办法规定的选举程序和方法。表决结果当日公布，并报乡、民族乡、镇人民政府备案。</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罢免未获通过的，届期内以同一事实和理由再次提出罢免要求的，村民委员会可以不再核查处理，但应当说明理由。</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第三十五条</w:t>
      </w:r>
      <w:r>
        <w:rPr>
          <w:rFonts w:hint="eastAsia" w:asciiTheme="minorEastAsia" w:hAnsiTheme="minorEastAsia" w:eastAsiaTheme="minorEastAsia"/>
          <w:kern w:val="0"/>
          <w:sz w:val="24"/>
          <w:szCs w:val="24"/>
        </w:rPr>
        <w:t>　村民委员会成员要求辞职的，应当以书面形式向村民委员会提出，由村民委员会召集村民会议或者村民代表会议讨论决定，并予以公告。</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第三十六条</w:t>
      </w:r>
      <w:r>
        <w:rPr>
          <w:rFonts w:hint="eastAsia" w:asciiTheme="minorEastAsia" w:hAnsiTheme="minorEastAsia" w:eastAsiaTheme="minorEastAsia"/>
          <w:kern w:val="0"/>
          <w:sz w:val="24"/>
          <w:szCs w:val="24"/>
        </w:rPr>
        <w:t>　村民委员会成员因罢免、辞职、职务终止等原因出现缺额，可以由村民会议或者村民代表会议进行补选。补选结果当日公布，并报乡、民族乡、镇人民政府备案。</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补选程序参照《中华人民共和国村民委员会组织法》和本办法有关规定办理。</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补选的村民委员会成员，其任期到本届村民委员会任期届满为止。</w:t>
      </w:r>
    </w:p>
    <w:p>
      <w:pPr>
        <w:pStyle w:val="63"/>
        <w:spacing w:before="218" w:after="218"/>
        <w:rPr>
          <w:kern w:val="0"/>
        </w:rPr>
      </w:pPr>
      <w:r>
        <w:rPr>
          <w:rFonts w:hint="eastAsia"/>
          <w:kern w:val="0"/>
        </w:rPr>
        <w:t>第七章　监督管理</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第三十七条</w:t>
      </w:r>
      <w:r>
        <w:rPr>
          <w:rFonts w:hint="eastAsia" w:asciiTheme="minorEastAsia" w:hAnsiTheme="minorEastAsia" w:eastAsiaTheme="minorEastAsia"/>
          <w:kern w:val="0"/>
          <w:sz w:val="24"/>
          <w:szCs w:val="24"/>
        </w:rPr>
        <w:t>　本市区、乡、民族乡、镇人民代表大会和市、区人民代表大会常务委员会对村民委员会选举进行监督、检查，保证《中华人民共和国村民委员会组织法》和本办法在本行政区域内的贯彻实施。</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第三十八条</w:t>
      </w:r>
      <w:r>
        <w:rPr>
          <w:rFonts w:hint="eastAsia" w:asciiTheme="minorEastAsia" w:hAnsiTheme="minorEastAsia" w:eastAsiaTheme="minorEastAsia"/>
          <w:kern w:val="0"/>
          <w:sz w:val="24"/>
          <w:szCs w:val="24"/>
        </w:rPr>
        <w:t>　对下列行为，村民有权向乡、民族乡、镇的人民代表大会和人民政府或者区的人民代表大会常务委员会和人民政府及其有关主管部门举报，乡、民族乡、镇或者区人民政府应当及时调查并依法处理；违反治安管理规定的，由公安机关依法处理；构成犯罪的，依法追究刑事责任：</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（一）以暴力、威胁、欺骗、诬告、诽谤等不正当手段，妨害村民行使选举权和被选举权，破坏村民委员会选举的；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（二）直接或者指使他人，以财物或者其他利益贿赂登记参加选举的村民、选举工作人员或者其他有关人员的；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（三）伪造选举文件，涂改、伪造、毁坏选票或者虚报选票数的；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（四）擅自调整、变更村民委员会成员候选人或者指定、委派、撤换村民委员会成员的；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（五）对控告、检举村民委员会选举中违法行为或者提出罢免村民委员会成员要求的人进行压制、打击报复的；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（六）无正当理由拖延村民委员会换届选举的；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（七）其他干扰、妨碍选举工作正常进行的。</w:t>
      </w:r>
    </w:p>
    <w:p>
      <w:pPr>
        <w:pStyle w:val="3"/>
        <w:topLinePunct/>
        <w:spacing w:line="412" w:lineRule="exact"/>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以暴力、威胁、欺骗、贿赂、伪造选票、虚报选举票数等不正当手段当选村民委员会成员的，乡、民族乡、镇或者区人民政府调查确认后，宣布当选无效。</w:t>
      </w:r>
    </w:p>
    <w:p>
      <w:pPr>
        <w:pStyle w:val="63"/>
        <w:spacing w:before="218" w:after="218"/>
        <w:rPr>
          <w:kern w:val="0"/>
        </w:rPr>
      </w:pPr>
      <w:r>
        <w:rPr>
          <w:rFonts w:hint="eastAsia"/>
          <w:kern w:val="0"/>
        </w:rPr>
        <w:t>第八章　附　则</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第三十九条</w:t>
      </w:r>
      <w:r>
        <w:rPr>
          <w:rFonts w:hint="eastAsia" w:asciiTheme="minorEastAsia" w:hAnsiTheme="minorEastAsia" w:eastAsiaTheme="minorEastAsia"/>
          <w:kern w:val="0"/>
          <w:sz w:val="24"/>
          <w:szCs w:val="24"/>
        </w:rPr>
        <w:t>　辖区范围内有村的街道办事处，在村民委员会选举中履行本办法规定的应当由乡、民族乡、镇人民政府履行的职责。</w:t>
      </w:r>
    </w:p>
    <w:p>
      <w:pPr>
        <w:pStyle w:val="3"/>
        <w:topLinePunct/>
        <w:spacing w:line="412" w:lineRule="exact"/>
        <w:ind w:firstLine="482"/>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第四十条</w:t>
      </w:r>
      <w:r>
        <w:rPr>
          <w:rFonts w:hint="eastAsia" w:asciiTheme="minorEastAsia" w:hAnsiTheme="minorEastAsia" w:eastAsiaTheme="minorEastAsia"/>
          <w:kern w:val="0"/>
          <w:sz w:val="24"/>
          <w:szCs w:val="24"/>
        </w:rPr>
        <w:t>　本办法自</w:t>
      </w:r>
      <w:r>
        <w:rPr>
          <w:rFonts w:asciiTheme="minorEastAsia" w:hAnsiTheme="minorEastAsia" w:eastAsiaTheme="minorEastAsia"/>
          <w:kern w:val="0"/>
          <w:sz w:val="24"/>
          <w:szCs w:val="24"/>
        </w:rPr>
        <w:t>2012</w:t>
      </w:r>
      <w:r>
        <w:rPr>
          <w:rFonts w:hint="eastAsia" w:asciiTheme="minorEastAsia" w:hAnsiTheme="minorEastAsia" w:eastAsiaTheme="minorEastAsia"/>
          <w:kern w:val="0"/>
          <w:sz w:val="24"/>
          <w:szCs w:val="24"/>
        </w:rPr>
        <w:t>年</w:t>
      </w:r>
      <w:r>
        <w:rPr>
          <w:rFonts w:asciiTheme="minorEastAsia" w:hAnsiTheme="minorEastAsia" w:eastAsiaTheme="minorEastAsia"/>
          <w:kern w:val="0"/>
          <w:sz w:val="24"/>
          <w:szCs w:val="24"/>
        </w:rPr>
        <w:t>11</w:t>
      </w:r>
      <w:r>
        <w:rPr>
          <w:rFonts w:hint="eastAsia" w:asciiTheme="minorEastAsia" w:hAnsiTheme="minorEastAsia" w:eastAsiaTheme="minorEastAsia"/>
          <w:kern w:val="0"/>
          <w:sz w:val="24"/>
          <w:szCs w:val="24"/>
        </w:rPr>
        <w:t>月</w:t>
      </w:r>
      <w:r>
        <w:rPr>
          <w:rFonts w:asciiTheme="minorEastAsia" w:hAnsiTheme="minorEastAsia" w:eastAsiaTheme="minorEastAsia"/>
          <w:kern w:val="0"/>
          <w:sz w:val="24"/>
          <w:szCs w:val="24"/>
        </w:rPr>
        <w:t>1</w:t>
      </w:r>
      <w:r>
        <w:rPr>
          <w:rFonts w:hint="eastAsia" w:asciiTheme="minorEastAsia" w:hAnsiTheme="minorEastAsia" w:eastAsiaTheme="minorEastAsia"/>
          <w:kern w:val="0"/>
          <w:sz w:val="24"/>
          <w:szCs w:val="24"/>
        </w:rPr>
        <w:t>日起施行。</w:t>
      </w:r>
    </w:p>
    <w:p>
      <w:pPr>
        <w:pStyle w:val="3"/>
        <w:topLinePunct/>
        <w:spacing w:line="412" w:lineRule="exact"/>
        <w:ind w:firstLine="480"/>
        <w:rPr>
          <w:rFonts w:asciiTheme="minorEastAsia" w:hAnsiTheme="minorEastAsia" w:eastAsiaTheme="minorEastAsia"/>
          <w:kern w:val="0"/>
          <w:sz w:val="24"/>
          <w:szCs w:val="24"/>
        </w:rPr>
      </w:pPr>
    </w:p>
    <w:p>
      <w:pPr>
        <w:pStyle w:val="3"/>
        <w:topLinePunct/>
        <w:spacing w:line="412" w:lineRule="exact"/>
        <w:ind w:firstLine="480"/>
        <w:rPr>
          <w:rFonts w:asciiTheme="minorEastAsia" w:hAnsiTheme="minorEastAsia" w:eastAsiaTheme="minorEastAsia"/>
          <w:kern w:val="0"/>
          <w:sz w:val="24"/>
          <w:szCs w:val="24"/>
        </w:rPr>
      </w:pPr>
    </w:p>
    <w:p>
      <w:pPr>
        <w:widowControl/>
        <w:spacing w:before="156" w:after="156"/>
        <w:ind w:firstLine="240"/>
        <w:rPr>
          <w:rFonts w:cs="Times New Roman" w:asciiTheme="minorEastAsia" w:hAnsiTheme="minorEastAsia"/>
          <w:kern w:val="0"/>
          <w:sz w:val="24"/>
          <w:szCs w:val="24"/>
        </w:rPr>
      </w:pPr>
      <w:r>
        <w:rPr>
          <w:rFonts w:asciiTheme="minorEastAsia" w:hAnsiTheme="minorEastAsia"/>
          <w:kern w:val="0"/>
          <w:sz w:val="24"/>
          <w:szCs w:val="24"/>
        </w:rPr>
        <w:br w:type="page"/>
      </w:r>
    </w:p>
    <w:p>
      <w:pPr>
        <w:pStyle w:val="3"/>
        <w:topLinePunct/>
        <w:spacing w:line="412" w:lineRule="exact"/>
        <w:ind w:firstLine="480"/>
        <w:rPr>
          <w:rFonts w:asciiTheme="minorEastAsia" w:hAnsiTheme="minorEastAsia" w:eastAsiaTheme="minorEastAsia"/>
          <w:kern w:val="0"/>
          <w:sz w:val="24"/>
          <w:szCs w:val="24"/>
        </w:rPr>
      </w:pPr>
    </w:p>
    <w:p>
      <w:pPr>
        <w:pStyle w:val="3"/>
        <w:topLinePunct/>
        <w:spacing w:line="412" w:lineRule="exact"/>
        <w:ind w:firstLine="480"/>
        <w:rPr>
          <w:rFonts w:asciiTheme="minorEastAsia" w:hAnsiTheme="minorEastAsia" w:eastAsiaTheme="minorEastAsia"/>
          <w:kern w:val="0"/>
          <w:sz w:val="24"/>
          <w:szCs w:val="24"/>
        </w:rPr>
      </w:pPr>
    </w:p>
    <w:p>
      <w:pPr>
        <w:widowControl/>
        <w:spacing w:before="156" w:after="156"/>
        <w:ind w:firstLine="24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sectPr>
          <w:headerReference r:id="rId56" w:type="default"/>
          <w:footerReference r:id="rId58" w:type="default"/>
          <w:headerReference r:id="rId57" w:type="even"/>
          <w:footerReference r:id="rId59" w:type="even"/>
          <w:pgSz w:w="12247" w:h="17180"/>
          <w:pgMar w:top="1814" w:right="1701" w:bottom="1701" w:left="1701" w:header="851" w:footer="1134" w:gutter="0"/>
          <w:cols w:space="425" w:num="1"/>
          <w:docGrid w:type="lines" w:linePitch="312" w:charSpace="0"/>
        </w:sect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bookmarkStart w:id="1662" w:name="_Toc15978"/>
      <w:bookmarkStart w:id="1663" w:name="_Toc18942547"/>
      <w:bookmarkStart w:id="1664" w:name="_Toc12960522"/>
      <w:bookmarkStart w:id="1665" w:name="_Toc12960351"/>
      <w:bookmarkStart w:id="1666" w:name="_Toc18314517"/>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pStyle w:val="60"/>
        <w:rPr>
          <w:b/>
        </w:rPr>
      </w:pPr>
      <w:bookmarkStart w:id="1667" w:name="_Toc25653827"/>
      <w:bookmarkStart w:id="1668" w:name="_Toc25648326"/>
      <w:bookmarkStart w:id="1669" w:name="_Toc28252314"/>
      <w:r>
        <w:t>十五、其他</w:t>
      </w:r>
      <w:bookmarkEnd w:id="1667"/>
      <w:bookmarkEnd w:id="1668"/>
      <w:bookmarkEnd w:id="1669"/>
    </w:p>
    <w:p>
      <w:pPr>
        <w:widowControl/>
        <w:spacing w:before="156" w:after="156"/>
        <w:ind w:firstLine="240"/>
        <w:rPr>
          <w:rFonts w:cs="Times New Roman" w:asciiTheme="minorEastAsia" w:hAnsiTheme="minorEastAsia"/>
          <w:sz w:val="24"/>
          <w:szCs w:val="24"/>
        </w:rPr>
      </w:pPr>
      <w:r>
        <w:rPr>
          <w:rFonts w:cs="Times New Roman" w:asciiTheme="minorEastAsia" w:hAnsiTheme="minorEastAsia"/>
          <w:sz w:val="24"/>
          <w:szCs w:val="24"/>
        </w:rPr>
        <w:br w:type="page"/>
      </w: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sz w:val="24"/>
          <w:szCs w:val="24"/>
        </w:rPr>
      </w:pPr>
    </w:p>
    <w:p>
      <w:pPr>
        <w:topLinePunct/>
        <w:spacing w:beforeLines="0" w:afterLines="0" w:line="416" w:lineRule="exact"/>
        <w:ind w:firstLine="480" w:firstLineChars="200"/>
        <w:rPr>
          <w:rFonts w:cs="Times New Roman" w:asciiTheme="minorEastAsia" w:hAnsiTheme="minorEastAsia"/>
          <w:b/>
          <w:bCs/>
          <w:kern w:val="0"/>
          <w:sz w:val="24"/>
          <w:szCs w:val="24"/>
        </w:rPr>
      </w:pPr>
      <w:r>
        <w:rPr>
          <w:rFonts w:cs="Times New Roman"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670" w:name="_Toc25653828"/>
      <w:bookmarkStart w:id="1671" w:name="_Toc25648327"/>
      <w:bookmarkStart w:id="1672" w:name="_Toc28157102"/>
      <w:bookmarkStart w:id="1673" w:name="_Toc28251031"/>
      <w:bookmarkStart w:id="1674" w:name="_Toc26348080"/>
      <w:bookmarkStart w:id="1675" w:name="_Toc28252315"/>
      <w:r>
        <w:t>中华人民共和国水污染防治法</w:t>
      </w:r>
      <w:bookmarkEnd w:id="1662"/>
      <w:bookmarkEnd w:id="1663"/>
      <w:bookmarkEnd w:id="1664"/>
      <w:bookmarkEnd w:id="1665"/>
      <w:bookmarkEnd w:id="1666"/>
      <w:bookmarkEnd w:id="1670"/>
      <w:bookmarkEnd w:id="1671"/>
      <w:bookmarkEnd w:id="1672"/>
      <w:bookmarkEnd w:id="1673"/>
      <w:bookmarkEnd w:id="1674"/>
      <w:bookmarkEnd w:id="1675"/>
    </w:p>
    <w:p>
      <w:pPr>
        <w:pStyle w:val="62"/>
      </w:pPr>
      <w:r>
        <w:t>（1984年5月11日中华人民共和国主席令第12号公布，根据1996年5月15日第八届全国人民代表大会常务委员会第十九次会议《关于修改〈中华人民共和国水污染防治法〉的决定》第一次修订，根据2008年2月28日第十届全国人民代表大会常务委员会第三十二次会议第二次修订，根据2017年6月27日中华人民共和国主席令第70号公布、自2018年1月1日起施行的《全国人民代表大会常务委员会关于修改〈中华人民共和国水污染防治法〉的决定》第三次修订）</w:t>
      </w:r>
    </w:p>
    <w:p>
      <w:pPr>
        <w:pStyle w:val="63"/>
        <w:spacing w:before="218" w:after="218" w:line="412" w:lineRule="exact"/>
      </w:pPr>
      <w:r>
        <w:t>第一章  总  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为了保护和改善环境，防治水污染，保护水生态，保障饮用水安全，维护公众健康，推进生态文明建设，促进经济社会可持续发展，制定本法。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本法适用于中华人民共和国领域内的江河、湖泊、运河、渠道、水库等地表水体以及地下水体的污染防治。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海洋污染防治适用《中华人民共和国海洋环境保护法》。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水污染防治应当坚持预防为主、防治结合、综合治理的原则，优先保护饮用水水源，严格控制工业污染、城镇生活污染，防治农业面源污染，积极推进生态治理工程建设，预防、控制和减少水环境污染和生态破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县级以上人民政府应当将水环境保护工作纳入国民经济和社会发展规划。</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地方各级人民政府对本行政区域的水环境质量负责，应当及时采取措施防治水污染。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省、市、县、乡建立河长制，分级分段组织领导本行政区域内江河、湖泊的水资源保护、水域岸线管理、水污染防治、水环境治理等工作。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国家实行水环境保护目标责任制和考核评价制度，将水环境保护目标完成情况作为对地方人民政府及其负责人考核评价的内容。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国家鼓励、支持水污染防治的科学技术研究和先进适用技术的推广应用，加强水环境保护的宣传教育。</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国家通过财政转移支付等方式，建立健全对位于饮用水水源保护区区域和江河、湖泊、水库上游地区的水环境生态保护补偿机制。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县级以上人民政府环境保护主管部门对水污染防治实施统一监督管理。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交通主管部门的海事管理机构对船舶污染水域的防治实施监督管理。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县级以上人民政府水行政、国土资源、卫生、建设、农业、渔业等部门以及重要江河、湖泊的流域水资源保护机构，在各自的职责范围内，对有关水污染防治实施监督管理。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排放水污染物，不得超过国家或者地方规定的水污染物排放标准和重点水污染物排放总量控制指标。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任何单位和个人都有义务保护水环境，并有权对污染损害水环境的行为进行检举。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县级以上人民政府及其有关主管部门对在水污染防治工作中做出显著成绩的单位和个人给予表彰和奖励。</w:t>
      </w:r>
    </w:p>
    <w:p>
      <w:pPr>
        <w:pStyle w:val="63"/>
        <w:spacing w:before="218" w:after="218" w:line="412" w:lineRule="exact"/>
      </w:pPr>
      <w:r>
        <w:t>第二章  水污染防治的标准和规划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国务院环境保护主管部门制定国家水环境质量标准。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省、自治区、直辖市人民政府可以对国家水环境质量标准中未作规定的项目，制定地方标准，并报国务院环境保护主管部门备案。</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国务院环境保护主管部门会同国务院水行政主管部门和有关省、自治区、直辖市人民政府，可以根据国家确定的重要江河、湖泊流域水体的使用功能以及有关地区的经济、技术条件，确定该重要江河、湖泊流域的省界水体适用的水环境质量标准，报国务院批准后施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国务院环境保护主管部门根据国家水环境质量标准和国家经济、技术条件，制定国家水污染物排放标准。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对国家水污染物排放标准中未作规定的项目，可以制定地方水污染物排放标准；对国家水污染物排放标准中已作规定的项目，可以制定严于国家水污染物排放标准的地方水污染物排放标准。地方水污染物排放标准须报国务院环境保护主管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向已有地方水污染物排放标准的水体排放污染物的，应当执行地方水污染物排放标准。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国务院环境保护主管部门和省、自治区、直辖市人民政府，应当根据水污染防治的要求和国家或者地方的经济、技术条件，适时修订水环境质量标准和水污染物排放标准。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防治水污染应当按流域或者按区域进行统一规划。国家确定的重要江河、湖泊的流域水污染防治规划，由国务院环境保护主管部门会同国务院经济综合宏观调控、水行政等部门和有关省、自治区、直辖市人民政府编制，报国务院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外的其他跨省、自治区、直辖市江河、湖泊的流域水污染防治规划，根据国家确定的重要江河、湖泊的流域水污染防治规划和本地实际情况，由有关省、自治区、直辖市人民政府环境保护主管部门会同同级水行政等部门和有关市、县人民政府编制，经有关省、自治区、直辖市人民政府审核，报国务院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内跨县江河、湖泊的流域水污染防治规划，根据国家确定的重要江河、湖泊的流域水污染防治规划和本地实际情况，由省、自治区、直辖市人民政府环境保护主管部门会同同级水行政等部门编制，报省、自治区、直辖市人民政府批准，并报国务院备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经批准的水污染防治规划是防治水污染的基本依据，规划的修订须经原批准机关批准。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县级以上地方人民政府应当根据依法批准的江河、湖泊的流域水污染防治规划，组织制定本行政区域的水污染防治规划。</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有关市、县级人民政府应当按照水污染防治规划确定的水环境质量改善目标的要求，制定限期达标规划，采取措施按期达标。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有关市、县级人民政府应当将限期达标规划报上一级人民政府备案，并向社会公开。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市、县级人民政府每年在向本级人民代表大会或者其常务委员会报告环境状况和环境保护目标完成情况时，应当报告水环境质量限期达标规划执行情况，并向社会公开。</w:t>
      </w:r>
    </w:p>
    <w:p>
      <w:pPr>
        <w:pStyle w:val="63"/>
        <w:spacing w:before="218" w:after="218" w:line="412" w:lineRule="exact"/>
      </w:pPr>
      <w:r>
        <w:t>第三章  水污染防治的监督管理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新建、改建、扩建直接或者间接向水体排放污染物的建设项目和其他水上设施，应当依法进行环境影响评价。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建设单位在江河、湖泊新建、改建、扩建排污口的，应当取得水行政主管部门或者流域管理机构同意；涉及通航、渔业水域的，环境保护主管部门在审批环境影响评价文件时，应当征求交通、渔业主管部门的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建设项目的水污染防治设施，应当与主体工程同时设计、同时施工、同时投入使用。水污染防治设施应当符合经批准或者备案的环境影响评价文件的要求。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国家对重点水污染物排放实施总量控制制度。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重点水污染物排放总量控制指标，由国务院环境保护主管部门在征求国务院有关部门和各省、自治区、直辖市人民政府意见后，会同国务院经济综合宏观调控部门报国务院批准并下达实施。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省、自治区、直辖市人民政府应当按照国务院的规定削减和控制本行政区域的重点水污染物排放总量。具体办法由国务院环境保护主管部门会同国务院有关部门规定。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省、自治区、直辖市人民政府可以根据本行政区域水环境质量状况和水污染防治工作的需要，对国家重点水污染物之外的其他水污染物排放实行总量控制。</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超过重点水污染物排放总量控制指标或者未完成水环境质量改善目标的地区，省级以上人民政府环境保护主管部门应当会同有关部门约谈该地区人民政府的主要负责人，并暂停审批新增重点水污染物排放总量的建设项目的环境影响评价文件。约谈情况应当向社会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直接或者间接向水体排放工业废水和医疗污水以及其他按照规定应当取得排污许可证方可排放的废水、污水的企业事业单位和其他生产经营者，应当取得排污许可证；城镇污水集中处理设施的运营单位，也应当取得排污许可证。排污许可证应当明确排放水污染物的种类、浓度、总量和排放去向等要求。排污许可的具体办法由国务院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禁止企业事业单位和其他生产经营者无排污许可证或者违反排污许可证的规定向水体排放前款规定的废水、污水。</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第二十二条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向水体排放污染物的企业事业单位和其他生产经营者，应当按照法律、行政法规和国务院环境保护主管部门的规定设置排污口；在江河、湖泊设置排污口的，还应当遵守国务院水行政主管部门的规定。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实行排污许可管理的企业事业单位和其他生产经营者应当按照国家有关规定和监测规范，对所排放的水污染物自行监测，并保存原始监测记录。重点排污单位还应当安装水污染物排放自动监测设备，与环境保护主管部门的监控设备联网，并保证监测设备正常运行。具体办法由国务院环境保护主管部门规定。</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应当安装水污染物排放自动监测设备的重点排污单位名录，由设区的市级以上地方人民政府环境保护主管部门根据本行政区域的环境容量、重点水污染物排放总量控制指标的要求以及排污单位排放水污染物的种类、数量和浓度等因素，商同级有关部门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实行排污许可管理的企业事业单位和其他生产经营者应当对监测数据的真实性和准确性负责。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环境保护主管部门发现重点排污单位的水污染物排放自动监测设备传输数据异常，应当及时进行调查。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国家建立水环境质量监测和水污染物排放监测制度。国务院环境保护主管部门负责制定水环境监测规范，统一发布国家水环境状况信息，会同国务院水行政等部门组织监测网络，统一规划国家水环境质量监测站（点）的设置，建立监测数据共享机制，加强对水环境监测的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国家确定的重要江河、湖泊流域的水资源保护工作机构负责监测其所在流域的省界水体的水环境质量状况，并将监测结果及时报国务院环境保护主管部门和国务院水行政主管部门；有经国务院批准成立的流域水资源保护领导机构的，应当将监测结果及时报告流域水资源保护领导机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国务院有关部门和县级以上地方人民政府开发、利用和调节、调度水资源时，应当统筹兼顾，维持江河的合理流量和湖泊、水库以及地下水体的合理水位，保障基本生态用水，维护水体的生态功能。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国务院环境保护主管部门应当会同国务院水行政等部门和有关省、自治区、直辖市人民政府，建立重要江河、湖泊的流域水环境保护联合协调机制，实行统一规划、统一标准、统一监测、统一的防治措施。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国务院环境保护主管部门和省、自治区、直辖市人民政府环境保护主管部门应当会同同级有关部门根据流域生态环境功能需要，明确流域生态环境保护要求，组织开展流域环境资源承载能力监测、评价，实施流域环境资源承载能力预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应当根据流域生态环境功能需要，组织开展江河、湖泊、湿地保护与修复，因地制宜建设人工湿地、水源涵养林、沿河沿湖植被缓冲带和隔离带等生态环境治理与保护工程，整治黑臭水体，提高流域环境资源承载能力。</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从事开发建设活动，应当采取有效措施，维护流域生态环境功能，严守生态保护红线。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跨行政区域的水污染纠纷，由有关地方人民政府协商解决，或者由其共同的上级人民政府协调解决。</w:t>
      </w:r>
    </w:p>
    <w:p>
      <w:pPr>
        <w:pStyle w:val="63"/>
        <w:spacing w:before="218" w:after="218" w:line="412" w:lineRule="exact"/>
      </w:pPr>
      <w:r>
        <w:t>第四章  水污染防治措施</w:t>
      </w:r>
    </w:p>
    <w:p>
      <w:pPr>
        <w:pStyle w:val="64"/>
        <w:spacing w:before="156" w:after="156"/>
      </w:pPr>
      <w:r>
        <w:t>第一节  一般规定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国务院环境保护主管部门应当会同国务院卫生主管部门，根据对公众健康和生态环境的危害和影响程度，公布有毒有害水污染物名录，实行风险管理。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排放前款规定名录中所列有毒有害水污染物的企业事业单位和其他生产经营者，应当对排污口和周边环境进行监测，评估环境风险，排查环境安全隐患，并公开有毒有害水污染物信息，采取有效措施防范环境风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禁止向水体排放油类、酸液、碱液或者剧毒废液。</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禁止在水体清洗装贮过油类或者有毒污染物的车辆和容器。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禁止向水体排放、倾倒放射性固体废物或者含有高放射性和中放射性物质的废水。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向水体排放含低放射性物质的废水，应当符合国家有关放射性污染防治的规定和标准。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向水体排放含热废水，应当采取措施，保证水体的水温符合水环境质量标准。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含病原体的污水应当经过消毒处理；符合国家有关标准后，方可排放。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禁止向水体排放、倾倒工业废渣、城镇垃圾和其他废弃物。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禁止将含有汞、镉、砷、铬、铅、氰化物、黄磷等的可溶性剧毒废渣向水体排放、倾倒或者直接埋入地下。</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存放可溶性剧毒废渣的场所，应当采取防水、防渗漏、防流失的措施。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禁止在江河、湖泊、运河、渠道、水库最高水位线以下的滩地和岸坡堆放、存贮固体废弃物和其他污染物。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禁止利用渗井、渗坑、裂隙、溶洞，私设暗管，篡改、伪造监测数据，或者不正常运行水污染防治设施等逃避监管的方式排放水污染物。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化学品生产企业以及工业集聚区、矿山开采区、尾矿库、危险废物处置场、垃圾填埋场等的运营、管理单位，应当采取防渗漏等措施，并建设地下水水质监测井进行监测，防止地下水污染。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加油站等的地下油罐应当使用双层罐或者采取建造防渗池等其他有效措施，并进行防渗漏监测，防止地下水污染。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禁止利用无防渗漏措施的沟渠、坑塘等输送或者存贮含有毒污染物的废水、含病原体的污水和其他废弃物。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多层地下水的含水层水质差异大的，应当分层开采；对已受污染的潜水和承压水，不得混合开采。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兴建地下工程设施或者进行地下勘探、采矿等活动，应当采取防护性措施，防止地下水污染。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报废矿井、钻井或者取水井等，应当实施封井或者回填。</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人工回灌补给地下水，不得恶化地下水质。</w:t>
      </w:r>
    </w:p>
    <w:p>
      <w:pPr>
        <w:pStyle w:val="64"/>
        <w:spacing w:before="156" w:after="156"/>
      </w:pPr>
      <w:r>
        <w:t>第二节  工业水污染防治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国务院有关部门和县级以上地方人民政府应当合理规划工业布局，要求造成水污染的企业进行技术改造，采取综合防治措施，提高水的重复利用率，减少废水和污染物排放量。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排放工业废水的企业应当采取有效措施，收集和处理产生的全部废水，防止污染环境。含有毒有害水污染物的工业废水应当分类收集和处理，不得稀释排放。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工业集聚区应当配套建设相应的污水集中处理设施，安装自动监测设备，与环境保护主管部门的监控设备联网，并保证监测设备正常运行。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向污水集中处理设施排放工业废水的，应当按照国家有关规定进行预处理，达到集中处理设施处理工艺要求后方可排放。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国家对严重污染水环境的落后工艺和设备实行淘汰制度。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国务院经济综合宏观调控部门会同国务院有关部门，公布限期禁止采用的严重污染水环境的工艺名录和限期禁止生产、销售、进口、使用的严重污染水环境的设备名录。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生产者、销售者、进口者或者使用者应当在规定的期限内停止生产、销售、进口或者使用列入前款规定的设备名录中的设备。工艺的采用者应当在规定的期限内停止采用列入前款规定的工艺名录中的工艺。</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依照本条第二款、第三款规定被淘汰的设备，不得转让给他人使用。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国家禁止新建不符合国家产业政策的小型造纸、制革、印染、染料、炼焦、炼硫、炼砷、炼汞、炼油、电镀、农药、石棉、水泥、玻璃、钢铁、火电以及其他严重污染水环境的生产项目。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企业应当采用原材料利用效率高、污染物排放量少的清洁工艺，并加强管理，减少水污染物的产生。</w:t>
      </w:r>
    </w:p>
    <w:p>
      <w:pPr>
        <w:pStyle w:val="64"/>
        <w:spacing w:before="156" w:after="156"/>
      </w:pPr>
      <w:r>
        <w:t>第三节  城镇水污染防治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城镇污水应当集中处理。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县级以上地方人民政府应当通过财政预算和其他渠道筹集资金，统筹安排建设城镇污水集中处理设施及配套管网，提高本行政区域城镇污水的收集率和处理率。</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建设主管部门应当会同国务院经济综合宏观调控、环境保护主管部门，根据城乡规划和水污染防治规划，组织编制全国城镇污水处理设施建设规划。县级以上地方人民政府组织建设、经济综合宏观调控、环境保护、水行政等部门编制本行政区域的城镇污水处理设施建设规划。县级以上地方人民政府建设主管部门应当按照城镇污水处理设施建设规划，组织建设城镇污水集中处理设施及配套管网，并加强对城镇污水集中处理设施运营的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镇污水集中处理设施的运营单位按照国家规定向排污者提供污水处理的有偿服务，收取污水处理费用，保证污水集中处理设施的正常运行。收取的污水处理费用应当用于城镇污水集中处理设施的建设运行和污泥处理处置，不得挪作他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城镇污水集中处理设施的污水处理收费、管理以及使用的具体办法，由国务院规定。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向城镇污水集中处理设施排放水污染物，应当符合国家或者地方规定的水污染物排放标准。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城镇污水集中处理设施的运营单位，应当对城镇污水集中处理设施的出水水质负责。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环境保护主管部门应当对城镇污水集中处理设施的出水水质和水量进行监督检查。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城镇污水集中处理设施的运营单位或者污泥处理处置单位应当安全处理处置污泥，保证处理处置后的污泥符合国家标准，并对污泥的去向等进行记录。</w:t>
      </w:r>
    </w:p>
    <w:p>
      <w:pPr>
        <w:pStyle w:val="64"/>
        <w:spacing w:before="156" w:after="156"/>
      </w:pPr>
      <w:r>
        <w:t>第四节  农业和农村水污染防治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国家支持农村污水、垃圾处理设施的建设，推进农村污水、垃圾集中处理。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地方各级人民政府应当统筹规划建设农村污水、垃圾处理设施，并保障其正常运行。</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制定化肥、农药等产品的质量标准和使用标准，应当适应水环境保护要求。</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使用农药，应当符合国家有关农药安全使用的规定和标准。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运输、存贮农药和处置过期失效农药，应当加强管理，防止造成水污染。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县级以上地方人民政府农业主管部门和其他有关部门，应当采取措施，指导农业生产者科学、合理地施用化肥和农药，推广测土配方施肥技术和高效低毒低残留农药，控制化肥和农药的过量使用，防止造成水污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国家支持畜禽养殖场、养殖小区建设畜禽粪便、废水的综合利用或者无害化处理设施。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畜禽养殖场、养殖小区应当保证其畜禽粪便、废水的综合利用或者无害化处理设施正常运转，保证污水达标排放，防止污染水环境。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畜禽散养密集区所在地县、乡级人民政府应当组织对畜禽粪便污水进行分户收集、集中处理利用。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从事水产养殖应当保护水域生态环境，科学确定养殖密度，合理投饵和使用药物，防止污染水环境。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农田灌溉用水应当符合相应的水质标准，防止污染土壤、地下水和农产品。</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禁止向农田灌溉渠道排放工业废水或者医疗污水。向农田灌溉渠道排放城镇污水以及未综合利用的畜禽养殖废水、农产品加工废水的，应当保证其下游最近的灌溉取水点的水质符合农田灌溉水质标准。</w:t>
      </w:r>
    </w:p>
    <w:p>
      <w:pPr>
        <w:pStyle w:val="64"/>
        <w:spacing w:before="156" w:after="156"/>
      </w:pPr>
      <w:r>
        <w:t>第五节  船舶水污染防治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船舶排放含油污水、生活污水，应当符合船舶污染物排放标准。从事海洋航运的船舶进入内河和港口的，应当遵守内河的船舶污染物排放标准。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船舶的残油、废油应当回收，禁止排入水体。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禁止向水体倾倒船舶垃圾。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船舶装载运输油类或者有毒货物，应当采取防止溢流和渗漏的措施，防止货物落水造成水污染。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进入中华人民共和国内河的国际航线船舶排放压载水的，应当采用压载水处理装置或者采取其他等效措施，对压载水进行灭活等处理。禁止排放不符合规定的船舶压载水。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船舶应当按照国家有关规定配置相应的防污设备和器材，并持有合法有效的防止水域环境污染的证书与文书。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船舶进行涉及污染物排放的作业，应当严格遵守操作规程，并在相应的记录簿上如实记载。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港口、码头、装卸站和船舶修造厂所在地市、县级人民政府应当统筹规划建设船舶污染物、废弃物的接收、转运及处理处置设施。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船舶及有关作业单位从事有污染风险的作业活动，应当按照有关法律法规和标准，采取有效措施，防止造成水污染。海事管理机构、渔业主管部门应当加强对船舶及有关作业活动的监督管理。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船舶进行散装液体污染危害性货物的过驳作业，应当编制作业方案，采取有效的安全和污染防治措施，并报作业地海事管理机构批准。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禁止采取冲滩方式进行船舶拆解作业。</w:t>
      </w:r>
    </w:p>
    <w:p>
      <w:pPr>
        <w:pStyle w:val="63"/>
        <w:spacing w:before="218" w:after="218" w:line="412" w:lineRule="exact"/>
      </w:pPr>
      <w:r>
        <w:t>第五章  饮用水水源和其他特殊水体保护</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国家建立饮用水水源保护区制度。饮用水水源保护区分为一级保护区和二级保护区；必要时，可以在饮用水水源保护区外围划定一定的区域作为准保护区。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饮用水水源保护区的划定，由有关市、县人民政府提出划定方案，报省、自治区、直辖市人民政府批准；跨市、县饮用水水源保护区的划定，由有关市、县人民政府协商提出划定方案，报省、自治区、直辖市人民政府批准；协商不成的，由省、自治区、直辖市人民政府环境保护主管部门会同同级水行政、国土资源、卫生、建设等部门提出划定方案，征求同级有关部门的意见后，报省、自治区、直辖市人民政府批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跨省、自治区、直辖市的饮用水水源保护区，由有关省、自治区、直辖市人民政府商有关流域管理机构划定；协商不成的，由国务院环境保护主管部门会同同级水行政、国土资源、卫生、建设等部门提出划定方案，征求国务院有关部门的意见后，报国务院批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务院和省、自治区、直辖市人民政府可以根据保护饮用水水源的实际需要，调整饮用水水源保护区的范围，确保饮用水安全。有关地方人民政府应当在饮用水水源保护区的边界设立明确的地理界标和明显的警示标志。</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在饮用水水源保护区内，禁止设置排污口。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禁止在饮用水水源一级保护区内新建、改建、扩建与供水设施和保护水源无关的建设项目；已建成的与供水设施和保护水源无关的建设项目，由县级以上人民政府责令拆除或者关闭。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禁止在饮用水水源一级保护区内从事网箱养殖、旅游、游泳、垂钓或者其他可能污染饮用水水体的活动。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禁止在饮用水水源二级保护区内新建、改建、扩建排放污染物的建设项目；已建成的排放污染物的建设项目，由县级以上人民政府责令拆除或者关闭。</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在饮用水水源二级保护区内从事网箱养殖、旅游等活动的，应当按照规定采取措施，防止污染饮用水水体。</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禁止在饮用水水源准保护区内新建、扩建对水体污染严重的建设项目；改建建设项目，不得增加排污量。</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县级以上地方人民政府应当根据保护饮用水水源的实际需要，在准保护区内采取工程措施或者建造湿地、水源涵养林等生态保护措施，防止水污染物直接排入饮用水水体，确保饮用水安全。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县级以上地方人民政府应当组织环境保护等部门，对饮用水水源保护区、地下水型饮用水源的补给区及供水单位周边区域的环境状况和污染风险进行调查评估，筛查可能存在的污染风险因素，并采取相应的风险防范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饮用水水源受到污染可能威胁供水安全的，环境保护主管部门应当责令有关企业事业单位和其他生产经营者采取停止排放水污染物等措施，并通报饮用水供水单位和供水、卫生、水行政等部门；跨行政区域的，还应当通报相关地方人民政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单一水源供水城市的人民政府应当建设应急水源或者备用水源，有条件的地区可以开展区域联网供水。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县级以上地方人民政府应当合理安排、布局农村饮用水水源，有条件的地区可以采取城镇供水管网延伸或者建设跨村、跨乡镇联片集中供水工程等方式，发展规模集中供水。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第七十一条  </w:t>
      </w:r>
      <w:r>
        <w:rPr>
          <w:rFonts w:asciiTheme="minorEastAsia" w:hAnsiTheme="minorEastAsia" w:eastAsiaTheme="minorEastAsia"/>
          <w:sz w:val="24"/>
          <w:szCs w:val="24"/>
        </w:rPr>
        <w:t>饮用水供水单位应当做好取水口和出水口的水质检测工作。发现取水口水质不符合饮用水水源水质标准或者出水口水质不符合饮用水卫生标准的，应当及时采取相应措施，并向所在地市、县级人民政府供水主管部门报告。供水主管部门接到报告后，应当通报环境保护、卫生、水行政等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饮用水供水单位应当对供水水质负责，确保供水设施安全可靠运行，保证供水水质符合国家有关标准。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第七十二条  </w:t>
      </w:r>
      <w:r>
        <w:rPr>
          <w:rFonts w:asciiTheme="minorEastAsia" w:hAnsiTheme="minorEastAsia" w:eastAsiaTheme="minorEastAsia"/>
          <w:sz w:val="24"/>
          <w:szCs w:val="24"/>
        </w:rPr>
        <w:t>县级以上地方人民政府应当组织有关部门监测、评估本行政区域内饮用水水源、供水单位供水和用户水龙头出水的水质等饮用水安全状况。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县级以上地方人民政府有关部门应当至少每季度向社会公开一次饮用水安全状况信息。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第七十三条  </w:t>
      </w:r>
      <w:r>
        <w:rPr>
          <w:rFonts w:asciiTheme="minorEastAsia" w:hAnsiTheme="minorEastAsia" w:eastAsiaTheme="minorEastAsia"/>
          <w:sz w:val="24"/>
          <w:szCs w:val="24"/>
        </w:rPr>
        <w:t>国务院和省、自治区、直辖市人民政府根据水环境保护的需要，可以规定在饮用水水源保护区内，采取禁止或者限制使用含磷洗涤剂、化肥、农药以及限制种植养殖等措施。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第七十四条  </w:t>
      </w:r>
      <w:r>
        <w:rPr>
          <w:rFonts w:asciiTheme="minorEastAsia" w:hAnsiTheme="minorEastAsia" w:eastAsiaTheme="minorEastAsia"/>
          <w:sz w:val="24"/>
          <w:szCs w:val="24"/>
        </w:rPr>
        <w:t>县级以上人民政府可以对风景名胜区水体、重要渔业水体和其他具有特殊经济文化价值的水体划定保护区，并采取措施，保证保护区的水质符合规定用途的水环境质量标准。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第七十五条  </w:t>
      </w:r>
      <w:r>
        <w:rPr>
          <w:rFonts w:asciiTheme="minorEastAsia" w:hAnsiTheme="minorEastAsia" w:eastAsiaTheme="minorEastAsia"/>
          <w:sz w:val="24"/>
          <w:szCs w:val="24"/>
        </w:rPr>
        <w:t>在风景名胜区水体、重要渔业水体和其他具有特殊经济文化价值的水体的保护区内，不得新建排污口。在保护区附近新建排污口，应当保证保护区水体不受污染。</w:t>
      </w:r>
    </w:p>
    <w:p>
      <w:pPr>
        <w:pStyle w:val="63"/>
        <w:spacing w:before="218" w:after="218" w:line="412" w:lineRule="exact"/>
      </w:pPr>
      <w:r>
        <w:t>第六章  水污染事故处置</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第七十六条  </w:t>
      </w:r>
      <w:r>
        <w:rPr>
          <w:rFonts w:asciiTheme="minorEastAsia" w:hAnsiTheme="minorEastAsia" w:eastAsiaTheme="minorEastAsia"/>
          <w:sz w:val="24"/>
          <w:szCs w:val="24"/>
        </w:rPr>
        <w:t>各级人民政府及其有关部门，可能发生水污染事故的企业事业单位，应当依照《中华人民共和国突发事件应对法》的规定，做好突发水污染事故的应急准备、应急处置和事后恢复等工作。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第七十七条  </w:t>
      </w:r>
      <w:r>
        <w:rPr>
          <w:rFonts w:asciiTheme="minorEastAsia" w:hAnsiTheme="minorEastAsia" w:eastAsiaTheme="minorEastAsia"/>
          <w:sz w:val="24"/>
          <w:szCs w:val="24"/>
        </w:rPr>
        <w:t>可能发生水污染事故的企业事业单位，应当制定有关水污染事故的应急方案，做好应急准备，并定期进行演练。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生产、储存危险化学品的企业事业单位，应当采取措施，防止在处理安全生产事故过程中产生的可能严重污染水体的消防废水、废液直接排入水体。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第七十八条  </w:t>
      </w:r>
      <w:r>
        <w:rPr>
          <w:rFonts w:asciiTheme="minorEastAsia" w:hAnsiTheme="minorEastAsia" w:eastAsiaTheme="minorEastAsia"/>
          <w:sz w:val="24"/>
          <w:szCs w:val="24"/>
        </w:rPr>
        <w:t>企业事业单位发生事故或者其他突发性事件，造成或者可能造成水污染事故的，应当立即启动本单位的应急方案，采取隔离等应急措施，防止水污染物进入水体，并向事故发生地的县级以上地方人民政府或者环境保护主管部门报告。环境保护主管部门接到报告后，应当及时向本级人民政府报告，并抄送有关部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造成渔业污染事故或者渔业船舶造成水污染事故的，应当向事故发生地的渔业主管部门报告，接受调查处理。其他船舶造成水污染事故的，应当向事故发生地的海事管理机构报告，接受调查处理；给渔业造成损害的，海事管理机构应当通知渔业主管部门参与调查处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第七十九条 </w:t>
      </w:r>
      <w:r>
        <w:rPr>
          <w:rFonts w:asciiTheme="minorEastAsia" w:hAnsiTheme="minorEastAsia" w:eastAsiaTheme="minorEastAsia"/>
          <w:sz w:val="24"/>
          <w:szCs w:val="24"/>
        </w:rPr>
        <w:t xml:space="preserve"> 市、县级人民政府应当组织编制饮用水安全突发事件应急预案。</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饮用水供水单位应当根据所在地饮用水安全突发事件应急预案，制定相应的突发事件应急方案，报所在地市、县级人民政府备案，并定期进行演练。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饮用水水源发生水污染事故，或者发生其他可能影响饮用水安全的突发性事件，饮用水供水单位应当采取应急处理措施，向所在地市、县级人民政府报告，并向社会公开。有关人民政府应当根据情况及时启动应急预案，采取有效措施，保障供水安全。</w:t>
      </w:r>
    </w:p>
    <w:p>
      <w:pPr>
        <w:pStyle w:val="63"/>
        <w:spacing w:before="218" w:after="218" w:line="412" w:lineRule="exact"/>
      </w:pPr>
      <w:r>
        <w:t>第七章  法律责任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第八十条 </w:t>
      </w:r>
      <w:r>
        <w:rPr>
          <w:rFonts w:asciiTheme="minorEastAsia" w:hAnsiTheme="minorEastAsia" w:eastAsiaTheme="minorEastAsia"/>
          <w:sz w:val="24"/>
          <w:szCs w:val="24"/>
        </w:rPr>
        <w:t xml:space="preserve"> 环境保护主管部门或者其他依照本法规定行使监督管理权的部门，不依法作出行政许可或者办理批准文件的，发现违法行为或者接到对违法行为的举报后不予查处的，或者有其他未依照本法规定履行职责的行为的，对直接负责的主管人员和其他直接责任人员依法给予处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第八十一条 </w:t>
      </w:r>
      <w:r>
        <w:rPr>
          <w:rFonts w:asciiTheme="minorEastAsia" w:hAnsiTheme="minorEastAsia" w:eastAsiaTheme="minorEastAsia"/>
          <w:sz w:val="24"/>
          <w:szCs w:val="24"/>
        </w:rPr>
        <w:t xml:space="preserve"> 以拖延、围堵、滞留执法人员等方式拒绝、阻挠环境保护主管部门或者其他依照本法规定行使监督管理权的部门的监督检查，或者在接受监督检查时弄虚作假的，由县级以上人民政府环境保护主管部门或者其他依照本法规定行使监督管理权的部门责令改正，处二万元以上二十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第八十二条 </w:t>
      </w:r>
      <w:r>
        <w:rPr>
          <w:rFonts w:asciiTheme="minorEastAsia" w:hAnsiTheme="minorEastAsia" w:eastAsiaTheme="minorEastAsia"/>
          <w:sz w:val="24"/>
          <w:szCs w:val="24"/>
        </w:rPr>
        <w:t xml:space="preserve"> 违反本法规定，有下列行为之一的，由县级以上人民政府环境保护主管部门责令限期改正，处二万元以上二十万元以下的罚款；逾期不改正的，责令停产整治：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（一）未按照规定对所排放的水污染物自行监测，或者未保存原始监测记录的；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（二）未按照规定安装水污染物排放自动监测设备，未按照规定与环境保护主管部门的监控设备联网，或者未保证监测设备正常运行的；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（三）未按照规定对有毒有害水污染物的排污口和周边环境进行监测，或者未公开有毒有害水污染物信息的。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第八十三条 </w:t>
      </w:r>
      <w:r>
        <w:rPr>
          <w:rFonts w:asciiTheme="minorEastAsia" w:hAnsiTheme="minorEastAsia" w:eastAsiaTheme="minorEastAsia"/>
          <w:sz w:val="24"/>
          <w:szCs w:val="24"/>
        </w:rPr>
        <w:t xml:space="preserve"> 违反本法规定，有下列行为之一的，由县级以上人民政府环境保护主管部门责令改正或者责令限制生产、停产整治，并处十万元以上一百万元以下的罚款；情节严重的，报经有批准权的人民政府批准，责令停业、关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（一）未依法取得排污许可证排放水污染物的；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（二）超过水污染物排放标准或者超过重点水污染物排放总量控制指标排放水污染物的；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（三）利用渗井、渗坑、裂隙、溶洞，私设暗管，篡改、伪造监测数据，或者不正常运行水污染防治设施等逃避监管的方式排放水污染物的；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（四）未按照规定进行预处理，向污水集中处理设施排放不符合处理工艺要求的工业废水的。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第八十四条 </w:t>
      </w:r>
      <w:r>
        <w:rPr>
          <w:rFonts w:asciiTheme="minorEastAsia" w:hAnsiTheme="minorEastAsia" w:eastAsiaTheme="minorEastAsia"/>
          <w:sz w:val="24"/>
          <w:szCs w:val="24"/>
        </w:rPr>
        <w:t xml:space="preserve"> 在饮用水水源保护区内设置排污口的，由县级以上地方人民政府责令限期拆除，处十万元以上五十万元以下的罚款；逾期不拆除的，强制拆除，所需费用由违法者承担，处五十万元以上一百万元以下的罚款，并可以责令停产整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除前款规定外，违反法律、行政法规和国务院环境保护主管部门的规定设置排污口的，由县级以上地方人民政府环境保护主管部门责令限期拆除，处二万元以上十万元以下的罚款；逾期不拆除的，强制拆除，所需费用由违法者承担，处十万元以上五十万元以下的罚款；情节严重的，可以责令停产整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未经水行政主管部门或者流域管理机构同意，在江河、湖泊新建、改建、扩建排污口的，由县级以上人民政府水行政主管部门或者流域管理机构依据职权，依照前款规定采取措施、给予处罚。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第八十五条 </w:t>
      </w:r>
      <w:r>
        <w:rPr>
          <w:rFonts w:asciiTheme="minorEastAsia" w:hAnsiTheme="minorEastAsia" w:eastAsiaTheme="minorEastAsia"/>
          <w:sz w:val="24"/>
          <w:szCs w:val="24"/>
        </w:rPr>
        <w:t xml:space="preserve">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（一）向水体排放油类、酸液、碱液的；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（二）向水体排放剧毒废液，或者将含有汞、镉、砷、铬、铅、氰化物、黄磷等的可溶性剧毒废渣向水体排放、倾倒或者直接埋入地下的；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（三）在水体清洗装贮过油类、有毒污染物的车辆或者容器的；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（四）向水体排放、倾倒工业废渣、城镇垃圾或者其他废弃物，或者在江河、湖泊、运河、渠道、水库最高水位线以下的滩地、岸坡堆放、存贮固体废弃物或者其他污染物的；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（五）向水体排放、倾倒放射性固体废物或者含有高放射性、中放射性物质的废水的；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（六）违反国家有关规定或者标准，向水体排放含低放射性物质的废水、热废水或者含病原体的污水的；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（七）未采取防渗漏等措施，或者未建设地下水水质监测井进行监测的；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（八）加油站等的地下油罐未使用双层罐或者采取建造防渗池等其他有效措施，或者未进行防渗漏监测的；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（九）未按照规定采取防护性措施，或者利用无防渗漏措施的沟渠、坑塘等输送或者存贮含有毒污染物的废水、含病原体的污水或者其他废弃物的。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前款第三项、第四项、第六项、第七项、第八项行为之一的，处二万元以上二十万元以下的罚款。有前款第一项、第二项、第五项、第九项行为之一的，处十万元以上一百万元以下的罚款；情节严重的，报经有批准权的人民政府批准，责令停业、关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第八十六条 </w:t>
      </w:r>
      <w:r>
        <w:rPr>
          <w:rFonts w:asciiTheme="minorEastAsia" w:hAnsiTheme="minorEastAsia" w:eastAsiaTheme="minorEastAsia"/>
          <w:sz w:val="24"/>
          <w:szCs w:val="24"/>
        </w:rPr>
        <w:t xml:space="preserve"> 违反本法规定，生产、销售、进口或者使用列入禁止生产、销售、进口、使用的严重污染水环境的设备名录中的设备，或者采用列入禁止采用的严重污染水环境的工艺名录中的工艺的，由县级以上人民政府经济综合宏观调控部门责令改正，处五万元以上二十万元以下的罚款；情节严重的，由县级以上人民政府经济综合宏观调控部门提出意见，报请本级人民政府责令停业、关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第八十七条 </w:t>
      </w:r>
      <w:r>
        <w:rPr>
          <w:rFonts w:asciiTheme="minorEastAsia" w:hAnsiTheme="minorEastAsia" w:eastAsiaTheme="minorEastAsia"/>
          <w:sz w:val="24"/>
          <w:szCs w:val="24"/>
        </w:rPr>
        <w:t xml:space="preserve"> 违反本法规定，建设不符合国家产业政策的小型造纸、制革、印染、染料、炼焦、炼硫、炼砷、炼汞、炼油、电镀、农药、石棉、水泥、玻璃、钢铁、火电以及其他严重污染水环境的生产项目的，由所在地的市、县人民政府责令关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第八十八条 </w:t>
      </w:r>
      <w:r>
        <w:rPr>
          <w:rFonts w:asciiTheme="minorEastAsia" w:hAnsiTheme="minorEastAsia" w:eastAsiaTheme="minorEastAsia"/>
          <w:sz w:val="24"/>
          <w:szCs w:val="24"/>
        </w:rPr>
        <w:t xml:space="preserve"> 城镇污水集中处理设施的运营单位或者污泥处理处置单位，处理处置后的污泥不符合国家标准，或者对污泥去向等未进行记录的，由城镇排水主管部门责令限期采取治理措施，给予警告；造成严重后果的，处十万元以上二十万元以下的罚款；逾期不采取治理措施的，城镇排水主管部门可以指定有治理能力的单位代为治理，所需费用由违法者承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第八十九条 </w:t>
      </w:r>
      <w:r>
        <w:rPr>
          <w:rFonts w:asciiTheme="minorEastAsia" w:hAnsiTheme="minorEastAsia" w:eastAsiaTheme="minorEastAsia"/>
          <w:sz w:val="24"/>
          <w:szCs w:val="24"/>
        </w:rPr>
        <w:t xml:space="preserve"> 船舶未配置相应的防污染设备和器材，或者未持有合法有效的防止水域环境污染的证书与文书的，由海事管理机构、渔业主管部门按照职责分工责令限期改正，处二千元以上二万元以下的罚款；逾期不改正的，责令船舶临时停航。</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船舶进行涉及污染物排放的作业，未遵守操作规程或者未在相应的记录簿上如实记载的，由海事管理机构、渔业主管部门按照职责分工责令改正，处二千元以上二万元以下的罚款。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第九十条 </w:t>
      </w:r>
      <w:r>
        <w:rPr>
          <w:rFonts w:asciiTheme="minorEastAsia" w:hAnsiTheme="minorEastAsia" w:eastAsiaTheme="minorEastAsia"/>
          <w:sz w:val="24"/>
          <w:szCs w:val="24"/>
        </w:rPr>
        <w:t xml:space="preserve"> 违反本法规定，有下列行为之一的，由海事管理机构、渔业主管部门按照职责分工责令停止违法行为，处一万元以上十万元以下的罚款；造成水污染的,责令限期采取治理措施，消除污染，处二万元以上二十万元以下的罚款；逾期不采取治理措施的，海事管理机构、渔业主管部门按照职责分工可以指定有治理能力的单位代为治理，所需费用由船舶承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（一）向水体倾倒船舶垃圾或者排放船舶的残油、废油的；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（二）未经作业地海事管理机构批准，船舶进行散装液体污染危害性货物的过驳作业的；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（三）船舶及有关作业单位从事有污染风险的作业活动，未按照规定采取污染防治措施的；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（四）以冲滩方式进行船舶拆解的；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（五）进入中华人民共和国内河的国际航线船舶，排放不符合规定的船舶压载水的。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第九十一条 </w:t>
      </w:r>
      <w:r>
        <w:rPr>
          <w:rFonts w:asciiTheme="minorEastAsia" w:hAnsiTheme="minorEastAsia" w:eastAsiaTheme="minorEastAsia"/>
          <w:sz w:val="24"/>
          <w:szCs w:val="24"/>
        </w:rPr>
        <w:t xml:space="preserve"> 有下列行为之一的，由县级以上地方人民政府环境保护主管部门责令停止违法行为，处十万元以上五十万元以下的罚款；并报经有批准权的人民政府批准，责令拆除或者关闭：</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（一）在饮用水水源一级保护区内新建、改建、扩建与供水设施和保护水源无关的建设项目的；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（二）在饮用水水源二级保护区内新建、改建、扩建排放污染物的建设项目的；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（三）在饮用水水源准保护区内新建、扩建对水体污染严重的建设项目，或者改建建设项目增加排污量的。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在饮用水水源一级保护区内从事网箱养殖或者组织进行旅游、垂钓或者其他可能污染饮用水水体的活动的，由县级以上地方人民政府环境保护主管部门责令停止违法行为，处二万元以上十万元以下的罚款。个人在饮用水水源一级保护区内游泳、垂钓或者从事其他可能污染饮用水水体的活动的，由县级以上地方人民政府环境保护主管部门责令停止违法行为，可以处五百元以下的罚款。</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第九十二条 </w:t>
      </w:r>
      <w:r>
        <w:rPr>
          <w:rFonts w:asciiTheme="minorEastAsia" w:hAnsiTheme="minorEastAsia" w:eastAsiaTheme="minorEastAsia"/>
          <w:sz w:val="24"/>
          <w:szCs w:val="24"/>
        </w:rPr>
        <w:t xml:space="preserve"> 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第九十三条 </w:t>
      </w:r>
      <w:r>
        <w:rPr>
          <w:rFonts w:asciiTheme="minorEastAsia" w:hAnsiTheme="minorEastAsia" w:eastAsiaTheme="minorEastAsia"/>
          <w:sz w:val="24"/>
          <w:szCs w:val="24"/>
        </w:rPr>
        <w:t xml:space="preserve"> 企业事业单位有下列行为之一的，由县级以上人民政府环境保护主管部门责令改正；情节严重的，处二万元以上十万元以下的罚款：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（一）不按照规定制定水污染事故的应急方案的；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（二）水污染事故发生后，未及时启动水污染事故的应急方案，采取有关应急措施的。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第九十四条 </w:t>
      </w:r>
      <w:r>
        <w:rPr>
          <w:rFonts w:asciiTheme="minorEastAsia" w:hAnsiTheme="minorEastAsia" w:eastAsiaTheme="minorEastAsia"/>
          <w:sz w:val="24"/>
          <w:szCs w:val="24"/>
        </w:rPr>
        <w:t xml:space="preserve">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对造成一般或者较大水污染事故的，按照水污染事故造成的直接损失的百分之二十计算罚款；对造成重大或者特大水污染事故的，按照水污染事故造成的直接损失的百分之三十计算罚款。</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造成渔业污染事故或者渔业船舶造成水污染事故的，由渔业主管部门进行处罚；其他船舶造成水污染事故的，由海事管理机构进行处罚。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第九十五条 </w:t>
      </w:r>
      <w:r>
        <w:rPr>
          <w:rFonts w:asciiTheme="minorEastAsia" w:hAnsiTheme="minorEastAsia" w:eastAsiaTheme="minorEastAsia"/>
          <w:sz w:val="24"/>
          <w:szCs w:val="24"/>
        </w:rPr>
        <w:t xml:space="preserve"> 企业事业单位和其他生产经营者违法排放水污染物，受到罚款处罚，被责令改正的，依法作出处罚决定的行政机关应当组织复查，发现其继续违法排放水污染物或者拒绝、阻挠复查的，依照《中华人民共和国环境保护法》的规定按日连续处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第九十六条 </w:t>
      </w:r>
      <w:r>
        <w:rPr>
          <w:rFonts w:asciiTheme="minorEastAsia" w:hAnsiTheme="minorEastAsia" w:eastAsiaTheme="minorEastAsia"/>
          <w:sz w:val="24"/>
          <w:szCs w:val="24"/>
        </w:rPr>
        <w:t xml:space="preserve"> 因水污染受到损害的当事人，有权要求排污方排除危害和赔偿损失。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由于不可抗力造成水污染损害的，排污方不承担赔偿责任；法律另有规定的除外。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水污染损害是由受害人故意造成的，排污方不承担赔偿责任。水污染损害是由受害人重大过失造成的，可以减轻排污方的赔偿责任。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水污染损害是由第三人造成的，排污方承担赔偿责任后，有权向第三人追偿。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第九十七条 </w:t>
      </w:r>
      <w:r>
        <w:rPr>
          <w:rFonts w:asciiTheme="minorEastAsia" w:hAnsiTheme="minorEastAsia" w:eastAsiaTheme="minorEastAsia"/>
          <w:sz w:val="24"/>
          <w:szCs w:val="24"/>
        </w:rPr>
        <w:t xml:space="preserve"> 因水污染引起的损害赔偿责任和赔偿金额的纠纷，可以根据当事人的请求，由环境保护主管部门或者海事管理机构、渔业主管部门按照职责分工调解处理；调解不成的，当事人可以向人民法院提起诉讼。当事人也可以直接向人民法院提起诉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第九十八条 </w:t>
      </w:r>
      <w:r>
        <w:rPr>
          <w:rFonts w:asciiTheme="minorEastAsia" w:hAnsiTheme="minorEastAsia" w:eastAsiaTheme="minorEastAsia"/>
          <w:sz w:val="24"/>
          <w:szCs w:val="24"/>
        </w:rPr>
        <w:t xml:space="preserve"> 因水污染引起的损害赔偿诉讼，由排污方就法律规定的免责事由及其行为与损害结果之间不存在因果关系承担举证责任。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第九十九条 </w:t>
      </w:r>
      <w:r>
        <w:rPr>
          <w:rFonts w:asciiTheme="minorEastAsia" w:hAnsiTheme="minorEastAsia" w:eastAsiaTheme="minorEastAsia"/>
          <w:sz w:val="24"/>
          <w:szCs w:val="24"/>
        </w:rPr>
        <w:t xml:space="preserve"> 因水污染受到损害的当事人人数众多的，可以依法由当事人推选代表人进行共同诉讼。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环境保护主管部门和有关社会团体可以依法支持因水污染受到损害的当事人向人民法院提起诉讼。</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国家鼓励法律服务机构和律师为水污染损害诉讼中的受害人提供法律援助。</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第一百条 </w:t>
      </w:r>
      <w:r>
        <w:rPr>
          <w:rFonts w:asciiTheme="minorEastAsia" w:hAnsiTheme="minorEastAsia" w:eastAsiaTheme="minorEastAsia"/>
          <w:sz w:val="24"/>
          <w:szCs w:val="24"/>
        </w:rPr>
        <w:t xml:space="preserve"> 因水污染引起的损害赔偿责任和赔偿金额的纠纷，当事人可以委托环境监测机构提供监测数据。环境监测机构应当接受委托，如实提供有关监测数据。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第一百零一条 </w:t>
      </w:r>
      <w:r>
        <w:rPr>
          <w:rFonts w:asciiTheme="minorEastAsia" w:hAnsiTheme="minorEastAsia" w:eastAsiaTheme="minorEastAsia"/>
          <w:sz w:val="24"/>
          <w:szCs w:val="24"/>
        </w:rPr>
        <w:t xml:space="preserve"> 违反本法规定，构成犯罪的，依法追究刑事责任。</w:t>
      </w:r>
    </w:p>
    <w:p>
      <w:pPr>
        <w:pStyle w:val="63"/>
        <w:spacing w:before="218" w:after="218" w:line="412" w:lineRule="exact"/>
      </w:pPr>
      <w:r>
        <w:t>第八章  附  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第一百零二条 </w:t>
      </w:r>
      <w:r>
        <w:rPr>
          <w:rFonts w:asciiTheme="minorEastAsia" w:hAnsiTheme="minorEastAsia" w:eastAsiaTheme="minorEastAsia"/>
          <w:sz w:val="24"/>
          <w:szCs w:val="24"/>
        </w:rPr>
        <w:t xml:space="preserve"> 本法中下列用语的含义：</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（一）水污染，是指水体因某种物质的介入，而导致其化学、物理、生物或者放射性等方面特性的改变，从而影响水的有效利用，危害人体健康或者破坏生态环境，造成水质恶化的现象。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（二）水污染物，是指直接或者间接向水体排放的，能导致水体污染的物质。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（三）有毒污染物，是指那些直接或者间接被生物摄入体内后，可能导致该生物或者其后代发病、行为反常、遗传异变、生理机能失常、机体变形或者死亡的污染物。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（四）污泥，是指污水处理过程中产生的半固态或者固态物质。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（五）渔业水体，是指划定的鱼虾类的产卵场、索饵场、越冬场、洄游通道和鱼虾贝藻类的养殖场的水体。</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第一百零三条 </w:t>
      </w:r>
      <w:r>
        <w:rPr>
          <w:rFonts w:asciiTheme="minorEastAsia" w:hAnsiTheme="minorEastAsia" w:eastAsiaTheme="minorEastAsia"/>
          <w:sz w:val="24"/>
          <w:szCs w:val="24"/>
        </w:rPr>
        <w:t xml:space="preserve"> 本法自2008年6月1日起施行。</w:t>
      </w:r>
    </w:p>
    <w:p>
      <w:pPr>
        <w:pStyle w:val="3"/>
        <w:topLinePunct/>
        <w:spacing w:line="412" w:lineRule="exact"/>
        <w:ind w:firstLine="480"/>
        <w:rPr>
          <w:rFonts w:asciiTheme="minorEastAsia" w:hAnsiTheme="minorEastAsia" w:eastAsiaTheme="minorEastAsia"/>
          <w:sz w:val="24"/>
          <w:szCs w:val="24"/>
        </w:rPr>
      </w:pPr>
    </w:p>
    <w:p>
      <w:pPr>
        <w:pStyle w:val="3"/>
        <w:topLinePunct/>
        <w:spacing w:line="412" w:lineRule="exact"/>
        <w:ind w:firstLine="480"/>
        <w:rPr>
          <w:rFonts w:asciiTheme="minorEastAsia" w:hAnsiTheme="minorEastAsia" w:eastAsiaTheme="minorEastAsia"/>
          <w:sz w:val="24"/>
          <w:szCs w:val="24"/>
        </w:rPr>
      </w:pPr>
    </w:p>
    <w:p>
      <w:pPr>
        <w:widowControl/>
        <w:spacing w:before="156" w:after="156"/>
        <w:ind w:firstLine="240"/>
        <w:rPr>
          <w:rFonts w:cs="Times New Roman" w:asciiTheme="minorEastAsia" w:hAnsiTheme="minorEastAsia"/>
          <w:sz w:val="24"/>
          <w:szCs w:val="24"/>
        </w:rPr>
      </w:pPr>
      <w:r>
        <w:rPr>
          <w:rFonts w:asciiTheme="minorEastAsia" w:hAnsiTheme="minorEastAsia"/>
          <w:sz w:val="24"/>
          <w:szCs w:val="24"/>
        </w:rPr>
        <w:br w:type="page"/>
      </w:r>
    </w:p>
    <w:p>
      <w:pPr>
        <w:pStyle w:val="3"/>
        <w:topLinePunct/>
        <w:spacing w:line="412" w:lineRule="exact"/>
        <w:ind w:firstLine="480"/>
        <w:rPr>
          <w:rFonts w:asciiTheme="minorEastAsia" w:hAnsiTheme="minorEastAsia" w:eastAsiaTheme="minorEastAsia"/>
          <w:sz w:val="24"/>
          <w:szCs w:val="24"/>
        </w:rPr>
      </w:pPr>
    </w:p>
    <w:p>
      <w:pPr>
        <w:pStyle w:val="61"/>
      </w:pPr>
      <w:bookmarkStart w:id="1676" w:name="_Toc28157103"/>
      <w:bookmarkStart w:id="1677" w:name="_Toc28251032"/>
      <w:bookmarkStart w:id="1678" w:name="_Toc28252316"/>
      <w:r>
        <w:rPr>
          <w:rFonts w:hint="eastAsia"/>
        </w:rPr>
        <w:t>北京市水污染防治条例</w:t>
      </w:r>
      <w:bookmarkEnd w:id="1676"/>
      <w:bookmarkEnd w:id="1677"/>
      <w:bookmarkEnd w:id="1678"/>
    </w:p>
    <w:p>
      <w:pPr>
        <w:pStyle w:val="62"/>
      </w:pPr>
      <w:r>
        <w:rPr>
          <w:rFonts w:hint="eastAsia"/>
        </w:rPr>
        <w:t>（2010年11月19日北京市第十三届人民代表大会常务委员会第二十一次会议通过，根据2018年3月30日北京市第十五届人民代表大会常务委员会第三次会议通过的《关于修改〈北京市大气污染防治条例〉等七部地方性法规的决定》第一次修正，根据2019年11月27日北京市第十五届人民代表大会常务委员会第十六次会议通过的《关于修改&lt;北京市实施中华人民共和国节约能源法办法&gt;等八部地方性法规的决定》第二次修订）</w:t>
      </w:r>
    </w:p>
    <w:p>
      <w:pPr>
        <w:pStyle w:val="63"/>
        <w:spacing w:before="218" w:after="218"/>
        <w:ind w:firstLine="210"/>
      </w:pPr>
      <w:r>
        <w:rPr>
          <w:rFonts w:hint="eastAsia"/>
        </w:rPr>
        <w:t>第一章</w:t>
      </w:r>
      <w:r>
        <w:t xml:space="preserve">  </w:t>
      </w:r>
      <w:r>
        <w:rPr>
          <w:rFonts w:hint="eastAsia"/>
        </w:rPr>
        <w:t>总</w:t>
      </w:r>
      <w:r>
        <w:t xml:space="preserve">  </w:t>
      </w:r>
      <w:r>
        <w:rPr>
          <w:rFonts w:hint="eastAsia"/>
        </w:rPr>
        <w:t>则</w:t>
      </w:r>
    </w:p>
    <w:p>
      <w:pPr>
        <w:pStyle w:val="3"/>
        <w:topLinePunct/>
        <w:spacing w:line="412" w:lineRule="exact"/>
        <w:ind w:firstLine="482"/>
        <w:rPr>
          <w:sz w:val="24"/>
          <w:szCs w:val="24"/>
        </w:rPr>
      </w:pPr>
      <w:r>
        <w:rPr>
          <w:rFonts w:hint="eastAsia"/>
          <w:b/>
          <w:sz w:val="24"/>
          <w:szCs w:val="24"/>
        </w:rPr>
        <w:t>第一条</w:t>
      </w:r>
      <w:r>
        <w:rPr>
          <w:sz w:val="24"/>
          <w:szCs w:val="24"/>
        </w:rPr>
        <w:t xml:space="preserve">  </w:t>
      </w:r>
      <w:r>
        <w:rPr>
          <w:rFonts w:hint="eastAsia"/>
          <w:sz w:val="24"/>
          <w:szCs w:val="24"/>
        </w:rPr>
        <w:t>为了保护和改善本市水环境，保障饮用水安全，推进污水再生利用，促进经济社会全面协调可持续发展，根据《中华人民共和国水污染防治法》《中华人民共和国水法》及国家其他有关法律、法规，结合本市实际情况，制定本条例。</w:t>
      </w:r>
    </w:p>
    <w:p>
      <w:pPr>
        <w:pStyle w:val="3"/>
        <w:topLinePunct/>
        <w:spacing w:line="412" w:lineRule="exact"/>
        <w:ind w:firstLine="482"/>
        <w:rPr>
          <w:sz w:val="24"/>
          <w:szCs w:val="24"/>
        </w:rPr>
      </w:pPr>
      <w:r>
        <w:rPr>
          <w:rFonts w:hint="eastAsia"/>
          <w:b/>
          <w:sz w:val="24"/>
          <w:szCs w:val="24"/>
        </w:rPr>
        <w:t>第二条</w:t>
      </w:r>
      <w:r>
        <w:rPr>
          <w:sz w:val="24"/>
          <w:szCs w:val="24"/>
        </w:rPr>
        <w:t xml:space="preserve">  </w:t>
      </w:r>
      <w:r>
        <w:rPr>
          <w:rFonts w:hint="eastAsia"/>
          <w:sz w:val="24"/>
          <w:szCs w:val="24"/>
        </w:rPr>
        <w:t>本条例适用于本市行政区域内地表水体和地下水体的污染防治，以及与水污染防治相关的水资源管理和再生水利用等相关活动。</w:t>
      </w:r>
    </w:p>
    <w:p>
      <w:pPr>
        <w:pStyle w:val="3"/>
        <w:topLinePunct/>
        <w:spacing w:line="412" w:lineRule="exact"/>
        <w:ind w:firstLine="482"/>
        <w:rPr>
          <w:sz w:val="24"/>
          <w:szCs w:val="24"/>
        </w:rPr>
      </w:pPr>
      <w:r>
        <w:rPr>
          <w:rFonts w:hint="eastAsia"/>
          <w:b/>
          <w:sz w:val="24"/>
          <w:szCs w:val="24"/>
        </w:rPr>
        <w:t>第三条</w:t>
      </w:r>
      <w:r>
        <w:rPr>
          <w:sz w:val="24"/>
          <w:szCs w:val="24"/>
        </w:rPr>
        <w:t xml:space="preserve">  </w:t>
      </w:r>
      <w:r>
        <w:rPr>
          <w:rFonts w:hint="eastAsia"/>
          <w:sz w:val="24"/>
          <w:szCs w:val="24"/>
        </w:rPr>
        <w:t>水污染防治应当坚持预防为主、防治结合、综合治理的原则。</w:t>
      </w:r>
    </w:p>
    <w:p>
      <w:pPr>
        <w:pStyle w:val="3"/>
        <w:topLinePunct/>
        <w:spacing w:line="412" w:lineRule="exact"/>
        <w:ind w:firstLine="480"/>
        <w:rPr>
          <w:sz w:val="24"/>
          <w:szCs w:val="24"/>
        </w:rPr>
      </w:pPr>
      <w:r>
        <w:rPr>
          <w:rFonts w:hint="eastAsia"/>
          <w:sz w:val="24"/>
          <w:szCs w:val="24"/>
        </w:rPr>
        <w:t>本市水污染防治坚持城乡统筹，实行流域管理，严格保护饮用水水源；坚持水污染防治与水资源开发利用相结合，推进污水资源化，提高水资源循环利用率；坚持污染物排放总量控制，在削减污染物的同时补充生态环境用水，逐步改善水环境质量，恢复和保护水体生态功能。</w:t>
      </w:r>
    </w:p>
    <w:p>
      <w:pPr>
        <w:pStyle w:val="3"/>
        <w:topLinePunct/>
        <w:spacing w:line="412" w:lineRule="exact"/>
        <w:ind w:firstLine="482"/>
        <w:rPr>
          <w:sz w:val="24"/>
          <w:szCs w:val="24"/>
        </w:rPr>
      </w:pPr>
      <w:r>
        <w:rPr>
          <w:rFonts w:hint="eastAsia"/>
          <w:b/>
          <w:sz w:val="24"/>
          <w:szCs w:val="24"/>
        </w:rPr>
        <w:t>第四条</w:t>
      </w:r>
      <w:r>
        <w:rPr>
          <w:sz w:val="24"/>
          <w:szCs w:val="24"/>
        </w:rPr>
        <w:t xml:space="preserve">  </w:t>
      </w:r>
      <w:r>
        <w:rPr>
          <w:rFonts w:hint="eastAsia"/>
          <w:sz w:val="24"/>
          <w:szCs w:val="24"/>
        </w:rPr>
        <w:t>本市各级人民政府对本行政区域内的水环境质量负责，并将水环境保护工作纳入国民经济和社会发展规划、计划，建立与水环境保护工作相适应的资金投入和保障机制，采取有效的对策和措施，提高水环境质量。</w:t>
      </w:r>
    </w:p>
    <w:p>
      <w:pPr>
        <w:pStyle w:val="3"/>
        <w:topLinePunct/>
        <w:spacing w:line="412" w:lineRule="exact"/>
        <w:ind w:firstLine="480"/>
        <w:rPr>
          <w:sz w:val="24"/>
          <w:szCs w:val="24"/>
        </w:rPr>
      </w:pPr>
      <w:r>
        <w:rPr>
          <w:rFonts w:hint="eastAsia"/>
          <w:sz w:val="24"/>
          <w:szCs w:val="24"/>
        </w:rPr>
        <w:t>街道办事处根据所在区人民政府的要求，开展本辖区内有关的水污染防治工作。</w:t>
      </w:r>
    </w:p>
    <w:p>
      <w:pPr>
        <w:pStyle w:val="3"/>
        <w:topLinePunct/>
        <w:spacing w:line="412" w:lineRule="exact"/>
        <w:ind w:firstLine="482"/>
        <w:rPr>
          <w:sz w:val="24"/>
          <w:szCs w:val="24"/>
        </w:rPr>
      </w:pPr>
      <w:r>
        <w:rPr>
          <w:rFonts w:hint="eastAsia"/>
          <w:b/>
          <w:sz w:val="24"/>
          <w:szCs w:val="24"/>
        </w:rPr>
        <w:t>第五条</w:t>
      </w:r>
      <w:r>
        <w:rPr>
          <w:sz w:val="24"/>
          <w:szCs w:val="24"/>
        </w:rPr>
        <w:t xml:space="preserve">  </w:t>
      </w:r>
      <w:r>
        <w:rPr>
          <w:rFonts w:hint="eastAsia"/>
          <w:sz w:val="24"/>
          <w:szCs w:val="24"/>
        </w:rPr>
        <w:t>本市市、区、乡镇（街道）建立河长制，分级分段组织领导本行政区域内河流、湖泊的水资源保护、水域岸线管理、水污染防治、水环境治理等工作。</w:t>
      </w:r>
    </w:p>
    <w:p>
      <w:pPr>
        <w:pStyle w:val="3"/>
        <w:topLinePunct/>
        <w:spacing w:line="412" w:lineRule="exact"/>
        <w:ind w:firstLine="482"/>
        <w:rPr>
          <w:sz w:val="24"/>
          <w:szCs w:val="24"/>
        </w:rPr>
      </w:pPr>
      <w:r>
        <w:rPr>
          <w:rFonts w:hint="eastAsia"/>
          <w:b/>
          <w:sz w:val="24"/>
          <w:szCs w:val="24"/>
        </w:rPr>
        <w:t>第六条</w:t>
      </w:r>
      <w:r>
        <w:rPr>
          <w:b/>
          <w:sz w:val="24"/>
          <w:szCs w:val="24"/>
        </w:rPr>
        <w:t xml:space="preserve"> </w:t>
      </w:r>
      <w:r>
        <w:rPr>
          <w:sz w:val="24"/>
          <w:szCs w:val="24"/>
        </w:rPr>
        <w:t xml:space="preserve"> </w:t>
      </w:r>
      <w:r>
        <w:rPr>
          <w:rFonts w:hint="eastAsia"/>
          <w:sz w:val="24"/>
          <w:szCs w:val="24"/>
        </w:rPr>
        <w:t>市、区生态环境部门对本行政区域内的水污染防治实施统一监督管理。</w:t>
      </w:r>
    </w:p>
    <w:p>
      <w:pPr>
        <w:pStyle w:val="3"/>
        <w:topLinePunct/>
        <w:spacing w:line="412" w:lineRule="exact"/>
        <w:ind w:firstLine="480"/>
        <w:rPr>
          <w:sz w:val="24"/>
          <w:szCs w:val="24"/>
        </w:rPr>
      </w:pPr>
      <w:r>
        <w:rPr>
          <w:rFonts w:hint="eastAsia"/>
          <w:sz w:val="24"/>
          <w:szCs w:val="24"/>
        </w:rPr>
        <w:t>市、区水务部门对本行政区域内的水资源保护和再生水利用进行管理，负责污水处理和河道综合整治等方面工作。</w:t>
      </w:r>
    </w:p>
    <w:p>
      <w:pPr>
        <w:pStyle w:val="3"/>
        <w:topLinePunct/>
        <w:spacing w:line="412" w:lineRule="exact"/>
        <w:ind w:firstLine="480"/>
        <w:rPr>
          <w:sz w:val="24"/>
          <w:szCs w:val="24"/>
        </w:rPr>
      </w:pPr>
      <w:r>
        <w:rPr>
          <w:rFonts w:hint="eastAsia"/>
          <w:sz w:val="24"/>
          <w:szCs w:val="24"/>
        </w:rPr>
        <w:t>发展改革、农业农村、城市管理、规划和自然资源、卫生健康、住房和城乡建设、园林绿化、市场监督管理、文化和旅游等部门按照各自的职责，依法做好有关水污染防治工作。</w:t>
      </w:r>
    </w:p>
    <w:p>
      <w:pPr>
        <w:pStyle w:val="3"/>
        <w:topLinePunct/>
        <w:spacing w:line="412" w:lineRule="exact"/>
        <w:ind w:firstLine="480"/>
        <w:rPr>
          <w:sz w:val="24"/>
          <w:szCs w:val="24"/>
        </w:rPr>
      </w:pPr>
      <w:r>
        <w:rPr>
          <w:rFonts w:hint="eastAsia"/>
          <w:sz w:val="24"/>
          <w:szCs w:val="24"/>
        </w:rPr>
        <w:t>市、区生态环境部门可以根据需要聘请监督员，协助开展水污染防治工作。</w:t>
      </w:r>
    </w:p>
    <w:p>
      <w:pPr>
        <w:pStyle w:val="3"/>
        <w:topLinePunct/>
        <w:spacing w:line="412" w:lineRule="exact"/>
        <w:ind w:firstLine="482"/>
        <w:rPr>
          <w:sz w:val="24"/>
          <w:szCs w:val="24"/>
        </w:rPr>
      </w:pPr>
      <w:r>
        <w:rPr>
          <w:rFonts w:hint="eastAsia"/>
          <w:b/>
          <w:sz w:val="24"/>
          <w:szCs w:val="24"/>
        </w:rPr>
        <w:t>第七条</w:t>
      </w:r>
      <w:r>
        <w:rPr>
          <w:sz w:val="24"/>
          <w:szCs w:val="24"/>
        </w:rPr>
        <w:t xml:space="preserve">  </w:t>
      </w:r>
      <w:r>
        <w:rPr>
          <w:rFonts w:hint="eastAsia"/>
          <w:sz w:val="24"/>
          <w:szCs w:val="24"/>
        </w:rPr>
        <w:t>本市实行水环境保护目标责任制和考核评价制度。</w:t>
      </w:r>
    </w:p>
    <w:p>
      <w:pPr>
        <w:pStyle w:val="3"/>
        <w:topLinePunct/>
        <w:spacing w:line="412" w:lineRule="exact"/>
        <w:ind w:firstLine="480"/>
        <w:rPr>
          <w:sz w:val="24"/>
          <w:szCs w:val="24"/>
        </w:rPr>
      </w:pPr>
      <w:r>
        <w:rPr>
          <w:rFonts w:hint="eastAsia"/>
          <w:sz w:val="24"/>
          <w:szCs w:val="24"/>
        </w:rPr>
        <w:t>市人民政府应当根据本市水环境保护目标制定考核评价指标，将考核指标的完成情况作为对市人民政府有关部门和区人民政府及其负责人考核评价的内容，定期公示考核结果。</w:t>
      </w:r>
    </w:p>
    <w:p>
      <w:pPr>
        <w:pStyle w:val="3"/>
        <w:topLinePunct/>
        <w:spacing w:line="412" w:lineRule="exact"/>
        <w:ind w:firstLine="482"/>
        <w:rPr>
          <w:sz w:val="24"/>
          <w:szCs w:val="24"/>
        </w:rPr>
      </w:pPr>
      <w:r>
        <w:rPr>
          <w:rFonts w:hint="eastAsia"/>
          <w:b/>
          <w:sz w:val="24"/>
          <w:szCs w:val="24"/>
        </w:rPr>
        <w:t>第八条</w:t>
      </w:r>
      <w:r>
        <w:rPr>
          <w:b/>
          <w:sz w:val="24"/>
          <w:szCs w:val="24"/>
        </w:rPr>
        <w:t xml:space="preserve"> </w:t>
      </w:r>
      <w:r>
        <w:rPr>
          <w:sz w:val="24"/>
          <w:szCs w:val="24"/>
        </w:rPr>
        <w:t xml:space="preserve"> </w:t>
      </w:r>
      <w:r>
        <w:rPr>
          <w:rFonts w:hint="eastAsia"/>
          <w:sz w:val="24"/>
          <w:szCs w:val="24"/>
        </w:rPr>
        <w:t>单位和个体工商户排放水污染物，不得超过国家和本市规定的水污染物排放标准及重点水污染物排放总量控制指标。</w:t>
      </w:r>
    </w:p>
    <w:p>
      <w:pPr>
        <w:pStyle w:val="3"/>
        <w:topLinePunct/>
        <w:spacing w:line="412" w:lineRule="exact"/>
        <w:ind w:firstLine="482"/>
        <w:rPr>
          <w:sz w:val="24"/>
          <w:szCs w:val="24"/>
        </w:rPr>
      </w:pPr>
      <w:r>
        <w:rPr>
          <w:rFonts w:hint="eastAsia"/>
          <w:b/>
          <w:sz w:val="24"/>
          <w:szCs w:val="24"/>
        </w:rPr>
        <w:t>第九条</w:t>
      </w:r>
      <w:r>
        <w:rPr>
          <w:b/>
          <w:sz w:val="24"/>
          <w:szCs w:val="24"/>
        </w:rPr>
        <w:t xml:space="preserve"> </w:t>
      </w:r>
      <w:r>
        <w:rPr>
          <w:sz w:val="24"/>
          <w:szCs w:val="24"/>
        </w:rPr>
        <w:t xml:space="preserve"> </w:t>
      </w:r>
      <w:r>
        <w:rPr>
          <w:rFonts w:hint="eastAsia"/>
          <w:sz w:val="24"/>
          <w:szCs w:val="24"/>
        </w:rPr>
        <w:t>市人民政府可以根据国家水环境质量标准、本市水环境质量目标及经济、技术条件，制定本市水污染物排放标准，严格控制水污染物排放，定期对标准进行评估并适时修订。</w:t>
      </w:r>
    </w:p>
    <w:p>
      <w:pPr>
        <w:pStyle w:val="3"/>
        <w:topLinePunct/>
        <w:spacing w:line="412" w:lineRule="exact"/>
        <w:ind w:firstLine="482"/>
        <w:rPr>
          <w:sz w:val="24"/>
          <w:szCs w:val="24"/>
        </w:rPr>
      </w:pPr>
      <w:r>
        <w:rPr>
          <w:rFonts w:hint="eastAsia"/>
          <w:b/>
          <w:sz w:val="24"/>
          <w:szCs w:val="24"/>
        </w:rPr>
        <w:t>第十条</w:t>
      </w:r>
      <w:r>
        <w:rPr>
          <w:b/>
          <w:sz w:val="24"/>
          <w:szCs w:val="24"/>
        </w:rPr>
        <w:t xml:space="preserve"> </w:t>
      </w:r>
      <w:r>
        <w:rPr>
          <w:sz w:val="24"/>
          <w:szCs w:val="24"/>
        </w:rPr>
        <w:t xml:space="preserve"> </w:t>
      </w:r>
      <w:r>
        <w:rPr>
          <w:rFonts w:hint="eastAsia"/>
          <w:sz w:val="24"/>
          <w:szCs w:val="24"/>
        </w:rPr>
        <w:t>市、区人民政府应当针对本行政区域内水环境的特点和水污染防治的需求，采取措施，加强水污染物排放控制、再生水利用、水生态修复等方面的科学技术研究和示范推广，提高水环境保护的科学技术水平。</w:t>
      </w:r>
    </w:p>
    <w:p>
      <w:pPr>
        <w:pStyle w:val="3"/>
        <w:topLinePunct/>
        <w:spacing w:line="412" w:lineRule="exact"/>
        <w:ind w:firstLine="482"/>
        <w:rPr>
          <w:sz w:val="24"/>
          <w:szCs w:val="24"/>
        </w:rPr>
      </w:pPr>
      <w:r>
        <w:rPr>
          <w:rFonts w:hint="eastAsia"/>
          <w:b/>
          <w:sz w:val="24"/>
          <w:szCs w:val="24"/>
        </w:rPr>
        <w:t>第十一条</w:t>
      </w:r>
      <w:r>
        <w:rPr>
          <w:b/>
          <w:sz w:val="24"/>
          <w:szCs w:val="24"/>
        </w:rPr>
        <w:t xml:space="preserve"> </w:t>
      </w:r>
      <w:r>
        <w:rPr>
          <w:sz w:val="24"/>
          <w:szCs w:val="24"/>
        </w:rPr>
        <w:t xml:space="preserve"> </w:t>
      </w:r>
      <w:r>
        <w:rPr>
          <w:rFonts w:hint="eastAsia"/>
          <w:sz w:val="24"/>
          <w:szCs w:val="24"/>
        </w:rPr>
        <w:t>任何单位和个人都有义务保护水环境，并有权对污染损害水环境的行为进行检举。</w:t>
      </w:r>
    </w:p>
    <w:p>
      <w:pPr>
        <w:pStyle w:val="3"/>
        <w:topLinePunct/>
        <w:spacing w:line="412" w:lineRule="exact"/>
        <w:ind w:firstLine="480"/>
        <w:rPr>
          <w:sz w:val="24"/>
          <w:szCs w:val="24"/>
        </w:rPr>
      </w:pPr>
      <w:r>
        <w:rPr>
          <w:rFonts w:hint="eastAsia"/>
          <w:sz w:val="24"/>
          <w:szCs w:val="24"/>
        </w:rPr>
        <w:t>本市各级人民政府应当加强水环境保护的宣传教育，普及相关科学知识，提高公民的水环境保护意识，拓宽公众参与水环境保护的渠道，并对在水环境保护方面做出显著成绩的单位和个人给予表彰和奖励。</w:t>
      </w:r>
    </w:p>
    <w:p>
      <w:pPr>
        <w:pStyle w:val="63"/>
        <w:spacing w:before="218" w:after="218"/>
      </w:pPr>
      <w:r>
        <w:rPr>
          <w:rFonts w:hint="eastAsia"/>
        </w:rPr>
        <w:t>第二章</w:t>
      </w:r>
      <w:r>
        <w:t xml:space="preserve">  </w:t>
      </w:r>
      <w:r>
        <w:rPr>
          <w:rFonts w:hint="eastAsia"/>
        </w:rPr>
        <w:t>水污染防治规划与监督管理</w:t>
      </w:r>
    </w:p>
    <w:p>
      <w:pPr>
        <w:pStyle w:val="3"/>
        <w:topLinePunct/>
        <w:spacing w:line="412" w:lineRule="exact"/>
        <w:ind w:firstLine="482"/>
        <w:rPr>
          <w:sz w:val="24"/>
          <w:szCs w:val="24"/>
        </w:rPr>
      </w:pPr>
      <w:r>
        <w:rPr>
          <w:rFonts w:hint="eastAsia"/>
          <w:b/>
          <w:sz w:val="24"/>
          <w:szCs w:val="24"/>
        </w:rPr>
        <w:t>第十二条</w:t>
      </w:r>
      <w:r>
        <w:rPr>
          <w:b/>
          <w:sz w:val="24"/>
          <w:szCs w:val="24"/>
        </w:rPr>
        <w:t xml:space="preserve"> </w:t>
      </w:r>
      <w:r>
        <w:rPr>
          <w:sz w:val="24"/>
          <w:szCs w:val="24"/>
        </w:rPr>
        <w:t xml:space="preserve"> </w:t>
      </w:r>
      <w:r>
        <w:rPr>
          <w:rFonts w:hint="eastAsia"/>
          <w:sz w:val="24"/>
          <w:szCs w:val="24"/>
        </w:rPr>
        <w:t>市生态环境部门应当会同市水务、规划和自然资源等部门提出地表水和地下水环境功能区划方案，报市人民政府批准，并向社会公布。</w:t>
      </w:r>
    </w:p>
    <w:p>
      <w:pPr>
        <w:pStyle w:val="3"/>
        <w:topLinePunct/>
        <w:spacing w:line="412" w:lineRule="exact"/>
        <w:ind w:firstLine="482"/>
        <w:rPr>
          <w:sz w:val="24"/>
          <w:szCs w:val="24"/>
        </w:rPr>
      </w:pPr>
      <w:r>
        <w:rPr>
          <w:rFonts w:hint="eastAsia"/>
          <w:b/>
          <w:sz w:val="24"/>
          <w:szCs w:val="24"/>
        </w:rPr>
        <w:t>第十三条</w:t>
      </w:r>
      <w:r>
        <w:rPr>
          <w:b/>
          <w:sz w:val="24"/>
          <w:szCs w:val="24"/>
        </w:rPr>
        <w:t xml:space="preserve"> </w:t>
      </w:r>
      <w:r>
        <w:rPr>
          <w:sz w:val="24"/>
          <w:szCs w:val="24"/>
        </w:rPr>
        <w:t xml:space="preserve"> </w:t>
      </w:r>
      <w:r>
        <w:rPr>
          <w:rFonts w:hint="eastAsia"/>
          <w:sz w:val="24"/>
          <w:szCs w:val="24"/>
        </w:rPr>
        <w:t>市生态环境部门应当会同市发展改革、水务、农业农村、规划和自然资源等部门，在环境保护和建设规划中制定水污染防治专项规划，经市规划和自然资源部门组织审查后报市人民政府批准实施，并依法报国务院备案。</w:t>
      </w:r>
    </w:p>
    <w:p>
      <w:pPr>
        <w:pStyle w:val="3"/>
        <w:topLinePunct/>
        <w:spacing w:line="412" w:lineRule="exact"/>
        <w:ind w:firstLine="480"/>
        <w:rPr>
          <w:sz w:val="24"/>
          <w:szCs w:val="24"/>
        </w:rPr>
      </w:pPr>
      <w:r>
        <w:rPr>
          <w:rFonts w:hint="eastAsia"/>
          <w:sz w:val="24"/>
          <w:szCs w:val="24"/>
        </w:rPr>
        <w:t>市水务部门应当会同有关部门，根据水污染防治专项规划，结合水资源开发利用等专业规划，编制潮白河、北运河、永定河、大清河、蓟运河流域综合整治规划，并组织实施。</w:t>
      </w:r>
    </w:p>
    <w:p>
      <w:pPr>
        <w:pStyle w:val="3"/>
        <w:topLinePunct/>
        <w:spacing w:line="412" w:lineRule="exact"/>
        <w:ind w:firstLine="480"/>
        <w:rPr>
          <w:sz w:val="24"/>
          <w:szCs w:val="24"/>
        </w:rPr>
      </w:pPr>
      <w:r>
        <w:rPr>
          <w:rFonts w:hint="eastAsia"/>
          <w:sz w:val="24"/>
          <w:szCs w:val="24"/>
        </w:rPr>
        <w:t>市水务部门应当会同市生态环境、规划和自然资源等部门，根据水污染防治专项规划，编制本市地下水保护规划，并组织实施。</w:t>
      </w:r>
    </w:p>
    <w:p>
      <w:pPr>
        <w:pStyle w:val="3"/>
        <w:topLinePunct/>
        <w:spacing w:line="412" w:lineRule="exact"/>
        <w:ind w:firstLine="480"/>
        <w:rPr>
          <w:sz w:val="24"/>
          <w:szCs w:val="24"/>
        </w:rPr>
      </w:pPr>
      <w:r>
        <w:rPr>
          <w:rFonts w:hint="eastAsia"/>
          <w:sz w:val="24"/>
          <w:szCs w:val="24"/>
        </w:rPr>
        <w:t>市农业农村部门应当会同有关部门，根据水污染防治专项规划，结合环境承载力和农产品保障的要求，编制农业水污染防治规划，确定畜禽、水产养殖及农业种植的规模、结构和布局等内容，并组织实施。</w:t>
      </w:r>
    </w:p>
    <w:p>
      <w:pPr>
        <w:pStyle w:val="3"/>
        <w:topLinePunct/>
        <w:spacing w:line="412" w:lineRule="exact"/>
        <w:ind w:firstLine="482"/>
        <w:rPr>
          <w:sz w:val="24"/>
          <w:szCs w:val="24"/>
        </w:rPr>
      </w:pPr>
      <w:r>
        <w:rPr>
          <w:rFonts w:hint="eastAsia"/>
          <w:b/>
          <w:sz w:val="24"/>
          <w:szCs w:val="24"/>
        </w:rPr>
        <w:t>第十四条</w:t>
      </w:r>
      <w:r>
        <w:rPr>
          <w:b/>
          <w:sz w:val="24"/>
          <w:szCs w:val="24"/>
        </w:rPr>
        <w:t xml:space="preserve"> </w:t>
      </w:r>
      <w:r>
        <w:rPr>
          <w:sz w:val="24"/>
          <w:szCs w:val="24"/>
        </w:rPr>
        <w:t xml:space="preserve"> </w:t>
      </w:r>
      <w:r>
        <w:rPr>
          <w:rFonts w:hint="eastAsia"/>
          <w:sz w:val="24"/>
          <w:szCs w:val="24"/>
        </w:rPr>
        <w:t>市人民政府应当定期对水污染防治专项规划、流域综合整治规划、地下水保护规划、农业水污染防治规划及其执行情况进行评估，评估结果作为水环境保护目标考核依据。</w:t>
      </w:r>
    </w:p>
    <w:p>
      <w:pPr>
        <w:pStyle w:val="3"/>
        <w:topLinePunct/>
        <w:spacing w:line="412" w:lineRule="exact"/>
        <w:ind w:firstLine="482"/>
        <w:rPr>
          <w:sz w:val="24"/>
          <w:szCs w:val="24"/>
        </w:rPr>
      </w:pPr>
      <w:r>
        <w:rPr>
          <w:rFonts w:hint="eastAsia"/>
          <w:b/>
          <w:sz w:val="24"/>
          <w:szCs w:val="24"/>
        </w:rPr>
        <w:t>第十五条</w:t>
      </w:r>
      <w:r>
        <w:rPr>
          <w:b/>
          <w:sz w:val="24"/>
          <w:szCs w:val="24"/>
        </w:rPr>
        <w:t xml:space="preserve"> </w:t>
      </w:r>
      <w:r>
        <w:rPr>
          <w:sz w:val="24"/>
          <w:szCs w:val="24"/>
        </w:rPr>
        <w:t xml:space="preserve"> </w:t>
      </w:r>
      <w:r>
        <w:rPr>
          <w:rFonts w:hint="eastAsia"/>
          <w:sz w:val="24"/>
          <w:szCs w:val="24"/>
        </w:rPr>
        <w:t>本市对重点水污染物排放实行总量控制制度。市人民政府按照国务院的规定削减和控制本行政区域的重点水污染物排放总量。</w:t>
      </w:r>
    </w:p>
    <w:p>
      <w:pPr>
        <w:pStyle w:val="3"/>
        <w:topLinePunct/>
        <w:spacing w:line="412" w:lineRule="exact"/>
        <w:ind w:firstLine="480"/>
        <w:rPr>
          <w:sz w:val="24"/>
          <w:szCs w:val="24"/>
        </w:rPr>
      </w:pPr>
      <w:r>
        <w:rPr>
          <w:rFonts w:hint="eastAsia"/>
          <w:sz w:val="24"/>
          <w:szCs w:val="24"/>
        </w:rPr>
        <w:t>市生态环境部门应当会同发展改革、水务、农业农村等部门，根据本市水污染防治专项规划和水污染防治状况，制定全市及各流域重点水污染物排放总量控制指标的分解方案和削减计划，报市人民政府批准后实施。</w:t>
      </w:r>
    </w:p>
    <w:p>
      <w:pPr>
        <w:pStyle w:val="3"/>
        <w:topLinePunct/>
        <w:spacing w:line="412" w:lineRule="exact"/>
        <w:ind w:firstLine="480"/>
        <w:rPr>
          <w:sz w:val="24"/>
          <w:szCs w:val="24"/>
        </w:rPr>
      </w:pPr>
      <w:r>
        <w:rPr>
          <w:rFonts w:hint="eastAsia"/>
          <w:sz w:val="24"/>
          <w:szCs w:val="24"/>
        </w:rPr>
        <w:t>市人民政府有关部门和区人民政府应当根据分解的总量控制指标及削减计划，制定年度总量控制实施方案，将总量控制指标和削减计划落实到排污单位和污水处理设施的运营单位，并报送市生态环境和水务部门备案。</w:t>
      </w:r>
    </w:p>
    <w:p>
      <w:pPr>
        <w:pStyle w:val="3"/>
        <w:topLinePunct/>
        <w:spacing w:line="412" w:lineRule="exact"/>
        <w:ind w:firstLine="480"/>
        <w:rPr>
          <w:sz w:val="24"/>
          <w:szCs w:val="24"/>
        </w:rPr>
      </w:pPr>
      <w:r>
        <w:rPr>
          <w:rFonts w:hint="eastAsia"/>
          <w:sz w:val="24"/>
          <w:szCs w:val="24"/>
        </w:rPr>
        <w:t>市人民政府可以根据流域水环境质量的状况，增加流域实施总量控制的重点水污染物种类。</w:t>
      </w:r>
    </w:p>
    <w:p>
      <w:pPr>
        <w:pStyle w:val="3"/>
        <w:topLinePunct/>
        <w:spacing w:line="412" w:lineRule="exact"/>
        <w:ind w:firstLine="482"/>
        <w:rPr>
          <w:sz w:val="24"/>
          <w:szCs w:val="24"/>
        </w:rPr>
      </w:pPr>
      <w:r>
        <w:rPr>
          <w:rFonts w:hint="eastAsia"/>
          <w:b/>
          <w:sz w:val="24"/>
          <w:szCs w:val="24"/>
        </w:rPr>
        <w:t>第十六条</w:t>
      </w:r>
      <w:r>
        <w:rPr>
          <w:b/>
          <w:sz w:val="24"/>
          <w:szCs w:val="24"/>
        </w:rPr>
        <w:t xml:space="preserve"> </w:t>
      </w:r>
      <w:r>
        <w:rPr>
          <w:sz w:val="24"/>
          <w:szCs w:val="24"/>
        </w:rPr>
        <w:t xml:space="preserve"> </w:t>
      </w:r>
      <w:r>
        <w:rPr>
          <w:rFonts w:hint="eastAsia"/>
          <w:sz w:val="24"/>
          <w:szCs w:val="24"/>
        </w:rPr>
        <w:t>本市逐步建立流域水环境资源区域补偿机制。</w:t>
      </w:r>
    </w:p>
    <w:p>
      <w:pPr>
        <w:pStyle w:val="3"/>
        <w:topLinePunct/>
        <w:spacing w:line="412" w:lineRule="exact"/>
        <w:ind w:firstLine="480"/>
        <w:rPr>
          <w:sz w:val="24"/>
          <w:szCs w:val="24"/>
        </w:rPr>
      </w:pPr>
      <w:r>
        <w:rPr>
          <w:rFonts w:hint="eastAsia"/>
          <w:sz w:val="24"/>
          <w:szCs w:val="24"/>
        </w:rPr>
        <w:t>对超额完成重点水污染物排放总量控制指标和水环境质量考核指标的市人民政府有关部门和区人民政府，市人民政府应当给予奖励。</w:t>
      </w:r>
    </w:p>
    <w:p>
      <w:pPr>
        <w:pStyle w:val="3"/>
        <w:topLinePunct/>
        <w:spacing w:line="412" w:lineRule="exact"/>
        <w:ind w:firstLine="480"/>
        <w:rPr>
          <w:sz w:val="24"/>
          <w:szCs w:val="24"/>
        </w:rPr>
      </w:pPr>
      <w:r>
        <w:rPr>
          <w:rFonts w:hint="eastAsia"/>
          <w:sz w:val="24"/>
          <w:szCs w:val="24"/>
        </w:rPr>
        <w:t>对完成</w:t>
      </w:r>
      <w:r>
        <w:rPr>
          <w:rFonts w:hint="eastAsia"/>
          <w:spacing w:val="-4"/>
          <w:sz w:val="24"/>
          <w:szCs w:val="24"/>
        </w:rPr>
        <w:t>重点水污染物排放总量控制指标和削减计划做出突出贡献的单位，市人民政府有关部门或者区人民政府应当给予奖励。补偿和奖励的具体办法由市人民政府制定。</w:t>
      </w:r>
    </w:p>
    <w:p>
      <w:pPr>
        <w:pStyle w:val="3"/>
        <w:topLinePunct/>
        <w:spacing w:line="412" w:lineRule="exact"/>
        <w:ind w:firstLine="482"/>
        <w:rPr>
          <w:sz w:val="24"/>
          <w:szCs w:val="24"/>
        </w:rPr>
      </w:pPr>
      <w:r>
        <w:rPr>
          <w:rFonts w:hint="eastAsia"/>
          <w:b/>
          <w:sz w:val="24"/>
          <w:szCs w:val="24"/>
        </w:rPr>
        <w:t>第十七条</w:t>
      </w:r>
      <w:r>
        <w:rPr>
          <w:b/>
          <w:sz w:val="24"/>
          <w:szCs w:val="24"/>
        </w:rPr>
        <w:t xml:space="preserve"> </w:t>
      </w:r>
      <w:r>
        <w:rPr>
          <w:sz w:val="24"/>
          <w:szCs w:val="24"/>
        </w:rPr>
        <w:t xml:space="preserve"> </w:t>
      </w:r>
      <w:r>
        <w:rPr>
          <w:rFonts w:hint="eastAsia"/>
          <w:sz w:val="24"/>
          <w:szCs w:val="24"/>
        </w:rPr>
        <w:t>对未完成区域重点水污染物排放总量控制指标或者水环境质量考核指标的区，生态环境部门应当暂停审批该区行政区域内新增水污染物排放总量的建设项目的环境影响评价文件，发展改革、规划和自然资源等项目审批部门不得批准其建设，建设单位不得开工建设。</w:t>
      </w:r>
    </w:p>
    <w:p>
      <w:pPr>
        <w:pStyle w:val="3"/>
        <w:topLinePunct/>
        <w:spacing w:line="412" w:lineRule="exact"/>
        <w:ind w:firstLine="480"/>
        <w:rPr>
          <w:sz w:val="24"/>
          <w:szCs w:val="24"/>
        </w:rPr>
      </w:pPr>
      <w:r>
        <w:rPr>
          <w:rFonts w:hint="eastAsia"/>
          <w:sz w:val="24"/>
          <w:szCs w:val="24"/>
        </w:rPr>
        <w:t>对未完成流域重点水污染物排放总量控制指标的区，生态环境部门应当暂停审批该区未达标流域内新增水污染物排放总量的建设项目的环境影响评价文件，发展改革、规划和自然资源等项目审批部门不得批准其建设，建设单位不得开工建设。</w:t>
      </w:r>
    </w:p>
    <w:p>
      <w:pPr>
        <w:pStyle w:val="3"/>
        <w:topLinePunct/>
        <w:spacing w:line="412" w:lineRule="exact"/>
        <w:ind w:firstLine="482"/>
        <w:rPr>
          <w:sz w:val="24"/>
          <w:szCs w:val="24"/>
        </w:rPr>
      </w:pPr>
      <w:r>
        <w:rPr>
          <w:rFonts w:hint="eastAsia"/>
          <w:b/>
          <w:sz w:val="24"/>
          <w:szCs w:val="24"/>
        </w:rPr>
        <w:t>第十八条</w:t>
      </w:r>
      <w:r>
        <w:rPr>
          <w:b/>
          <w:sz w:val="24"/>
          <w:szCs w:val="24"/>
        </w:rPr>
        <w:t xml:space="preserve">  </w:t>
      </w:r>
      <w:r>
        <w:rPr>
          <w:rFonts w:hint="eastAsia"/>
          <w:sz w:val="24"/>
          <w:szCs w:val="24"/>
        </w:rPr>
        <w:t>本市按照国家和本市有关规定实行排污许可。</w:t>
      </w:r>
    </w:p>
    <w:p>
      <w:pPr>
        <w:pStyle w:val="3"/>
        <w:topLinePunct/>
        <w:spacing w:line="412" w:lineRule="exact"/>
        <w:ind w:firstLine="482"/>
        <w:rPr>
          <w:sz w:val="24"/>
          <w:szCs w:val="24"/>
        </w:rPr>
      </w:pPr>
      <w:r>
        <w:rPr>
          <w:rFonts w:hint="eastAsia"/>
          <w:b/>
          <w:sz w:val="24"/>
          <w:szCs w:val="24"/>
        </w:rPr>
        <w:t>第十九条</w:t>
      </w:r>
      <w:r>
        <w:rPr>
          <w:b/>
          <w:sz w:val="24"/>
          <w:szCs w:val="24"/>
        </w:rPr>
        <w:t xml:space="preserve">  </w:t>
      </w:r>
      <w:r>
        <w:rPr>
          <w:rFonts w:hint="eastAsia"/>
          <w:sz w:val="24"/>
          <w:szCs w:val="24"/>
        </w:rPr>
        <w:t>市生态环境部门会同市水务部门确定本市各流域重点排污单位名录。</w:t>
      </w:r>
    </w:p>
    <w:p>
      <w:pPr>
        <w:pStyle w:val="3"/>
        <w:topLinePunct/>
        <w:spacing w:line="412" w:lineRule="exact"/>
        <w:ind w:firstLine="480"/>
        <w:rPr>
          <w:sz w:val="24"/>
          <w:szCs w:val="24"/>
        </w:rPr>
      </w:pPr>
      <w:r>
        <w:rPr>
          <w:rFonts w:hint="eastAsia"/>
          <w:sz w:val="24"/>
          <w:szCs w:val="24"/>
        </w:rPr>
        <w:t>重点排污单位应当安装水污染物排放自动监测设备，与生态环境、水务部门的监控设备联网，并保证监测设备正常运行。</w:t>
      </w:r>
    </w:p>
    <w:p>
      <w:pPr>
        <w:pStyle w:val="3"/>
        <w:topLinePunct/>
        <w:spacing w:line="412" w:lineRule="exact"/>
        <w:ind w:firstLine="480"/>
        <w:rPr>
          <w:sz w:val="24"/>
          <w:szCs w:val="24"/>
        </w:rPr>
      </w:pPr>
      <w:r>
        <w:rPr>
          <w:rFonts w:hint="eastAsia"/>
          <w:sz w:val="24"/>
          <w:szCs w:val="24"/>
        </w:rPr>
        <w:t>实行排污许可管理的企业事业单位和其他生产经营者对其出水，排放工业废水的企业对其所排放的废水，应当进行监测，并保存原始监测记录。</w:t>
      </w:r>
    </w:p>
    <w:p>
      <w:pPr>
        <w:pStyle w:val="3"/>
        <w:topLinePunct/>
        <w:spacing w:line="406" w:lineRule="exact"/>
        <w:ind w:firstLine="482"/>
        <w:rPr>
          <w:sz w:val="24"/>
          <w:szCs w:val="24"/>
        </w:rPr>
      </w:pPr>
      <w:r>
        <w:rPr>
          <w:rFonts w:hint="eastAsia"/>
          <w:b/>
          <w:sz w:val="24"/>
          <w:szCs w:val="24"/>
        </w:rPr>
        <w:t>第二十条</w:t>
      </w:r>
      <w:r>
        <w:rPr>
          <w:b/>
          <w:sz w:val="24"/>
          <w:szCs w:val="24"/>
        </w:rPr>
        <w:t xml:space="preserve"> </w:t>
      </w:r>
      <w:r>
        <w:rPr>
          <w:sz w:val="24"/>
          <w:szCs w:val="24"/>
        </w:rPr>
        <w:t xml:space="preserve"> </w:t>
      </w:r>
      <w:r>
        <w:rPr>
          <w:rFonts w:hint="eastAsia"/>
          <w:sz w:val="24"/>
          <w:szCs w:val="24"/>
        </w:rPr>
        <w:t>直接向水体排放水污染物的企业事业单位和其他生产经营者，应当按照有关规定设置、规范排污口，设立标志，并将排污口地理坐标等信息报告区生态环境部门。</w:t>
      </w:r>
    </w:p>
    <w:p>
      <w:pPr>
        <w:pStyle w:val="3"/>
        <w:topLinePunct/>
        <w:spacing w:line="406" w:lineRule="exact"/>
        <w:ind w:firstLine="480"/>
        <w:rPr>
          <w:sz w:val="24"/>
          <w:szCs w:val="24"/>
        </w:rPr>
      </w:pPr>
      <w:r>
        <w:rPr>
          <w:rFonts w:hint="eastAsia"/>
          <w:sz w:val="24"/>
          <w:szCs w:val="24"/>
        </w:rPr>
        <w:t>在河流、湖泊、水库、渠道设置排污口的，还应当遵守水务部门的规定。</w:t>
      </w:r>
    </w:p>
    <w:p>
      <w:pPr>
        <w:pStyle w:val="3"/>
        <w:topLinePunct/>
        <w:spacing w:line="406" w:lineRule="exact"/>
        <w:ind w:firstLine="482"/>
        <w:rPr>
          <w:sz w:val="24"/>
          <w:szCs w:val="24"/>
        </w:rPr>
      </w:pPr>
      <w:r>
        <w:rPr>
          <w:rFonts w:hint="eastAsia"/>
          <w:b/>
          <w:sz w:val="24"/>
          <w:szCs w:val="24"/>
        </w:rPr>
        <w:t>第二十一条</w:t>
      </w:r>
      <w:r>
        <w:rPr>
          <w:b/>
          <w:sz w:val="24"/>
          <w:szCs w:val="24"/>
        </w:rPr>
        <w:t xml:space="preserve"> </w:t>
      </w:r>
      <w:r>
        <w:rPr>
          <w:sz w:val="24"/>
          <w:szCs w:val="24"/>
        </w:rPr>
        <w:t xml:space="preserve"> </w:t>
      </w:r>
      <w:r>
        <w:rPr>
          <w:rFonts w:hint="eastAsia"/>
          <w:sz w:val="24"/>
          <w:szCs w:val="24"/>
        </w:rPr>
        <w:t>本市应当统筹规划、建设、完善污染源、水环境质量、水量和水位监测网络，并逐步实现生态环境、水务、规划和自然资源、卫生健康等有关部门之间监测数据的共享。</w:t>
      </w:r>
    </w:p>
    <w:p>
      <w:pPr>
        <w:pStyle w:val="3"/>
        <w:topLinePunct/>
        <w:spacing w:line="406" w:lineRule="exact"/>
        <w:ind w:firstLine="482"/>
        <w:rPr>
          <w:sz w:val="24"/>
          <w:szCs w:val="24"/>
        </w:rPr>
      </w:pPr>
      <w:r>
        <w:rPr>
          <w:rFonts w:hint="eastAsia"/>
          <w:b/>
          <w:sz w:val="24"/>
          <w:szCs w:val="24"/>
        </w:rPr>
        <w:t>第二十二条</w:t>
      </w:r>
      <w:r>
        <w:rPr>
          <w:sz w:val="24"/>
          <w:szCs w:val="24"/>
        </w:rPr>
        <w:t xml:space="preserve">  </w:t>
      </w:r>
      <w:r>
        <w:rPr>
          <w:rFonts w:hint="eastAsia"/>
          <w:sz w:val="24"/>
          <w:szCs w:val="24"/>
        </w:rPr>
        <w:t>本市实行水环境质量公报制度。</w:t>
      </w:r>
    </w:p>
    <w:p>
      <w:pPr>
        <w:pStyle w:val="3"/>
        <w:topLinePunct/>
        <w:spacing w:line="406" w:lineRule="exact"/>
        <w:ind w:firstLine="480"/>
        <w:rPr>
          <w:sz w:val="24"/>
          <w:szCs w:val="24"/>
        </w:rPr>
      </w:pPr>
      <w:r>
        <w:rPr>
          <w:rFonts w:hint="eastAsia"/>
          <w:sz w:val="24"/>
          <w:szCs w:val="24"/>
        </w:rPr>
        <w:t>水环境质量信息由市生态环境部门统一发布。</w:t>
      </w:r>
    </w:p>
    <w:p>
      <w:pPr>
        <w:pStyle w:val="3"/>
        <w:topLinePunct/>
        <w:spacing w:line="406" w:lineRule="exact"/>
        <w:ind w:firstLine="482"/>
        <w:rPr>
          <w:sz w:val="24"/>
          <w:szCs w:val="24"/>
        </w:rPr>
      </w:pPr>
      <w:r>
        <w:rPr>
          <w:rFonts w:hint="eastAsia"/>
          <w:b/>
          <w:sz w:val="24"/>
          <w:szCs w:val="24"/>
        </w:rPr>
        <w:t>第二十三条</w:t>
      </w:r>
      <w:r>
        <w:rPr>
          <w:b/>
          <w:sz w:val="24"/>
          <w:szCs w:val="24"/>
        </w:rPr>
        <w:t xml:space="preserve"> </w:t>
      </w:r>
      <w:r>
        <w:rPr>
          <w:sz w:val="24"/>
          <w:szCs w:val="24"/>
        </w:rPr>
        <w:t xml:space="preserve"> </w:t>
      </w:r>
      <w:r>
        <w:rPr>
          <w:rFonts w:hint="eastAsia"/>
          <w:sz w:val="24"/>
          <w:szCs w:val="24"/>
        </w:rPr>
        <w:t>建设或者运行水环境监测设施需要相关机关、团体、企业事业单位或者其他组织提供便利条件的，相关机关、团体、企业事业单位或者其他组织应当予以配合。</w:t>
      </w:r>
    </w:p>
    <w:p>
      <w:pPr>
        <w:pStyle w:val="3"/>
        <w:topLinePunct/>
        <w:spacing w:line="406" w:lineRule="exact"/>
        <w:ind w:firstLine="480"/>
        <w:rPr>
          <w:sz w:val="24"/>
          <w:szCs w:val="24"/>
        </w:rPr>
      </w:pPr>
      <w:r>
        <w:rPr>
          <w:rFonts w:hint="eastAsia"/>
          <w:sz w:val="24"/>
          <w:szCs w:val="24"/>
        </w:rPr>
        <w:t>任何单位或者个人不得破坏、损毁或者擅自改动水环境监测设施。</w:t>
      </w:r>
    </w:p>
    <w:p>
      <w:pPr>
        <w:pStyle w:val="3"/>
        <w:topLinePunct/>
        <w:spacing w:line="406" w:lineRule="exact"/>
        <w:ind w:firstLine="482"/>
        <w:rPr>
          <w:sz w:val="24"/>
          <w:szCs w:val="24"/>
        </w:rPr>
      </w:pPr>
      <w:r>
        <w:rPr>
          <w:rFonts w:hint="eastAsia"/>
          <w:b/>
          <w:sz w:val="24"/>
          <w:szCs w:val="24"/>
        </w:rPr>
        <w:t>第二十四条</w:t>
      </w:r>
      <w:r>
        <w:rPr>
          <w:b/>
          <w:sz w:val="24"/>
          <w:szCs w:val="24"/>
        </w:rPr>
        <w:t xml:space="preserve">  </w:t>
      </w:r>
      <w:r>
        <w:rPr>
          <w:rFonts w:hint="eastAsia"/>
          <w:sz w:val="24"/>
          <w:szCs w:val="24"/>
        </w:rPr>
        <w:t>市人民政府及其有关部门应当将排污单位违反水污染防治法律法规的行</w:t>
      </w:r>
    </w:p>
    <w:p>
      <w:pPr>
        <w:pStyle w:val="3"/>
        <w:topLinePunct/>
        <w:spacing w:line="406" w:lineRule="exact"/>
        <w:ind w:firstLine="480"/>
        <w:rPr>
          <w:sz w:val="24"/>
          <w:szCs w:val="24"/>
        </w:rPr>
      </w:pPr>
      <w:r>
        <w:rPr>
          <w:rFonts w:hint="eastAsia"/>
          <w:sz w:val="24"/>
          <w:szCs w:val="24"/>
        </w:rPr>
        <w:t>为纳入本市企业信用信息系统，对严重污染水环境的企业通过媒体予以公布。</w:t>
      </w:r>
    </w:p>
    <w:p>
      <w:pPr>
        <w:pStyle w:val="3"/>
        <w:topLinePunct/>
        <w:spacing w:line="406" w:lineRule="exact"/>
        <w:ind w:firstLine="482"/>
        <w:rPr>
          <w:sz w:val="24"/>
          <w:szCs w:val="24"/>
        </w:rPr>
      </w:pPr>
      <w:r>
        <w:rPr>
          <w:rFonts w:hint="eastAsia"/>
          <w:b/>
          <w:sz w:val="24"/>
          <w:szCs w:val="24"/>
        </w:rPr>
        <w:t>第二十五条</w:t>
      </w:r>
      <w:r>
        <w:rPr>
          <w:b/>
          <w:sz w:val="24"/>
          <w:szCs w:val="24"/>
        </w:rPr>
        <w:t xml:space="preserve"> </w:t>
      </w:r>
      <w:r>
        <w:rPr>
          <w:sz w:val="24"/>
          <w:szCs w:val="24"/>
        </w:rPr>
        <w:t xml:space="preserve"> </w:t>
      </w:r>
      <w:r>
        <w:rPr>
          <w:rFonts w:hint="eastAsia"/>
          <w:sz w:val="24"/>
          <w:szCs w:val="24"/>
        </w:rPr>
        <w:t>市、区生态环境、水务等部门应当公布本部门受理对污染损害水环境行为举报的联系方式。对属于本部门职责范围的举报事项，应当及时处理；对不属于本部门职责范围的，应当及时转交有权处理的部门，并告知举报人。对举报属实的，应当对举报人给予奖励。</w:t>
      </w:r>
    </w:p>
    <w:p>
      <w:pPr>
        <w:pStyle w:val="63"/>
        <w:spacing w:before="218" w:after="218"/>
      </w:pPr>
      <w:r>
        <w:rPr>
          <w:rFonts w:hint="eastAsia"/>
        </w:rPr>
        <w:t>第三章</w:t>
      </w:r>
      <w:r>
        <w:t xml:space="preserve">  </w:t>
      </w:r>
      <w:r>
        <w:rPr>
          <w:rFonts w:hint="eastAsia"/>
        </w:rPr>
        <w:t>水污染防治措施</w:t>
      </w:r>
    </w:p>
    <w:p>
      <w:pPr>
        <w:pStyle w:val="64"/>
        <w:spacing w:before="156" w:after="156"/>
        <w:rPr>
          <w:rFonts w:hAnsi="宋体"/>
        </w:rPr>
      </w:pPr>
      <w:r>
        <w:rPr>
          <w:rFonts w:hint="eastAsia" w:hAnsi="宋体"/>
        </w:rPr>
        <w:t>第一节</w:t>
      </w:r>
      <w:r>
        <w:rPr>
          <w:rFonts w:hAnsi="宋体"/>
        </w:rPr>
        <w:t xml:space="preserve">  </w:t>
      </w:r>
      <w:r>
        <w:rPr>
          <w:rFonts w:hint="eastAsia" w:hAnsi="宋体"/>
        </w:rPr>
        <w:t>一般规定</w:t>
      </w:r>
    </w:p>
    <w:p>
      <w:pPr>
        <w:pStyle w:val="3"/>
        <w:topLinePunct/>
        <w:spacing w:line="408" w:lineRule="exact"/>
        <w:ind w:firstLine="482"/>
        <w:rPr>
          <w:sz w:val="24"/>
          <w:szCs w:val="24"/>
        </w:rPr>
      </w:pPr>
      <w:r>
        <w:rPr>
          <w:rFonts w:hint="eastAsia"/>
          <w:b/>
          <w:sz w:val="24"/>
          <w:szCs w:val="24"/>
        </w:rPr>
        <w:t>第二十六条</w:t>
      </w:r>
      <w:r>
        <w:rPr>
          <w:b/>
          <w:sz w:val="24"/>
          <w:szCs w:val="24"/>
        </w:rPr>
        <w:t xml:space="preserve"> </w:t>
      </w:r>
      <w:r>
        <w:rPr>
          <w:sz w:val="24"/>
          <w:szCs w:val="24"/>
        </w:rPr>
        <w:t xml:space="preserve"> </w:t>
      </w:r>
      <w:r>
        <w:rPr>
          <w:rFonts w:hint="eastAsia"/>
          <w:sz w:val="24"/>
          <w:szCs w:val="24"/>
        </w:rPr>
        <w:t>在水环境质量达标之前，市人民政府可以根据本市水资源特点和水环境容量状况，采取更加严格的水污染防治措施。</w:t>
      </w:r>
    </w:p>
    <w:p>
      <w:pPr>
        <w:pStyle w:val="3"/>
        <w:topLinePunct/>
        <w:spacing w:line="408" w:lineRule="exact"/>
        <w:ind w:firstLine="482"/>
        <w:rPr>
          <w:sz w:val="24"/>
          <w:szCs w:val="24"/>
        </w:rPr>
      </w:pPr>
      <w:r>
        <w:rPr>
          <w:rFonts w:hint="eastAsia"/>
          <w:b/>
          <w:sz w:val="24"/>
          <w:szCs w:val="24"/>
        </w:rPr>
        <w:t>第二十七条</w:t>
      </w:r>
      <w:r>
        <w:rPr>
          <w:b/>
          <w:sz w:val="24"/>
          <w:szCs w:val="24"/>
        </w:rPr>
        <w:t xml:space="preserve">  </w:t>
      </w:r>
      <w:r>
        <w:rPr>
          <w:rFonts w:hint="eastAsia"/>
          <w:sz w:val="24"/>
          <w:szCs w:val="24"/>
        </w:rPr>
        <w:t>本市禁止下列行为：</w:t>
      </w:r>
    </w:p>
    <w:p>
      <w:pPr>
        <w:pStyle w:val="3"/>
        <w:topLinePunct/>
        <w:spacing w:line="408" w:lineRule="exact"/>
        <w:ind w:firstLine="480"/>
        <w:rPr>
          <w:sz w:val="24"/>
          <w:szCs w:val="24"/>
        </w:rPr>
      </w:pPr>
      <w:r>
        <w:rPr>
          <w:rFonts w:hint="eastAsia"/>
          <w:sz w:val="24"/>
          <w:szCs w:val="24"/>
        </w:rPr>
        <w:t>（一）向水体排放油类、酸液、碱液、剧毒废液或者将含有汞、镉、砷、铬、铅、氰化物、</w:t>
      </w:r>
    </w:p>
    <w:p>
      <w:pPr>
        <w:pStyle w:val="3"/>
        <w:topLinePunct/>
        <w:spacing w:line="408" w:lineRule="exact"/>
        <w:ind w:firstLine="480"/>
        <w:rPr>
          <w:sz w:val="24"/>
          <w:szCs w:val="24"/>
        </w:rPr>
      </w:pPr>
      <w:r>
        <w:rPr>
          <w:rFonts w:hint="eastAsia"/>
          <w:sz w:val="24"/>
          <w:szCs w:val="24"/>
        </w:rPr>
        <w:t>黄磷等的可溶性剧毒废渣向水体排放、倾倒或者直接埋入地下；</w:t>
      </w:r>
    </w:p>
    <w:p>
      <w:pPr>
        <w:pStyle w:val="3"/>
        <w:topLinePunct/>
        <w:spacing w:line="408" w:lineRule="exact"/>
        <w:ind w:firstLine="480"/>
        <w:rPr>
          <w:sz w:val="24"/>
          <w:szCs w:val="24"/>
        </w:rPr>
      </w:pPr>
      <w:r>
        <w:rPr>
          <w:rFonts w:hint="eastAsia"/>
          <w:sz w:val="24"/>
          <w:szCs w:val="24"/>
        </w:rPr>
        <w:t>（二）在水体清洗装贮过油类或者有毒污染物的车辆和容器；</w:t>
      </w:r>
    </w:p>
    <w:p>
      <w:pPr>
        <w:pStyle w:val="3"/>
        <w:topLinePunct/>
        <w:spacing w:line="408" w:lineRule="exact"/>
        <w:ind w:firstLine="480"/>
        <w:rPr>
          <w:sz w:val="24"/>
          <w:szCs w:val="24"/>
        </w:rPr>
      </w:pPr>
      <w:r>
        <w:rPr>
          <w:rFonts w:hint="eastAsia"/>
          <w:sz w:val="24"/>
          <w:szCs w:val="24"/>
        </w:rPr>
        <w:t>（三）向水体排放、倾倒工业废渣、垃圾和其他废弃物；</w:t>
      </w:r>
    </w:p>
    <w:p>
      <w:pPr>
        <w:pStyle w:val="3"/>
        <w:topLinePunct/>
        <w:spacing w:line="408" w:lineRule="exact"/>
        <w:ind w:firstLine="480"/>
        <w:rPr>
          <w:sz w:val="24"/>
          <w:szCs w:val="24"/>
        </w:rPr>
      </w:pPr>
      <w:r>
        <w:rPr>
          <w:rFonts w:hint="eastAsia"/>
          <w:sz w:val="24"/>
          <w:szCs w:val="24"/>
        </w:rPr>
        <w:t>（四）在河流、湖泊、渠道、水库最高水位线以下的滩地和岸坡堆放、存贮固体废弃物和其他污染物；</w:t>
      </w:r>
    </w:p>
    <w:p>
      <w:pPr>
        <w:pStyle w:val="3"/>
        <w:topLinePunct/>
        <w:spacing w:line="412" w:lineRule="exact"/>
        <w:ind w:firstLine="480"/>
        <w:rPr>
          <w:sz w:val="24"/>
          <w:szCs w:val="24"/>
        </w:rPr>
      </w:pPr>
      <w:r>
        <w:rPr>
          <w:rFonts w:hint="eastAsia"/>
          <w:sz w:val="24"/>
          <w:szCs w:val="24"/>
        </w:rPr>
        <w:t>（五）利用渗坑、渗井、裂隙、溶洞，私设暗管，篡改、伪造监测数据，或者不正常运行水污染防治设施等逃避监管的方式排放水污染物；</w:t>
      </w:r>
    </w:p>
    <w:p>
      <w:pPr>
        <w:pStyle w:val="3"/>
        <w:topLinePunct/>
        <w:spacing w:line="412" w:lineRule="exact"/>
        <w:ind w:firstLine="480"/>
        <w:rPr>
          <w:sz w:val="24"/>
          <w:szCs w:val="24"/>
        </w:rPr>
      </w:pPr>
      <w:r>
        <w:rPr>
          <w:rFonts w:hint="eastAsia"/>
          <w:sz w:val="24"/>
          <w:szCs w:val="24"/>
        </w:rPr>
        <w:t>（六）在砂石坑、窑坑、滩地等低洼地排放污水，倾倒、存贮垃圾、粪便及其他污染物，或者以漫流方式排放、倾倒污水；</w:t>
      </w:r>
    </w:p>
    <w:p>
      <w:pPr>
        <w:pStyle w:val="3"/>
        <w:topLinePunct/>
        <w:spacing w:line="412" w:lineRule="exact"/>
        <w:ind w:firstLine="480"/>
        <w:rPr>
          <w:sz w:val="24"/>
          <w:szCs w:val="24"/>
        </w:rPr>
      </w:pPr>
      <w:r>
        <w:rPr>
          <w:rFonts w:hint="eastAsia"/>
          <w:sz w:val="24"/>
          <w:szCs w:val="24"/>
        </w:rPr>
        <w:t>（七）利用无防渗漏措施的沟渠、坑塘等输送或者存贮含有毒污染物的废水、含病原体的污水和其他废弃物；</w:t>
      </w:r>
    </w:p>
    <w:p>
      <w:pPr>
        <w:pStyle w:val="3"/>
        <w:topLinePunct/>
        <w:spacing w:line="412" w:lineRule="exact"/>
        <w:ind w:firstLine="480"/>
        <w:rPr>
          <w:sz w:val="24"/>
          <w:szCs w:val="24"/>
        </w:rPr>
      </w:pPr>
      <w:r>
        <w:rPr>
          <w:rFonts w:hint="eastAsia"/>
          <w:sz w:val="24"/>
          <w:szCs w:val="24"/>
        </w:rPr>
        <w:t>（八）生产和销售含磷洗涤用品。</w:t>
      </w:r>
    </w:p>
    <w:p>
      <w:pPr>
        <w:pStyle w:val="3"/>
        <w:topLinePunct/>
        <w:spacing w:line="412" w:lineRule="exact"/>
        <w:ind w:firstLine="482"/>
        <w:rPr>
          <w:sz w:val="24"/>
          <w:szCs w:val="24"/>
        </w:rPr>
      </w:pPr>
      <w:r>
        <w:rPr>
          <w:rFonts w:hint="eastAsia"/>
          <w:b/>
          <w:sz w:val="24"/>
          <w:szCs w:val="24"/>
        </w:rPr>
        <w:t>第二十八条</w:t>
      </w:r>
      <w:r>
        <w:rPr>
          <w:b/>
          <w:sz w:val="24"/>
          <w:szCs w:val="24"/>
        </w:rPr>
        <w:t xml:space="preserve"> </w:t>
      </w:r>
      <w:r>
        <w:rPr>
          <w:sz w:val="24"/>
          <w:szCs w:val="24"/>
        </w:rPr>
        <w:t xml:space="preserve"> </w:t>
      </w:r>
      <w:r>
        <w:rPr>
          <w:rFonts w:hint="eastAsia"/>
          <w:sz w:val="24"/>
          <w:szCs w:val="24"/>
        </w:rPr>
        <w:t>化学品生产企业以及工业集聚区、矿山开采区、尾矿库、危险废物处置场、垃圾填埋场等的运营、管理单位，应当采取防渗漏等措施，并建设地下水水质监测井进行监测，防止地下水污染。</w:t>
      </w:r>
    </w:p>
    <w:p>
      <w:pPr>
        <w:pStyle w:val="3"/>
        <w:topLinePunct/>
        <w:spacing w:line="412" w:lineRule="exact"/>
        <w:ind w:firstLine="480"/>
        <w:rPr>
          <w:sz w:val="24"/>
          <w:szCs w:val="24"/>
        </w:rPr>
      </w:pPr>
      <w:r>
        <w:rPr>
          <w:rFonts w:hint="eastAsia"/>
          <w:sz w:val="24"/>
          <w:szCs w:val="24"/>
        </w:rPr>
        <w:t>加油站等的地下油罐应当使用双层罐或者采取建造防渗池等其他有效措施，并进行防渗漏监测，防止地下水污染。</w:t>
      </w:r>
    </w:p>
    <w:p>
      <w:pPr>
        <w:pStyle w:val="3"/>
        <w:topLinePunct/>
        <w:spacing w:line="412" w:lineRule="exact"/>
        <w:ind w:firstLine="482"/>
        <w:rPr>
          <w:sz w:val="24"/>
          <w:szCs w:val="24"/>
        </w:rPr>
      </w:pPr>
      <w:r>
        <w:rPr>
          <w:rFonts w:hint="eastAsia"/>
          <w:b/>
          <w:sz w:val="24"/>
          <w:szCs w:val="24"/>
        </w:rPr>
        <w:t>第二十九条</w:t>
      </w:r>
      <w:r>
        <w:rPr>
          <w:b/>
          <w:sz w:val="24"/>
          <w:szCs w:val="24"/>
        </w:rPr>
        <w:t xml:space="preserve"> </w:t>
      </w:r>
      <w:r>
        <w:rPr>
          <w:sz w:val="24"/>
          <w:szCs w:val="24"/>
        </w:rPr>
        <w:t xml:space="preserve"> </w:t>
      </w:r>
      <w:r>
        <w:rPr>
          <w:rFonts w:hint="eastAsia"/>
          <w:sz w:val="24"/>
          <w:szCs w:val="24"/>
        </w:rPr>
        <w:t>禁止向水体排放、倾倒放射性固体废物或者含高放射性和中放射性物质的废水。</w:t>
      </w:r>
    </w:p>
    <w:p>
      <w:pPr>
        <w:pStyle w:val="3"/>
        <w:topLinePunct/>
        <w:spacing w:line="412" w:lineRule="exact"/>
        <w:ind w:firstLine="480"/>
        <w:rPr>
          <w:sz w:val="24"/>
          <w:szCs w:val="24"/>
        </w:rPr>
      </w:pPr>
      <w:r>
        <w:rPr>
          <w:rFonts w:hint="eastAsia"/>
          <w:sz w:val="24"/>
          <w:szCs w:val="24"/>
        </w:rPr>
        <w:t>向水体排放含低放射性物质废水的，应当符合有关放射性污染防治的规定和标准。</w:t>
      </w:r>
    </w:p>
    <w:p>
      <w:pPr>
        <w:pStyle w:val="3"/>
        <w:topLinePunct/>
        <w:spacing w:line="412" w:lineRule="exact"/>
        <w:ind w:firstLine="482"/>
        <w:rPr>
          <w:sz w:val="24"/>
          <w:szCs w:val="24"/>
        </w:rPr>
      </w:pPr>
      <w:r>
        <w:rPr>
          <w:rFonts w:hint="eastAsia"/>
          <w:b/>
          <w:sz w:val="24"/>
          <w:szCs w:val="24"/>
        </w:rPr>
        <w:t>第三十条</w:t>
      </w:r>
      <w:r>
        <w:rPr>
          <w:b/>
          <w:sz w:val="24"/>
          <w:szCs w:val="24"/>
        </w:rPr>
        <w:t xml:space="preserve"> </w:t>
      </w:r>
      <w:r>
        <w:rPr>
          <w:sz w:val="24"/>
          <w:szCs w:val="24"/>
        </w:rPr>
        <w:t xml:space="preserve"> </w:t>
      </w:r>
      <w:r>
        <w:rPr>
          <w:rFonts w:hint="eastAsia"/>
          <w:sz w:val="24"/>
          <w:szCs w:val="24"/>
        </w:rPr>
        <w:t>学校、科研院所、医疗机构、企业等单位的实验室、检验室、化验室产生的废液应当按照国家和本市关于危险废物的有关规定单独收集，进行安全处置，禁止排入排水管道或者直接排入水体。</w:t>
      </w:r>
    </w:p>
    <w:p>
      <w:pPr>
        <w:pStyle w:val="3"/>
        <w:topLinePunct/>
        <w:spacing w:line="412" w:lineRule="exact"/>
        <w:ind w:firstLine="480"/>
        <w:rPr>
          <w:sz w:val="24"/>
          <w:szCs w:val="24"/>
        </w:rPr>
      </w:pPr>
      <w:r>
        <w:rPr>
          <w:rFonts w:hint="eastAsia"/>
          <w:sz w:val="24"/>
          <w:szCs w:val="24"/>
        </w:rPr>
        <w:t>市、区生态环境部门应当按照有关规定加强对实验室、检验室、化验室废液处理的监督管理，为有关单位依法处理废液提供指导。</w:t>
      </w:r>
    </w:p>
    <w:p>
      <w:pPr>
        <w:pStyle w:val="64"/>
        <w:spacing w:before="156" w:after="156"/>
        <w:rPr>
          <w:rFonts w:hAnsi="宋体"/>
        </w:rPr>
      </w:pPr>
      <w:r>
        <w:rPr>
          <w:rFonts w:hint="eastAsia" w:hAnsi="宋体"/>
        </w:rPr>
        <w:t>第二节</w:t>
      </w:r>
      <w:r>
        <w:rPr>
          <w:rFonts w:hAnsi="宋体"/>
        </w:rPr>
        <w:t xml:space="preserve">  </w:t>
      </w:r>
      <w:r>
        <w:rPr>
          <w:rFonts w:hint="eastAsia" w:hAnsi="宋体"/>
        </w:rPr>
        <w:t>工业水污染防治</w:t>
      </w:r>
    </w:p>
    <w:p>
      <w:pPr>
        <w:pStyle w:val="3"/>
        <w:topLinePunct/>
        <w:spacing w:line="412" w:lineRule="exact"/>
        <w:ind w:firstLine="482"/>
        <w:rPr>
          <w:sz w:val="24"/>
          <w:szCs w:val="24"/>
        </w:rPr>
      </w:pPr>
      <w:r>
        <w:rPr>
          <w:rFonts w:hint="eastAsia"/>
          <w:b/>
          <w:sz w:val="24"/>
          <w:szCs w:val="24"/>
        </w:rPr>
        <w:t>第三十一条</w:t>
      </w:r>
      <w:r>
        <w:rPr>
          <w:b/>
          <w:sz w:val="24"/>
          <w:szCs w:val="24"/>
        </w:rPr>
        <w:t xml:space="preserve"> </w:t>
      </w:r>
      <w:r>
        <w:rPr>
          <w:sz w:val="24"/>
          <w:szCs w:val="24"/>
        </w:rPr>
        <w:t xml:space="preserve"> </w:t>
      </w:r>
      <w:r>
        <w:rPr>
          <w:rFonts w:hint="eastAsia"/>
          <w:sz w:val="24"/>
          <w:szCs w:val="24"/>
        </w:rPr>
        <w:t>本市鼓励工业企业进行技术改造，推行清洁生产，采用先进的废水处理技术，减少水污染物排放量。</w:t>
      </w:r>
    </w:p>
    <w:p>
      <w:pPr>
        <w:pStyle w:val="3"/>
        <w:topLinePunct/>
        <w:spacing w:line="412" w:lineRule="exact"/>
        <w:ind w:firstLine="482"/>
        <w:rPr>
          <w:sz w:val="24"/>
          <w:szCs w:val="24"/>
        </w:rPr>
      </w:pPr>
      <w:r>
        <w:rPr>
          <w:rFonts w:hint="eastAsia"/>
          <w:b/>
          <w:sz w:val="24"/>
          <w:szCs w:val="24"/>
        </w:rPr>
        <w:t>第三十二条</w:t>
      </w:r>
      <w:r>
        <w:rPr>
          <w:b/>
          <w:sz w:val="24"/>
          <w:szCs w:val="24"/>
        </w:rPr>
        <w:t xml:space="preserve">  </w:t>
      </w:r>
      <w:r>
        <w:rPr>
          <w:rFonts w:hint="eastAsia"/>
          <w:sz w:val="24"/>
          <w:szCs w:val="24"/>
        </w:rPr>
        <w:t>本市按照国家有关循环经济和清洁生产的要求推动工业园区建设，通过合理规划工业布局，引导工业企业入驻工业园区。</w:t>
      </w:r>
    </w:p>
    <w:p>
      <w:pPr>
        <w:pStyle w:val="3"/>
        <w:topLinePunct/>
        <w:spacing w:line="412" w:lineRule="exact"/>
        <w:ind w:firstLine="482"/>
        <w:rPr>
          <w:sz w:val="24"/>
          <w:szCs w:val="24"/>
        </w:rPr>
      </w:pPr>
      <w:r>
        <w:rPr>
          <w:rFonts w:hint="eastAsia"/>
          <w:b/>
          <w:sz w:val="24"/>
          <w:szCs w:val="24"/>
        </w:rPr>
        <w:t>第三十三条</w:t>
      </w:r>
      <w:r>
        <w:rPr>
          <w:b/>
          <w:sz w:val="24"/>
          <w:szCs w:val="24"/>
        </w:rPr>
        <w:t xml:space="preserve">  </w:t>
      </w:r>
      <w:r>
        <w:rPr>
          <w:rFonts w:hint="eastAsia"/>
          <w:sz w:val="24"/>
          <w:szCs w:val="24"/>
        </w:rPr>
        <w:t>建设工业园区，应当配套建设废水集中处理设施。</w:t>
      </w:r>
    </w:p>
    <w:p>
      <w:pPr>
        <w:pStyle w:val="3"/>
        <w:topLinePunct/>
        <w:spacing w:line="412" w:lineRule="exact"/>
        <w:ind w:firstLine="480"/>
        <w:rPr>
          <w:sz w:val="24"/>
          <w:szCs w:val="24"/>
        </w:rPr>
      </w:pPr>
      <w:r>
        <w:rPr>
          <w:rFonts w:hint="eastAsia"/>
          <w:sz w:val="24"/>
          <w:szCs w:val="24"/>
        </w:rPr>
        <w:t>工业园区未建设废水集中处理设施或者集中处理设施废水排放不达标的，生态环境部门应当暂停审批该工业园区新增水污染物排放总量的建设项目的环境影响评价文件，发展改革、规划和自然资源等项目审批部门不得批准其建设，建设单位不得开工建设。</w:t>
      </w:r>
    </w:p>
    <w:p>
      <w:pPr>
        <w:pStyle w:val="3"/>
        <w:topLinePunct/>
        <w:spacing w:line="412" w:lineRule="exact"/>
        <w:ind w:firstLine="482"/>
        <w:rPr>
          <w:sz w:val="24"/>
          <w:szCs w:val="24"/>
        </w:rPr>
      </w:pPr>
      <w:r>
        <w:rPr>
          <w:rFonts w:hint="eastAsia"/>
          <w:b/>
          <w:sz w:val="24"/>
          <w:szCs w:val="24"/>
        </w:rPr>
        <w:t>第三十四条</w:t>
      </w:r>
      <w:r>
        <w:rPr>
          <w:b/>
          <w:sz w:val="24"/>
          <w:szCs w:val="24"/>
        </w:rPr>
        <w:t xml:space="preserve">  </w:t>
      </w:r>
      <w:r>
        <w:rPr>
          <w:rFonts w:hint="eastAsia"/>
          <w:sz w:val="24"/>
          <w:szCs w:val="24"/>
        </w:rPr>
        <w:t>本市应当采取措施，对高污染、高耗水行业加以限制。禁止新建、扩建制浆、制革、电镀、印染、有色冶炼、氯碱、农药合成、炼焦等对水体有严重污染的项目。对现有排放含重金属废水的小型生产企业限期关停。</w:t>
      </w:r>
    </w:p>
    <w:p>
      <w:pPr>
        <w:pStyle w:val="3"/>
        <w:topLinePunct/>
        <w:spacing w:line="412" w:lineRule="exact"/>
        <w:ind w:firstLine="480"/>
        <w:rPr>
          <w:sz w:val="24"/>
          <w:szCs w:val="24"/>
        </w:rPr>
      </w:pPr>
      <w:r>
        <w:rPr>
          <w:rFonts w:hint="eastAsia"/>
          <w:sz w:val="24"/>
          <w:szCs w:val="24"/>
        </w:rPr>
        <w:t>市经济和信息化部门应当会同市生态环境、水务、发展改革及其他相关部门，根据本市水污染防治工作的需要，制定鼓励、限制、禁止的行业和产品名录，报市人民政府批准后公布实施。</w:t>
      </w:r>
    </w:p>
    <w:p>
      <w:pPr>
        <w:pStyle w:val="3"/>
        <w:topLinePunct/>
        <w:spacing w:line="412" w:lineRule="exact"/>
        <w:ind w:firstLine="482"/>
        <w:rPr>
          <w:sz w:val="24"/>
          <w:szCs w:val="24"/>
        </w:rPr>
      </w:pPr>
      <w:r>
        <w:rPr>
          <w:rFonts w:hint="eastAsia"/>
          <w:b/>
          <w:sz w:val="24"/>
          <w:szCs w:val="24"/>
        </w:rPr>
        <w:t>第三十五条</w:t>
      </w:r>
      <w:r>
        <w:rPr>
          <w:b/>
          <w:sz w:val="24"/>
          <w:szCs w:val="24"/>
        </w:rPr>
        <w:t xml:space="preserve">  </w:t>
      </w:r>
      <w:r>
        <w:rPr>
          <w:rFonts w:hint="eastAsia"/>
          <w:sz w:val="24"/>
          <w:szCs w:val="24"/>
        </w:rPr>
        <w:t>向公共污水处理设施排放工业废水的企业事业单位和其他生产经营者，应当在排污口建设取样井，并为水务、生态环境部门和受纳废水的污水集中处理设施的运营单位提供取样、监测流量的便利条件。</w:t>
      </w:r>
    </w:p>
    <w:p>
      <w:pPr>
        <w:pStyle w:val="3"/>
        <w:topLinePunct/>
        <w:spacing w:line="412" w:lineRule="exact"/>
        <w:ind w:firstLine="480"/>
        <w:rPr>
          <w:sz w:val="24"/>
          <w:szCs w:val="24"/>
        </w:rPr>
      </w:pPr>
      <w:r>
        <w:rPr>
          <w:rFonts w:hint="eastAsia"/>
          <w:sz w:val="24"/>
          <w:szCs w:val="24"/>
        </w:rPr>
        <w:t>污水集中处理设施的运营单位有权对汇水范围内排污单位的排水进行取样检测，发现排水水质超过排放标准的，应当及时告知排污单位，并报告水务部门。</w:t>
      </w:r>
    </w:p>
    <w:p>
      <w:pPr>
        <w:pStyle w:val="64"/>
        <w:spacing w:before="156" w:after="156"/>
        <w:rPr>
          <w:rFonts w:hAnsi="宋体"/>
        </w:rPr>
      </w:pPr>
      <w:r>
        <w:rPr>
          <w:rFonts w:hint="eastAsia" w:hAnsi="宋体"/>
        </w:rPr>
        <w:t>第三节</w:t>
      </w:r>
      <w:r>
        <w:rPr>
          <w:rFonts w:hAnsi="宋体"/>
        </w:rPr>
        <w:t xml:space="preserve">  </w:t>
      </w:r>
      <w:r>
        <w:rPr>
          <w:rFonts w:hint="eastAsia" w:hAnsi="宋体"/>
        </w:rPr>
        <w:t>城镇水污染防治</w:t>
      </w:r>
    </w:p>
    <w:p>
      <w:pPr>
        <w:pStyle w:val="3"/>
        <w:topLinePunct/>
        <w:spacing w:line="412" w:lineRule="exact"/>
        <w:ind w:firstLine="482"/>
        <w:rPr>
          <w:sz w:val="24"/>
          <w:szCs w:val="24"/>
        </w:rPr>
      </w:pPr>
      <w:r>
        <w:rPr>
          <w:rFonts w:hint="eastAsia"/>
          <w:b/>
          <w:sz w:val="24"/>
          <w:szCs w:val="24"/>
        </w:rPr>
        <w:t>第三十六条</w:t>
      </w:r>
      <w:r>
        <w:rPr>
          <w:b/>
          <w:sz w:val="24"/>
          <w:szCs w:val="24"/>
        </w:rPr>
        <w:t xml:space="preserve">  </w:t>
      </w:r>
      <w:r>
        <w:rPr>
          <w:rFonts w:hint="eastAsia"/>
          <w:sz w:val="24"/>
          <w:szCs w:val="24"/>
        </w:rPr>
        <w:t>城镇污水应当集中处理。</w:t>
      </w:r>
    </w:p>
    <w:p>
      <w:pPr>
        <w:pStyle w:val="3"/>
        <w:topLinePunct/>
        <w:spacing w:line="412" w:lineRule="exact"/>
        <w:ind w:firstLine="480"/>
        <w:rPr>
          <w:sz w:val="24"/>
          <w:szCs w:val="24"/>
        </w:rPr>
      </w:pPr>
      <w:r>
        <w:rPr>
          <w:rFonts w:hint="eastAsia"/>
          <w:sz w:val="24"/>
          <w:szCs w:val="24"/>
        </w:rPr>
        <w:t>本市各级人民政府通过政府投资或者其他方式筹集资金，统筹安排建设污水集中处理设施及配套污水管网，提高城镇污水的收集率和处理率。</w:t>
      </w:r>
    </w:p>
    <w:p>
      <w:pPr>
        <w:pStyle w:val="3"/>
        <w:topLinePunct/>
        <w:spacing w:line="412" w:lineRule="exact"/>
        <w:ind w:firstLine="482"/>
        <w:rPr>
          <w:sz w:val="24"/>
          <w:szCs w:val="24"/>
        </w:rPr>
      </w:pPr>
      <w:r>
        <w:rPr>
          <w:rFonts w:hint="eastAsia"/>
          <w:b/>
          <w:sz w:val="24"/>
          <w:szCs w:val="24"/>
        </w:rPr>
        <w:t>第三十七条</w:t>
      </w:r>
      <w:r>
        <w:rPr>
          <w:b/>
          <w:sz w:val="24"/>
          <w:szCs w:val="24"/>
        </w:rPr>
        <w:t xml:space="preserve">  </w:t>
      </w:r>
      <w:r>
        <w:rPr>
          <w:rFonts w:hint="eastAsia"/>
          <w:sz w:val="24"/>
          <w:szCs w:val="24"/>
        </w:rPr>
        <w:t>城镇污水集中处理设施的运营单位按照国家有关规定提供污水处理的有偿服务。</w:t>
      </w:r>
    </w:p>
    <w:p>
      <w:pPr>
        <w:pStyle w:val="3"/>
        <w:topLinePunct/>
        <w:spacing w:line="412" w:lineRule="exact"/>
        <w:ind w:firstLine="480"/>
        <w:rPr>
          <w:sz w:val="24"/>
          <w:szCs w:val="24"/>
        </w:rPr>
      </w:pPr>
      <w:r>
        <w:rPr>
          <w:rFonts w:hint="eastAsia"/>
          <w:sz w:val="24"/>
          <w:szCs w:val="24"/>
        </w:rPr>
        <w:t>城镇用水单位和个人应当按照国家有关规定缴纳污水处理费。污水处理费应当用于污水管网和城镇污水集中处理设施的养护、运行、保护和建设，不得挪作他用。</w:t>
      </w:r>
    </w:p>
    <w:p>
      <w:pPr>
        <w:pStyle w:val="3"/>
        <w:topLinePunct/>
        <w:spacing w:line="412" w:lineRule="exact"/>
        <w:ind w:firstLine="480"/>
        <w:rPr>
          <w:sz w:val="24"/>
          <w:szCs w:val="24"/>
        </w:rPr>
      </w:pPr>
      <w:r>
        <w:rPr>
          <w:rFonts w:hint="eastAsia"/>
          <w:sz w:val="24"/>
          <w:szCs w:val="24"/>
        </w:rPr>
        <w:t>乡镇污水集中处理设施的运营单位取得的污水处理费不能满足污水处理设施正常运行的，不足部分由区人民政府统筹安排。</w:t>
      </w:r>
    </w:p>
    <w:p>
      <w:pPr>
        <w:pStyle w:val="3"/>
        <w:topLinePunct/>
        <w:spacing w:line="412" w:lineRule="exact"/>
        <w:ind w:firstLine="482"/>
        <w:rPr>
          <w:sz w:val="24"/>
          <w:szCs w:val="24"/>
        </w:rPr>
      </w:pPr>
      <w:r>
        <w:rPr>
          <w:rFonts w:hint="eastAsia"/>
          <w:b/>
          <w:sz w:val="24"/>
          <w:szCs w:val="24"/>
        </w:rPr>
        <w:t>第三十八条</w:t>
      </w:r>
      <w:r>
        <w:rPr>
          <w:b/>
          <w:sz w:val="24"/>
          <w:szCs w:val="24"/>
        </w:rPr>
        <w:t xml:space="preserve">  </w:t>
      </w:r>
      <w:r>
        <w:rPr>
          <w:rFonts w:hint="eastAsia"/>
          <w:sz w:val="24"/>
          <w:szCs w:val="24"/>
        </w:rPr>
        <w:t>向公共污水处理设施排放水污染物，有下列情形之一的，应当在排入公共污水处理设施之前进行预处理，并达到规定的标准：</w:t>
      </w:r>
    </w:p>
    <w:p>
      <w:pPr>
        <w:pStyle w:val="3"/>
        <w:topLinePunct/>
        <w:spacing w:line="412" w:lineRule="exact"/>
        <w:ind w:firstLine="480"/>
        <w:rPr>
          <w:sz w:val="24"/>
          <w:szCs w:val="24"/>
        </w:rPr>
      </w:pPr>
      <w:r>
        <w:rPr>
          <w:rFonts w:hint="eastAsia"/>
          <w:sz w:val="24"/>
          <w:szCs w:val="24"/>
        </w:rPr>
        <w:t>（一）含有毒污染物名录内污染物的污水；</w:t>
      </w:r>
    </w:p>
    <w:p>
      <w:pPr>
        <w:pStyle w:val="3"/>
        <w:topLinePunct/>
        <w:spacing w:line="412" w:lineRule="exact"/>
        <w:ind w:firstLine="480"/>
        <w:rPr>
          <w:sz w:val="24"/>
          <w:szCs w:val="24"/>
        </w:rPr>
      </w:pPr>
      <w:r>
        <w:rPr>
          <w:rFonts w:hint="eastAsia"/>
          <w:sz w:val="24"/>
          <w:szCs w:val="24"/>
        </w:rPr>
        <w:t>（二）医疗卫生机构产生的含病原体的污水；</w:t>
      </w:r>
    </w:p>
    <w:p>
      <w:pPr>
        <w:pStyle w:val="3"/>
        <w:topLinePunct/>
        <w:spacing w:line="412" w:lineRule="exact"/>
        <w:ind w:firstLine="480"/>
        <w:rPr>
          <w:sz w:val="24"/>
          <w:szCs w:val="24"/>
        </w:rPr>
      </w:pPr>
      <w:r>
        <w:rPr>
          <w:rFonts w:hint="eastAsia"/>
          <w:sz w:val="24"/>
          <w:szCs w:val="24"/>
        </w:rPr>
        <w:t>（三）含难以生物降解的有机污染物的废水。</w:t>
      </w:r>
    </w:p>
    <w:p>
      <w:pPr>
        <w:pStyle w:val="3"/>
        <w:topLinePunct/>
        <w:spacing w:line="412" w:lineRule="exact"/>
        <w:ind w:firstLine="482"/>
        <w:rPr>
          <w:sz w:val="24"/>
          <w:szCs w:val="24"/>
        </w:rPr>
      </w:pPr>
      <w:r>
        <w:rPr>
          <w:rFonts w:hint="eastAsia"/>
          <w:b/>
          <w:sz w:val="24"/>
          <w:szCs w:val="24"/>
        </w:rPr>
        <w:t>第三十九条</w:t>
      </w:r>
      <w:r>
        <w:rPr>
          <w:b/>
          <w:sz w:val="24"/>
          <w:szCs w:val="24"/>
        </w:rPr>
        <w:t xml:space="preserve">  </w:t>
      </w:r>
      <w:r>
        <w:rPr>
          <w:rFonts w:hint="eastAsia"/>
          <w:sz w:val="24"/>
          <w:szCs w:val="24"/>
        </w:rPr>
        <w:t>本市应当加强雨水的收集、处理和利用，采取措施，防止初期雨水造成污染。</w:t>
      </w:r>
    </w:p>
    <w:p>
      <w:pPr>
        <w:pStyle w:val="3"/>
        <w:topLinePunct/>
        <w:spacing w:line="412" w:lineRule="exact"/>
        <w:ind w:firstLine="480"/>
        <w:rPr>
          <w:sz w:val="24"/>
          <w:szCs w:val="24"/>
        </w:rPr>
      </w:pPr>
      <w:r>
        <w:rPr>
          <w:rFonts w:hint="eastAsia"/>
          <w:sz w:val="24"/>
          <w:szCs w:val="24"/>
        </w:rPr>
        <w:t>任何单位和个人不得向雨水收集口、雨水管道排放或者倾倒污水、污物和垃圾等废弃物。</w:t>
      </w:r>
    </w:p>
    <w:p>
      <w:pPr>
        <w:pStyle w:val="3"/>
        <w:topLinePunct/>
        <w:spacing w:line="412" w:lineRule="exact"/>
        <w:ind w:firstLine="482"/>
        <w:rPr>
          <w:sz w:val="24"/>
          <w:szCs w:val="24"/>
        </w:rPr>
      </w:pPr>
      <w:r>
        <w:rPr>
          <w:rFonts w:hint="eastAsia"/>
          <w:b/>
          <w:sz w:val="24"/>
          <w:szCs w:val="24"/>
        </w:rPr>
        <w:t>第四十条</w:t>
      </w:r>
      <w:r>
        <w:rPr>
          <w:b/>
          <w:sz w:val="24"/>
          <w:szCs w:val="24"/>
        </w:rPr>
        <w:t xml:space="preserve">  </w:t>
      </w:r>
      <w:r>
        <w:rPr>
          <w:rFonts w:hint="eastAsia"/>
          <w:sz w:val="24"/>
          <w:szCs w:val="24"/>
        </w:rPr>
        <w:t>对污水处理产生的污泥的处理处置，应当遵循源头削减和全过程控制原则，实现污泥的减量化、稳定化、无害化和资源化。</w:t>
      </w:r>
    </w:p>
    <w:p>
      <w:pPr>
        <w:pStyle w:val="3"/>
        <w:topLinePunct/>
        <w:spacing w:line="412" w:lineRule="exact"/>
        <w:ind w:firstLine="480"/>
        <w:rPr>
          <w:sz w:val="24"/>
          <w:szCs w:val="24"/>
        </w:rPr>
      </w:pPr>
      <w:r>
        <w:rPr>
          <w:rFonts w:hint="eastAsia"/>
          <w:sz w:val="24"/>
          <w:szCs w:val="24"/>
        </w:rPr>
        <w:t>禁止采用倾倒、堆放、直接填埋的方式处置污泥。</w:t>
      </w:r>
    </w:p>
    <w:p>
      <w:pPr>
        <w:pStyle w:val="3"/>
        <w:topLinePunct/>
        <w:spacing w:line="412" w:lineRule="exact"/>
        <w:ind w:firstLine="482"/>
        <w:rPr>
          <w:sz w:val="24"/>
          <w:szCs w:val="24"/>
        </w:rPr>
      </w:pPr>
      <w:r>
        <w:rPr>
          <w:rFonts w:hint="eastAsia"/>
          <w:b/>
          <w:sz w:val="24"/>
          <w:szCs w:val="24"/>
        </w:rPr>
        <w:t>第四十一条</w:t>
      </w:r>
      <w:r>
        <w:rPr>
          <w:b/>
          <w:sz w:val="24"/>
          <w:szCs w:val="24"/>
        </w:rPr>
        <w:t xml:space="preserve"> </w:t>
      </w:r>
      <w:r>
        <w:rPr>
          <w:sz w:val="24"/>
          <w:szCs w:val="24"/>
        </w:rPr>
        <w:t xml:space="preserve"> </w:t>
      </w:r>
      <w:r>
        <w:rPr>
          <w:rFonts w:hint="eastAsia"/>
          <w:sz w:val="24"/>
          <w:szCs w:val="24"/>
        </w:rPr>
        <w:t>本市各级人民政府应当通过政府投资或者其他方式筹集资金，统筹安排建设污泥处理处置设施，将污泥处理处置规划纳入本市排水和再生水规划。</w:t>
      </w:r>
    </w:p>
    <w:p>
      <w:pPr>
        <w:pStyle w:val="3"/>
        <w:topLinePunct/>
        <w:spacing w:line="412" w:lineRule="exact"/>
        <w:ind w:firstLine="480"/>
        <w:rPr>
          <w:sz w:val="24"/>
          <w:szCs w:val="24"/>
        </w:rPr>
      </w:pPr>
      <w:r>
        <w:rPr>
          <w:rFonts w:hint="eastAsia"/>
          <w:sz w:val="24"/>
          <w:szCs w:val="24"/>
        </w:rPr>
        <w:t>市水务部门应当会同有关部门建立污泥收集、运输、处理和处置的技术标准体系和运营监管体系，规范污泥的处理处置及综合利用。</w:t>
      </w:r>
    </w:p>
    <w:p>
      <w:pPr>
        <w:pStyle w:val="3"/>
        <w:topLinePunct/>
        <w:spacing w:line="412" w:lineRule="exact"/>
        <w:ind w:firstLine="482"/>
        <w:rPr>
          <w:sz w:val="24"/>
          <w:szCs w:val="24"/>
        </w:rPr>
      </w:pPr>
      <w:r>
        <w:rPr>
          <w:rFonts w:hint="eastAsia"/>
          <w:b/>
          <w:sz w:val="24"/>
          <w:szCs w:val="24"/>
        </w:rPr>
        <w:t>第四十二条</w:t>
      </w:r>
      <w:r>
        <w:rPr>
          <w:b/>
          <w:sz w:val="24"/>
          <w:szCs w:val="24"/>
        </w:rPr>
        <w:t xml:space="preserve"> </w:t>
      </w:r>
      <w:r>
        <w:rPr>
          <w:sz w:val="24"/>
          <w:szCs w:val="24"/>
        </w:rPr>
        <w:t xml:space="preserve"> </w:t>
      </w:r>
      <w:r>
        <w:rPr>
          <w:rFonts w:hint="eastAsia"/>
          <w:sz w:val="24"/>
          <w:szCs w:val="24"/>
        </w:rPr>
        <w:t>污水处理单位对所产生的污泥的贮存、运输、处理、处置全过程承担污染防治责任，并对处理处置后的污泥的去向、用途、用量等进行跟踪、记录，不得造成二次污染。污水处理单位将产生的污泥委托其他单位处置的，应当与被委托单位约定双方的污染防治责任。</w:t>
      </w:r>
    </w:p>
    <w:p>
      <w:pPr>
        <w:pStyle w:val="3"/>
        <w:topLinePunct/>
        <w:spacing w:line="412" w:lineRule="exact"/>
        <w:ind w:firstLine="482"/>
        <w:rPr>
          <w:sz w:val="24"/>
          <w:szCs w:val="24"/>
        </w:rPr>
      </w:pPr>
      <w:r>
        <w:rPr>
          <w:rFonts w:hint="eastAsia"/>
          <w:b/>
          <w:sz w:val="24"/>
          <w:szCs w:val="24"/>
        </w:rPr>
        <w:t>第四十三条</w:t>
      </w:r>
      <w:r>
        <w:rPr>
          <w:b/>
          <w:sz w:val="24"/>
          <w:szCs w:val="24"/>
        </w:rPr>
        <w:t xml:space="preserve"> </w:t>
      </w:r>
      <w:r>
        <w:rPr>
          <w:sz w:val="24"/>
          <w:szCs w:val="24"/>
        </w:rPr>
        <w:t xml:space="preserve"> </w:t>
      </w:r>
      <w:r>
        <w:rPr>
          <w:rFonts w:hint="eastAsia"/>
          <w:sz w:val="24"/>
          <w:szCs w:val="24"/>
        </w:rPr>
        <w:t>新建、改建、扩建污水处理设施，应当按照规划确定配套的污泥处理工艺或者措施。现有污水处理设施不能达到污泥处理标准的，应当限期进行改造完善。</w:t>
      </w:r>
    </w:p>
    <w:p>
      <w:pPr>
        <w:pStyle w:val="3"/>
        <w:topLinePunct/>
        <w:spacing w:line="412" w:lineRule="exact"/>
        <w:ind w:firstLine="482"/>
        <w:rPr>
          <w:sz w:val="24"/>
          <w:szCs w:val="24"/>
        </w:rPr>
      </w:pPr>
      <w:r>
        <w:rPr>
          <w:rFonts w:hint="eastAsia"/>
          <w:b/>
          <w:sz w:val="24"/>
          <w:szCs w:val="24"/>
        </w:rPr>
        <w:t>第四十四条</w:t>
      </w:r>
      <w:r>
        <w:rPr>
          <w:b/>
          <w:sz w:val="24"/>
          <w:szCs w:val="24"/>
        </w:rPr>
        <w:t xml:space="preserve">  </w:t>
      </w:r>
      <w:r>
        <w:rPr>
          <w:rFonts w:hint="eastAsia"/>
          <w:sz w:val="24"/>
          <w:szCs w:val="24"/>
        </w:rPr>
        <w:t>本市鼓励和支持通过资源综合利用方式，采用循环经济模式对污泥进行处置。</w:t>
      </w:r>
    </w:p>
    <w:p>
      <w:pPr>
        <w:pStyle w:val="3"/>
        <w:topLinePunct/>
        <w:spacing w:line="412" w:lineRule="exact"/>
        <w:ind w:firstLine="480"/>
        <w:rPr>
          <w:sz w:val="24"/>
          <w:szCs w:val="24"/>
        </w:rPr>
      </w:pPr>
      <w:r>
        <w:rPr>
          <w:rFonts w:hint="eastAsia"/>
          <w:sz w:val="24"/>
          <w:szCs w:val="24"/>
        </w:rPr>
        <w:t>在农林、建材等生产领域利用经无害化处理的污泥的，享受国家和本市资源综合利用相关优惠政策。</w:t>
      </w:r>
    </w:p>
    <w:p>
      <w:pPr>
        <w:pStyle w:val="3"/>
        <w:topLinePunct/>
        <w:spacing w:line="412" w:lineRule="exact"/>
        <w:ind w:firstLine="480"/>
        <w:rPr>
          <w:sz w:val="24"/>
          <w:szCs w:val="24"/>
        </w:rPr>
      </w:pPr>
      <w:r>
        <w:rPr>
          <w:rFonts w:hint="eastAsia"/>
          <w:sz w:val="24"/>
          <w:szCs w:val="24"/>
        </w:rPr>
        <w:t>政府投资的沙荒地治理、园林绿化、土壤改良等项目实施政府采购的，应当优先采购符合国家和本市相关标准的污泥衍生产品。</w:t>
      </w:r>
    </w:p>
    <w:p>
      <w:pPr>
        <w:pStyle w:val="64"/>
        <w:spacing w:before="156" w:after="156"/>
        <w:rPr>
          <w:rFonts w:hAnsi="宋体"/>
        </w:rPr>
      </w:pPr>
      <w:r>
        <w:rPr>
          <w:rFonts w:hint="eastAsia" w:hAnsi="宋体"/>
        </w:rPr>
        <w:t>第四节</w:t>
      </w:r>
      <w:r>
        <w:rPr>
          <w:rFonts w:hAnsi="宋体"/>
        </w:rPr>
        <w:t xml:space="preserve">  </w:t>
      </w:r>
      <w:r>
        <w:rPr>
          <w:rFonts w:hint="eastAsia" w:hAnsi="宋体"/>
        </w:rPr>
        <w:t>农村和农业水污染防治</w:t>
      </w:r>
    </w:p>
    <w:p>
      <w:pPr>
        <w:pStyle w:val="3"/>
        <w:topLinePunct/>
        <w:spacing w:line="412" w:lineRule="exact"/>
        <w:ind w:firstLine="482"/>
        <w:rPr>
          <w:sz w:val="24"/>
          <w:szCs w:val="24"/>
        </w:rPr>
      </w:pPr>
      <w:r>
        <w:rPr>
          <w:rFonts w:hint="eastAsia"/>
          <w:b/>
          <w:sz w:val="24"/>
          <w:szCs w:val="24"/>
        </w:rPr>
        <w:t>第四十五条</w:t>
      </w:r>
      <w:r>
        <w:rPr>
          <w:b/>
          <w:sz w:val="24"/>
          <w:szCs w:val="24"/>
        </w:rPr>
        <w:t xml:space="preserve">  </w:t>
      </w:r>
      <w:r>
        <w:rPr>
          <w:rFonts w:hint="eastAsia"/>
          <w:sz w:val="24"/>
          <w:szCs w:val="24"/>
        </w:rPr>
        <w:t>本市应当根据水资源承载力和水污染防治的要求，优化农村产业结构和产业发展布局，发挥农业的生态功能。</w:t>
      </w:r>
    </w:p>
    <w:p>
      <w:pPr>
        <w:pStyle w:val="3"/>
        <w:topLinePunct/>
        <w:spacing w:line="412" w:lineRule="exact"/>
        <w:ind w:firstLine="482"/>
        <w:rPr>
          <w:sz w:val="24"/>
          <w:szCs w:val="24"/>
        </w:rPr>
      </w:pPr>
      <w:r>
        <w:rPr>
          <w:rFonts w:hint="eastAsia"/>
          <w:b/>
          <w:sz w:val="24"/>
          <w:szCs w:val="24"/>
        </w:rPr>
        <w:t>第四十六条</w:t>
      </w:r>
      <w:r>
        <w:rPr>
          <w:b/>
          <w:sz w:val="24"/>
          <w:szCs w:val="24"/>
        </w:rPr>
        <w:t xml:space="preserve"> </w:t>
      </w:r>
      <w:r>
        <w:rPr>
          <w:sz w:val="24"/>
          <w:szCs w:val="24"/>
        </w:rPr>
        <w:t xml:space="preserve"> </w:t>
      </w:r>
      <w:r>
        <w:rPr>
          <w:rFonts w:hint="eastAsia"/>
          <w:sz w:val="24"/>
          <w:szCs w:val="24"/>
        </w:rPr>
        <w:t>区和乡镇人民政府应当对未纳入城镇污水管网的村庄的生活污水进行治理，优先采用生态、低能耗、资源化的污水处理技术；对在饮用水源保护区、河道两侧等重点区域的村庄，应当建设集中污水处理设施，并保证建设及运转资金。</w:t>
      </w:r>
    </w:p>
    <w:p>
      <w:pPr>
        <w:pStyle w:val="3"/>
        <w:topLinePunct/>
        <w:spacing w:line="412" w:lineRule="exact"/>
        <w:ind w:firstLine="482"/>
        <w:rPr>
          <w:sz w:val="24"/>
          <w:szCs w:val="24"/>
        </w:rPr>
      </w:pPr>
      <w:r>
        <w:rPr>
          <w:rFonts w:hint="eastAsia"/>
          <w:b/>
          <w:sz w:val="24"/>
          <w:szCs w:val="24"/>
        </w:rPr>
        <w:t>第四十七条</w:t>
      </w:r>
      <w:r>
        <w:rPr>
          <w:b/>
          <w:sz w:val="24"/>
          <w:szCs w:val="24"/>
        </w:rPr>
        <w:t xml:space="preserve"> </w:t>
      </w:r>
      <w:r>
        <w:rPr>
          <w:sz w:val="24"/>
          <w:szCs w:val="24"/>
        </w:rPr>
        <w:t xml:space="preserve"> </w:t>
      </w:r>
      <w:r>
        <w:rPr>
          <w:rFonts w:hint="eastAsia"/>
          <w:sz w:val="24"/>
          <w:szCs w:val="24"/>
        </w:rPr>
        <w:t>市、区农业农村部门应当对畜禽养殖、水产养殖及种植业水污染防治进行监督管理，对农业生产环境进行监测，加强农业水污染防治的业务指导。</w:t>
      </w:r>
    </w:p>
    <w:p>
      <w:pPr>
        <w:pStyle w:val="3"/>
        <w:topLinePunct/>
        <w:spacing w:line="412" w:lineRule="exact"/>
        <w:ind w:firstLine="482"/>
        <w:rPr>
          <w:sz w:val="24"/>
          <w:szCs w:val="24"/>
        </w:rPr>
      </w:pPr>
      <w:r>
        <w:rPr>
          <w:rFonts w:hint="eastAsia"/>
          <w:b/>
          <w:sz w:val="24"/>
          <w:szCs w:val="24"/>
        </w:rPr>
        <w:t>第四十八条</w:t>
      </w:r>
      <w:r>
        <w:rPr>
          <w:b/>
          <w:sz w:val="24"/>
          <w:szCs w:val="24"/>
        </w:rPr>
        <w:t xml:space="preserve"> </w:t>
      </w:r>
      <w:r>
        <w:rPr>
          <w:sz w:val="24"/>
          <w:szCs w:val="24"/>
        </w:rPr>
        <w:t xml:space="preserve"> </w:t>
      </w:r>
      <w:r>
        <w:rPr>
          <w:rFonts w:hint="eastAsia"/>
          <w:sz w:val="24"/>
          <w:szCs w:val="24"/>
        </w:rPr>
        <w:t>本市鼓励畜禽养殖场、养殖小区采取生态养殖方式。建设规模化畜禽养殖场、养殖小区，应当符合本市农业水污染防治规划的要求，并配套建设集中式畜禽粪污综合利用设施或者无害化处理设施。规划禁养区内已有的畜禽养殖场、养殖小区项目，由所在地区人民政府限期拆除。</w:t>
      </w:r>
    </w:p>
    <w:p>
      <w:pPr>
        <w:pStyle w:val="3"/>
        <w:topLinePunct/>
        <w:spacing w:line="412" w:lineRule="exact"/>
        <w:ind w:firstLine="480"/>
        <w:rPr>
          <w:sz w:val="24"/>
          <w:szCs w:val="24"/>
        </w:rPr>
      </w:pPr>
      <w:r>
        <w:rPr>
          <w:rFonts w:hint="eastAsia"/>
          <w:sz w:val="24"/>
          <w:szCs w:val="24"/>
        </w:rPr>
        <w:t>规模化畜禽养殖企业应当采取防渗漏、防流失、防遗撒措施，防止畜禽养殖废水、粪污渗漏、溢流、散落对环境造成污染。</w:t>
      </w:r>
    </w:p>
    <w:p>
      <w:pPr>
        <w:pStyle w:val="3"/>
        <w:topLinePunct/>
        <w:spacing w:line="412" w:lineRule="exact"/>
        <w:ind w:firstLine="482"/>
        <w:rPr>
          <w:sz w:val="24"/>
          <w:szCs w:val="24"/>
        </w:rPr>
      </w:pPr>
      <w:r>
        <w:rPr>
          <w:rFonts w:hint="eastAsia"/>
          <w:b/>
          <w:sz w:val="24"/>
          <w:szCs w:val="24"/>
        </w:rPr>
        <w:t>第四十九条</w:t>
      </w:r>
      <w:r>
        <w:rPr>
          <w:b/>
          <w:sz w:val="24"/>
          <w:szCs w:val="24"/>
        </w:rPr>
        <w:t xml:space="preserve"> </w:t>
      </w:r>
      <w:r>
        <w:rPr>
          <w:sz w:val="24"/>
          <w:szCs w:val="24"/>
        </w:rPr>
        <w:t xml:space="preserve"> </w:t>
      </w:r>
      <w:r>
        <w:rPr>
          <w:rFonts w:hint="eastAsia"/>
          <w:sz w:val="24"/>
          <w:szCs w:val="24"/>
        </w:rPr>
        <w:t>市、区人民政府应当制定政策，鼓励、引导建设集中式畜禽粪污综合利用或者无害化处理设施，引入市场化机制进行运营。</w:t>
      </w:r>
    </w:p>
    <w:p>
      <w:pPr>
        <w:pStyle w:val="3"/>
        <w:topLinePunct/>
        <w:spacing w:line="412" w:lineRule="exact"/>
        <w:ind w:firstLine="482"/>
        <w:rPr>
          <w:sz w:val="24"/>
          <w:szCs w:val="24"/>
        </w:rPr>
      </w:pPr>
      <w:r>
        <w:rPr>
          <w:rFonts w:hint="eastAsia"/>
          <w:b/>
          <w:sz w:val="24"/>
          <w:szCs w:val="24"/>
        </w:rPr>
        <w:t>第五十条</w:t>
      </w:r>
      <w:r>
        <w:rPr>
          <w:b/>
          <w:sz w:val="24"/>
          <w:szCs w:val="24"/>
        </w:rPr>
        <w:t xml:space="preserve">  </w:t>
      </w:r>
      <w:r>
        <w:rPr>
          <w:rFonts w:hint="eastAsia"/>
          <w:sz w:val="24"/>
          <w:szCs w:val="24"/>
        </w:rPr>
        <w:t>水产养殖的排水直接排入地表水体的，应当达到受纳水体水环境功能区的要求。</w:t>
      </w:r>
    </w:p>
    <w:p>
      <w:pPr>
        <w:pStyle w:val="3"/>
        <w:topLinePunct/>
        <w:spacing w:line="412" w:lineRule="exact"/>
        <w:ind w:firstLine="482"/>
        <w:rPr>
          <w:sz w:val="24"/>
          <w:szCs w:val="24"/>
        </w:rPr>
      </w:pPr>
      <w:r>
        <w:rPr>
          <w:rFonts w:hint="eastAsia"/>
          <w:b/>
          <w:sz w:val="24"/>
          <w:szCs w:val="24"/>
        </w:rPr>
        <w:t>第五十一条</w:t>
      </w:r>
      <w:r>
        <w:rPr>
          <w:b/>
          <w:sz w:val="24"/>
          <w:szCs w:val="24"/>
        </w:rPr>
        <w:t xml:space="preserve"> </w:t>
      </w:r>
      <w:r>
        <w:rPr>
          <w:sz w:val="24"/>
          <w:szCs w:val="24"/>
        </w:rPr>
        <w:t xml:space="preserve"> </w:t>
      </w:r>
      <w:r>
        <w:rPr>
          <w:rFonts w:hint="eastAsia"/>
          <w:sz w:val="24"/>
          <w:szCs w:val="24"/>
        </w:rPr>
        <w:t>本市鼓励种植业通过推行测土配方施肥、病虫害生物防治等措施，提高肥料使用效率，合理使用有机肥和化肥，减少化学农药施用量，防止污染水环境。</w:t>
      </w:r>
    </w:p>
    <w:p>
      <w:pPr>
        <w:pStyle w:val="64"/>
        <w:spacing w:before="156" w:after="156"/>
        <w:rPr>
          <w:rFonts w:hAnsi="宋体"/>
          <w:b/>
        </w:rPr>
      </w:pPr>
      <w:r>
        <w:rPr>
          <w:rFonts w:hint="eastAsia" w:hAnsi="宋体"/>
          <w:b/>
        </w:rPr>
        <w:t>第五节</w:t>
      </w:r>
      <w:r>
        <w:rPr>
          <w:rFonts w:hAnsi="宋体"/>
          <w:b/>
        </w:rPr>
        <w:t xml:space="preserve">  </w:t>
      </w:r>
      <w:r>
        <w:rPr>
          <w:rFonts w:hint="eastAsia" w:hAnsi="宋体"/>
          <w:b/>
        </w:rPr>
        <w:t>水污染事故处置</w:t>
      </w:r>
    </w:p>
    <w:p>
      <w:pPr>
        <w:pStyle w:val="3"/>
        <w:topLinePunct/>
        <w:spacing w:line="412" w:lineRule="exact"/>
        <w:ind w:firstLine="482"/>
        <w:rPr>
          <w:sz w:val="24"/>
          <w:szCs w:val="24"/>
        </w:rPr>
      </w:pPr>
      <w:r>
        <w:rPr>
          <w:rFonts w:hint="eastAsia"/>
          <w:b/>
          <w:sz w:val="24"/>
          <w:szCs w:val="24"/>
        </w:rPr>
        <w:t>第五十二条</w:t>
      </w:r>
      <w:r>
        <w:rPr>
          <w:b/>
          <w:sz w:val="24"/>
          <w:szCs w:val="24"/>
        </w:rPr>
        <w:t xml:space="preserve"> </w:t>
      </w:r>
      <w:r>
        <w:rPr>
          <w:sz w:val="24"/>
          <w:szCs w:val="24"/>
        </w:rPr>
        <w:t xml:space="preserve"> </w:t>
      </w:r>
      <w:r>
        <w:rPr>
          <w:rFonts w:hint="eastAsia"/>
          <w:sz w:val="24"/>
          <w:szCs w:val="24"/>
        </w:rPr>
        <w:t>本市各级人民政府负责组织突发水污染事故的应急准备、应急处置和事后恢复等工作。</w:t>
      </w:r>
    </w:p>
    <w:p>
      <w:pPr>
        <w:pStyle w:val="3"/>
        <w:topLinePunct/>
        <w:spacing w:line="412" w:lineRule="exact"/>
        <w:ind w:firstLine="480"/>
        <w:rPr>
          <w:sz w:val="24"/>
          <w:szCs w:val="24"/>
        </w:rPr>
      </w:pPr>
      <w:r>
        <w:rPr>
          <w:rFonts w:hint="eastAsia"/>
          <w:sz w:val="24"/>
          <w:szCs w:val="24"/>
        </w:rPr>
        <w:t>造成水污染事故的单位和个人应当承担事故的处置和事后恢复责任，对受到损失的单位或者个人依法进行赔偿。</w:t>
      </w:r>
    </w:p>
    <w:p>
      <w:pPr>
        <w:pStyle w:val="3"/>
        <w:topLinePunct/>
        <w:spacing w:line="412" w:lineRule="exact"/>
        <w:ind w:firstLine="482"/>
        <w:rPr>
          <w:sz w:val="24"/>
          <w:szCs w:val="24"/>
        </w:rPr>
      </w:pPr>
      <w:r>
        <w:rPr>
          <w:rFonts w:hint="eastAsia"/>
          <w:b/>
          <w:sz w:val="24"/>
          <w:szCs w:val="24"/>
        </w:rPr>
        <w:t>第五十三条</w:t>
      </w:r>
      <w:r>
        <w:rPr>
          <w:b/>
          <w:sz w:val="24"/>
          <w:szCs w:val="24"/>
        </w:rPr>
        <w:t xml:space="preserve"> </w:t>
      </w:r>
      <w:r>
        <w:rPr>
          <w:sz w:val="24"/>
          <w:szCs w:val="24"/>
        </w:rPr>
        <w:t xml:space="preserve"> </w:t>
      </w:r>
      <w:r>
        <w:rPr>
          <w:rFonts w:hint="eastAsia"/>
          <w:sz w:val="24"/>
          <w:szCs w:val="24"/>
        </w:rPr>
        <w:t>可能发生水污染事故的企业事业单位和其他生产经营者，应当制定有关水污染事故的应急方案，建设事故状态下的水污染防治设施，储备相应的应急救援物资，做好应急准备，并定期进行演练。</w:t>
      </w:r>
    </w:p>
    <w:p>
      <w:pPr>
        <w:pStyle w:val="3"/>
        <w:topLinePunct/>
        <w:spacing w:line="412" w:lineRule="exact"/>
        <w:ind w:firstLine="480"/>
        <w:rPr>
          <w:sz w:val="24"/>
          <w:szCs w:val="24"/>
        </w:rPr>
      </w:pPr>
      <w:r>
        <w:rPr>
          <w:rFonts w:hint="eastAsia"/>
          <w:sz w:val="24"/>
          <w:szCs w:val="24"/>
        </w:rPr>
        <w:t>生产、使用、储存危险化学品的企业事业单位和其他生产经营者，应当在其储存场所建立防渗漏围堰，在厂区修建消防废水、废液的收集装置，采取措施防止在处理安全生产事故过程中产生的可能严重污染水体的消防废水、废液排入水体。</w:t>
      </w:r>
    </w:p>
    <w:p>
      <w:pPr>
        <w:pStyle w:val="3"/>
        <w:topLinePunct/>
        <w:spacing w:line="412" w:lineRule="exact"/>
        <w:ind w:firstLine="482"/>
        <w:rPr>
          <w:sz w:val="24"/>
          <w:szCs w:val="24"/>
        </w:rPr>
      </w:pPr>
      <w:r>
        <w:rPr>
          <w:rFonts w:hint="eastAsia"/>
          <w:b/>
          <w:sz w:val="24"/>
          <w:szCs w:val="24"/>
        </w:rPr>
        <w:t>第五十四条</w:t>
      </w:r>
      <w:r>
        <w:rPr>
          <w:b/>
          <w:sz w:val="24"/>
          <w:szCs w:val="24"/>
        </w:rPr>
        <w:t xml:space="preserve"> </w:t>
      </w:r>
      <w:r>
        <w:rPr>
          <w:sz w:val="24"/>
          <w:szCs w:val="24"/>
        </w:rPr>
        <w:t xml:space="preserve"> </w:t>
      </w:r>
      <w:r>
        <w:rPr>
          <w:rFonts w:hint="eastAsia"/>
          <w:sz w:val="24"/>
          <w:szCs w:val="24"/>
        </w:rPr>
        <w:t>企业事业单位和其他生产经营者发生事故或者其他突发性事件，造成或者可能造成水污染事故的，应当立即启动本单位的应急方案，采取应急措施，并向市或者区人民政府或者生态环境部门报告。生态环境部门接到报告后，应当及时向本级人民政府报告，并抄送有关部门。</w:t>
      </w:r>
    </w:p>
    <w:p>
      <w:pPr>
        <w:pStyle w:val="3"/>
        <w:topLinePunct/>
        <w:spacing w:line="412" w:lineRule="exact"/>
        <w:ind w:firstLine="480"/>
        <w:rPr>
          <w:sz w:val="24"/>
          <w:szCs w:val="24"/>
        </w:rPr>
      </w:pPr>
      <w:r>
        <w:rPr>
          <w:rFonts w:hint="eastAsia"/>
          <w:sz w:val="24"/>
          <w:szCs w:val="24"/>
        </w:rPr>
        <w:t>生态环境部门应当会同水务部门等相关部门及时对水污染事故可能影响的区域进行监测，督促造成事故的单位和个人妥善处理事故造成的水体污染。</w:t>
      </w:r>
    </w:p>
    <w:p>
      <w:pPr>
        <w:pStyle w:val="3"/>
        <w:topLinePunct/>
        <w:spacing w:line="412" w:lineRule="exact"/>
        <w:ind w:firstLine="482"/>
        <w:rPr>
          <w:sz w:val="24"/>
          <w:szCs w:val="24"/>
        </w:rPr>
      </w:pPr>
      <w:r>
        <w:rPr>
          <w:rFonts w:hint="eastAsia"/>
          <w:b/>
          <w:sz w:val="24"/>
          <w:szCs w:val="24"/>
        </w:rPr>
        <w:t>第五十五条</w:t>
      </w:r>
      <w:r>
        <w:rPr>
          <w:b/>
          <w:sz w:val="24"/>
          <w:szCs w:val="24"/>
        </w:rPr>
        <w:t xml:space="preserve"> </w:t>
      </w:r>
      <w:r>
        <w:rPr>
          <w:sz w:val="24"/>
          <w:szCs w:val="24"/>
        </w:rPr>
        <w:t xml:space="preserve"> </w:t>
      </w:r>
      <w:r>
        <w:rPr>
          <w:rFonts w:hint="eastAsia"/>
          <w:sz w:val="24"/>
          <w:szCs w:val="24"/>
        </w:rPr>
        <w:t>市、区人民政府及有关部门应当依法公开水污染事故的预警信息和应对情况，将事故信息和应当注意的事项及时告知可能受到影响的单位和个人。</w:t>
      </w:r>
    </w:p>
    <w:p>
      <w:pPr>
        <w:pStyle w:val="63"/>
        <w:spacing w:before="218" w:after="218"/>
      </w:pPr>
      <w:r>
        <w:rPr>
          <w:rFonts w:hint="eastAsia"/>
        </w:rPr>
        <w:t>第四章</w:t>
      </w:r>
      <w:r>
        <w:t xml:space="preserve">  </w:t>
      </w:r>
      <w:r>
        <w:rPr>
          <w:rFonts w:hint="eastAsia"/>
        </w:rPr>
        <w:t>饮用水水源与地下水保护</w:t>
      </w:r>
    </w:p>
    <w:p>
      <w:pPr>
        <w:pStyle w:val="3"/>
        <w:topLinePunct/>
        <w:spacing w:line="412" w:lineRule="exact"/>
        <w:ind w:firstLine="482"/>
        <w:rPr>
          <w:sz w:val="24"/>
          <w:szCs w:val="24"/>
        </w:rPr>
      </w:pPr>
      <w:r>
        <w:rPr>
          <w:rFonts w:hint="eastAsia"/>
          <w:b/>
          <w:sz w:val="24"/>
          <w:szCs w:val="24"/>
        </w:rPr>
        <w:t>第五十六条</w:t>
      </w:r>
      <w:r>
        <w:rPr>
          <w:b/>
          <w:sz w:val="24"/>
          <w:szCs w:val="24"/>
        </w:rPr>
        <w:t xml:space="preserve">  </w:t>
      </w:r>
      <w:r>
        <w:rPr>
          <w:rFonts w:hint="eastAsia"/>
          <w:sz w:val="24"/>
          <w:szCs w:val="24"/>
        </w:rPr>
        <w:t>本市实行饮用水水源保护区制度。饮用水水源保护区分为一级保护区和二级保护区；在饮用水水源保护区外围可以划定一定区域作为准保护区。</w:t>
      </w:r>
    </w:p>
    <w:p>
      <w:pPr>
        <w:pStyle w:val="3"/>
        <w:topLinePunct/>
        <w:spacing w:line="412" w:lineRule="exact"/>
        <w:ind w:firstLine="480"/>
        <w:rPr>
          <w:sz w:val="24"/>
          <w:szCs w:val="24"/>
        </w:rPr>
      </w:pPr>
      <w:r>
        <w:rPr>
          <w:rFonts w:hint="eastAsia"/>
          <w:sz w:val="24"/>
          <w:szCs w:val="24"/>
        </w:rPr>
        <w:t>跨区供水的饮用水水源保护区和准保护区的划定，由市生态环境部门会同市水务、规划和自然资源、卫生健康、住房和城乡建设、园林绿化等相关部门提出方案，报市人民政府批准。其他饮用水水源保护区和准保护区的划定，由区人民政府提出方案，报市人民政府批准。</w:t>
      </w:r>
    </w:p>
    <w:p>
      <w:pPr>
        <w:pStyle w:val="3"/>
        <w:topLinePunct/>
        <w:spacing w:line="412" w:lineRule="exact"/>
        <w:ind w:firstLine="480"/>
        <w:rPr>
          <w:sz w:val="24"/>
          <w:szCs w:val="24"/>
        </w:rPr>
      </w:pPr>
      <w:r>
        <w:rPr>
          <w:rFonts w:hint="eastAsia"/>
          <w:sz w:val="24"/>
          <w:szCs w:val="24"/>
        </w:rPr>
        <w:t>市人民政府可以根据饮用水水源保护的需要，调整饮用水水源保护区和准保护区的范围，确保饮用水安全。</w:t>
      </w:r>
    </w:p>
    <w:p>
      <w:pPr>
        <w:pStyle w:val="3"/>
        <w:topLinePunct/>
        <w:spacing w:line="412" w:lineRule="exact"/>
        <w:ind w:firstLine="482"/>
        <w:rPr>
          <w:sz w:val="24"/>
          <w:szCs w:val="24"/>
        </w:rPr>
      </w:pPr>
      <w:r>
        <w:rPr>
          <w:rFonts w:hint="eastAsia"/>
          <w:b/>
          <w:sz w:val="24"/>
          <w:szCs w:val="24"/>
        </w:rPr>
        <w:t>第五十七条</w:t>
      </w:r>
      <w:r>
        <w:rPr>
          <w:b/>
          <w:sz w:val="24"/>
          <w:szCs w:val="24"/>
        </w:rPr>
        <w:t xml:space="preserve"> </w:t>
      </w:r>
      <w:r>
        <w:rPr>
          <w:sz w:val="24"/>
          <w:szCs w:val="24"/>
        </w:rPr>
        <w:t xml:space="preserve"> </w:t>
      </w:r>
      <w:r>
        <w:rPr>
          <w:rFonts w:hint="eastAsia"/>
          <w:sz w:val="24"/>
          <w:szCs w:val="24"/>
        </w:rPr>
        <w:t>禁止在饮用水水源一级保护区内新建、改建、扩建与供水设施和保护水源无关的建设项目。已建成的与供水设施和保护水源无关的建设项目，由市或者区人民政府责令拆除或者关闭。</w:t>
      </w:r>
    </w:p>
    <w:p>
      <w:pPr>
        <w:pStyle w:val="3"/>
        <w:topLinePunct/>
        <w:spacing w:line="412" w:lineRule="exact"/>
        <w:ind w:firstLine="480"/>
        <w:rPr>
          <w:sz w:val="24"/>
          <w:szCs w:val="24"/>
        </w:rPr>
      </w:pPr>
      <w:r>
        <w:rPr>
          <w:rFonts w:hint="eastAsia"/>
          <w:sz w:val="24"/>
          <w:szCs w:val="24"/>
        </w:rPr>
        <w:t>禁止在饮用水水源一级保护区内从事旅游、垂钓或者其他可能污染饮用水水体的活动。</w:t>
      </w:r>
    </w:p>
    <w:p>
      <w:pPr>
        <w:pStyle w:val="3"/>
        <w:topLinePunct/>
        <w:spacing w:line="412" w:lineRule="exact"/>
        <w:ind w:firstLine="482"/>
        <w:rPr>
          <w:sz w:val="24"/>
          <w:szCs w:val="24"/>
        </w:rPr>
      </w:pPr>
      <w:r>
        <w:rPr>
          <w:rFonts w:hint="eastAsia"/>
          <w:b/>
          <w:sz w:val="24"/>
          <w:szCs w:val="24"/>
        </w:rPr>
        <w:t>第五十八条</w:t>
      </w:r>
      <w:r>
        <w:rPr>
          <w:b/>
          <w:sz w:val="24"/>
          <w:szCs w:val="24"/>
        </w:rPr>
        <w:t xml:space="preserve"> </w:t>
      </w:r>
      <w:r>
        <w:rPr>
          <w:sz w:val="24"/>
          <w:szCs w:val="24"/>
        </w:rPr>
        <w:t xml:space="preserve"> </w:t>
      </w:r>
      <w:r>
        <w:rPr>
          <w:rFonts w:hint="eastAsia"/>
          <w:sz w:val="24"/>
          <w:szCs w:val="24"/>
        </w:rPr>
        <w:t>禁止在饮用水水源二级保护区内新建、改建、扩建排放污染物的建设项目。已建成的排放污染物的建设项目，由市或者区人民政府责令拆除或者关闭。</w:t>
      </w:r>
    </w:p>
    <w:p>
      <w:pPr>
        <w:pStyle w:val="3"/>
        <w:topLinePunct/>
        <w:spacing w:line="412" w:lineRule="exact"/>
        <w:ind w:firstLine="480"/>
        <w:rPr>
          <w:sz w:val="24"/>
          <w:szCs w:val="24"/>
        </w:rPr>
      </w:pPr>
      <w:r>
        <w:rPr>
          <w:rFonts w:hint="eastAsia"/>
          <w:sz w:val="24"/>
          <w:szCs w:val="24"/>
        </w:rPr>
        <w:t>在饮用水水源二级保护区内从事旅游等活动的，应当按照规定采取措施，防止污染饮用水水体。</w:t>
      </w:r>
    </w:p>
    <w:p>
      <w:pPr>
        <w:pStyle w:val="3"/>
        <w:topLinePunct/>
        <w:spacing w:line="412" w:lineRule="exact"/>
        <w:ind w:firstLine="482"/>
        <w:rPr>
          <w:sz w:val="24"/>
          <w:szCs w:val="24"/>
        </w:rPr>
      </w:pPr>
      <w:r>
        <w:rPr>
          <w:rFonts w:hint="eastAsia"/>
          <w:b/>
          <w:sz w:val="24"/>
          <w:szCs w:val="24"/>
        </w:rPr>
        <w:t>第五十九条</w:t>
      </w:r>
      <w:r>
        <w:rPr>
          <w:b/>
          <w:sz w:val="24"/>
          <w:szCs w:val="24"/>
        </w:rPr>
        <w:t xml:space="preserve"> </w:t>
      </w:r>
      <w:r>
        <w:rPr>
          <w:sz w:val="24"/>
          <w:szCs w:val="24"/>
        </w:rPr>
        <w:t xml:space="preserve"> </w:t>
      </w:r>
      <w:r>
        <w:rPr>
          <w:rFonts w:hint="eastAsia"/>
          <w:sz w:val="24"/>
          <w:szCs w:val="24"/>
        </w:rPr>
        <w:t>禁止在饮用水水源准保护区内新建、扩建对水体污染严重的建设项目。改建建设项目，不得增加排污量。</w:t>
      </w:r>
    </w:p>
    <w:p>
      <w:pPr>
        <w:pStyle w:val="3"/>
        <w:topLinePunct/>
        <w:spacing w:line="412" w:lineRule="exact"/>
        <w:ind w:firstLine="480"/>
        <w:rPr>
          <w:sz w:val="24"/>
          <w:szCs w:val="24"/>
        </w:rPr>
      </w:pPr>
      <w:r>
        <w:rPr>
          <w:rFonts w:hint="eastAsia"/>
          <w:sz w:val="24"/>
          <w:szCs w:val="24"/>
        </w:rPr>
        <w:t>本市各级人民政府应当根据保护饮用水水源的实际需要，在准保护区内采取工程措施或者建造湿地、水源涵养林等生态保护措施，防止水污染物直接排入饮用水水体，确保饮用水安全。</w:t>
      </w:r>
    </w:p>
    <w:p>
      <w:pPr>
        <w:pStyle w:val="3"/>
        <w:topLinePunct/>
        <w:spacing w:line="412" w:lineRule="exact"/>
        <w:ind w:firstLine="482"/>
        <w:rPr>
          <w:sz w:val="24"/>
          <w:szCs w:val="24"/>
        </w:rPr>
      </w:pPr>
      <w:r>
        <w:rPr>
          <w:rFonts w:hint="eastAsia"/>
          <w:b/>
          <w:sz w:val="24"/>
          <w:szCs w:val="24"/>
        </w:rPr>
        <w:t>第六十条</w:t>
      </w:r>
      <w:r>
        <w:rPr>
          <w:b/>
          <w:sz w:val="24"/>
          <w:szCs w:val="24"/>
        </w:rPr>
        <w:t xml:space="preserve"> </w:t>
      </w:r>
      <w:r>
        <w:rPr>
          <w:sz w:val="24"/>
          <w:szCs w:val="24"/>
        </w:rPr>
        <w:t xml:space="preserve"> </w:t>
      </w:r>
      <w:r>
        <w:rPr>
          <w:rFonts w:hint="eastAsia"/>
          <w:sz w:val="24"/>
          <w:szCs w:val="24"/>
        </w:rPr>
        <w:t>地表饮用水水源保护区内禁止下列行为：</w:t>
      </w:r>
    </w:p>
    <w:p>
      <w:pPr>
        <w:pStyle w:val="3"/>
        <w:topLinePunct/>
        <w:spacing w:line="412" w:lineRule="exact"/>
        <w:ind w:firstLine="480"/>
        <w:rPr>
          <w:sz w:val="24"/>
          <w:szCs w:val="24"/>
        </w:rPr>
      </w:pPr>
      <w:r>
        <w:rPr>
          <w:rFonts w:hint="eastAsia"/>
          <w:sz w:val="24"/>
          <w:szCs w:val="24"/>
        </w:rPr>
        <w:t>（一）装载有毒污染物的车辆驶入；</w:t>
      </w:r>
    </w:p>
    <w:p>
      <w:pPr>
        <w:pStyle w:val="3"/>
        <w:topLinePunct/>
        <w:spacing w:line="412" w:lineRule="exact"/>
        <w:ind w:firstLine="480"/>
        <w:rPr>
          <w:sz w:val="24"/>
          <w:szCs w:val="24"/>
        </w:rPr>
      </w:pPr>
      <w:r>
        <w:rPr>
          <w:rFonts w:hint="eastAsia"/>
          <w:sz w:val="24"/>
          <w:szCs w:val="24"/>
        </w:rPr>
        <w:t>（二）从事网箱养殖；</w:t>
      </w:r>
    </w:p>
    <w:p>
      <w:pPr>
        <w:pStyle w:val="3"/>
        <w:topLinePunct/>
        <w:spacing w:line="412" w:lineRule="exact"/>
        <w:ind w:firstLine="480"/>
        <w:rPr>
          <w:sz w:val="24"/>
          <w:szCs w:val="24"/>
        </w:rPr>
      </w:pPr>
      <w:r>
        <w:rPr>
          <w:rFonts w:hint="eastAsia"/>
          <w:sz w:val="24"/>
          <w:szCs w:val="24"/>
        </w:rPr>
        <w:t>（三）从事水上旅游、游泳或者其他可能污染水源的活动。</w:t>
      </w:r>
    </w:p>
    <w:p>
      <w:pPr>
        <w:pStyle w:val="3"/>
        <w:topLinePunct/>
        <w:spacing w:line="412" w:lineRule="exact"/>
        <w:ind w:firstLine="480"/>
        <w:rPr>
          <w:sz w:val="24"/>
          <w:szCs w:val="24"/>
        </w:rPr>
      </w:pPr>
      <w:r>
        <w:rPr>
          <w:rFonts w:hint="eastAsia"/>
          <w:sz w:val="24"/>
          <w:szCs w:val="24"/>
        </w:rPr>
        <w:t>地表饮用水水源准保护区内禁止从事网箱养殖。</w:t>
      </w:r>
    </w:p>
    <w:p>
      <w:pPr>
        <w:pStyle w:val="3"/>
        <w:topLinePunct/>
        <w:spacing w:line="412" w:lineRule="exact"/>
        <w:ind w:firstLine="482"/>
        <w:rPr>
          <w:sz w:val="24"/>
          <w:szCs w:val="24"/>
        </w:rPr>
      </w:pPr>
      <w:r>
        <w:rPr>
          <w:rFonts w:hint="eastAsia"/>
          <w:b/>
          <w:sz w:val="24"/>
          <w:szCs w:val="24"/>
        </w:rPr>
        <w:t>第六十一条</w:t>
      </w:r>
      <w:r>
        <w:rPr>
          <w:b/>
          <w:sz w:val="24"/>
          <w:szCs w:val="24"/>
        </w:rPr>
        <w:t xml:space="preserve">  </w:t>
      </w:r>
      <w:r>
        <w:rPr>
          <w:rFonts w:hint="eastAsia"/>
          <w:sz w:val="24"/>
          <w:szCs w:val="24"/>
        </w:rPr>
        <w:t>地下饮用水水源保护区内禁止下列行为：</w:t>
      </w:r>
    </w:p>
    <w:p>
      <w:pPr>
        <w:pStyle w:val="3"/>
        <w:topLinePunct/>
        <w:spacing w:line="412" w:lineRule="exact"/>
        <w:ind w:firstLine="480"/>
        <w:rPr>
          <w:sz w:val="24"/>
          <w:szCs w:val="24"/>
        </w:rPr>
      </w:pPr>
      <w:r>
        <w:rPr>
          <w:rFonts w:hint="eastAsia"/>
          <w:sz w:val="24"/>
          <w:szCs w:val="24"/>
        </w:rPr>
        <w:t>（一）堆放和贮存易溶、含有毒污染物的废弃物；</w:t>
      </w:r>
    </w:p>
    <w:p>
      <w:pPr>
        <w:pStyle w:val="3"/>
        <w:topLinePunct/>
        <w:spacing w:line="412" w:lineRule="exact"/>
        <w:ind w:firstLine="480"/>
        <w:rPr>
          <w:sz w:val="24"/>
          <w:szCs w:val="24"/>
        </w:rPr>
      </w:pPr>
      <w:r>
        <w:rPr>
          <w:rFonts w:hint="eastAsia"/>
          <w:sz w:val="24"/>
          <w:szCs w:val="24"/>
        </w:rPr>
        <w:t>（二）堆放垃圾、粪便及其他可能污染地下饮用水水源的固体废弃物；</w:t>
      </w:r>
    </w:p>
    <w:p>
      <w:pPr>
        <w:pStyle w:val="3"/>
        <w:topLinePunct/>
        <w:spacing w:line="412" w:lineRule="exact"/>
        <w:ind w:firstLine="480"/>
        <w:rPr>
          <w:sz w:val="24"/>
          <w:szCs w:val="24"/>
        </w:rPr>
      </w:pPr>
      <w:r>
        <w:rPr>
          <w:rFonts w:hint="eastAsia"/>
          <w:sz w:val="24"/>
          <w:szCs w:val="24"/>
        </w:rPr>
        <w:t>（三）新建贮存液体化学原料、油类或者其他含有毒污染物物质的地下工程设施。</w:t>
      </w:r>
    </w:p>
    <w:p>
      <w:pPr>
        <w:pStyle w:val="3"/>
        <w:topLinePunct/>
        <w:spacing w:line="412" w:lineRule="exact"/>
        <w:ind w:firstLine="480"/>
        <w:rPr>
          <w:sz w:val="24"/>
          <w:szCs w:val="24"/>
        </w:rPr>
      </w:pPr>
      <w:r>
        <w:rPr>
          <w:rFonts w:hint="eastAsia"/>
          <w:sz w:val="24"/>
          <w:szCs w:val="24"/>
        </w:rPr>
        <w:t>在地下饮用水水源准保护区内禁止堆放和贮存易溶、含有毒污染物的废弃物。</w:t>
      </w:r>
    </w:p>
    <w:p>
      <w:pPr>
        <w:pStyle w:val="3"/>
        <w:topLinePunct/>
        <w:spacing w:line="412" w:lineRule="exact"/>
        <w:ind w:firstLine="482"/>
        <w:rPr>
          <w:sz w:val="24"/>
          <w:szCs w:val="24"/>
        </w:rPr>
      </w:pPr>
      <w:r>
        <w:rPr>
          <w:rFonts w:hint="eastAsia"/>
          <w:b/>
          <w:sz w:val="24"/>
          <w:szCs w:val="24"/>
        </w:rPr>
        <w:t>第六十二条</w:t>
      </w:r>
      <w:r>
        <w:rPr>
          <w:b/>
          <w:sz w:val="24"/>
          <w:szCs w:val="24"/>
        </w:rPr>
        <w:t xml:space="preserve"> </w:t>
      </w:r>
      <w:r>
        <w:rPr>
          <w:sz w:val="24"/>
          <w:szCs w:val="24"/>
        </w:rPr>
        <w:t xml:space="preserve"> </w:t>
      </w:r>
      <w:r>
        <w:rPr>
          <w:rFonts w:hint="eastAsia"/>
          <w:sz w:val="24"/>
          <w:szCs w:val="24"/>
        </w:rPr>
        <w:t>饮用水水源受到污染可能威胁供水安全的，生态环境部门应当责令有关单位采取停止或者减少排放水污染物等措施，当地人民政府应当视情况采取停止取水等应急措施。</w:t>
      </w:r>
    </w:p>
    <w:p>
      <w:pPr>
        <w:pStyle w:val="3"/>
        <w:topLinePunct/>
        <w:spacing w:line="412" w:lineRule="exact"/>
        <w:ind w:firstLine="482"/>
        <w:rPr>
          <w:sz w:val="24"/>
          <w:szCs w:val="24"/>
        </w:rPr>
      </w:pPr>
      <w:r>
        <w:rPr>
          <w:rFonts w:hint="eastAsia"/>
          <w:b/>
          <w:sz w:val="24"/>
          <w:szCs w:val="24"/>
        </w:rPr>
        <w:t>第六十三条</w:t>
      </w:r>
      <w:r>
        <w:rPr>
          <w:b/>
          <w:sz w:val="24"/>
          <w:szCs w:val="24"/>
        </w:rPr>
        <w:t xml:space="preserve"> </w:t>
      </w:r>
      <w:r>
        <w:rPr>
          <w:sz w:val="24"/>
          <w:szCs w:val="24"/>
        </w:rPr>
        <w:t xml:space="preserve"> </w:t>
      </w:r>
      <w:r>
        <w:rPr>
          <w:rFonts w:hint="eastAsia"/>
          <w:sz w:val="24"/>
          <w:szCs w:val="24"/>
        </w:rPr>
        <w:t>建设、使用垃圾填埋场或者贮存液体化学原料、油类等地下工程设施的单位，应当对地下工程采取防止渗漏的有效措施，并配套建设地下水监测井等水污染防治设施，定期向生态环境部门提交地下水水质监测报告，防止污染地下水。</w:t>
      </w:r>
    </w:p>
    <w:p>
      <w:pPr>
        <w:pStyle w:val="3"/>
        <w:topLinePunct/>
        <w:spacing w:line="412" w:lineRule="exact"/>
        <w:ind w:firstLine="482"/>
        <w:rPr>
          <w:sz w:val="24"/>
          <w:szCs w:val="24"/>
        </w:rPr>
      </w:pPr>
      <w:r>
        <w:rPr>
          <w:rFonts w:hint="eastAsia"/>
          <w:b/>
          <w:sz w:val="24"/>
          <w:szCs w:val="24"/>
        </w:rPr>
        <w:t>第六十四条</w:t>
      </w:r>
      <w:r>
        <w:rPr>
          <w:b/>
          <w:sz w:val="24"/>
          <w:szCs w:val="24"/>
        </w:rPr>
        <w:t xml:space="preserve"> </w:t>
      </w:r>
      <w:r>
        <w:rPr>
          <w:sz w:val="24"/>
          <w:szCs w:val="24"/>
        </w:rPr>
        <w:t xml:space="preserve"> </w:t>
      </w:r>
      <w:r>
        <w:rPr>
          <w:rFonts w:hint="eastAsia"/>
          <w:sz w:val="24"/>
          <w:szCs w:val="24"/>
        </w:rPr>
        <w:t>多层地下水的含水层水质差异较大的，应当分层开采；对已受污染的潜水和承压水，不得混合开采。因过量开采地下水导致水质恶化，不宜继续开采的，市水务部门应当会同市规划和自然资源部门向市人民政府报告。市人民政府应当责成有关部门采取措施，停止或者限制开采地下水。</w:t>
      </w:r>
    </w:p>
    <w:p>
      <w:pPr>
        <w:pStyle w:val="3"/>
        <w:topLinePunct/>
        <w:spacing w:line="412" w:lineRule="exact"/>
        <w:ind w:firstLine="482"/>
        <w:rPr>
          <w:sz w:val="24"/>
          <w:szCs w:val="24"/>
        </w:rPr>
      </w:pPr>
      <w:r>
        <w:rPr>
          <w:rFonts w:hint="eastAsia"/>
          <w:b/>
          <w:sz w:val="24"/>
          <w:szCs w:val="24"/>
        </w:rPr>
        <w:t>第六十五条</w:t>
      </w:r>
      <w:r>
        <w:rPr>
          <w:b/>
          <w:sz w:val="24"/>
          <w:szCs w:val="24"/>
        </w:rPr>
        <w:t xml:space="preserve">  </w:t>
      </w:r>
      <w:r>
        <w:rPr>
          <w:rFonts w:hint="eastAsia"/>
          <w:sz w:val="24"/>
          <w:szCs w:val="24"/>
        </w:rPr>
        <w:t>从事地下热水资源开发利用或者使用水源热泵、地源热泵的，应当采取有效措施，防止地下水污染。市规划和自然资源部门和市水务部门应当依法加强监督管理和指导。</w:t>
      </w:r>
    </w:p>
    <w:p>
      <w:pPr>
        <w:pStyle w:val="3"/>
        <w:topLinePunct/>
        <w:spacing w:line="412" w:lineRule="exact"/>
        <w:ind w:firstLine="482"/>
        <w:rPr>
          <w:sz w:val="24"/>
          <w:szCs w:val="24"/>
        </w:rPr>
      </w:pPr>
      <w:r>
        <w:rPr>
          <w:rFonts w:hint="eastAsia"/>
          <w:b/>
          <w:sz w:val="24"/>
          <w:szCs w:val="24"/>
        </w:rPr>
        <w:t>第六十六条</w:t>
      </w:r>
      <w:r>
        <w:rPr>
          <w:b/>
          <w:sz w:val="24"/>
          <w:szCs w:val="24"/>
        </w:rPr>
        <w:t xml:space="preserve"> </w:t>
      </w:r>
      <w:r>
        <w:rPr>
          <w:sz w:val="24"/>
          <w:szCs w:val="24"/>
        </w:rPr>
        <w:t xml:space="preserve"> </w:t>
      </w:r>
      <w:r>
        <w:rPr>
          <w:rFonts w:hint="eastAsia"/>
          <w:sz w:val="24"/>
          <w:szCs w:val="24"/>
        </w:rPr>
        <w:t>人工回灌补给地下水的，不得恶化地下水水质。</w:t>
      </w:r>
    </w:p>
    <w:p>
      <w:pPr>
        <w:pStyle w:val="3"/>
        <w:topLinePunct/>
        <w:spacing w:line="412" w:lineRule="exact"/>
        <w:ind w:firstLine="480"/>
        <w:rPr>
          <w:sz w:val="24"/>
          <w:szCs w:val="24"/>
        </w:rPr>
      </w:pPr>
      <w:r>
        <w:rPr>
          <w:rFonts w:hint="eastAsia"/>
          <w:sz w:val="24"/>
          <w:szCs w:val="24"/>
        </w:rPr>
        <w:t>进行地下勘探、采矿、工程降排水、地下空间的开发利用等可能干扰地下含水层的活动，应当采取防护性措施，防止地下水污染。</w:t>
      </w:r>
    </w:p>
    <w:p>
      <w:pPr>
        <w:pStyle w:val="3"/>
        <w:topLinePunct/>
        <w:spacing w:line="412" w:lineRule="exact"/>
        <w:ind w:firstLine="480"/>
        <w:rPr>
          <w:sz w:val="24"/>
          <w:szCs w:val="24"/>
        </w:rPr>
      </w:pPr>
      <w:r>
        <w:rPr>
          <w:rFonts w:hint="eastAsia"/>
          <w:sz w:val="24"/>
          <w:szCs w:val="24"/>
        </w:rPr>
        <w:t>大口井、废弃机井的产权单位应当采取合理的封井措施和工艺，防止造成地下水污染。</w:t>
      </w:r>
    </w:p>
    <w:p>
      <w:pPr>
        <w:pStyle w:val="63"/>
        <w:spacing w:before="218" w:after="218"/>
      </w:pPr>
      <w:r>
        <w:rPr>
          <w:rFonts w:hint="eastAsia"/>
        </w:rPr>
        <w:t>第五章</w:t>
      </w:r>
      <w:r>
        <w:t xml:space="preserve">  </w:t>
      </w:r>
      <w:r>
        <w:rPr>
          <w:rFonts w:hint="eastAsia"/>
        </w:rPr>
        <w:t>生态环境用水保障与污水再生利用</w:t>
      </w:r>
    </w:p>
    <w:p>
      <w:pPr>
        <w:pStyle w:val="3"/>
        <w:topLinePunct/>
        <w:spacing w:line="412" w:lineRule="exact"/>
        <w:ind w:firstLine="482"/>
        <w:rPr>
          <w:sz w:val="24"/>
          <w:szCs w:val="24"/>
        </w:rPr>
      </w:pPr>
      <w:r>
        <w:rPr>
          <w:rFonts w:hint="eastAsia"/>
          <w:b/>
          <w:sz w:val="24"/>
          <w:szCs w:val="24"/>
        </w:rPr>
        <w:t>第六十七条</w:t>
      </w:r>
      <w:r>
        <w:rPr>
          <w:b/>
          <w:sz w:val="24"/>
          <w:szCs w:val="24"/>
        </w:rPr>
        <w:t xml:space="preserve"> </w:t>
      </w:r>
      <w:r>
        <w:rPr>
          <w:sz w:val="24"/>
          <w:szCs w:val="24"/>
        </w:rPr>
        <w:t xml:space="preserve"> </w:t>
      </w:r>
      <w:r>
        <w:rPr>
          <w:rFonts w:hint="eastAsia"/>
          <w:sz w:val="24"/>
          <w:szCs w:val="24"/>
        </w:rPr>
        <w:t>本市坚持水资源开发利用与水污染防治相结合，实行用水总量控制，鼓励污水再生利用，逐步保障生态环境用水，实现用水量与水资源量的平衡，恢复地表、地下水体合理的水量、水位。</w:t>
      </w:r>
    </w:p>
    <w:p>
      <w:pPr>
        <w:pStyle w:val="3"/>
        <w:topLinePunct/>
        <w:spacing w:line="412" w:lineRule="exact"/>
        <w:ind w:firstLine="480"/>
        <w:rPr>
          <w:sz w:val="24"/>
          <w:szCs w:val="24"/>
        </w:rPr>
      </w:pPr>
      <w:r>
        <w:rPr>
          <w:rFonts w:hint="eastAsia"/>
          <w:sz w:val="24"/>
          <w:szCs w:val="24"/>
        </w:rPr>
        <w:t>水务部门在制定水资源利用规划或者进行水资源调配时，应当统筹考虑再生水与地表水、地下水的利用，在保障城乡居民生活用水的基础上，统筹兼顾生态环境、工业、农业用水。</w:t>
      </w:r>
    </w:p>
    <w:p>
      <w:pPr>
        <w:pStyle w:val="3"/>
        <w:topLinePunct/>
        <w:spacing w:line="412" w:lineRule="exact"/>
        <w:ind w:firstLine="482"/>
        <w:rPr>
          <w:sz w:val="24"/>
          <w:szCs w:val="24"/>
        </w:rPr>
      </w:pPr>
      <w:r>
        <w:rPr>
          <w:rFonts w:hint="eastAsia"/>
          <w:b/>
          <w:sz w:val="24"/>
          <w:szCs w:val="24"/>
        </w:rPr>
        <w:t>第六十八条</w:t>
      </w:r>
      <w:r>
        <w:rPr>
          <w:b/>
          <w:sz w:val="24"/>
          <w:szCs w:val="24"/>
        </w:rPr>
        <w:t xml:space="preserve"> </w:t>
      </w:r>
      <w:r>
        <w:rPr>
          <w:sz w:val="24"/>
          <w:szCs w:val="24"/>
        </w:rPr>
        <w:t xml:space="preserve"> </w:t>
      </w:r>
      <w:r>
        <w:rPr>
          <w:rFonts w:hint="eastAsia"/>
          <w:sz w:val="24"/>
          <w:szCs w:val="24"/>
        </w:rPr>
        <w:t>市水务部门会同市生态环境部门确定本市重点河段和重点湖泊最低生态环境用水量，在流域综合整治规划中提出具体生态用水保障方案并组织实施。</w:t>
      </w:r>
    </w:p>
    <w:p>
      <w:pPr>
        <w:pStyle w:val="3"/>
        <w:topLinePunct/>
        <w:spacing w:line="412" w:lineRule="exact"/>
        <w:ind w:firstLine="482"/>
        <w:rPr>
          <w:sz w:val="24"/>
          <w:szCs w:val="24"/>
        </w:rPr>
      </w:pPr>
      <w:r>
        <w:rPr>
          <w:rFonts w:hint="eastAsia"/>
          <w:b/>
          <w:sz w:val="24"/>
          <w:szCs w:val="24"/>
        </w:rPr>
        <w:t>第六十九条</w:t>
      </w:r>
      <w:r>
        <w:rPr>
          <w:b/>
          <w:sz w:val="24"/>
          <w:szCs w:val="24"/>
        </w:rPr>
        <w:t xml:space="preserve"> </w:t>
      </w:r>
      <w:r>
        <w:rPr>
          <w:sz w:val="24"/>
          <w:szCs w:val="24"/>
        </w:rPr>
        <w:t xml:space="preserve"> </w:t>
      </w:r>
      <w:r>
        <w:rPr>
          <w:rFonts w:hint="eastAsia"/>
          <w:sz w:val="24"/>
          <w:szCs w:val="24"/>
        </w:rPr>
        <w:t>本市生态环境用水应当优先使用雨水和再生水。严格限制使用地下水和自来水作为城市景观用水。</w:t>
      </w:r>
    </w:p>
    <w:p>
      <w:pPr>
        <w:pStyle w:val="3"/>
        <w:topLinePunct/>
        <w:spacing w:line="412" w:lineRule="exact"/>
        <w:ind w:firstLine="480"/>
        <w:rPr>
          <w:sz w:val="24"/>
          <w:szCs w:val="24"/>
        </w:rPr>
      </w:pPr>
      <w:r>
        <w:rPr>
          <w:rFonts w:hint="eastAsia"/>
          <w:sz w:val="24"/>
          <w:szCs w:val="24"/>
        </w:rPr>
        <w:t>住宅小区、单位内部景观用水和市政杂用水具备使用雨水或者再生水条件的，应当使用雨水或者再生水，不得使用地下水和自来水。</w:t>
      </w:r>
    </w:p>
    <w:p>
      <w:pPr>
        <w:pStyle w:val="3"/>
        <w:topLinePunct/>
        <w:spacing w:line="412" w:lineRule="exact"/>
        <w:ind w:firstLine="480"/>
        <w:rPr>
          <w:sz w:val="24"/>
          <w:szCs w:val="24"/>
        </w:rPr>
      </w:pPr>
      <w:r>
        <w:rPr>
          <w:rFonts w:hint="eastAsia"/>
          <w:sz w:val="24"/>
          <w:szCs w:val="24"/>
        </w:rPr>
        <w:t>各类工程施工降水的抽排水应当综合利用，优先用于施工现场及城市景观用水。</w:t>
      </w:r>
    </w:p>
    <w:p>
      <w:pPr>
        <w:pStyle w:val="3"/>
        <w:topLinePunct/>
        <w:spacing w:line="412" w:lineRule="exact"/>
        <w:ind w:firstLine="480"/>
        <w:rPr>
          <w:sz w:val="24"/>
          <w:szCs w:val="24"/>
        </w:rPr>
      </w:pPr>
      <w:r>
        <w:rPr>
          <w:rFonts w:hint="eastAsia"/>
          <w:sz w:val="24"/>
          <w:szCs w:val="24"/>
        </w:rPr>
        <w:t>前三款所列各项用水的具体管理办法由市人民政府制定。</w:t>
      </w:r>
    </w:p>
    <w:p>
      <w:pPr>
        <w:pStyle w:val="3"/>
        <w:topLinePunct/>
        <w:spacing w:line="412" w:lineRule="exact"/>
        <w:ind w:firstLine="482"/>
        <w:rPr>
          <w:sz w:val="24"/>
          <w:szCs w:val="24"/>
        </w:rPr>
      </w:pPr>
      <w:r>
        <w:rPr>
          <w:rFonts w:hint="eastAsia"/>
          <w:b/>
          <w:sz w:val="24"/>
          <w:szCs w:val="24"/>
        </w:rPr>
        <w:t>第七十条</w:t>
      </w:r>
      <w:r>
        <w:rPr>
          <w:b/>
          <w:sz w:val="24"/>
          <w:szCs w:val="24"/>
        </w:rPr>
        <w:t xml:space="preserve"> </w:t>
      </w:r>
      <w:r>
        <w:rPr>
          <w:sz w:val="24"/>
          <w:szCs w:val="24"/>
        </w:rPr>
        <w:t xml:space="preserve"> </w:t>
      </w:r>
      <w:r>
        <w:rPr>
          <w:rFonts w:hint="eastAsia"/>
          <w:sz w:val="24"/>
          <w:szCs w:val="24"/>
        </w:rPr>
        <w:t>市水务部门应当将水体生态修复纳入流域综合整治规划，通过采取生态保护措施，改善水体水质。</w:t>
      </w:r>
    </w:p>
    <w:p>
      <w:pPr>
        <w:pStyle w:val="3"/>
        <w:topLinePunct/>
        <w:spacing w:line="412" w:lineRule="exact"/>
        <w:ind w:firstLine="482"/>
        <w:rPr>
          <w:sz w:val="24"/>
          <w:szCs w:val="24"/>
        </w:rPr>
      </w:pPr>
      <w:r>
        <w:rPr>
          <w:rFonts w:hint="eastAsia"/>
          <w:b/>
          <w:sz w:val="24"/>
          <w:szCs w:val="24"/>
        </w:rPr>
        <w:t>第七十一条</w:t>
      </w:r>
      <w:r>
        <w:rPr>
          <w:b/>
          <w:sz w:val="24"/>
          <w:szCs w:val="24"/>
        </w:rPr>
        <w:t xml:space="preserve"> </w:t>
      </w:r>
      <w:r>
        <w:rPr>
          <w:sz w:val="24"/>
          <w:szCs w:val="24"/>
        </w:rPr>
        <w:t xml:space="preserve"> </w:t>
      </w:r>
      <w:r>
        <w:rPr>
          <w:rFonts w:hint="eastAsia"/>
          <w:sz w:val="24"/>
          <w:szCs w:val="24"/>
        </w:rPr>
        <w:t>跨河流调配水资源的，应当充分论证，统筹兼顾水资源利用和水污染防治的需要，防止对生态环境产生不利影响。</w:t>
      </w:r>
    </w:p>
    <w:p>
      <w:pPr>
        <w:pStyle w:val="3"/>
        <w:topLinePunct/>
        <w:spacing w:line="412" w:lineRule="exact"/>
        <w:ind w:firstLine="482"/>
        <w:rPr>
          <w:sz w:val="24"/>
          <w:szCs w:val="24"/>
        </w:rPr>
      </w:pPr>
      <w:r>
        <w:rPr>
          <w:rFonts w:hint="eastAsia"/>
          <w:b/>
          <w:sz w:val="24"/>
          <w:szCs w:val="24"/>
        </w:rPr>
        <w:t>第七十二条</w:t>
      </w:r>
      <w:r>
        <w:rPr>
          <w:b/>
          <w:sz w:val="24"/>
          <w:szCs w:val="24"/>
        </w:rPr>
        <w:t xml:space="preserve"> </w:t>
      </w:r>
      <w:r>
        <w:rPr>
          <w:sz w:val="24"/>
          <w:szCs w:val="24"/>
        </w:rPr>
        <w:t xml:space="preserve"> </w:t>
      </w:r>
      <w:r>
        <w:rPr>
          <w:rFonts w:hint="eastAsia"/>
          <w:sz w:val="24"/>
          <w:szCs w:val="24"/>
        </w:rPr>
        <w:t>市、区水务部门应当按照管理权限组织编制排水和再生水规划，经规划和自然资源部门组织审查后报本级人民政府批准实施。</w:t>
      </w:r>
    </w:p>
    <w:p>
      <w:pPr>
        <w:pStyle w:val="3"/>
        <w:topLinePunct/>
        <w:spacing w:line="412" w:lineRule="exact"/>
        <w:ind w:firstLine="480"/>
        <w:rPr>
          <w:sz w:val="24"/>
          <w:szCs w:val="24"/>
        </w:rPr>
      </w:pPr>
      <w:r>
        <w:rPr>
          <w:rFonts w:hint="eastAsia"/>
          <w:sz w:val="24"/>
          <w:szCs w:val="24"/>
        </w:rPr>
        <w:t>本市各级人民政府依据有关规划，通过政府投资或者其他方式筹集资金，统筹安排建设公共再生水设施，逐步扩大再生水输配管网的覆盖范围。</w:t>
      </w:r>
    </w:p>
    <w:p>
      <w:pPr>
        <w:pStyle w:val="3"/>
        <w:topLinePunct/>
        <w:spacing w:line="412" w:lineRule="exact"/>
        <w:ind w:firstLine="482"/>
        <w:rPr>
          <w:sz w:val="24"/>
          <w:szCs w:val="24"/>
        </w:rPr>
      </w:pPr>
      <w:r>
        <w:rPr>
          <w:rFonts w:hint="eastAsia"/>
          <w:b/>
          <w:sz w:val="24"/>
          <w:szCs w:val="24"/>
        </w:rPr>
        <w:t>第七十三条</w:t>
      </w:r>
      <w:r>
        <w:rPr>
          <w:b/>
          <w:sz w:val="24"/>
          <w:szCs w:val="24"/>
        </w:rPr>
        <w:t xml:space="preserve"> </w:t>
      </w:r>
      <w:r>
        <w:rPr>
          <w:sz w:val="24"/>
          <w:szCs w:val="24"/>
        </w:rPr>
        <w:t xml:space="preserve"> </w:t>
      </w:r>
      <w:r>
        <w:rPr>
          <w:rFonts w:hint="eastAsia"/>
          <w:sz w:val="24"/>
          <w:szCs w:val="24"/>
        </w:rPr>
        <w:t>本市各级人民政府应当制定政策，采取措施，发展工业再生水用户，鼓励工业企业的废水处理后循环使用，扩大农业再生水灌溉范围，推动再生水回补地下水的技术研究和应用。</w:t>
      </w:r>
    </w:p>
    <w:p>
      <w:pPr>
        <w:pStyle w:val="3"/>
        <w:topLinePunct/>
        <w:spacing w:line="412" w:lineRule="exact"/>
        <w:ind w:firstLine="480"/>
        <w:rPr>
          <w:sz w:val="24"/>
          <w:szCs w:val="24"/>
        </w:rPr>
      </w:pPr>
      <w:r>
        <w:rPr>
          <w:rFonts w:hint="eastAsia"/>
          <w:sz w:val="24"/>
          <w:szCs w:val="24"/>
        </w:rPr>
        <w:t>再生水输配管网覆盖范围内的园林绿化、环境卫生、工程施工等用水应当使用再生水。</w:t>
      </w:r>
    </w:p>
    <w:p>
      <w:pPr>
        <w:pStyle w:val="3"/>
        <w:topLinePunct/>
        <w:spacing w:line="412" w:lineRule="exact"/>
        <w:ind w:firstLine="480"/>
        <w:rPr>
          <w:sz w:val="24"/>
          <w:szCs w:val="24"/>
        </w:rPr>
      </w:pPr>
      <w:r>
        <w:rPr>
          <w:rFonts w:hint="eastAsia"/>
          <w:sz w:val="24"/>
          <w:szCs w:val="24"/>
        </w:rPr>
        <w:t>再生水输配管网覆盖范围以外的地区新建、改建、扩建的建设项目，可回收水量较大的，应当配套建设再生水利用设施。</w:t>
      </w:r>
    </w:p>
    <w:p>
      <w:pPr>
        <w:pStyle w:val="3"/>
        <w:topLinePunct/>
        <w:spacing w:line="412" w:lineRule="exact"/>
        <w:ind w:firstLine="482"/>
        <w:rPr>
          <w:sz w:val="24"/>
          <w:szCs w:val="24"/>
        </w:rPr>
      </w:pPr>
      <w:r>
        <w:rPr>
          <w:rFonts w:hint="eastAsia"/>
          <w:b/>
          <w:sz w:val="24"/>
          <w:szCs w:val="24"/>
        </w:rPr>
        <w:t>第七十四条</w:t>
      </w:r>
      <w:r>
        <w:rPr>
          <w:b/>
          <w:sz w:val="24"/>
          <w:szCs w:val="24"/>
        </w:rPr>
        <w:t xml:space="preserve"> </w:t>
      </w:r>
      <w:r>
        <w:rPr>
          <w:sz w:val="24"/>
          <w:szCs w:val="24"/>
        </w:rPr>
        <w:t xml:space="preserve"> </w:t>
      </w:r>
      <w:r>
        <w:rPr>
          <w:rFonts w:hint="eastAsia"/>
          <w:sz w:val="24"/>
          <w:szCs w:val="24"/>
        </w:rPr>
        <w:t>市水务部门应当根据用水规模、水质要求和经济、技术条件等因素，确定本市重点行业的再生水使用指标，报市人民政府批准施行。</w:t>
      </w:r>
    </w:p>
    <w:p>
      <w:pPr>
        <w:pStyle w:val="3"/>
        <w:topLinePunct/>
        <w:spacing w:line="412" w:lineRule="exact"/>
        <w:ind w:firstLine="480"/>
        <w:rPr>
          <w:sz w:val="24"/>
          <w:szCs w:val="24"/>
        </w:rPr>
      </w:pPr>
      <w:r>
        <w:rPr>
          <w:rFonts w:hint="eastAsia"/>
          <w:sz w:val="24"/>
          <w:szCs w:val="24"/>
        </w:rPr>
        <w:t>重点行业的企业具备再生水利用条件的，市水务部门应当将再生水用量纳入其用水指标；无正当理由未使用再生水的，由市水务部门责令限期改正，逾期不改正的，由市水务部门核减相应的用水指标。</w:t>
      </w:r>
    </w:p>
    <w:p>
      <w:pPr>
        <w:pStyle w:val="3"/>
        <w:topLinePunct/>
        <w:spacing w:line="412" w:lineRule="exact"/>
        <w:ind w:firstLine="482"/>
        <w:rPr>
          <w:sz w:val="24"/>
          <w:szCs w:val="24"/>
        </w:rPr>
      </w:pPr>
      <w:r>
        <w:rPr>
          <w:rFonts w:hint="eastAsia"/>
          <w:b/>
          <w:sz w:val="24"/>
          <w:szCs w:val="24"/>
        </w:rPr>
        <w:t>第七十五条</w:t>
      </w:r>
      <w:r>
        <w:rPr>
          <w:b/>
          <w:sz w:val="24"/>
          <w:szCs w:val="24"/>
        </w:rPr>
        <w:t xml:space="preserve"> </w:t>
      </w:r>
      <w:r>
        <w:rPr>
          <w:sz w:val="24"/>
          <w:szCs w:val="24"/>
        </w:rPr>
        <w:t xml:space="preserve"> </w:t>
      </w:r>
      <w:r>
        <w:rPr>
          <w:rFonts w:hint="eastAsia"/>
          <w:sz w:val="24"/>
          <w:szCs w:val="24"/>
        </w:rPr>
        <w:t>再生水用户应当根据不同用途，按照国家和本市规定的再生水水质标准使用再生水。</w:t>
      </w:r>
    </w:p>
    <w:p>
      <w:pPr>
        <w:pStyle w:val="3"/>
        <w:topLinePunct/>
        <w:spacing w:line="412" w:lineRule="exact"/>
        <w:ind w:firstLine="480"/>
        <w:rPr>
          <w:sz w:val="24"/>
          <w:szCs w:val="24"/>
        </w:rPr>
      </w:pPr>
      <w:r>
        <w:rPr>
          <w:rFonts w:hint="eastAsia"/>
          <w:sz w:val="24"/>
          <w:szCs w:val="24"/>
        </w:rPr>
        <w:t>再生水设施运营单位应当加强设施的维护管理，保证其正常运行，并对再生水水质负责。</w:t>
      </w:r>
    </w:p>
    <w:p>
      <w:pPr>
        <w:pStyle w:val="3"/>
        <w:topLinePunct/>
        <w:spacing w:line="412" w:lineRule="exact"/>
        <w:ind w:firstLine="482"/>
        <w:rPr>
          <w:sz w:val="24"/>
          <w:szCs w:val="24"/>
        </w:rPr>
      </w:pPr>
      <w:r>
        <w:rPr>
          <w:rFonts w:hint="eastAsia"/>
          <w:b/>
          <w:sz w:val="24"/>
          <w:szCs w:val="24"/>
        </w:rPr>
        <w:t>第七十六条</w:t>
      </w:r>
      <w:r>
        <w:rPr>
          <w:b/>
          <w:sz w:val="24"/>
          <w:szCs w:val="24"/>
        </w:rPr>
        <w:t xml:space="preserve"> </w:t>
      </w:r>
      <w:r>
        <w:rPr>
          <w:sz w:val="24"/>
          <w:szCs w:val="24"/>
        </w:rPr>
        <w:t xml:space="preserve"> </w:t>
      </w:r>
      <w:r>
        <w:rPr>
          <w:rFonts w:hint="eastAsia"/>
          <w:sz w:val="24"/>
          <w:szCs w:val="24"/>
        </w:rPr>
        <w:t>本市开展再生水利用的风险研究，建立再生水利用的监测和预警系统。</w:t>
      </w:r>
    </w:p>
    <w:p>
      <w:pPr>
        <w:pStyle w:val="63"/>
        <w:spacing w:before="218" w:after="218"/>
      </w:pPr>
      <w:r>
        <w:rPr>
          <w:rFonts w:hint="eastAsia"/>
        </w:rPr>
        <w:t>第六章</w:t>
      </w:r>
      <w:r>
        <w:t xml:space="preserve">  </w:t>
      </w:r>
      <w:r>
        <w:rPr>
          <w:rFonts w:hint="eastAsia"/>
        </w:rPr>
        <w:t>法律责任</w:t>
      </w:r>
    </w:p>
    <w:p>
      <w:pPr>
        <w:pStyle w:val="3"/>
        <w:topLinePunct/>
        <w:spacing w:line="412" w:lineRule="exact"/>
        <w:ind w:firstLine="482"/>
        <w:rPr>
          <w:sz w:val="24"/>
          <w:szCs w:val="24"/>
        </w:rPr>
      </w:pPr>
      <w:r>
        <w:rPr>
          <w:rFonts w:hint="eastAsia"/>
          <w:b/>
          <w:sz w:val="24"/>
          <w:szCs w:val="24"/>
        </w:rPr>
        <w:t>第七十七条</w:t>
      </w:r>
      <w:r>
        <w:rPr>
          <w:b/>
          <w:sz w:val="24"/>
          <w:szCs w:val="24"/>
        </w:rPr>
        <w:t xml:space="preserve"> </w:t>
      </w:r>
      <w:r>
        <w:rPr>
          <w:sz w:val="24"/>
          <w:szCs w:val="24"/>
        </w:rPr>
        <w:t xml:space="preserve"> </w:t>
      </w:r>
      <w:r>
        <w:rPr>
          <w:rFonts w:hint="eastAsia"/>
          <w:sz w:val="24"/>
          <w:szCs w:val="24"/>
        </w:rPr>
        <w:t>对违反本条例规定的行为，有关法律、法规已经规定法律责任的，适用其规定；法律、法规没有规定的，适用本条例的规定。</w:t>
      </w:r>
    </w:p>
    <w:p>
      <w:pPr>
        <w:pStyle w:val="3"/>
        <w:topLinePunct/>
        <w:spacing w:line="412" w:lineRule="exact"/>
        <w:ind w:firstLine="482"/>
        <w:rPr>
          <w:sz w:val="24"/>
          <w:szCs w:val="24"/>
        </w:rPr>
      </w:pPr>
      <w:r>
        <w:rPr>
          <w:rFonts w:hint="eastAsia"/>
          <w:b/>
          <w:sz w:val="24"/>
          <w:szCs w:val="24"/>
        </w:rPr>
        <w:t>第七十八条</w:t>
      </w:r>
      <w:r>
        <w:rPr>
          <w:b/>
          <w:sz w:val="24"/>
          <w:szCs w:val="24"/>
        </w:rPr>
        <w:t xml:space="preserve"> </w:t>
      </w:r>
      <w:r>
        <w:rPr>
          <w:sz w:val="24"/>
          <w:szCs w:val="24"/>
        </w:rPr>
        <w:t xml:space="preserve"> </w:t>
      </w:r>
      <w:r>
        <w:rPr>
          <w:rFonts w:hint="eastAsia"/>
          <w:sz w:val="24"/>
          <w:szCs w:val="24"/>
        </w:rPr>
        <w:t>市、区生态环境部门或者其他依照本条例规定行使监督管理权的部门有下列行为之一的，由任免机关或者监察机关依法对直接负责的主管人员和其他直接责任人员给予行政处分；构成犯罪的，依法追究刑事责任：</w:t>
      </w:r>
    </w:p>
    <w:p>
      <w:pPr>
        <w:pStyle w:val="3"/>
        <w:topLinePunct/>
        <w:spacing w:line="412" w:lineRule="exact"/>
        <w:ind w:firstLine="480"/>
        <w:rPr>
          <w:sz w:val="24"/>
          <w:szCs w:val="24"/>
        </w:rPr>
      </w:pPr>
      <w:r>
        <w:rPr>
          <w:rFonts w:hint="eastAsia"/>
          <w:sz w:val="24"/>
          <w:szCs w:val="24"/>
        </w:rPr>
        <w:t>（一）不依法作出行政许可或者办理批准文件的；</w:t>
      </w:r>
    </w:p>
    <w:p>
      <w:pPr>
        <w:pStyle w:val="3"/>
        <w:topLinePunct/>
        <w:spacing w:line="412" w:lineRule="exact"/>
        <w:ind w:firstLine="480"/>
        <w:rPr>
          <w:sz w:val="24"/>
          <w:szCs w:val="24"/>
        </w:rPr>
      </w:pPr>
      <w:r>
        <w:rPr>
          <w:rFonts w:hint="eastAsia"/>
          <w:sz w:val="24"/>
          <w:szCs w:val="24"/>
        </w:rPr>
        <w:t>（二）未按规定实施行政处罚或者违法采取行政措施的；</w:t>
      </w:r>
    </w:p>
    <w:p>
      <w:pPr>
        <w:pStyle w:val="3"/>
        <w:topLinePunct/>
        <w:spacing w:line="412" w:lineRule="exact"/>
        <w:ind w:firstLine="480"/>
        <w:rPr>
          <w:sz w:val="24"/>
          <w:szCs w:val="24"/>
        </w:rPr>
      </w:pPr>
      <w:r>
        <w:rPr>
          <w:rFonts w:hint="eastAsia"/>
          <w:sz w:val="24"/>
          <w:szCs w:val="24"/>
        </w:rPr>
        <w:t>（三）发现违法行为或者接到对违法行为的举报后不予查处的；</w:t>
      </w:r>
    </w:p>
    <w:p>
      <w:pPr>
        <w:pStyle w:val="3"/>
        <w:topLinePunct/>
        <w:spacing w:line="412" w:lineRule="exact"/>
        <w:ind w:firstLine="480"/>
        <w:rPr>
          <w:sz w:val="24"/>
          <w:szCs w:val="24"/>
        </w:rPr>
      </w:pPr>
      <w:r>
        <w:rPr>
          <w:rFonts w:hint="eastAsia"/>
          <w:sz w:val="24"/>
          <w:szCs w:val="24"/>
        </w:rPr>
        <w:t>（四）其他未依照本条例规定履行职责的行为。</w:t>
      </w:r>
    </w:p>
    <w:p>
      <w:pPr>
        <w:pStyle w:val="3"/>
        <w:topLinePunct/>
        <w:spacing w:line="412" w:lineRule="exact"/>
        <w:ind w:firstLine="482"/>
        <w:rPr>
          <w:sz w:val="24"/>
          <w:szCs w:val="24"/>
        </w:rPr>
      </w:pPr>
      <w:r>
        <w:rPr>
          <w:rFonts w:hint="eastAsia"/>
          <w:b/>
          <w:sz w:val="24"/>
          <w:szCs w:val="24"/>
        </w:rPr>
        <w:t>第七十九条</w:t>
      </w:r>
      <w:r>
        <w:rPr>
          <w:b/>
          <w:sz w:val="24"/>
          <w:szCs w:val="24"/>
        </w:rPr>
        <w:t xml:space="preserve"> </w:t>
      </w:r>
      <w:r>
        <w:rPr>
          <w:sz w:val="24"/>
          <w:szCs w:val="24"/>
        </w:rPr>
        <w:t xml:space="preserve"> </w:t>
      </w:r>
      <w:r>
        <w:rPr>
          <w:rFonts w:hint="eastAsia"/>
          <w:sz w:val="24"/>
          <w:szCs w:val="24"/>
        </w:rPr>
        <w:t>违反本条例规定，有下列行为之一的，由区级以上人民政府生态环境部门责令改正或者责令限制生产、停产整治，并处十万元以上一百万元以下的罚款；情节严重的，报经有批准权的人民政府批准，责令停业、关闭：</w:t>
      </w:r>
    </w:p>
    <w:p>
      <w:pPr>
        <w:pStyle w:val="3"/>
        <w:topLinePunct/>
        <w:spacing w:line="412" w:lineRule="exact"/>
        <w:ind w:firstLine="480"/>
        <w:rPr>
          <w:sz w:val="24"/>
          <w:szCs w:val="24"/>
        </w:rPr>
      </w:pPr>
      <w:r>
        <w:rPr>
          <w:rFonts w:hint="eastAsia"/>
          <w:sz w:val="24"/>
          <w:szCs w:val="24"/>
        </w:rPr>
        <w:t>（一）超过水污染物排放标准或者超过重点水污染物排放总量控制指标排放水污染物的；</w:t>
      </w:r>
    </w:p>
    <w:p>
      <w:pPr>
        <w:pStyle w:val="3"/>
        <w:topLinePunct/>
        <w:spacing w:line="412" w:lineRule="exact"/>
        <w:ind w:firstLine="480"/>
        <w:rPr>
          <w:sz w:val="24"/>
          <w:szCs w:val="24"/>
        </w:rPr>
      </w:pPr>
      <w:r>
        <w:rPr>
          <w:rFonts w:hint="eastAsia"/>
          <w:sz w:val="24"/>
          <w:szCs w:val="24"/>
        </w:rPr>
        <w:t>（二）利用渗井、渗坑、裂隙、溶洞，私设暗管，篡改、伪造监测数据，或者不正常运行水污染防治设施等逃避监管的方式排放水污染物的。</w:t>
      </w:r>
    </w:p>
    <w:p>
      <w:pPr>
        <w:pStyle w:val="3"/>
        <w:topLinePunct/>
        <w:spacing w:line="412" w:lineRule="exact"/>
        <w:ind w:firstLine="482"/>
        <w:rPr>
          <w:sz w:val="24"/>
          <w:szCs w:val="24"/>
        </w:rPr>
      </w:pPr>
      <w:r>
        <w:rPr>
          <w:rFonts w:hint="eastAsia"/>
          <w:b/>
          <w:sz w:val="24"/>
          <w:szCs w:val="24"/>
        </w:rPr>
        <w:t>第八十条</w:t>
      </w:r>
      <w:r>
        <w:rPr>
          <w:b/>
          <w:sz w:val="24"/>
          <w:szCs w:val="24"/>
        </w:rPr>
        <w:t xml:space="preserve"> </w:t>
      </w:r>
      <w:r>
        <w:rPr>
          <w:sz w:val="24"/>
          <w:szCs w:val="24"/>
        </w:rPr>
        <w:t xml:space="preserve"> </w:t>
      </w:r>
      <w:r>
        <w:rPr>
          <w:rFonts w:hint="eastAsia"/>
          <w:sz w:val="24"/>
          <w:szCs w:val="24"/>
        </w:rPr>
        <w:t>违反本条例规定，装载有毒污染物的车辆驶入地表饮用水水源保护区的，由公安机关交通管理部门责令改正，并依法处理。</w:t>
      </w:r>
    </w:p>
    <w:p>
      <w:pPr>
        <w:pStyle w:val="3"/>
        <w:topLinePunct/>
        <w:spacing w:line="412" w:lineRule="exact"/>
        <w:ind w:firstLine="480"/>
        <w:rPr>
          <w:sz w:val="24"/>
          <w:szCs w:val="24"/>
        </w:rPr>
      </w:pPr>
      <w:r>
        <w:rPr>
          <w:rFonts w:hint="eastAsia"/>
          <w:sz w:val="24"/>
          <w:szCs w:val="24"/>
        </w:rPr>
        <w:t>在地表饮用水水源保护区组织水上旅游或者其他可能污染饮用水水源活动的，以及在地表饮用水水源保护区和准保护区内从事网箱养殖的，由所在地区生态环境部门或者水务部门按照职责分工责令停止违法行为，并处二万元以上十万元以下的罚款。</w:t>
      </w:r>
    </w:p>
    <w:p>
      <w:pPr>
        <w:pStyle w:val="3"/>
        <w:topLinePunct/>
        <w:spacing w:line="412" w:lineRule="exact"/>
        <w:ind w:firstLine="480"/>
        <w:rPr>
          <w:sz w:val="24"/>
          <w:szCs w:val="24"/>
        </w:rPr>
      </w:pPr>
      <w:r>
        <w:rPr>
          <w:rFonts w:hint="eastAsia"/>
          <w:sz w:val="24"/>
          <w:szCs w:val="24"/>
        </w:rPr>
        <w:t>个人在地表饮用水水源一级保护区内游泳、垂钓或者从事其他可能污染饮用水水体的活动的，由所在地区生态环境部门或者水务部门按照职责分工责令停止违法行为，并可以处五百元以下的罚款。</w:t>
      </w:r>
    </w:p>
    <w:p>
      <w:pPr>
        <w:pStyle w:val="3"/>
        <w:topLinePunct/>
        <w:spacing w:line="412" w:lineRule="exact"/>
        <w:ind w:firstLine="482"/>
        <w:rPr>
          <w:sz w:val="24"/>
          <w:szCs w:val="24"/>
        </w:rPr>
      </w:pPr>
      <w:r>
        <w:rPr>
          <w:rFonts w:hint="eastAsia"/>
          <w:b/>
          <w:sz w:val="24"/>
          <w:szCs w:val="24"/>
        </w:rPr>
        <w:t>第八十一条</w:t>
      </w:r>
      <w:r>
        <w:rPr>
          <w:b/>
          <w:sz w:val="24"/>
          <w:szCs w:val="24"/>
        </w:rPr>
        <w:t xml:space="preserve"> </w:t>
      </w:r>
      <w:r>
        <w:rPr>
          <w:sz w:val="24"/>
          <w:szCs w:val="24"/>
        </w:rPr>
        <w:t xml:space="preserve"> </w:t>
      </w:r>
      <w:r>
        <w:rPr>
          <w:rFonts w:hint="eastAsia"/>
          <w:sz w:val="24"/>
          <w:szCs w:val="24"/>
        </w:rPr>
        <w:t>违反本条例规定，有下列行为之一的，由市或者区生态环境部门责令限期改正，并处一万元以上十万元以下的罚款：</w:t>
      </w:r>
    </w:p>
    <w:p>
      <w:pPr>
        <w:pStyle w:val="3"/>
        <w:topLinePunct/>
        <w:spacing w:line="412" w:lineRule="exact"/>
        <w:ind w:firstLine="480"/>
        <w:rPr>
          <w:sz w:val="24"/>
          <w:szCs w:val="24"/>
        </w:rPr>
      </w:pPr>
      <w:r>
        <w:rPr>
          <w:rFonts w:hint="eastAsia"/>
          <w:sz w:val="24"/>
          <w:szCs w:val="24"/>
        </w:rPr>
        <w:t>（一）在地下饮用水水源保护区或者准保护区内堆放和贮存易溶、含有毒污染物的废弃物；</w:t>
      </w:r>
    </w:p>
    <w:p>
      <w:pPr>
        <w:pStyle w:val="3"/>
        <w:topLinePunct/>
        <w:spacing w:line="412" w:lineRule="exact"/>
        <w:ind w:firstLine="480"/>
        <w:rPr>
          <w:sz w:val="24"/>
          <w:szCs w:val="24"/>
        </w:rPr>
      </w:pPr>
      <w:r>
        <w:rPr>
          <w:rFonts w:hint="eastAsia"/>
          <w:sz w:val="24"/>
          <w:szCs w:val="24"/>
        </w:rPr>
        <w:t>（二）在地下饮用水水源保护区内堆放垃圾、粪便及其他可能污染地下饮用水水源的固体废弃物；</w:t>
      </w:r>
    </w:p>
    <w:p>
      <w:pPr>
        <w:pStyle w:val="3"/>
        <w:topLinePunct/>
        <w:spacing w:line="412" w:lineRule="exact"/>
        <w:ind w:firstLine="480"/>
        <w:rPr>
          <w:sz w:val="24"/>
          <w:szCs w:val="24"/>
        </w:rPr>
      </w:pPr>
      <w:r>
        <w:rPr>
          <w:rFonts w:hint="eastAsia"/>
          <w:sz w:val="24"/>
          <w:szCs w:val="24"/>
        </w:rPr>
        <w:t>（三）在地下饮用水水源保护区内新建贮存液体化学原料、油类或者其他含有毒污染物物质的地下工程设施。</w:t>
      </w:r>
    </w:p>
    <w:p>
      <w:pPr>
        <w:pStyle w:val="3"/>
        <w:topLinePunct/>
        <w:spacing w:line="412" w:lineRule="exact"/>
        <w:ind w:firstLine="482"/>
        <w:rPr>
          <w:sz w:val="24"/>
          <w:szCs w:val="24"/>
        </w:rPr>
      </w:pPr>
      <w:r>
        <w:rPr>
          <w:rFonts w:hint="eastAsia"/>
          <w:b/>
          <w:sz w:val="24"/>
          <w:szCs w:val="24"/>
        </w:rPr>
        <w:t>第八十二条</w:t>
      </w:r>
      <w:r>
        <w:rPr>
          <w:b/>
          <w:sz w:val="24"/>
          <w:szCs w:val="24"/>
        </w:rPr>
        <w:t xml:space="preserve"> </w:t>
      </w:r>
      <w:r>
        <w:rPr>
          <w:sz w:val="24"/>
          <w:szCs w:val="24"/>
        </w:rPr>
        <w:t xml:space="preserve"> </w:t>
      </w:r>
      <w:r>
        <w:rPr>
          <w:rFonts w:hint="eastAsia"/>
          <w:sz w:val="24"/>
          <w:szCs w:val="24"/>
        </w:rPr>
        <w:t>有关排污单位违反本条例规定，不执行市人民政府采取的更加严格的水污染防治措施，造成水环境污染的，由市或者区生态环境部门处一万元以上十万元以下的罚款；情节严重的，市或者区人民政府可以责令其停产、停业。</w:t>
      </w:r>
    </w:p>
    <w:p>
      <w:pPr>
        <w:pStyle w:val="3"/>
        <w:topLinePunct/>
        <w:spacing w:line="412" w:lineRule="exact"/>
        <w:ind w:firstLine="482"/>
        <w:rPr>
          <w:sz w:val="24"/>
          <w:szCs w:val="24"/>
        </w:rPr>
      </w:pPr>
      <w:r>
        <w:rPr>
          <w:rFonts w:hint="eastAsia"/>
          <w:b/>
          <w:sz w:val="24"/>
          <w:szCs w:val="24"/>
        </w:rPr>
        <w:t>第八十三条</w:t>
      </w:r>
      <w:r>
        <w:rPr>
          <w:sz w:val="24"/>
          <w:szCs w:val="24"/>
        </w:rPr>
        <w:t xml:space="preserve">  </w:t>
      </w:r>
      <w:r>
        <w:rPr>
          <w:rFonts w:hint="eastAsia"/>
          <w:sz w:val="24"/>
          <w:szCs w:val="24"/>
        </w:rPr>
        <w:t>违反本条例规定，有下列行为之一的，由市或者区生态环境部门责令停止违法行为，采取限期治理措施，消除污染，处以罚款；逾期不采取治理措施的，生态环境部门可以指定有治理能力的单位代为治理，所需费用由违法者承担：</w:t>
      </w:r>
    </w:p>
    <w:p>
      <w:pPr>
        <w:pStyle w:val="3"/>
        <w:topLinePunct/>
        <w:spacing w:line="412" w:lineRule="exact"/>
        <w:ind w:firstLine="480"/>
        <w:rPr>
          <w:sz w:val="24"/>
          <w:szCs w:val="24"/>
        </w:rPr>
      </w:pPr>
      <w:r>
        <w:rPr>
          <w:rFonts w:hint="eastAsia"/>
          <w:sz w:val="24"/>
          <w:szCs w:val="24"/>
        </w:rPr>
        <w:t>（一）向水体排放油类、酸液、碱液；</w:t>
      </w:r>
    </w:p>
    <w:p>
      <w:pPr>
        <w:pStyle w:val="3"/>
        <w:topLinePunct/>
        <w:spacing w:line="412" w:lineRule="exact"/>
        <w:ind w:firstLine="480"/>
        <w:rPr>
          <w:sz w:val="24"/>
          <w:szCs w:val="24"/>
        </w:rPr>
      </w:pPr>
      <w:r>
        <w:rPr>
          <w:rFonts w:hint="eastAsia"/>
          <w:sz w:val="24"/>
          <w:szCs w:val="24"/>
        </w:rPr>
        <w:t>（二）向水体排放剧毒废液，或者将含有汞、镉、砷、铬、铅、氰化物、黄磷等的可溶性剧毒废渣向水体排放、倾倒或者直接埋入地下的；</w:t>
      </w:r>
    </w:p>
    <w:p>
      <w:pPr>
        <w:pStyle w:val="3"/>
        <w:topLinePunct/>
        <w:spacing w:line="412" w:lineRule="exact"/>
        <w:ind w:firstLine="480"/>
        <w:rPr>
          <w:sz w:val="24"/>
          <w:szCs w:val="24"/>
        </w:rPr>
      </w:pPr>
      <w:r>
        <w:rPr>
          <w:rFonts w:hint="eastAsia"/>
          <w:sz w:val="24"/>
          <w:szCs w:val="24"/>
        </w:rPr>
        <w:t>（三）在水体清洗装贮过油类、有毒污染物的车辆或者容器的；</w:t>
      </w:r>
    </w:p>
    <w:p>
      <w:pPr>
        <w:pStyle w:val="3"/>
        <w:topLinePunct/>
        <w:spacing w:line="412" w:lineRule="exact"/>
        <w:ind w:firstLine="480"/>
        <w:rPr>
          <w:sz w:val="24"/>
          <w:szCs w:val="24"/>
        </w:rPr>
      </w:pPr>
      <w:r>
        <w:rPr>
          <w:rFonts w:hint="eastAsia"/>
          <w:sz w:val="24"/>
          <w:szCs w:val="24"/>
        </w:rPr>
        <w:t>（四）向水体排放、倾倒工业废渣、城镇垃圾或者其他废弃物，或者在河流、湖泊、渠道、水库最高水位线以下的滩地和岸坡堆放、存贮固体废弃物或者其他污染物的；</w:t>
      </w:r>
    </w:p>
    <w:p>
      <w:pPr>
        <w:pStyle w:val="3"/>
        <w:topLinePunct/>
        <w:spacing w:line="412" w:lineRule="exact"/>
        <w:ind w:firstLine="480"/>
        <w:rPr>
          <w:sz w:val="24"/>
          <w:szCs w:val="24"/>
        </w:rPr>
      </w:pPr>
      <w:r>
        <w:rPr>
          <w:rFonts w:hint="eastAsia"/>
          <w:sz w:val="24"/>
          <w:szCs w:val="24"/>
        </w:rPr>
        <w:t>（五）向水体排放、倾倒放射性固体废物或者含高放射性和中放射性物质的废水的；</w:t>
      </w:r>
    </w:p>
    <w:p>
      <w:pPr>
        <w:pStyle w:val="3"/>
        <w:topLinePunct/>
        <w:spacing w:line="412" w:lineRule="exact"/>
        <w:ind w:firstLine="480"/>
        <w:rPr>
          <w:sz w:val="24"/>
          <w:szCs w:val="24"/>
        </w:rPr>
      </w:pPr>
      <w:r>
        <w:rPr>
          <w:rFonts w:hint="eastAsia"/>
          <w:sz w:val="24"/>
          <w:szCs w:val="24"/>
        </w:rPr>
        <w:t>（六）违反国家有关规定或者标准，向水体排放含低放射性物质的废水、热废水或者含病原体的污水的；</w:t>
      </w:r>
    </w:p>
    <w:p>
      <w:pPr>
        <w:pStyle w:val="3"/>
        <w:topLinePunct/>
        <w:spacing w:line="412" w:lineRule="exact"/>
        <w:ind w:firstLine="480"/>
        <w:rPr>
          <w:sz w:val="24"/>
          <w:szCs w:val="24"/>
        </w:rPr>
      </w:pPr>
      <w:r>
        <w:rPr>
          <w:rFonts w:hint="eastAsia"/>
          <w:sz w:val="24"/>
          <w:szCs w:val="24"/>
        </w:rPr>
        <w:t>（七）未采取防渗漏等措施，或者未建设地下水水质监测井进行监测的；</w:t>
      </w:r>
    </w:p>
    <w:p>
      <w:pPr>
        <w:pStyle w:val="3"/>
        <w:topLinePunct/>
        <w:spacing w:line="412" w:lineRule="exact"/>
        <w:ind w:firstLine="480"/>
        <w:rPr>
          <w:sz w:val="24"/>
          <w:szCs w:val="24"/>
        </w:rPr>
      </w:pPr>
      <w:r>
        <w:rPr>
          <w:rFonts w:hint="eastAsia"/>
          <w:sz w:val="24"/>
          <w:szCs w:val="24"/>
        </w:rPr>
        <w:t>（八）加油站等的地下油罐未使用双层罐或者采取建造防渗池等其他有效措施，或者未进行防渗漏监测的；</w:t>
      </w:r>
    </w:p>
    <w:p>
      <w:pPr>
        <w:pStyle w:val="3"/>
        <w:topLinePunct/>
        <w:spacing w:line="412" w:lineRule="exact"/>
        <w:ind w:firstLine="480"/>
        <w:rPr>
          <w:sz w:val="24"/>
          <w:szCs w:val="24"/>
        </w:rPr>
      </w:pPr>
      <w:r>
        <w:rPr>
          <w:rFonts w:hint="eastAsia"/>
          <w:sz w:val="24"/>
          <w:szCs w:val="24"/>
        </w:rPr>
        <w:t>（九）未按照规定采取防护性措施，或者利用无防渗漏措施的沟渠、坑塘等输送或者存贮含有毒污染物的废水、含病原体的污水或者其他废弃物的；</w:t>
      </w:r>
    </w:p>
    <w:p>
      <w:pPr>
        <w:pStyle w:val="3"/>
        <w:topLinePunct/>
        <w:spacing w:line="412" w:lineRule="exact"/>
        <w:ind w:firstLine="480"/>
        <w:rPr>
          <w:sz w:val="24"/>
          <w:szCs w:val="24"/>
        </w:rPr>
      </w:pPr>
      <w:r>
        <w:rPr>
          <w:rFonts w:hint="eastAsia"/>
          <w:sz w:val="24"/>
          <w:szCs w:val="24"/>
        </w:rPr>
        <w:t>（十）在砂石坑、窑坑、滩地等低洼地排放污水，倾倒、存贮垃圾、粪便及其他污染物，或者以漫流方式排放、倾倒污水的；</w:t>
      </w:r>
    </w:p>
    <w:p>
      <w:pPr>
        <w:pStyle w:val="3"/>
        <w:topLinePunct/>
        <w:spacing w:line="412" w:lineRule="exact"/>
        <w:ind w:firstLine="480"/>
        <w:rPr>
          <w:sz w:val="24"/>
          <w:szCs w:val="24"/>
        </w:rPr>
      </w:pPr>
      <w:r>
        <w:rPr>
          <w:rFonts w:hint="eastAsia"/>
          <w:sz w:val="24"/>
          <w:szCs w:val="24"/>
        </w:rPr>
        <w:t>（十一）未将实验室、检验室、化验室废液按照国家和本市关于危险废物的有关规定单独收集，进行安全处置的。</w:t>
      </w:r>
    </w:p>
    <w:p>
      <w:pPr>
        <w:pStyle w:val="3"/>
        <w:topLinePunct/>
        <w:spacing w:line="412" w:lineRule="exact"/>
        <w:ind w:firstLine="480"/>
        <w:rPr>
          <w:sz w:val="24"/>
          <w:szCs w:val="24"/>
        </w:rPr>
      </w:pPr>
      <w:r>
        <w:rPr>
          <w:rFonts w:hint="eastAsia"/>
          <w:sz w:val="24"/>
          <w:szCs w:val="24"/>
        </w:rPr>
        <w:t>有前款第（三）项、第（四）项、第（六）项、第（七）项、第（八）项、第（十）项、第（十一）项行为之一的，处二万元以上二十万元以下的罚款；有前款第（一）项、第（二）项、第（五）项、第（九）项行为之一的，处十万元以上一百万元以下的罚款；情节严重的，报经有批准权的人民政府批准，责令停业、关闭。</w:t>
      </w:r>
    </w:p>
    <w:p>
      <w:pPr>
        <w:pStyle w:val="3"/>
        <w:topLinePunct/>
        <w:spacing w:line="412" w:lineRule="exact"/>
        <w:ind w:firstLine="482"/>
        <w:rPr>
          <w:sz w:val="24"/>
          <w:szCs w:val="24"/>
        </w:rPr>
      </w:pPr>
      <w:r>
        <w:rPr>
          <w:rFonts w:hint="eastAsia"/>
          <w:b/>
          <w:sz w:val="24"/>
          <w:szCs w:val="24"/>
        </w:rPr>
        <w:t>第八十四条</w:t>
      </w:r>
      <w:r>
        <w:rPr>
          <w:sz w:val="24"/>
          <w:szCs w:val="24"/>
        </w:rPr>
        <w:t xml:space="preserve">  </w:t>
      </w:r>
      <w:r>
        <w:rPr>
          <w:rFonts w:hint="eastAsia"/>
          <w:sz w:val="24"/>
          <w:szCs w:val="24"/>
        </w:rPr>
        <w:t>违反本条例规定，生产含磷洗涤用品的，由市或者区生态环境部门责令停止违法行为，并处一万元以上十万元以下的罚款；销售含磷洗涤用品的，由市或者区市场监督管理部门责令停止违法行为，并处一千元以上一万元以下的罚款。</w:t>
      </w:r>
    </w:p>
    <w:p>
      <w:pPr>
        <w:pStyle w:val="3"/>
        <w:topLinePunct/>
        <w:spacing w:line="412" w:lineRule="exact"/>
        <w:ind w:firstLine="482"/>
        <w:rPr>
          <w:sz w:val="24"/>
          <w:szCs w:val="24"/>
        </w:rPr>
      </w:pPr>
      <w:r>
        <w:rPr>
          <w:rFonts w:hint="eastAsia"/>
          <w:b/>
          <w:sz w:val="24"/>
          <w:szCs w:val="24"/>
        </w:rPr>
        <w:t>第八十五条</w:t>
      </w:r>
      <w:r>
        <w:rPr>
          <w:b/>
          <w:sz w:val="24"/>
          <w:szCs w:val="24"/>
        </w:rPr>
        <w:t xml:space="preserve"> </w:t>
      </w:r>
      <w:r>
        <w:rPr>
          <w:sz w:val="24"/>
          <w:szCs w:val="24"/>
        </w:rPr>
        <w:t xml:space="preserve"> </w:t>
      </w:r>
      <w:r>
        <w:rPr>
          <w:rFonts w:hint="eastAsia"/>
          <w:sz w:val="24"/>
          <w:szCs w:val="24"/>
        </w:rPr>
        <w:t>违反本条例规定，未按规定对排放的水污染物进行预处理的，由市或者区生态环境部门责令限期改正，并处一万元以上三万元以下的罚款。其中，未按照规定进行预处理，向污水集中处理设施排放不符合处理工艺要求的工业废水的，由市或者区生态环境部门责令改正或者责令限制生产、停产整治，并处十万元以上一百万元以下的罚款；情节严重的，报经有批准权的人民政府批准，责令停业、关闭。</w:t>
      </w:r>
    </w:p>
    <w:p>
      <w:pPr>
        <w:pStyle w:val="3"/>
        <w:topLinePunct/>
        <w:spacing w:line="412" w:lineRule="exact"/>
        <w:ind w:firstLine="482"/>
        <w:rPr>
          <w:sz w:val="24"/>
          <w:szCs w:val="24"/>
        </w:rPr>
      </w:pPr>
      <w:r>
        <w:rPr>
          <w:rFonts w:hint="eastAsia"/>
          <w:b/>
          <w:sz w:val="24"/>
          <w:szCs w:val="24"/>
        </w:rPr>
        <w:t>第八十六条</w:t>
      </w:r>
      <w:r>
        <w:rPr>
          <w:b/>
          <w:sz w:val="24"/>
          <w:szCs w:val="24"/>
        </w:rPr>
        <w:t xml:space="preserve"> </w:t>
      </w:r>
      <w:r>
        <w:rPr>
          <w:sz w:val="24"/>
          <w:szCs w:val="24"/>
        </w:rPr>
        <w:t xml:space="preserve"> </w:t>
      </w:r>
      <w:r>
        <w:rPr>
          <w:rFonts w:hint="eastAsia"/>
          <w:sz w:val="24"/>
          <w:szCs w:val="24"/>
        </w:rPr>
        <w:t>违反本条例规定，向雨水收集口、雨水管道排放或者倾倒污水、污物和垃圾等废弃物的，由水务部门责令停止违法行为，对个人处一千元以上一万元以下的罚款；对单位处一万元以上十万元以下的罚款。</w:t>
      </w:r>
    </w:p>
    <w:p>
      <w:pPr>
        <w:pStyle w:val="3"/>
        <w:topLinePunct/>
        <w:spacing w:line="412" w:lineRule="exact"/>
        <w:ind w:firstLine="482"/>
        <w:rPr>
          <w:sz w:val="24"/>
          <w:szCs w:val="24"/>
        </w:rPr>
      </w:pPr>
      <w:r>
        <w:rPr>
          <w:rFonts w:hint="eastAsia"/>
          <w:b/>
          <w:sz w:val="24"/>
          <w:szCs w:val="24"/>
        </w:rPr>
        <w:t>第八十七条</w:t>
      </w:r>
      <w:r>
        <w:rPr>
          <w:b/>
          <w:sz w:val="24"/>
          <w:szCs w:val="24"/>
        </w:rPr>
        <w:t xml:space="preserve"> </w:t>
      </w:r>
      <w:r>
        <w:rPr>
          <w:sz w:val="24"/>
          <w:szCs w:val="24"/>
        </w:rPr>
        <w:t xml:space="preserve"> </w:t>
      </w:r>
      <w:r>
        <w:rPr>
          <w:rFonts w:hint="eastAsia"/>
          <w:sz w:val="24"/>
          <w:szCs w:val="24"/>
        </w:rPr>
        <w:t>违反本条例规定，有下列行为之一的，由市或者区生态环境部门责令停止违法行为，消除污染，并处一万元以上十万元以下的罚款：</w:t>
      </w:r>
    </w:p>
    <w:p>
      <w:pPr>
        <w:pStyle w:val="3"/>
        <w:topLinePunct/>
        <w:spacing w:line="412" w:lineRule="exact"/>
        <w:ind w:firstLine="480"/>
        <w:rPr>
          <w:sz w:val="24"/>
          <w:szCs w:val="24"/>
        </w:rPr>
      </w:pPr>
      <w:r>
        <w:rPr>
          <w:rFonts w:hint="eastAsia"/>
          <w:sz w:val="24"/>
          <w:szCs w:val="24"/>
        </w:rPr>
        <w:t>（一）用倾倒、堆放、直接填埋的方式对污泥进行处置；</w:t>
      </w:r>
    </w:p>
    <w:p>
      <w:pPr>
        <w:pStyle w:val="3"/>
        <w:topLinePunct/>
        <w:spacing w:line="412" w:lineRule="exact"/>
        <w:ind w:firstLine="480"/>
        <w:rPr>
          <w:sz w:val="24"/>
          <w:szCs w:val="24"/>
        </w:rPr>
      </w:pPr>
      <w:r>
        <w:rPr>
          <w:rFonts w:hint="eastAsia"/>
          <w:sz w:val="24"/>
          <w:szCs w:val="24"/>
        </w:rPr>
        <w:t>（二）未按照规划确定配套的污泥处理工艺、措施，或者污泥处置设施未正常运行。</w:t>
      </w:r>
    </w:p>
    <w:p>
      <w:pPr>
        <w:pStyle w:val="3"/>
        <w:topLinePunct/>
        <w:spacing w:line="412" w:lineRule="exact"/>
        <w:ind w:firstLine="482"/>
        <w:rPr>
          <w:sz w:val="24"/>
          <w:szCs w:val="24"/>
        </w:rPr>
      </w:pPr>
      <w:r>
        <w:rPr>
          <w:rFonts w:hint="eastAsia"/>
          <w:b/>
          <w:sz w:val="24"/>
          <w:szCs w:val="24"/>
        </w:rPr>
        <w:t>第八十八条</w:t>
      </w:r>
      <w:r>
        <w:rPr>
          <w:b/>
          <w:sz w:val="24"/>
          <w:szCs w:val="24"/>
        </w:rPr>
        <w:t xml:space="preserve"> </w:t>
      </w:r>
      <w:r>
        <w:rPr>
          <w:sz w:val="24"/>
          <w:szCs w:val="24"/>
        </w:rPr>
        <w:t xml:space="preserve"> </w:t>
      </w:r>
      <w:r>
        <w:rPr>
          <w:rFonts w:hint="eastAsia"/>
          <w:sz w:val="24"/>
          <w:szCs w:val="24"/>
        </w:rPr>
        <w:t>违反本条例规定，规模化畜禽养殖企业未采取有效措施，致使畜禽养殖废水、粪污渗漏、溢流、散落对环境造成污染的，由市或者区生态环境部门责令停止违法行为，并处一千元以上一万元以下的罚款。</w:t>
      </w:r>
    </w:p>
    <w:p>
      <w:pPr>
        <w:pStyle w:val="3"/>
        <w:topLinePunct/>
        <w:spacing w:line="412" w:lineRule="exact"/>
        <w:ind w:firstLine="482"/>
        <w:rPr>
          <w:sz w:val="24"/>
          <w:szCs w:val="24"/>
        </w:rPr>
      </w:pPr>
      <w:r>
        <w:rPr>
          <w:rFonts w:hint="eastAsia"/>
          <w:b/>
          <w:sz w:val="24"/>
          <w:szCs w:val="24"/>
        </w:rPr>
        <w:t>第八十九条</w:t>
      </w:r>
      <w:r>
        <w:rPr>
          <w:b/>
          <w:sz w:val="24"/>
          <w:szCs w:val="24"/>
        </w:rPr>
        <w:t xml:space="preserve"> </w:t>
      </w:r>
      <w:r>
        <w:rPr>
          <w:sz w:val="24"/>
          <w:szCs w:val="24"/>
        </w:rPr>
        <w:t xml:space="preserve"> </w:t>
      </w:r>
      <w:r>
        <w:rPr>
          <w:rFonts w:hint="eastAsia"/>
          <w:sz w:val="24"/>
          <w:szCs w:val="24"/>
        </w:rPr>
        <w:t>违反本条例规定，有下列行为之一的，由市或者区生态环境部门责令改正；情节严重的，处二万元以上十万元以下的罚款：</w:t>
      </w:r>
    </w:p>
    <w:p>
      <w:pPr>
        <w:pStyle w:val="3"/>
        <w:topLinePunct/>
        <w:spacing w:line="412" w:lineRule="exact"/>
        <w:ind w:firstLine="480"/>
        <w:rPr>
          <w:sz w:val="24"/>
          <w:szCs w:val="24"/>
        </w:rPr>
      </w:pPr>
      <w:r>
        <w:rPr>
          <w:rFonts w:hint="eastAsia"/>
          <w:sz w:val="24"/>
          <w:szCs w:val="24"/>
        </w:rPr>
        <w:t>（一）企业事业单位和其他生产经营者未按照规定制定水污染事故的应急方案；</w:t>
      </w:r>
    </w:p>
    <w:p>
      <w:pPr>
        <w:pStyle w:val="3"/>
        <w:topLinePunct/>
        <w:spacing w:line="412" w:lineRule="exact"/>
        <w:ind w:firstLine="480"/>
        <w:rPr>
          <w:sz w:val="24"/>
          <w:szCs w:val="24"/>
        </w:rPr>
      </w:pPr>
      <w:r>
        <w:rPr>
          <w:rFonts w:hint="eastAsia"/>
          <w:sz w:val="24"/>
          <w:szCs w:val="24"/>
        </w:rPr>
        <w:t>（二）企业事业单位和其他生产经营者未按照规定建立事故状态下的水污染防治设施、储备相应的应急救援物资；</w:t>
      </w:r>
    </w:p>
    <w:p>
      <w:pPr>
        <w:pStyle w:val="3"/>
        <w:topLinePunct/>
        <w:spacing w:line="412" w:lineRule="exact"/>
        <w:ind w:firstLine="480"/>
        <w:rPr>
          <w:sz w:val="24"/>
          <w:szCs w:val="24"/>
        </w:rPr>
      </w:pPr>
      <w:r>
        <w:rPr>
          <w:rFonts w:hint="eastAsia"/>
          <w:sz w:val="24"/>
          <w:szCs w:val="24"/>
        </w:rPr>
        <w:t>（三）水污染事故发生后，造成事故的单位和个人未及时采取有关应急措施，做好事故的事后处置和事后恢复工作。</w:t>
      </w:r>
    </w:p>
    <w:p>
      <w:pPr>
        <w:pStyle w:val="3"/>
        <w:topLinePunct/>
        <w:spacing w:line="412" w:lineRule="exact"/>
        <w:ind w:firstLine="482"/>
        <w:rPr>
          <w:sz w:val="24"/>
          <w:szCs w:val="24"/>
        </w:rPr>
      </w:pPr>
      <w:r>
        <w:rPr>
          <w:rFonts w:hint="eastAsia"/>
          <w:b/>
          <w:sz w:val="24"/>
          <w:szCs w:val="24"/>
        </w:rPr>
        <w:t>第九十条</w:t>
      </w:r>
      <w:r>
        <w:rPr>
          <w:b/>
          <w:sz w:val="24"/>
          <w:szCs w:val="24"/>
        </w:rPr>
        <w:t xml:space="preserve"> </w:t>
      </w:r>
      <w:r>
        <w:rPr>
          <w:sz w:val="24"/>
          <w:szCs w:val="24"/>
        </w:rPr>
        <w:t xml:space="preserve"> </w:t>
      </w:r>
      <w:r>
        <w:rPr>
          <w:rFonts w:hint="eastAsia"/>
          <w:sz w:val="24"/>
          <w:szCs w:val="24"/>
        </w:rPr>
        <w:t>违反本条例规定，造成水污染事故的，由市或者区生态环境部门依照国家规定处以罚款，责令消除污染；不具备治理能力的，由生态环境部门指定有能力的单位代为治理，所需费用由违法者承担；对直接负责的主管人员和其他直接责任人员依法处以罚款。</w:t>
      </w:r>
    </w:p>
    <w:p>
      <w:pPr>
        <w:pStyle w:val="3"/>
        <w:topLinePunct/>
        <w:spacing w:line="412" w:lineRule="exact"/>
        <w:ind w:firstLine="482"/>
        <w:rPr>
          <w:sz w:val="24"/>
          <w:szCs w:val="24"/>
        </w:rPr>
      </w:pPr>
      <w:r>
        <w:rPr>
          <w:rFonts w:hint="eastAsia"/>
          <w:b/>
          <w:sz w:val="24"/>
          <w:szCs w:val="24"/>
        </w:rPr>
        <w:t>第九十一条</w:t>
      </w:r>
      <w:r>
        <w:rPr>
          <w:b/>
          <w:sz w:val="24"/>
          <w:szCs w:val="24"/>
        </w:rPr>
        <w:t xml:space="preserve"> </w:t>
      </w:r>
      <w:r>
        <w:rPr>
          <w:sz w:val="24"/>
          <w:szCs w:val="24"/>
        </w:rPr>
        <w:t xml:space="preserve"> </w:t>
      </w:r>
      <w:r>
        <w:rPr>
          <w:rFonts w:hint="eastAsia"/>
          <w:sz w:val="24"/>
          <w:szCs w:val="24"/>
        </w:rPr>
        <w:t>违反本条例规定，使用地下水或者自来水作为城市景观水体补水的，由市或者区水务部门责令停止违法行为，并处一万元以上三万元以下的罚款。</w:t>
      </w:r>
    </w:p>
    <w:p>
      <w:pPr>
        <w:pStyle w:val="3"/>
        <w:topLinePunct/>
        <w:spacing w:line="412" w:lineRule="exact"/>
        <w:ind w:firstLine="482"/>
        <w:rPr>
          <w:sz w:val="24"/>
          <w:szCs w:val="24"/>
        </w:rPr>
      </w:pPr>
      <w:r>
        <w:rPr>
          <w:rFonts w:hint="eastAsia"/>
          <w:b/>
          <w:sz w:val="24"/>
          <w:szCs w:val="24"/>
        </w:rPr>
        <w:t>第九十二条</w:t>
      </w:r>
      <w:r>
        <w:rPr>
          <w:b/>
          <w:sz w:val="24"/>
          <w:szCs w:val="24"/>
        </w:rPr>
        <w:t xml:space="preserve"> </w:t>
      </w:r>
      <w:r>
        <w:rPr>
          <w:sz w:val="24"/>
          <w:szCs w:val="24"/>
        </w:rPr>
        <w:t xml:space="preserve"> </w:t>
      </w:r>
      <w:r>
        <w:rPr>
          <w:rFonts w:hint="eastAsia"/>
          <w:sz w:val="24"/>
          <w:szCs w:val="24"/>
        </w:rPr>
        <w:t>因水污染造成损害的，排污方应当承担侵权责任，法律另有规定的除外。</w:t>
      </w:r>
    </w:p>
    <w:p>
      <w:pPr>
        <w:pStyle w:val="3"/>
        <w:topLinePunct/>
        <w:spacing w:line="412" w:lineRule="exact"/>
        <w:ind w:firstLine="480"/>
        <w:rPr>
          <w:sz w:val="24"/>
          <w:szCs w:val="24"/>
        </w:rPr>
      </w:pPr>
      <w:r>
        <w:rPr>
          <w:rFonts w:hint="eastAsia"/>
          <w:sz w:val="24"/>
          <w:szCs w:val="24"/>
        </w:rPr>
        <w:t>因水污染受到损害的当事人，有权要求排污方排除危害和赔偿损失。因损害赔偿责任和赔偿金额发生纠纷的，当事人可以请求市、区生态环境部门进行调解；调解不成的，当事人可以向人民法院提起诉讼。当事人也可以直接向人民法院提起诉讼。</w:t>
      </w:r>
    </w:p>
    <w:p>
      <w:pPr>
        <w:pStyle w:val="3"/>
        <w:topLinePunct/>
        <w:spacing w:line="412" w:lineRule="exact"/>
        <w:ind w:firstLine="482"/>
        <w:rPr>
          <w:sz w:val="24"/>
          <w:szCs w:val="24"/>
        </w:rPr>
      </w:pPr>
      <w:r>
        <w:rPr>
          <w:rFonts w:hint="eastAsia"/>
          <w:b/>
          <w:sz w:val="24"/>
          <w:szCs w:val="24"/>
        </w:rPr>
        <w:t>第九十三条</w:t>
      </w:r>
      <w:r>
        <w:rPr>
          <w:b/>
          <w:sz w:val="24"/>
          <w:szCs w:val="24"/>
        </w:rPr>
        <w:t xml:space="preserve"> </w:t>
      </w:r>
      <w:r>
        <w:rPr>
          <w:sz w:val="24"/>
          <w:szCs w:val="24"/>
        </w:rPr>
        <w:t xml:space="preserve"> </w:t>
      </w:r>
      <w:r>
        <w:rPr>
          <w:rFonts w:hint="eastAsia"/>
          <w:sz w:val="24"/>
          <w:szCs w:val="24"/>
        </w:rPr>
        <w:t>生态环境部门和有关社会团体可以依法支持因水污染受到损害的当事人向人民法院提起诉讼，并在确定污染源、污染范围及污染造成的损失等事故调查方面为当事人提供支持。</w:t>
      </w:r>
    </w:p>
    <w:p>
      <w:pPr>
        <w:pStyle w:val="3"/>
        <w:topLinePunct/>
        <w:spacing w:line="412" w:lineRule="exact"/>
        <w:ind w:firstLine="480"/>
        <w:rPr>
          <w:sz w:val="24"/>
          <w:szCs w:val="24"/>
        </w:rPr>
      </w:pPr>
      <w:r>
        <w:rPr>
          <w:rFonts w:hint="eastAsia"/>
          <w:sz w:val="24"/>
          <w:szCs w:val="24"/>
        </w:rPr>
        <w:t>本市的法律援助机构应当将经济困难公民因水污染受到损害请求赔偿的案件，纳入法律援助的事项范围。</w:t>
      </w:r>
    </w:p>
    <w:p>
      <w:pPr>
        <w:pStyle w:val="63"/>
        <w:spacing w:before="218" w:after="218"/>
      </w:pPr>
      <w:r>
        <w:rPr>
          <w:rFonts w:hint="eastAsia"/>
        </w:rPr>
        <w:t>第七章</w:t>
      </w:r>
      <w:r>
        <w:t xml:space="preserve">  </w:t>
      </w:r>
      <w:r>
        <w:rPr>
          <w:rFonts w:hint="eastAsia"/>
        </w:rPr>
        <w:t>附</w:t>
      </w:r>
      <w:r>
        <w:t xml:space="preserve">  </w:t>
      </w:r>
      <w:r>
        <w:rPr>
          <w:rFonts w:hint="eastAsia"/>
        </w:rPr>
        <w:t>则</w:t>
      </w:r>
    </w:p>
    <w:p>
      <w:pPr>
        <w:pStyle w:val="3"/>
        <w:topLinePunct/>
        <w:spacing w:before="156" w:after="156" w:line="412" w:lineRule="exact"/>
        <w:ind w:firstLine="482"/>
        <w:rPr>
          <w:sz w:val="24"/>
          <w:szCs w:val="24"/>
        </w:rPr>
      </w:pPr>
      <w:r>
        <w:rPr>
          <w:rFonts w:hint="eastAsia"/>
          <w:b/>
          <w:sz w:val="24"/>
          <w:szCs w:val="24"/>
        </w:rPr>
        <w:t>第九十四条</w:t>
      </w:r>
      <w:r>
        <w:rPr>
          <w:b/>
          <w:sz w:val="24"/>
          <w:szCs w:val="24"/>
        </w:rPr>
        <w:t xml:space="preserve"> </w:t>
      </w:r>
      <w:r>
        <w:rPr>
          <w:sz w:val="24"/>
          <w:szCs w:val="24"/>
        </w:rPr>
        <w:t xml:space="preserve"> </w:t>
      </w:r>
      <w:r>
        <w:rPr>
          <w:rFonts w:hint="eastAsia"/>
          <w:sz w:val="24"/>
          <w:szCs w:val="24"/>
        </w:rPr>
        <w:t>本条例所称公共污水处理设施，是指城镇集中污水处理设施及开发区、工业园区的集中污水处理设施。</w:t>
      </w:r>
    </w:p>
    <w:p>
      <w:pPr>
        <w:pStyle w:val="3"/>
        <w:topLinePunct/>
        <w:spacing w:line="412" w:lineRule="exact"/>
        <w:ind w:firstLine="482"/>
        <w:rPr>
          <w:rFonts w:asciiTheme="minorEastAsia" w:hAnsiTheme="minorEastAsia" w:eastAsiaTheme="minorEastAsia"/>
          <w:sz w:val="24"/>
          <w:szCs w:val="24"/>
        </w:rPr>
      </w:pPr>
      <w:r>
        <w:rPr>
          <w:rFonts w:hint="eastAsia"/>
          <w:b/>
          <w:sz w:val="24"/>
          <w:szCs w:val="24"/>
        </w:rPr>
        <w:t>第九十五条</w:t>
      </w:r>
      <w:r>
        <w:rPr>
          <w:b/>
          <w:sz w:val="24"/>
          <w:szCs w:val="24"/>
        </w:rPr>
        <w:t xml:space="preserve"> </w:t>
      </w:r>
      <w:r>
        <w:rPr>
          <w:sz w:val="24"/>
          <w:szCs w:val="24"/>
        </w:rPr>
        <w:t xml:space="preserve"> </w:t>
      </w:r>
      <w:r>
        <w:rPr>
          <w:rFonts w:hint="eastAsia"/>
          <w:sz w:val="24"/>
          <w:szCs w:val="24"/>
        </w:rPr>
        <w:t>本条例自</w:t>
      </w:r>
      <w:r>
        <w:rPr>
          <w:sz w:val="24"/>
          <w:szCs w:val="24"/>
        </w:rPr>
        <w:t>2011</w:t>
      </w:r>
      <w:r>
        <w:rPr>
          <w:rFonts w:hint="eastAsia"/>
          <w:sz w:val="24"/>
          <w:szCs w:val="24"/>
        </w:rPr>
        <w:t>年</w:t>
      </w:r>
      <w:r>
        <w:rPr>
          <w:sz w:val="24"/>
          <w:szCs w:val="24"/>
        </w:rPr>
        <w:t>3</w:t>
      </w:r>
      <w:r>
        <w:rPr>
          <w:rFonts w:hint="eastAsia"/>
          <w:sz w:val="24"/>
          <w:szCs w:val="24"/>
        </w:rPr>
        <w:t>月</w:t>
      </w:r>
      <w:r>
        <w:rPr>
          <w:sz w:val="24"/>
          <w:szCs w:val="24"/>
        </w:rPr>
        <w:t>1</w:t>
      </w:r>
      <w:r>
        <w:rPr>
          <w:rFonts w:hint="eastAsia"/>
          <w:sz w:val="24"/>
          <w:szCs w:val="24"/>
        </w:rPr>
        <w:t>日起施行。</w:t>
      </w:r>
      <w:r>
        <w:rPr>
          <w:sz w:val="24"/>
          <w:szCs w:val="24"/>
        </w:rPr>
        <w:t>2002</w:t>
      </w:r>
      <w:r>
        <w:rPr>
          <w:rFonts w:hint="eastAsia"/>
          <w:sz w:val="24"/>
          <w:szCs w:val="24"/>
        </w:rPr>
        <w:t>年</w:t>
      </w:r>
      <w:r>
        <w:rPr>
          <w:sz w:val="24"/>
          <w:szCs w:val="24"/>
        </w:rPr>
        <w:t>5</w:t>
      </w:r>
      <w:r>
        <w:rPr>
          <w:rFonts w:hint="eastAsia"/>
          <w:sz w:val="24"/>
          <w:szCs w:val="24"/>
        </w:rPr>
        <w:t>月</w:t>
      </w:r>
      <w:r>
        <w:rPr>
          <w:sz w:val="24"/>
          <w:szCs w:val="24"/>
        </w:rPr>
        <w:t>15</w:t>
      </w:r>
      <w:r>
        <w:rPr>
          <w:rFonts w:hint="eastAsia"/>
          <w:sz w:val="24"/>
          <w:szCs w:val="24"/>
        </w:rPr>
        <w:t>日北京市第十一届人民代表大会常务委员会第三十四次会议通过的《北京市实施〈中华人民共和国水污染防治法〉办法》同时废止。</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679" w:name="_Toc12960352"/>
      <w:bookmarkStart w:id="1680" w:name="_Toc18942548"/>
      <w:bookmarkStart w:id="1681" w:name="_Toc18314518"/>
      <w:bookmarkStart w:id="1682" w:name="_Toc9684"/>
      <w:bookmarkStart w:id="1683" w:name="_Toc12960523"/>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684" w:name="_Toc25653829"/>
      <w:bookmarkStart w:id="1685" w:name="_Toc25648328"/>
      <w:bookmarkStart w:id="1686" w:name="_Toc28251033"/>
      <w:bookmarkStart w:id="1687" w:name="_Toc26348081"/>
      <w:bookmarkStart w:id="1688" w:name="_Toc28157104"/>
      <w:bookmarkStart w:id="1689" w:name="_Toc28252317"/>
      <w:r>
        <w:t>中华人民共和国环境保护法</w:t>
      </w:r>
      <w:bookmarkEnd w:id="1679"/>
      <w:bookmarkEnd w:id="1680"/>
      <w:bookmarkEnd w:id="1681"/>
      <w:bookmarkEnd w:id="1682"/>
      <w:bookmarkEnd w:id="1683"/>
      <w:bookmarkEnd w:id="1684"/>
      <w:bookmarkEnd w:id="1685"/>
      <w:bookmarkEnd w:id="1686"/>
      <w:bookmarkEnd w:id="1687"/>
      <w:bookmarkEnd w:id="1688"/>
      <w:bookmarkEnd w:id="1689"/>
    </w:p>
    <w:p>
      <w:pPr>
        <w:pStyle w:val="62"/>
      </w:pPr>
      <w:r>
        <w:t>（1989年12月26日中华人民共和国主席令第22号公布，根据2014年4月24日中华人民共和国第十二届全国人民代表大会常务委员会第八次会议修订）</w:t>
      </w:r>
    </w:p>
    <w:p>
      <w:pPr>
        <w:pStyle w:val="63"/>
        <w:spacing w:before="218" w:after="218" w:line="412" w:lineRule="exact"/>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为保护和改善环境，防治污染和其他公害，保障公众健康，推进生态文明建设，促进经济社会可持续发展，制定本法。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法所称环境，是指影响人类生存和发展的各种天然的和经过人工改造的自然因素的总体，包括大气、水、海洋、土地、矿藏、森林、草原、湿地、野生生物、自然遗迹、人文遗迹、自然保护区、风景名胜区、城市和乡村等。</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本法适用于中华人民共和国领域和中华人民共和国管辖的其他海域。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保护环境是国家的基本国策。</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国家采取有利于节约和循环利用资源、保护和改善环境、促进人与自然和谐的经济、技术政策和措施，使经济社会发展与环境保护相协调。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环境保护坚持保护优先、预防为主、综合治理、公众参与、损害担责的原则。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一切单位和个人都有保护环境的义务。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地方各级人民政府应当对本行政区域的环境质量负责。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企业事业单位和其他生产经营者应当防止、减少环境污染和生态破坏，对所造成的损害依法承担责任。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公民应当增强环境保护意识，采取低碳、节俭的生活方式，自觉履行环境保护义务。</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国家支持环境保护科学技术研究、开发和应用，鼓励环境保护产业发展，促进环境保护信息化建设，提高环境保护科学技术水平。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各级人民政府应当加大保护和改善环境、防治污染和其他公害的财政投入，提高财政资金的使用效益。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各级人民政府应当加强环境保护宣传和普及工作，鼓励基层群众性自治组织、社会组织、环境保护志愿者开展环境保护法律法规和环境保护知识的宣传，营造保护环境的良好风气。</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教育行政部门、学校应当将环境保护知识纳入学校教育内容，培养学生的环境保护意识。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新闻媒体应当开展环境保护法律法规和环境保护知识的宣传，对环境违法行为进行舆论监督。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国务院环境保护主管部门，对全国环境保护工作实施统一监督管理；县级以上地方人民政府环境保护主管部门，对本行政区域环境保护工作实施统一监督管理。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县级以上人民政府有关部门和军队环境保护部门，依照有关法律的规定对资源保护和污染防治等环境保护工作实施监督管理。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对保护和改善环境有显著成绩的单位和个人，由人民政府给予奖励。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每年6月5日为环境日。</w:t>
      </w:r>
    </w:p>
    <w:p>
      <w:pPr>
        <w:pStyle w:val="63"/>
        <w:spacing w:before="218" w:after="218" w:line="412" w:lineRule="exact"/>
      </w:pPr>
      <w:r>
        <w:t>第二章  监督管理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县级以上人民政府应当将环境保护工作纳入国民经济和社会发展规划。</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国务院环境保护主管部门会同有关部门，根据国民经济和社会发展规划编制国家环境保护规划，报国务院批准并公布实施。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县级以上地方人民政府环境保护主管部门会同有关部门，根据国家环境保护规划的要求，编制本行政区域的环境保护规划，报同级人民政府批准并公布实施。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环境保护规划的内容应当包括生态保护和污染防治的目标、任务、保障措施等，并与主体功能区规划、土地利用总体规划和城乡规划等相衔接。</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国务院有关部门和省、自治区、直辖市人民政府组织制定经济、技术政策，应当充分考虑对环境的影响，听取有关方面和专家的意见。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国务院环境保护主管部门制定国家环境质量标准。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省、自治区、直辖市人民政府对国家环境质量标准中未作规定的项目，可以制定地方环境质量标准；对国家环境质量标准中已作规定的项目，可以制定严于国家环境质量标准的地方环境质量标准。地方环境质量标准应当报国务院环境保护主管部门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国家鼓励开展环境基准研究。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国务院环境保护主管部门根据国家环境质量标准和国家经济、技术条件，制定国家污染物排放标准。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省、自治区、直辖市人民政府对国家污染物排放标准中未作规定的项目，可以制定地方污染物排放标准；对国家污染物排放标准中已作规定的项目，可以制定严于国家污染物排放标准的地方污染物排放标准。地方污染物排放标准应当报国务院环境保护主管部门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国家建立、健全环境监测制度。国务院环境保护主管部门制定监测规范，会同有关部门组织监测网络，统一规划国家环境质量监测站（点）的设置，建立监测数据共享机制，加强对环境监测的管理。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有关行业、专业等各类环境质量监测站（点）的设置应当符合法律法规规定和监测规范的要求。</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监测机构应当使用符合国家标准的监测设备，遵守监测规范。监测机构及其负责人对监测数据的真实性和准确性负责。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省级以上人民政府应当组织有关部门或者委托专业机构，对环境状况进行调查、评价，建立环境资源承载能力监测预警机制。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编制有关开发利用规划，建设对环境有影响的项目，应当依法进行环境影响评价。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未依法进行环境影响评价的开发利用规划，不得组织实施；未依法进行环境影响评价的建设项目，不得开工建设。</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国家建立跨行政区域的重点区域、流域环境污染和生态破坏联合防治协调机制，实行统一规划、统一标准、统一监测、统一的防治措施。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前款规定以外的跨行政区域的环境污染和生态破坏的防治，由上级人民政府协调解决，或者由有关地方人民政府协商解决。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国家采取财政、税收、价格、政府采购等方面的政策和措施，鼓励和支持环境保护技术装备、资源综合利用和环境服务等环境保护产业的发展。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企业事业单位和其他生产经营者，在污染物排放符合法定要求的基础上，进一步减少污染物排放的，人民政府应当依法采取财政、税收、价格、政府采购等方面的政策和措施予以鼓励和支持。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企业事业单位和其他生产经营者，为改善环境，依照有关规定转产、搬迁、关闭的，人民政府应当予以支持。</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企业事业单位和其他生产经营者违反法律法规规定排放污染物，造成或者可能造成严重污染的，县级以上人民政府环境保护主管部门和其他负有环境保护监督管理职责的部门，可以查封、扣押造成污染物排放的设施、设备。</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国家实行环境保护目标责任制和考核评价制度。县级以上人民政府应当将环境保护目标完成情况纳入对本级人民政府负有环境保护监督管理职责的部门及其负责人和下级人民政府及其负责人的考核内容，作为对其考核评价的重要依据。考核结果应当向社会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县级以上人民政府应当每年向本级人民代表大会或者人民代表大会常务委员会报告环境状况和环境保护目标完成情况，对发生的重大环境事件应当及时向本级人民代表大会常务委员会报告，依法接受监督。</w:t>
      </w:r>
    </w:p>
    <w:p>
      <w:pPr>
        <w:pStyle w:val="63"/>
        <w:spacing w:before="218" w:after="218" w:line="412" w:lineRule="exact"/>
      </w:pPr>
      <w:r>
        <w:t>第三章</w:t>
      </w:r>
      <w:r>
        <w:rPr>
          <w:rFonts w:hint="eastAsia"/>
        </w:rPr>
        <w:t xml:space="preserve"> </w:t>
      </w:r>
      <w:r>
        <w:t xml:space="preserve"> 保护和改善环境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地方各级人民政府应当根据环境保护目标和治理任务，采取有效措施，改善环境质量。</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未达到国家环境质量标准的重点区域、流域的有关地方人民政府，应当制定限期达标规划，并采取措施按期达标。</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国家在重点生态功能区、生态环境敏感区和脆弱区等区域划定生态保护红线，实行严格保护。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对具有代表性的各种类型的自然生态系统区域，珍稀、濒危的野生动植物自然分布区域，重要的水源涵养区域，具有重大科学文化价值的地质构造、著名溶洞和化石分布区、冰川、火山、温泉等自然遗迹，以及人文遗迹、古树名木，应当采取措施予以保护，严禁破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开发利用自然资源，应当合理开发，保护生物多样性，保障生态安全，依法制定有关生态保护和恢复治理方案并予以实施。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引进外来物种以及研究、开发和利用生物技术，应当采取措施，防止对生物多样性的破坏。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国家建立、健全生态保护补偿制度。</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国家加大对生态保护地区的财政转移支付力度。有关地方人民政府应当落实生态保护补偿资金，确保其用于生态保护补偿。</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国家指导受益地区和生态保护地区人民政府通过协商或者按照市场规则进行生态保护补偿。</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国家加强对大气、水、土壤等的保护，建立和完善相应的调查、监测、评估和修复制度。</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各级人民政府应当加强对农业环境的保护，促进农业环境保护新技术的使用，加强对农业污染源的监测预警，统筹有关部门采取措施，防治土壤污染和土地沙化、盐渍化、贫瘠化、石漠化、地面沉降以及防治植被破坏、水土流失、水体富营养化、水源枯竭、种源灭绝等生态失调现象，推广植物病虫害的综合防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县级、乡级人民政府应当提高农村环境保护公共服务水平，推动农村环境综合整治。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国务院和沿海地方各级人民政府应当加强对海洋环境的保护。向海洋排放污染物、倾倒废弃物，进行海岸工程和海洋工程建设，应当符合法律法规规定和有关标准，防止和减少对海洋环境的污染损害。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城乡建设应当结合当地自然环境的特点，保护植被、水域和自然景观，加强城市园林、绿地和风景名胜区的建设与管理。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国家鼓励和引导公民、法人和其他组织使用有利于保护环境的产品和再生产品，减少废弃物的产生。</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国家机关和使用财政资金的其他组织应当优先采购和使用节能、节水、节材等有利于保护环境的产品、设备和设施。</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地方各级人民政府应当采取措施，组织对生活废弃物的分类处置、回收利用。</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公民应当遵守环境保护法律法规，配合实施环境保护措施，按照规定对生活废弃物进行分类放置，减少日常生活对环境造成的损害。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国家建立、健全环境与健康监测、调查和风险评估制度；鼓励和组织开展环境质量对公众健康影响的研究，采取措施预防和控制与环境污染有关的疾病。</w:t>
      </w:r>
    </w:p>
    <w:p>
      <w:pPr>
        <w:pStyle w:val="63"/>
        <w:spacing w:before="218" w:after="218" w:line="412" w:lineRule="exact"/>
      </w:pPr>
      <w:r>
        <w:t>第四章  防治污染和其他公害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国家促进清洁生产和资源循环利用。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国务院有关部门和地方各级人民政府应当采取措施，推广清洁能源的生产和使用。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企业应当优先使用清洁能源，采用资源利用率高、污染物排放量少的工艺、设备以及废弃物综合利用技术和污染物无害化处理技术，减少污染物的产生。</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建设项目中防治污染的设施，应当与主体工程同时设计、同时施工、同时投产使用。防治污染的设施应当符合经批准的环境影响评价文件的要求，不得擅自拆除或者闲置。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排放污染物的企业事业单位和其他生产经营者，应当采取措施，防治在生产建设或者其他活动中产生的废气、废水、废渣、医疗废物、粉尘、恶臭气体、放射性物质以及噪声、振动、光辐射、电磁辐射等对环境的污染和危害。</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排放污染物的企业事业单位，应当建立环境保护责任制度，明确单位负责人和相关人员的责任。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重点排污单位应当按照国家有关规定和监测规范安装使用监测设备，保证监测设备正常运行，保存原始监测记录。</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严禁通过暗管、渗井、渗坑、灌注或者篡改、伪造监测数据，或者不正常运行防治污染设施等逃避监管的方式违法排放污染物。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排放污染物的企业事业单位和其他生产经营者，应当按照国家有关规定缴纳排污费。排污费应当全部专项用于环境污染防治，任何单位和个人不得截留、挤占或者挪作他用。</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依照法律规定征收环境保护税的，不再征收排污费。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国家实行重点污染物排放总量控制制度。重点污染物排放总量控制指标由国务院下达，省、自治区、直辖市人民政府分解落实。企业事业单位在执行国家和地方污染物排放标准的同时，应当遵守分解落实到本单位的重点污染物排放总量控制指标。</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对超过国家重点污染物排放总量控制指标或者未完成国家确定的环境质量目标的地区，省级以上人民政府环境保护主管部门应当暂停审批其新增重点污染物排放总量的建设项目环境影响评价文件。</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国家依照法律规定实行排污许可管理制度。</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实行排污许可管理的企业事业单位和其他生产经营者应当按照排污许可证的要求排放污染物；未取得排污许可证的，不得排放污染物。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第四十六条  </w:t>
      </w:r>
      <w:r>
        <w:rPr>
          <w:rFonts w:asciiTheme="minorEastAsia" w:hAnsiTheme="minorEastAsia" w:eastAsiaTheme="minorEastAsia"/>
          <w:sz w:val="24"/>
          <w:szCs w:val="24"/>
        </w:rPr>
        <w:t>国家对严重污染环境的工艺、设备和产品实行淘汰制度。任何单位和个人不得生产、销售或者转移、使用严重污染环境的工艺、设备和产品。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禁止引进不符合我国环境保护规定的技术、设备、材料和产品。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第四十七条  </w:t>
      </w:r>
      <w:r>
        <w:rPr>
          <w:rFonts w:asciiTheme="minorEastAsia" w:hAnsiTheme="minorEastAsia" w:eastAsiaTheme="minorEastAsia"/>
          <w:sz w:val="24"/>
          <w:szCs w:val="24"/>
        </w:rPr>
        <w:t>各级人民政府及其有关部门和企业事业单位，应当依照《中华人民共和国突发事件应对法》的规定，做好突发环境事件的风险控制、应急准备、应急处置和事后恢复等工作。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县级以上人民政府应当建立环境污染公共监测预警机制，组织制定预警方案；环境受到污染，可能影响公众健康和环境安全时，依法及时公布预警信息，启动应急措施。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企业事业单位应当按照国家有关规定制定突发环境事件应急预案，报环境保护主管部门和有关部门备案。在发生或者可能发生突发环境事件时，企业事业单位应当立即采取措施处理，及时通报可能受到危害的单位和居民，并向环境保护主管部门和有关部门报告。</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突发环境事件应急处置工作结束后，有关人民政府应当立即组织评估事件造成的环境影响和损失，并及时将评估结果向社会公布。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第四十八条  </w:t>
      </w:r>
      <w:r>
        <w:rPr>
          <w:rFonts w:asciiTheme="minorEastAsia" w:hAnsiTheme="minorEastAsia" w:eastAsiaTheme="minorEastAsia"/>
          <w:sz w:val="24"/>
          <w:szCs w:val="24"/>
        </w:rPr>
        <w:t>生产、储存、运输、销售、使用、处置化学物品和含有放射性物质的物品，应当遵守国家有关规定，防止污染环境。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第四十九条  </w:t>
      </w:r>
      <w:r>
        <w:rPr>
          <w:rFonts w:asciiTheme="minorEastAsia" w:hAnsiTheme="minorEastAsia" w:eastAsiaTheme="minorEastAsia"/>
          <w:sz w:val="24"/>
          <w:szCs w:val="24"/>
        </w:rPr>
        <w:t>各级人民政府及其农业等有关部门和机构应当指导农业生产经营者科学种植和养殖，科学合理施用农药、化肥等农业投入品，科学处置农用薄膜、农作物秸秆等农业废弃物，防止农业面源污染。</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禁止将不符合农用标准和环境保护标准的固体废物、废水施入农田。施用农药、化肥等农业投入品及进行灌溉，应当采取措施，防止重金属和其他有毒有害物质污染环境。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畜禽养殖场、养殖小区、定点屠宰企业等的选址、建设和管理应当符合有关法律法规规定。从事畜禽养殖和屠宰的单位和个人应当采取措施，对畜禽粪便、尸体和污水等废弃物进行科学处置，防止污染环境。</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县级人民政府负责组织农村生活废弃物的处置工作。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第五十条  </w:t>
      </w:r>
      <w:r>
        <w:rPr>
          <w:rFonts w:asciiTheme="minorEastAsia" w:hAnsiTheme="minorEastAsia" w:eastAsiaTheme="minorEastAsia"/>
          <w:sz w:val="24"/>
          <w:szCs w:val="24"/>
        </w:rPr>
        <w:t>各级人民政府应当在财政预算中安排资金，支持农村饮用水水源地保护、生活污水和其他废弃物处理、畜禽养殖和屠宰污染防治、土壤污染防治和农村工矿污染治理等环境保护工作。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各级人民政府应当统筹城乡建设污水处理设施及配套管网，固体废物的收集、运输和处置等环境卫生设施，危险废物集中处置设施、场所以及其他环境保护公共设施，并保障其正常运行。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第五十二条  </w:t>
      </w:r>
      <w:r>
        <w:rPr>
          <w:rFonts w:asciiTheme="minorEastAsia" w:hAnsiTheme="minorEastAsia" w:eastAsiaTheme="minorEastAsia"/>
          <w:sz w:val="24"/>
          <w:szCs w:val="24"/>
        </w:rPr>
        <w:t>国家鼓励投保环境污染责任保险。</w:t>
      </w:r>
    </w:p>
    <w:p>
      <w:pPr>
        <w:pStyle w:val="63"/>
        <w:spacing w:before="218" w:after="218" w:line="412" w:lineRule="exact"/>
      </w:pPr>
      <w:r>
        <w:t>第五章  信息公开和公众参与</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第五十三条  </w:t>
      </w:r>
      <w:r>
        <w:rPr>
          <w:rFonts w:asciiTheme="minorEastAsia" w:hAnsiTheme="minorEastAsia" w:eastAsiaTheme="minorEastAsia"/>
          <w:sz w:val="24"/>
          <w:szCs w:val="24"/>
        </w:rPr>
        <w:t>公民、法人和其他组织依法享有获取环境信息、参与和监督环境保护的权利。</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各级人民政府环境保护主管部门和其他负有环境保护监督管理职责的部门，应当依法公开环境信息、完善公众参与程序，为公民、法人和其他组织参与和监督环境保护提供便利。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第五十四条  </w:t>
      </w:r>
      <w:r>
        <w:rPr>
          <w:rFonts w:asciiTheme="minorEastAsia" w:hAnsiTheme="minorEastAsia" w:eastAsiaTheme="minorEastAsia"/>
          <w:sz w:val="24"/>
          <w:szCs w:val="24"/>
        </w:rPr>
        <w:t>国务院环境保护主管部门统一发布国家环境质量、重点污染源监测信息及其他重大环境信息。省级以上人民政府环境保护主管部门定期发布环境状况公报。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县级以上人民政府环境保护主管部门和其他负有环境保护监督管理职责的部门，应当依法公开环境质量、环境监测、突发环境事件以及环境行政许可、行政处罚、排污费的征收和使用情况等信息。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县级以上地方人民政府环境保护主管部门和其他负有环境保护监督管理职责的部门，应当将企业事业单位和其他生产经营者的环境违法信息记入社会诚信档案，及时向社会公布违法者名单。</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第五十五条  </w:t>
      </w:r>
      <w:r>
        <w:rPr>
          <w:rFonts w:asciiTheme="minorEastAsia" w:hAnsiTheme="minorEastAsia" w:eastAsiaTheme="minorEastAsia"/>
          <w:sz w:val="24"/>
          <w:szCs w:val="24"/>
        </w:rPr>
        <w:t>重点排污单位应当如实向社会公开其主要污染物的名称、排放方式、排放浓度和总量、超标排放情况，以及防治污染设施的建设和运行情况，接受社会监督。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第五十六条  </w:t>
      </w:r>
      <w:r>
        <w:rPr>
          <w:rFonts w:asciiTheme="minorEastAsia" w:hAnsiTheme="minorEastAsia" w:eastAsiaTheme="minorEastAsia"/>
          <w:sz w:val="24"/>
          <w:szCs w:val="24"/>
        </w:rPr>
        <w:t>对依法应当编制环境影响报告书的建设项目，建设单位应当在编制时向可能受影响的公众说明情况，充分征求意见。</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负责审批建设项目环境影响评价文件的部门在收到建设项目环境影响报告书后，除涉及国家秘密和商业秘密的事项外，应当全文公开；发现建设项目未充分征求公众意见的，应当责成建设单位征求公众意见。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第五十七条  </w:t>
      </w:r>
      <w:r>
        <w:rPr>
          <w:rFonts w:asciiTheme="minorEastAsia" w:hAnsiTheme="minorEastAsia" w:eastAsiaTheme="minorEastAsia"/>
          <w:sz w:val="24"/>
          <w:szCs w:val="24"/>
        </w:rPr>
        <w:t>公民、法人和其他组织发现任何单位和个人有污染环境和破坏生态行为的，有权向环境保护主管部门或者其他负有环境保护监督管理职责的部门举报。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公民、法人和其他组织发现地方各级人民政府、县级以上人民政府环境保护主管部门和其他负有环境保护监督管理职责的部门不依法履行职责的，有权向其上级机关或者监察机关举报。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接受举报的机关应当对举报人的相关信息予以保密，保护举报人的合法权益。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第五十八条  </w:t>
      </w:r>
      <w:r>
        <w:rPr>
          <w:rFonts w:asciiTheme="minorEastAsia" w:hAnsiTheme="minorEastAsia" w:eastAsiaTheme="minorEastAsia"/>
          <w:sz w:val="24"/>
          <w:szCs w:val="24"/>
        </w:rPr>
        <w:t>对污染环境、破坏生态，损害社会公共利益的行为，符合下列条件的社会组织可以向人民法院提起诉讼：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（一）依法在设区的市级以上人民政府民政部门登记；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（二）专门从事环境保护公益活动连续五年以上且无违法记录。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符合前款规定的社会组织向人民法院提起诉讼，人民法院应当依法受理。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提起诉讼的社会组织不得通过诉讼牟取经济利益。</w:t>
      </w:r>
    </w:p>
    <w:p>
      <w:pPr>
        <w:pStyle w:val="63"/>
        <w:spacing w:before="218" w:after="218" w:line="412" w:lineRule="exact"/>
      </w:pPr>
      <w:r>
        <w:t>第六章  法律责任</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第五十九条  </w:t>
      </w:r>
      <w:r>
        <w:rPr>
          <w:rFonts w:asciiTheme="minorEastAsia" w:hAnsiTheme="minorEastAsia" w:eastAsiaTheme="minorEastAsia"/>
          <w:sz w:val="24"/>
          <w:szCs w:val="24"/>
        </w:rPr>
        <w:t>企业事业单位和其他生产经营者违法排放污染物，受到罚款处罚，被责令改正，拒不改正的，依法作出处罚决定的行政机关可以自责令改正之日的次日起，按照原处罚数额按日连续处罚。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前款规定的罚款处罚，依照有关法律法规按照防治污染设施的运行成本、违法行为造成的直接损失或者违法所得等因素确定的规定执行。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地方性法规可以根据环境保护的实际需要，增加第一款规定的按日连续处罚的违法行为的种类。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第六十条  </w:t>
      </w:r>
      <w:r>
        <w:rPr>
          <w:rFonts w:asciiTheme="minorEastAsia" w:hAnsiTheme="minorEastAsia" w:eastAsiaTheme="minorEastAsia"/>
          <w:sz w:val="24"/>
          <w:szCs w:val="24"/>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第六十一条  </w:t>
      </w:r>
      <w:r>
        <w:rPr>
          <w:rFonts w:asciiTheme="minorEastAsia" w:hAnsiTheme="minorEastAsia" w:eastAsiaTheme="minorEastAsia"/>
          <w:sz w:val="24"/>
          <w:szCs w:val="24"/>
        </w:rPr>
        <w:t>建设单位未依法提交建设项目环境影响评价文件或者环境影响评价文件未经批准，擅自开工建设的，由负有环境保护监督管理职责的部门责令停止建设，处以罚款，并可以责令恢复原状。</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第六十二条  </w:t>
      </w:r>
      <w:r>
        <w:rPr>
          <w:rFonts w:asciiTheme="minorEastAsia" w:hAnsiTheme="minorEastAsia" w:eastAsiaTheme="minorEastAsia"/>
          <w:sz w:val="24"/>
          <w:szCs w:val="24"/>
        </w:rPr>
        <w:t>违反本法规定，重点排污单位不公开或者不如实公开环境信息的，由县级以上地方人民政府环境保护主管部门责令公开，处以罚款，并予以公告。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第六十三条  </w:t>
      </w:r>
      <w:r>
        <w:rPr>
          <w:rFonts w:asciiTheme="minorEastAsia" w:hAnsiTheme="minorEastAsia" w:eastAsiaTheme="minorEastAsia"/>
          <w:sz w:val="24"/>
          <w:szCs w:val="24"/>
        </w:rPr>
        <w:t>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任人员，处十日以上十五日以下拘留；情节较轻的，处五日以上十日以下拘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（一）建设项目未依法进行环境影响评价，被责令停止建设，拒不执行的；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（二）违反法律规定，未取得排污许可证排放污染物，被责令停止排污，拒不执行的；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（三）通过暗管、渗井、渗坑、灌注或者篡改、伪造监测数据，或者不正常运行防治污染设施等逃避监管的方式违法排放污染物的；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（四）生产、使用国家明令禁止生产、使用的农药，被责令改正，拒不改正的。</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第六十四条  </w:t>
      </w:r>
      <w:r>
        <w:rPr>
          <w:rFonts w:asciiTheme="minorEastAsia" w:hAnsiTheme="minorEastAsia" w:eastAsiaTheme="minorEastAsia"/>
          <w:sz w:val="24"/>
          <w:szCs w:val="24"/>
        </w:rPr>
        <w:t>因污染环境和破坏生态造成损害的，应当依照《中华人民共和国侵权责任法》的有关规定承担侵权责任。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第六十五条  </w:t>
      </w:r>
      <w:r>
        <w:rPr>
          <w:rFonts w:asciiTheme="minorEastAsia" w:hAnsiTheme="minorEastAsia" w:eastAsiaTheme="minorEastAsia"/>
          <w:sz w:val="24"/>
          <w:szCs w:val="24"/>
        </w:rPr>
        <w:t>环境影响评价机构、环境监测机构以及从事环境监测设备和防治污染设施维护、运营的机构，在有关环境服务活动中弄虚作假，对造成的环境污染和生态破坏负有责任的，除依照有关法律法规规定予以处罚外，还应当与造成环境污染和生态破坏的其他责任者承担连带责任。</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第六十六条  </w:t>
      </w:r>
      <w:r>
        <w:rPr>
          <w:rFonts w:asciiTheme="minorEastAsia" w:hAnsiTheme="minorEastAsia" w:eastAsiaTheme="minorEastAsia"/>
          <w:sz w:val="24"/>
          <w:szCs w:val="24"/>
        </w:rPr>
        <w:t>提起环境损害赔偿诉讼的时效期间为三年，从当事人知道或者应当知道其受到损害时起计算。</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第六十七条  </w:t>
      </w:r>
      <w:r>
        <w:rPr>
          <w:rFonts w:asciiTheme="minorEastAsia" w:hAnsiTheme="minorEastAsia" w:eastAsiaTheme="minorEastAsia"/>
          <w:sz w:val="24"/>
          <w:szCs w:val="24"/>
        </w:rPr>
        <w:t>上级人民政府及其环境保护主管部门应当加强对下级人民政府及其有关部门环境保护工作的监督。发现有关工作人员有违法行为，依法应当给予处分的，应当向其任免机关或者监察机关提出处分建议。</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依法应当给予行政处罚，而有关环境保护主管部门不给予行政处罚的，上级人民政府环境保护主管部门可以直接作出行政处罚的决定。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第六十八条  </w:t>
      </w:r>
      <w:r>
        <w:rPr>
          <w:rFonts w:asciiTheme="minorEastAsia" w:hAnsiTheme="minorEastAsia" w:eastAsiaTheme="minorEastAsia"/>
          <w:sz w:val="24"/>
          <w:szCs w:val="24"/>
        </w:rPr>
        <w:t>地方各级人民政府、县级以上人民政府环境保护主管部门和其他负有环境保护监督管理职责的部门有下列行为之一的，对直接负责的主管人员和其他直接责任人员给予记过、记大过或者降级处分；造成严重后果的，给予撤职或者开除处分，其主要负责人应当引咎辞职：</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（一）不符合行政许可条件准予行政许可的；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（二）对环境违法行为进行包庇的；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（三）依法应当作出责令停业、关闭的决定而未作出的；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（四）对超标排放污染物、采用逃避监管的方式排放污染物、造成环境事故以及不落实生态保护措施造成生态破坏等行为，发现或者接到举报未及时查处的；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（五）违反本法规定，查封、扣押企业事业单位和其他生产经营者的设施、设备的；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（六）篡改、伪造或者指使篡改、伪造监测数据的；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（七）应当依法公开环境信息而未公开的；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（八）将征收的排污费截留、挤占或者挪作他用的；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（九）法律法规规定的其他违法行为。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第六十九条  </w:t>
      </w:r>
      <w:r>
        <w:rPr>
          <w:rFonts w:asciiTheme="minorEastAsia" w:hAnsiTheme="minorEastAsia" w:eastAsiaTheme="minorEastAsia"/>
          <w:sz w:val="24"/>
          <w:szCs w:val="24"/>
        </w:rPr>
        <w:t>违反本法规定，构成犯罪的，依法追究刑事责任。</w:t>
      </w:r>
    </w:p>
    <w:p>
      <w:pPr>
        <w:pStyle w:val="63"/>
        <w:spacing w:before="218" w:after="218" w:line="412" w:lineRule="exact"/>
      </w:pPr>
      <w:r>
        <w:t>第七章  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第七十条  </w:t>
      </w:r>
      <w:r>
        <w:rPr>
          <w:rFonts w:asciiTheme="minorEastAsia" w:hAnsiTheme="minorEastAsia" w:eastAsiaTheme="minorEastAsia"/>
          <w:sz w:val="24"/>
          <w:szCs w:val="24"/>
        </w:rPr>
        <w:t>本法自2015年1月1日起施行。</w:t>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r>
        <w:rPr>
          <w:rFonts w:asciiTheme="minorEastAsia" w:hAnsiTheme="minorEastAsia" w:eastAsiaTheme="minorEastAsia"/>
          <w:sz w:val="24"/>
          <w:szCs w:val="24"/>
        </w:rPr>
        <w:br w:type="page"/>
      </w:r>
      <w:bookmarkStart w:id="1690" w:name="_Toc18942549"/>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691" w:name="_Toc25653830"/>
      <w:bookmarkStart w:id="1692" w:name="_Toc28157105"/>
      <w:bookmarkStart w:id="1693" w:name="_Toc28251034"/>
      <w:bookmarkStart w:id="1694" w:name="_Toc26348082"/>
      <w:bookmarkStart w:id="1695" w:name="_Toc28252318"/>
      <w:bookmarkStart w:id="1696" w:name="_Toc25648329"/>
      <w:r>
        <w:t>中华人民共和国政府信息公开条例</w:t>
      </w:r>
      <w:bookmarkEnd w:id="1690"/>
      <w:bookmarkEnd w:id="1691"/>
      <w:bookmarkEnd w:id="1692"/>
      <w:bookmarkEnd w:id="1693"/>
      <w:bookmarkEnd w:id="1694"/>
      <w:bookmarkEnd w:id="1695"/>
      <w:bookmarkEnd w:id="1696"/>
    </w:p>
    <w:p>
      <w:pPr>
        <w:pStyle w:val="62"/>
      </w:pPr>
      <w:r>
        <w:rPr>
          <w:rFonts w:hint="eastAsia"/>
        </w:rPr>
        <w:t>（2007年4月5日中华人民共和国国务院令第492号公布2019年4月3日中华人民共和国国务院令第711号修订）</w:t>
      </w:r>
    </w:p>
    <w:p>
      <w:pPr>
        <w:pStyle w:val="63"/>
        <w:spacing w:before="218" w:after="218" w:line="412" w:lineRule="exact"/>
      </w:pPr>
      <w:r>
        <w:t>第一章  总则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asciiTheme="minorEastAsia" w:hAnsiTheme="minorEastAsia" w:eastAsiaTheme="minorEastAsia"/>
          <w:sz w:val="24"/>
          <w:szCs w:val="24"/>
        </w:rPr>
        <w:t xml:space="preserve">  为了保障公民、法人和其他组织依法获取政府信息，提高政府工作的透明度，建设法治政府，充分发挥政府信息对人民群众生产、生活和经济社会活动的服务作用，制定本条例。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asciiTheme="minorEastAsia" w:hAnsiTheme="minorEastAsia" w:eastAsiaTheme="minorEastAsia"/>
          <w:sz w:val="24"/>
          <w:szCs w:val="24"/>
        </w:rPr>
        <w:t xml:space="preserve">  本条例所称政府信息，是指行政机关在履行行政管理职能过程中制作或者获取的，以一定形式记录、保存的信息。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asciiTheme="minorEastAsia" w:hAnsiTheme="minorEastAsia" w:eastAsiaTheme="minorEastAsia"/>
          <w:sz w:val="24"/>
          <w:szCs w:val="24"/>
        </w:rPr>
        <w:t xml:space="preserve">  各级人民政府应当加强对政府信息公开工作的组织领导。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国务院办公厅是全国政府信息公开工作的主管部门，负责推进、指导、协调、监督全国的政府信息公开工作。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县级以上地方人民政府办公厅（室）是本行政区域的政府信息公开工作主管部门，负责推进、指导、协调、监督本行政区域的政府信息公开工作。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实行垂直领导的部门的办公厅（室）主管本系统的政府信息公开工作。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asciiTheme="minorEastAsia" w:hAnsiTheme="minorEastAsia" w:eastAsiaTheme="minorEastAsia"/>
          <w:sz w:val="24"/>
          <w:szCs w:val="24"/>
        </w:rPr>
        <w:t xml:space="preserve">  各级人民政府及县级以上人民政府部门应当建立健全本行政机关的政府信息公开工作制度，并指定机构（以下统称政府信息公开工作机构）负责本行政机关政府信息公开的日常工作。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政府信息公开工作机构的具体职能是：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（一）办理本行政机关的政府信息公开事宜；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（二）维护和更新本行政机关公开的政府信息；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（三）组织编制本行政机关的政府信息公开指南、政府信息公开目录和政府信息公开工作年度报告；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（四）组织开展对拟公开政府信息的审查；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（五）本行政机关规定的与政府信息公开有关的其他职能。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asciiTheme="minorEastAsia" w:hAnsiTheme="minorEastAsia" w:eastAsiaTheme="minorEastAsia"/>
          <w:sz w:val="24"/>
          <w:szCs w:val="24"/>
        </w:rPr>
        <w:t xml:space="preserve">  行政机关公开政府信息，应当坚持以公开为常态、不公开为例外，遵循公正、公平、合法、便民的原则。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asciiTheme="minorEastAsia" w:hAnsiTheme="minorEastAsia" w:eastAsiaTheme="minorEastAsia"/>
          <w:sz w:val="24"/>
          <w:szCs w:val="24"/>
        </w:rPr>
        <w:t xml:space="preserve">  行政机关应当及时、准确地公开政府信息。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行政机关发现影响或者可能影响社会稳定、扰乱社会和经济管理秩序的虚假或者不完整信息的，应当发布准确的政府信息予以澄清。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asciiTheme="minorEastAsia" w:hAnsiTheme="minorEastAsia" w:eastAsiaTheme="minorEastAsia"/>
          <w:sz w:val="24"/>
          <w:szCs w:val="24"/>
        </w:rPr>
        <w:t xml:space="preserve">  各级人民政府应当积极推进政府信息公开工作，逐步增加政府信息公开的内容。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 xml:space="preserve"> 各级人民政府应当加强政府信息资源的规范化、标准化、信息化管理，加强互联网政府信息公开平台建设，推进政府信息公开平台与政务服务平台融合，提高政府信息公开在线办理水平。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 xml:space="preserve"> 公民、法人和其他组织有权对行政机关的政府信息公开工作进行监督，并提出批评和建议。</w:t>
      </w:r>
    </w:p>
    <w:p>
      <w:pPr>
        <w:pStyle w:val="63"/>
        <w:spacing w:before="218" w:after="218" w:line="412" w:lineRule="exact"/>
      </w:pPr>
      <w:r>
        <w:t>第二章  公开的主体和范围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asciiTheme="minorEastAsia" w:hAnsiTheme="minorEastAsia" w:eastAsiaTheme="minorEastAsia"/>
          <w:sz w:val="24"/>
          <w:szCs w:val="24"/>
        </w:rPr>
        <w:t xml:space="preserve">  行政机关制作的政府信息，由制作该政府信息的行政机关负责公开。行政机关从公民、法人和其他组织获取的政府信息，由保存该政府信息的行政机关负责公开；行政机关获取的其他行政机关的政府信息，由制作或者最初获取该政府信息的行政机关负责公开。法律、法规对政府信息公开的权限另有规定的，从其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行政机关设立的派出机构、内设机构依照法律、法规对外以自己名义履行行政管理职能的，可以由该派出机构、内设机构负责与所履行行政管理职能有关的政府信息公开工作。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两个以上行政机关共同制作的政府信息，由牵头制作的行政机关负责公开。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asciiTheme="minorEastAsia" w:hAnsiTheme="minorEastAsia" w:eastAsiaTheme="minorEastAsia"/>
          <w:sz w:val="24"/>
          <w:szCs w:val="24"/>
        </w:rPr>
        <w:t xml:space="preserve">  行政机关应当建立健全政府信息公开协调机制。行政机关公开政府信息涉及其他机关的，应当与有关机关协商、确认，保证行政机关公开的政府信息准确一致。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行政机关公开政府信息依照法律、行政法规和国家有关规定需要批准的，经批准予以公开。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asciiTheme="minorEastAsia" w:hAnsiTheme="minorEastAsia" w:eastAsiaTheme="minorEastAsia"/>
          <w:sz w:val="24"/>
          <w:szCs w:val="24"/>
        </w:rPr>
        <w:t xml:space="preserve">  行政机关编制、公布的政府信息公开指南和政府信息公开目录应当及时更新。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政府信息公开指南包括政府信息的分类、编排体系、获取方式和政府信息公开工作机构的名称、办公地址、办公时间、联系电话、传真号码、互联网联系方式等内容。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政府信息公开目录包括政府信息的索引、名称、内容概述、生成日期等内容。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asciiTheme="minorEastAsia" w:hAnsiTheme="minorEastAsia" w:eastAsiaTheme="minorEastAsia"/>
          <w:sz w:val="24"/>
          <w:szCs w:val="24"/>
        </w:rPr>
        <w:t xml:space="preserve">  除本条例第十四条、第十五条、第十六条规定的政府信息外，政府信息应当公开。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行政机关公开政府信息，采取主动公开和依申请公开的方式。</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asciiTheme="minorEastAsia" w:hAnsiTheme="minorEastAsia" w:eastAsiaTheme="minorEastAsia"/>
          <w:sz w:val="24"/>
          <w:szCs w:val="24"/>
        </w:rPr>
        <w:t xml:space="preserve">  依法确定为国家秘密的政府信息，法律、行政法规禁止公开的政府信息，以及公开后可能危及国家安全、公共安全、经济安全、社会稳定的政府信息，不予公开。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asciiTheme="minorEastAsia" w:hAnsiTheme="minorEastAsia" w:eastAsiaTheme="minorEastAsia"/>
          <w:sz w:val="24"/>
          <w:szCs w:val="24"/>
        </w:rPr>
        <w:t xml:space="preserve">  涉及商业秘密、个人隐私等公开会对第三方合法权益造成损害的政府信息，行政机关不得公开。但是，第三方同意公开或者行政机关认为不公开会对公共利益造成重大影响的，予以公开。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 xml:space="preserve"> 行政机关的内部事务信息，包括人事管理、后勤管理、内部工作流程等方面的信息，可以不予公开。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行政机关在履行行政管理职能过程中形成的讨论记录、过程稿、磋商信函、请示报告等过程性信息以及行政执法案卷信息，可以不予公开。法律、法规、规章规定上述信息应当公开的，从其规定。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asciiTheme="minorEastAsia" w:hAnsiTheme="minorEastAsia" w:eastAsiaTheme="minorEastAsia"/>
          <w:sz w:val="24"/>
          <w:szCs w:val="24"/>
        </w:rPr>
        <w:t xml:space="preserve">  行政机关应当建立健全政府信息公开审查机制，明确审查的程序和责任。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行政机关应当依照《中华人民共和国保守国家秘密法》以及其他法律、法规和国家有关规定对拟公开的政府信息进行审查。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行政机关不能确定政府信息是否可以公开的，应当依照法律、法规和国家有关规定报有关主管部门或者保密行政管理部门确定。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asciiTheme="minorEastAsia" w:hAnsiTheme="minorEastAsia" w:eastAsiaTheme="minorEastAsia"/>
          <w:sz w:val="24"/>
          <w:szCs w:val="24"/>
        </w:rPr>
        <w:t xml:space="preserve">  行政机关应当建立健全政府信息管理动态调整机制，对本行政机关不予公开的政府信息进行定期评估审查，对因情势变化可以公开的政府信息应当公开。</w:t>
      </w:r>
    </w:p>
    <w:p>
      <w:pPr>
        <w:pStyle w:val="63"/>
        <w:spacing w:before="218" w:after="218" w:line="412" w:lineRule="exact"/>
      </w:pPr>
      <w:r>
        <w:t>第三章  主动公开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asciiTheme="minorEastAsia" w:hAnsiTheme="minorEastAsia" w:eastAsiaTheme="minorEastAsia"/>
          <w:sz w:val="24"/>
          <w:szCs w:val="24"/>
        </w:rPr>
        <w:t xml:space="preserve">  对涉及公众利益调整、需要公众广泛知晓或者需要公众参与决策的政府信息，行政机关应当主动公开。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 xml:space="preserve"> 行政机关应当依照本条例第十九条的规定，主动公开本行政机关的下列政府信息：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（一）行政法规、规章和规范性文件；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（二）机关职能、机构设置、办公地址、办公时间、联系方式、负责人姓名；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（三）国民经济和社会发展规划、专项规划、区域规划及相关政策；</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（四）国民经济和社会发展统计信息；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（五）办理行政许可和其他对外管理服务事项的依据、条件、程序以及办理结果；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（六）实施行政处罚、行政强制的依据、条件、程序以及本行政机关认为具有一定社会影响的行政处罚决定；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（七）财政预算、决算信息；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（八）行政事业性收费项目及其依据、标准；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（九）政府集中采购项目的目录、标准及实施情况；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（十）重大建设项目的批准和实施情况；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（十一）扶贫、教育、医疗、社会保障、促进就业等方面的政策、措施及其实施情况；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（十二）突发公共事件的应急预案、预警信息及应对情况；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（十三）环境保护、公共卫生、安全生产、食品药品、产品质量的监督检查情况；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（十四）公务员招考的职位、名额、报考条件等事项以及录用结果；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（十五）法律、法规、规章和国家有关规定规定应当主动公开的其他政府信息。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asciiTheme="minorEastAsia" w:hAnsiTheme="minorEastAsia" w:eastAsiaTheme="minorEastAsia"/>
          <w:sz w:val="24"/>
          <w:szCs w:val="24"/>
        </w:rPr>
        <w:t xml:space="preserve">  除本条例第二十条规定的政府信息外，设区的市级、县级人民政府及其部门还应当根据本地方的具体情况，主动公开涉及市政建设、公共服务、公益事业、土地征收、房屋征收、治安管理、社会救助等方面的政府信息；乡（镇）人民政府还应当根据本地方的具体情况，主动公开贯彻落实农业农村政策、农田水利工程建设运营、农村土地承包经营权流转、宅基地使用情况审核、土地征收、房屋征收、筹资筹劳、社会救助等方面的政府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asciiTheme="minorEastAsia" w:hAnsiTheme="minorEastAsia" w:eastAsiaTheme="minorEastAsia"/>
          <w:sz w:val="24"/>
          <w:szCs w:val="24"/>
        </w:rPr>
        <w:t xml:space="preserve">  行政机关应当依照本条例第二十条、第二十一条的规定，确定主动公开政府信息的具体内容，并按照上级行政机关的部署，不断增加主动公开的内容。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 xml:space="preserve"> 行政机关应当建立健全政府信息发布机制，将主动公开的政府信息通过政府公报、政府网站或者其他互联网政务媒体、新闻发布会以及报刊、广播、电视等途径予以公开。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各级人民政府应当加强依托政府门户网站公开政府信息的工作，利用统一的政府信息公开平台集中发布主动公开的政府信息。政府信息公开平台应当具备信息检索、查阅、下载等功能。</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asciiTheme="minorEastAsia" w:hAnsiTheme="minorEastAsia" w:eastAsiaTheme="minorEastAsia"/>
          <w:sz w:val="24"/>
          <w:szCs w:val="24"/>
        </w:rPr>
        <w:t xml:space="preserve">  各级人民政府应当在国家档案馆、公共图书馆、政务服务场所设置政府信息查阅场所，并配备相应的设施、设备，为公民、法人和其他组织获取政府信息提供便利。</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行政机关可以根据需要设立公共查阅室、资料索取点、信息公告栏、电子信息屏等场所、设施，公开政府信息。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行政机关应当及时向国家档案馆、公共图书馆提供主动公开的政府信息。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asciiTheme="minorEastAsia" w:hAnsiTheme="minorEastAsia" w:eastAsiaTheme="minorEastAsia"/>
          <w:sz w:val="24"/>
          <w:szCs w:val="24"/>
        </w:rPr>
        <w:t xml:space="preserve">  属于主动公开范围的政府信息，应当自该政府信息形成或者变更之日起20个工作日内及时公开。法律、法规对政府信息公开的期限另有规定的，从其规定。</w:t>
      </w:r>
    </w:p>
    <w:p>
      <w:pPr>
        <w:pStyle w:val="63"/>
        <w:spacing w:before="218" w:after="218" w:line="412" w:lineRule="exact"/>
      </w:pPr>
      <w:r>
        <w:t>第四章  依申请公开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asciiTheme="minorEastAsia" w:hAnsiTheme="minorEastAsia" w:eastAsiaTheme="minorEastAsia"/>
          <w:sz w:val="24"/>
          <w:szCs w:val="24"/>
        </w:rPr>
        <w:t xml:space="preserve">  除行政机关主动公开的政府信息外，公民、法人或者其他组织可以向地方各级人民政府、对外以自己名义履行行政管理职能的县级以上人民政府部门（含本条例第十条第二款规定的派出机构、内设机构）申请获取相关政府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asciiTheme="minorEastAsia" w:hAnsiTheme="minorEastAsia" w:eastAsiaTheme="minorEastAsia"/>
          <w:sz w:val="24"/>
          <w:szCs w:val="24"/>
        </w:rPr>
        <w:t xml:space="preserve">  本条例第二十七条规定的行政机关应当建立完善政府信息公开申请渠道，为申请人依法申请获取政府信息提供便利。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asciiTheme="minorEastAsia" w:hAnsiTheme="minorEastAsia" w:eastAsiaTheme="minorEastAsia"/>
          <w:sz w:val="24"/>
          <w:szCs w:val="24"/>
        </w:rPr>
        <w:t xml:space="preserve">  公民、法人或者其他组织申请获取政府信息的，应当向行政机关的政府信息公开工作机构提出，并采用包括信件、数据电文在内的书面形式；采用书面形式确有困难的，申请人可以口头提出，由受理该申请的政府信息公开工作机构代为填写政府信息公开申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政府信息公开申请应当包括下列内容：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（一）申请人的姓名或者名称、身份证明、联系方式；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（二）申请公开的政府信息的名称、文号或者便于行政机关查询的其他特征性描述；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（三）申请公开的政府信息的形式要求，包括获取信息的方式、途径。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asciiTheme="minorEastAsia" w:hAnsiTheme="minorEastAsia" w:eastAsiaTheme="minorEastAsia"/>
          <w:sz w:val="24"/>
          <w:szCs w:val="24"/>
        </w:rPr>
        <w:t xml:space="preserve">  政府信息公开申请内容不明确的，行政机关应当给予指导和释明，并自收到申请之日起7个工作日内一次性告知申请人作出补正，说明需要补正的事项和合理的补正期限。答复期限自行政机关收到补正的申请之日起计算。申请人无正当理由逾期不补正的，视为放弃申请，行政机关不再处理该政府信息公开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asciiTheme="minorEastAsia" w:hAnsiTheme="minorEastAsia" w:eastAsiaTheme="minorEastAsia"/>
          <w:sz w:val="24"/>
          <w:szCs w:val="24"/>
        </w:rPr>
        <w:t xml:space="preserve">  行政机关收到政府信息公开申请的时间，按照下列规定确定：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（一）申请人当面提交政府信息公开申请的，以提交之日为收到申请之日；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人以邮寄方式提交政府信息公开申请的，以行政机关签收之日为收到申请之日；以平常信函等无需签收的邮寄方式提交政府信息公开申请的，政府信息公开工作机构应当于收到申请的当日与申请人确认，确认之日为收到申请之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（三）申请人通过互联网渠道或者政府信息公开工作机构的传真提交政府信息公开申请的，以双方确认之日为收到申请之日。</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asciiTheme="minorEastAsia" w:hAnsiTheme="minorEastAsia" w:eastAsiaTheme="minorEastAsia"/>
          <w:sz w:val="24"/>
          <w:szCs w:val="24"/>
        </w:rPr>
        <w:t xml:space="preserve">  依申请公开的政府信息公开会损害第三方合法权益的，行政机关应当书面征求第三方的意见。第三方应当自收到征求意见书之日起15个工作日内提出意见。第三方逾期未提出意见的，由行政机关依照本条例的规定决定是否公开。第三方不同意公开且有合理理由的，行政机关不予公开。行政机关认为不公开可能对公共利益造成重大影响的，可以决定予以公开，并将决定公开的政府信息内容和理由书面告知第三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asciiTheme="minorEastAsia" w:hAnsiTheme="minorEastAsia" w:eastAsiaTheme="minorEastAsia"/>
          <w:sz w:val="24"/>
          <w:szCs w:val="24"/>
        </w:rPr>
        <w:t xml:space="preserve">  行政机关收到政府信息公开申请，能够当场答复的，应当当场予以答复。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行政机关不能当场答复的，应当自收到申请之日起20个工作日内予以答复；需要延长答复期限的，应当经政府信息公开工作机构负责人同意并告知申请人，延长的期限最长不得超过20个工作日。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行政机关征求第三方和其他机关意见所需时间不计算在前款规定的期限内。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 xml:space="preserve"> 申请公开的政府信息由两个以上行政机关共同制作的，牵头制作的行政机关收到政府信息公开申请后可以征求相关行政机关的意见，被征求意见机关应当自收到征求意见书之日起15个工作日内提出意见，逾期未提出意见的视为同意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asciiTheme="minorEastAsia" w:hAnsiTheme="minorEastAsia" w:eastAsiaTheme="minorEastAsia"/>
          <w:sz w:val="24"/>
          <w:szCs w:val="24"/>
        </w:rPr>
        <w:t xml:space="preserve">  申请人申请公开政府信息的数量、频次明显超过合理范围，行政机关可以要求申请人说明理由。行政机关认为申请理由不合理的，告知申请人不予处理；行政机关认为申请理由合理，但是无法在本条例第三十三条规定的期限内答复申请人的，可以确定延迟答复的合理期限并告知申请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第三十六条</w:t>
      </w:r>
      <w:r>
        <w:rPr>
          <w:rFonts w:asciiTheme="minorEastAsia" w:hAnsiTheme="minorEastAsia" w:eastAsiaTheme="minorEastAsia"/>
          <w:sz w:val="24"/>
          <w:szCs w:val="24"/>
        </w:rPr>
        <w:t xml:space="preserve">  对政府信息公开申请，行政机关根据下列情况分别作出答复：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（一）所申请公开信息已经主动公开的，告知申请人获取该政府信息的方式、途径；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（二）所申请公开信息可以公开的，向申请人提供该政府信息，或者告知申请人获取该政府信息的方式、途径和时间；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（三）行政机关依据本条例的规定决定不予公开的，告知申请人不予公开并说明理由；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（四）经检索没有所申请公开信息的，告知申请人该政府信息不存在；</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（五）所申请公开信息不属于本行政机关负责公开的，告知申请人并说明理由；能够确定负责公开该政府信息的行政机关的，告知申请人该行政机关的名称、联系方式；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（六）行政机关已就申请人提出的政府信息公开申请作出答复、申请人重复申请公开相同政府信息的，告知申请人不予重复处理；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（七）所申请公开信息属于工商、不动产登记资料等信息，有关法律、行政法规对信息的获取有特别规定的，告知申请人依照有关法律、行政法规的规定办理。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asciiTheme="minorEastAsia" w:hAnsiTheme="minorEastAsia" w:eastAsiaTheme="minorEastAsia"/>
          <w:sz w:val="24"/>
          <w:szCs w:val="24"/>
        </w:rPr>
        <w:t xml:space="preserve">  申请公开的信息中含有不应当公开或者不属于政府信息的内容，但是能够作区分处理的，行政机关应当向申请人提供可以公开的政府信息内容，并对不予公开的内容说明理由。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第三十八条</w:t>
      </w:r>
      <w:r>
        <w:rPr>
          <w:rFonts w:asciiTheme="minorEastAsia" w:hAnsiTheme="minorEastAsia" w:eastAsiaTheme="minorEastAsia"/>
          <w:sz w:val="24"/>
          <w:szCs w:val="24"/>
        </w:rPr>
        <w:t xml:space="preserve">  行政机关向申请人提供的信息，应当是已制作或者获取的政府信息。除依照本条例第三十七条的规定能够作区分处理的外，需要行政机关对现有政府信息进行加工、分析的，行政机关可以不予提供。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 xml:space="preserve"> 申请人以政府信息公开申请的形式进行信访、投诉、举报等活动，行政机关应当告知申请人不作为政府信息公开申请处理并可以告知通过相应渠道提出。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申请人提出的申请内容为要求行政机关提供政府公报、报刊、书籍等公开出版物的，行政机关可以告知获取的途径。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第四十条</w:t>
      </w:r>
      <w:r>
        <w:rPr>
          <w:rFonts w:asciiTheme="minorEastAsia" w:hAnsiTheme="minorEastAsia" w:eastAsiaTheme="minorEastAsia"/>
          <w:sz w:val="24"/>
          <w:szCs w:val="24"/>
        </w:rPr>
        <w:t xml:space="preserve">  行政机关依申请公开政府信息，应当根据申请人的要求及行政机关保存政府信息的实际情况，确定提供政府信息的具体形式；按照申请人要求的形式提供政府信息，可能危及政府信息载体安全或者公开成本过高的，可以通过电子数据以及其他适当形式提供，或者安排申请人查阅、抄录相关政府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第四十一条</w:t>
      </w:r>
      <w:r>
        <w:rPr>
          <w:rFonts w:asciiTheme="minorEastAsia" w:hAnsiTheme="minorEastAsia" w:eastAsiaTheme="minorEastAsia"/>
          <w:sz w:val="24"/>
          <w:szCs w:val="24"/>
        </w:rPr>
        <w:t xml:space="preserve">  公民、法人或者其他组织有证据证明行政机关提供的与其自身相关的政府信息记录不准确的，可以要求行政机关更正。有权更正的行政机关审核属实的，应当予以更正并告知申请人；不属于本行政机关职能范围的，行政机关可以转送有权更正的行政机关处理并告知申请人，或者告知申请人向有权更正的行政机关提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 xml:space="preserve"> 行政机关依申请提供政府信息，不收取费用。但是，申请人申请公开政府信息的数量、频次明显超过合理范围的，行政机关可以收取信息处理费。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行政机关收取信息处理费的具体办法由国务院价格主管部门会同国务院财政部门、全国政府信息公开工作主管部门制定。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 xml:space="preserve"> 申请公开政府信息的公民存在阅读困难或者视听障碍的，行政机关应当为其提供必要的帮助。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 xml:space="preserve"> 多个申请人就相同政府信息向同一行政机关提出公开申请，且该政府信息属于可以公开的，行政机关可以纳入主动公开的范围。</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对行政机关依申请公开的政府信息，申请人认为涉及公众利益调整、需要公众广泛知晓或者需要公众参与决策的，可以建议行政机关将该信息纳入主动公开的范围。行政机关经审核认为属于主动公开范围的，应当及时主动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 xml:space="preserve"> 行政机关应当建立健全政府信息公开申请登记、审核、办理、答复、归档的工作制度，加强工作规范。</w:t>
      </w:r>
    </w:p>
    <w:p>
      <w:pPr>
        <w:pStyle w:val="63"/>
        <w:spacing w:before="218" w:after="218" w:line="412" w:lineRule="exact"/>
      </w:pPr>
      <w:r>
        <w:t>第五章  监督和保障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第四十六条</w:t>
      </w:r>
      <w:r>
        <w:rPr>
          <w:rFonts w:asciiTheme="minorEastAsia" w:hAnsiTheme="minorEastAsia" w:eastAsiaTheme="minorEastAsia"/>
          <w:sz w:val="24"/>
          <w:szCs w:val="24"/>
        </w:rPr>
        <w:t xml:space="preserve">  各级人民政府应当建立健全政府信息公开工作考核制度、社会评议制度和责任追究制度，定期对政府信息公开工作进行考核、评议。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第四十七条</w:t>
      </w:r>
      <w:r>
        <w:rPr>
          <w:rFonts w:asciiTheme="minorEastAsia" w:hAnsiTheme="minorEastAsia" w:eastAsiaTheme="minorEastAsia"/>
          <w:sz w:val="24"/>
          <w:szCs w:val="24"/>
        </w:rPr>
        <w:t xml:space="preserve">  政府信息公开工作主管部门应当加强对政府信息公开工作的日常指导和监督检查，对行政机关未按照要求开展政府信息公开工作的，予以督促整改或者通报批评；需要对负有责任的领导人员和直接责任人员追究责任的，依法向有权机关提出处理建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公民、法人或者其他组织认为行政机关未按照要求主动公开政府信息或者对政府信息公开申请不依法答复处理的，可以向政府信息公开工作主管部门提出。政府信息公开工作主管部门查证属实的，应当予以督促整改或者通报批评。</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第四十八条</w:t>
      </w:r>
      <w:r>
        <w:rPr>
          <w:rFonts w:asciiTheme="minorEastAsia" w:hAnsiTheme="minorEastAsia" w:eastAsiaTheme="minorEastAsia"/>
          <w:sz w:val="24"/>
          <w:szCs w:val="24"/>
        </w:rPr>
        <w:t xml:space="preserve">  政府信息公开工作主管部门应当对行政机关的政府信息公开工作人员定期进行培训。</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第四十九条</w:t>
      </w:r>
      <w:r>
        <w:rPr>
          <w:rFonts w:asciiTheme="minorEastAsia" w:hAnsiTheme="minorEastAsia" w:eastAsiaTheme="minorEastAsia"/>
          <w:sz w:val="24"/>
          <w:szCs w:val="24"/>
        </w:rPr>
        <w:t xml:space="preserve">  县级以上人民政府部门应当在每年1月31日前向本级政府信息公开工作主管部门提交本行政机关上一年度政府信息公开工作年度报告并向社会公布。</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县级以上地方人民政府的政府信息公开工作主管部门应当在每年3月31日前向社会公布本级政府上一年度政府信息公开工作年度报告。</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第五十条</w:t>
      </w:r>
      <w:r>
        <w:rPr>
          <w:rFonts w:asciiTheme="minorEastAsia" w:hAnsiTheme="minorEastAsia" w:eastAsiaTheme="minorEastAsia"/>
          <w:sz w:val="24"/>
          <w:szCs w:val="24"/>
        </w:rPr>
        <w:t xml:space="preserve">  政府信息公开工作年度报告应当包括下列内容：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（一）行政机关主动公开政府信息的情况；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（二）行政机关收到和处理政府信息公开申请的情况；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（三）因政府信息公开工作被申请行政复议、提起行政诉讼的情况；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（四）政府信息公开工作存在的主要问题及改进情况，各级人民政府的政府信息公开工作年度报告还应当包括工作考核、社会评议和责任追究结果情况；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（五）其他需要报告的事项。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全国政府信息公开工作主管部门应当公布政府信息公开工作年度报告统一格式，并适时更新。</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第五十一条 </w:t>
      </w:r>
      <w:r>
        <w:rPr>
          <w:rFonts w:asciiTheme="minorEastAsia" w:hAnsiTheme="minorEastAsia" w:eastAsiaTheme="minorEastAsia"/>
          <w:sz w:val="24"/>
          <w:szCs w:val="24"/>
        </w:rPr>
        <w:t xml:space="preserve"> 公民、法人或者其他组织认为行政机关在政府信息公开工作中侵犯其合法权益的，可以向上一级行政机关或者政府信息公开工作主管部门投诉、举报，也可以依法申请行政复议或者提起行政诉讼。</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第五十二条</w:t>
      </w:r>
      <w:r>
        <w:rPr>
          <w:rFonts w:asciiTheme="minorEastAsia" w:hAnsiTheme="minorEastAsia" w:eastAsiaTheme="minorEastAsia"/>
          <w:sz w:val="24"/>
          <w:szCs w:val="24"/>
        </w:rPr>
        <w:t xml:space="preserve">  行政机关违反本条例的规定，未建立健全政府信息公开有关制度、机制的，由上一级行政机关责令改正；情节严重的，对负有责任的领导人员和直接责任人员依法给予处分。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第五十三条</w:t>
      </w:r>
      <w:r>
        <w:rPr>
          <w:rFonts w:asciiTheme="minorEastAsia" w:hAnsiTheme="minorEastAsia" w:eastAsiaTheme="minorEastAsia"/>
          <w:sz w:val="24"/>
          <w:szCs w:val="24"/>
        </w:rPr>
        <w:t xml:space="preserve">  行政机关违反本条例的规定，有下列情形之一的，由上一级行政机关责令改正；情节严重的，对负有责任的领导人员和直接责任人员依法给予处分；构成犯罪的，依法追究刑事责任：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（一）不依法履行政府信息公开职能；</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（二）不及时更新公开的政府信息内容、政府信息公开指南和政府信息公开目录；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（三）违反本条例规定的其他情形。</w:t>
      </w:r>
    </w:p>
    <w:p>
      <w:pPr>
        <w:pStyle w:val="63"/>
        <w:spacing w:before="218" w:after="218" w:line="412" w:lineRule="exact"/>
      </w:pPr>
      <w:r>
        <w:t>第六章  附则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第五十四条</w:t>
      </w:r>
      <w:r>
        <w:rPr>
          <w:rFonts w:asciiTheme="minorEastAsia" w:hAnsiTheme="minorEastAsia" w:eastAsiaTheme="minorEastAsia"/>
          <w:sz w:val="24"/>
          <w:szCs w:val="24"/>
        </w:rPr>
        <w:t xml:space="preserve">  法律、法规授权的具有管理公共事务职能的组织公开政府信息的活动，适用本条例。</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第五十五条</w:t>
      </w:r>
      <w:r>
        <w:rPr>
          <w:rFonts w:asciiTheme="minorEastAsia" w:hAnsiTheme="minorEastAsia" w:eastAsiaTheme="minorEastAsia"/>
          <w:sz w:val="24"/>
          <w:szCs w:val="24"/>
        </w:rPr>
        <w:t xml:space="preserve">  教育、卫生健康、供水、供电、供气、供热、环境保护、公共交通等与人民群众利益密切相关的公共企事业单位，公开在提供社会公共服务过程中制作、获取的信息，依照相关法律、法规和国务院有关主管部门或者机构的规定执行。全国政府信息公开工作主管部门根据实际需要可以制定专门的规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前款规定的公共企事业单位未依照相关法律、法规和国务院有关主管部门或者机构的规定公开在提供社会公共服务过程中制作、获取的信息，公民、法人或者其他组织可以向有关主管部门或者机构申诉，接受申诉的部门或者机构应当及时调查处理并将处理结果告知申诉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第五十六条</w:t>
      </w:r>
      <w:r>
        <w:rPr>
          <w:rFonts w:asciiTheme="minorEastAsia" w:hAnsiTheme="minorEastAsia" w:eastAsiaTheme="minorEastAsia"/>
          <w:sz w:val="24"/>
          <w:szCs w:val="24"/>
        </w:rPr>
        <w:t xml:space="preserve">  本条例自2019年5月15日起施行。</w:t>
      </w:r>
    </w:p>
    <w:p>
      <w:pPr>
        <w:widowControl/>
        <w:spacing w:before="156" w:after="156"/>
        <w:ind w:firstLine="240"/>
        <w:rPr>
          <w:rFonts w:cs="Times New Roman" w:asciiTheme="minorEastAsia" w:hAnsiTheme="minorEastAsia"/>
          <w:b/>
          <w:bCs/>
          <w:kern w:val="0"/>
          <w:sz w:val="24"/>
          <w:szCs w:val="24"/>
        </w:rPr>
      </w:pPr>
      <w:bookmarkStart w:id="1697" w:name="_Toc18942550"/>
      <w:r>
        <w:rPr>
          <w:rFonts w:asciiTheme="minorEastAsia" w:hAnsiTheme="minorEastAsia"/>
          <w:sz w:val="24"/>
          <w:szCs w:val="24"/>
        </w:rPr>
        <w:br w:type="page"/>
      </w:r>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698" w:name="_Toc25648330"/>
      <w:bookmarkStart w:id="1699" w:name="_Toc25653831"/>
      <w:bookmarkStart w:id="1700" w:name="_Toc28157106"/>
      <w:bookmarkStart w:id="1701" w:name="_Toc28251035"/>
      <w:bookmarkStart w:id="1702" w:name="_Toc26348083"/>
      <w:bookmarkStart w:id="1703" w:name="_Toc28252319"/>
      <w:r>
        <w:t>北京市政府信息公开规定</w:t>
      </w:r>
      <w:bookmarkEnd w:id="1697"/>
      <w:bookmarkEnd w:id="1698"/>
      <w:bookmarkEnd w:id="1699"/>
      <w:bookmarkEnd w:id="1700"/>
      <w:bookmarkEnd w:id="1701"/>
      <w:bookmarkEnd w:id="1702"/>
      <w:bookmarkEnd w:id="1703"/>
    </w:p>
    <w:p>
      <w:pPr>
        <w:pStyle w:val="62"/>
        <w:topLinePunct w:val="0"/>
        <w:ind w:firstLine="0" w:firstLineChars="0"/>
        <w:jc w:val="center"/>
      </w:pPr>
      <w:r>
        <w:t>（2014年6月23日北京市人民政府令第257号公布）</w:t>
      </w:r>
    </w:p>
    <w:p>
      <w:pPr>
        <w:pStyle w:val="63"/>
        <w:spacing w:before="218" w:after="218" w:line="412" w:lineRule="exact"/>
      </w:pPr>
      <w:r>
        <w:t>第一章  总</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第一条  </w:t>
      </w:r>
      <w:r>
        <w:rPr>
          <w:rFonts w:asciiTheme="minorEastAsia" w:hAnsiTheme="minorEastAsia" w:eastAsiaTheme="minorEastAsia"/>
          <w:sz w:val="24"/>
          <w:szCs w:val="24"/>
        </w:rPr>
        <w:t>依据《中华人民共和国政府信息公开条例》和其他有关法律、法规规定，结合本市实际，制定本规定。</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第二条  </w:t>
      </w:r>
      <w:r>
        <w:rPr>
          <w:rFonts w:asciiTheme="minorEastAsia" w:hAnsiTheme="minorEastAsia" w:eastAsiaTheme="minorEastAsia"/>
          <w:sz w:val="24"/>
          <w:szCs w:val="24"/>
        </w:rPr>
        <w:t>本规定所称政府信息，是指行政机关在履行职责过程中制作或者获取的，以一定形式记录、保存的信息。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第三条  </w:t>
      </w:r>
      <w:r>
        <w:rPr>
          <w:rFonts w:asciiTheme="minorEastAsia" w:hAnsiTheme="minorEastAsia" w:eastAsiaTheme="minorEastAsia"/>
          <w:sz w:val="24"/>
          <w:szCs w:val="24"/>
        </w:rPr>
        <w:t>各级人民政府应当加强对政府信息公开工作的组织领导。</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市政府办公厅是本市政府信息公开工作的主管部门，负责推进、指导、协调、监督本市的政府信息公开工作。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区、县人民政府办公室是本区、县政府信息公开工作的主管部门，负责推进、指导、协调、监督本行政区域的政府信息公开工作。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实行垂直领导的部门在上级主管部门的领导和所在地人民政府统一指导、协调下开展政府信息公开工作。</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实行双重领导的部门在所在地人民政府的领导下开展政府信息公开工作，并接受上级主管部门的指导。</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第四条  </w:t>
      </w:r>
      <w:r>
        <w:rPr>
          <w:rFonts w:asciiTheme="minorEastAsia" w:hAnsiTheme="minorEastAsia" w:eastAsiaTheme="minorEastAsia"/>
          <w:sz w:val="24"/>
          <w:szCs w:val="24"/>
        </w:rPr>
        <w:t>各级人民政府以及市和区、县人民政府部门指定的政府信息公开工作机构，应当依法组织开展本行政机关政府信息公开、维护和更新公开的政府信息、对拟公开的政府信息进行保密审查以及编制政府信息公开指南、目录和工作年度报告等政府信息公开的日常工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第五条  </w:t>
      </w:r>
      <w:r>
        <w:rPr>
          <w:rFonts w:asciiTheme="minorEastAsia" w:hAnsiTheme="minorEastAsia" w:eastAsiaTheme="minorEastAsia"/>
          <w:sz w:val="24"/>
          <w:szCs w:val="24"/>
        </w:rPr>
        <w:t>行政机关公开政府信息，应当遵循公正、公平、便民、及时、准确的原则。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第六条  </w:t>
      </w:r>
      <w:r>
        <w:rPr>
          <w:rFonts w:asciiTheme="minorEastAsia" w:hAnsiTheme="minorEastAsia" w:eastAsiaTheme="minorEastAsia"/>
          <w:sz w:val="24"/>
          <w:szCs w:val="24"/>
        </w:rPr>
        <w:t>市或者区、县人民政府的职责由具体工作部门承办的，可以由该工作部门负责相关政府信息公开工作。负责相关政府信息公开工作的具体工作部门由市人民政府向社会公布。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第七条  </w:t>
      </w:r>
      <w:r>
        <w:rPr>
          <w:rFonts w:asciiTheme="minorEastAsia" w:hAnsiTheme="minorEastAsia" w:eastAsiaTheme="minorEastAsia"/>
          <w:sz w:val="24"/>
          <w:szCs w:val="24"/>
        </w:rPr>
        <w:t>行政机关在政府机构改革中被撤销、合并或者调整职权的，其制作、获取的政府信息，有继续履行相关职权的行政机关的，由该行政机关负责公开；没有继续履行相关职权的行政机关的，由保存该政府信息的单位负责公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多个行政机关共同制作的政府信息，由各参与制作的行政机关负责公开。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第八条  </w:t>
      </w:r>
      <w:r>
        <w:rPr>
          <w:rFonts w:asciiTheme="minorEastAsia" w:hAnsiTheme="minorEastAsia" w:eastAsiaTheme="minorEastAsia"/>
          <w:sz w:val="24"/>
          <w:szCs w:val="24"/>
        </w:rPr>
        <w:t>行政机关在公开政府信息前，应当依照《中华人民共和国保守国家秘密法》以及其他法律、法规和国家有关规定对拟公开的政府信息进行审查。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符合下列情形之一的政府信息，不予公开：</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（一）根据《中华人民共和国保守国家秘密法》等法律、法规和国家有关规定，涉及国家秘密的；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（二）根据《中华人民共和国反不正当竞争法》等法律、法规和国家有关规定，涉及不为公众所知悉、能给权利人带来经济利益、具有实用性并经权利人采取保密措施的技术信息和经营信息的；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（三）根据相关法律、法规和国家有关规定，涉及他人身份、通讯、健康、婚姻、家庭、财产状况等个人隐私信息的；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（四）根据法律、法规和国家有关规定，其他不予公开的。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行政机关公开涉及商业秘密、个人隐私的政府信息应当依照本规定第二十七条的规定执行。</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第九条  </w:t>
      </w:r>
      <w:r>
        <w:rPr>
          <w:rFonts w:asciiTheme="minorEastAsia" w:hAnsiTheme="minorEastAsia" w:eastAsiaTheme="minorEastAsia"/>
          <w:sz w:val="24"/>
          <w:szCs w:val="24"/>
        </w:rPr>
        <w:t>行政机关应当建立健全政府信息公开保密审查机制，明确国家秘密、商业秘密和个人隐私的审查程序和责任。</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行政机关对政府信息不能确定是否涉及国家秘密时，应当依照法律、法规和国家有关规定报有关主管部门或者同级保密工作部门确定。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第十条  </w:t>
      </w:r>
      <w:r>
        <w:rPr>
          <w:rFonts w:asciiTheme="minorEastAsia" w:hAnsiTheme="minorEastAsia" w:eastAsiaTheme="minorEastAsia"/>
          <w:sz w:val="24"/>
          <w:szCs w:val="24"/>
        </w:rPr>
        <w:t>行政机关在制作政府信息时，应当确定该政府信息是否公开。对不公开的政府信息，应当注明理由。</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行政机关应当建立不公开的政府信息的动态管理机制，对符合公开要求的政府信息依法公开。</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第十一条  </w:t>
      </w:r>
      <w:r>
        <w:rPr>
          <w:rFonts w:asciiTheme="minorEastAsia" w:hAnsiTheme="minorEastAsia" w:eastAsiaTheme="minorEastAsia"/>
          <w:sz w:val="24"/>
          <w:szCs w:val="24"/>
        </w:rPr>
        <w:t>行政机关应当建立健全信息监测和澄清机制。行政机关发现影响或者可能影响社会稳定、扰乱社会管理秩序的虚假或者不完整信息，应当在其职责范围内发布准确的政府信息予以澄清。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第十二条  </w:t>
      </w:r>
      <w:r>
        <w:rPr>
          <w:rFonts w:asciiTheme="minorEastAsia" w:hAnsiTheme="minorEastAsia" w:eastAsiaTheme="minorEastAsia"/>
          <w:sz w:val="24"/>
          <w:szCs w:val="24"/>
        </w:rPr>
        <w:t>行政机关应当建立健全政府信息发布协调机制。行政机关发布政府信息涉及其他行政机关的，应当与有关行政机关进行沟通、确认，保证行政机关发布的政府信息准确一致。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行政机关发布政府信息依照国家和市人民政府有关规定需要批准的，未经批准不得发布。</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第十三条  </w:t>
      </w:r>
      <w:r>
        <w:rPr>
          <w:rFonts w:asciiTheme="minorEastAsia" w:hAnsiTheme="minorEastAsia" w:eastAsiaTheme="minorEastAsia"/>
          <w:sz w:val="24"/>
          <w:szCs w:val="24"/>
        </w:rPr>
        <w:t>行政机关公开政府信息，不得危及国家安全、公共安全、经济安全和社会稳定。</w:t>
      </w:r>
    </w:p>
    <w:p>
      <w:pPr>
        <w:pStyle w:val="63"/>
        <w:spacing w:before="218" w:after="218" w:line="412" w:lineRule="exact"/>
      </w:pPr>
      <w:r>
        <w:t>第二章  主动公开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第十四条  </w:t>
      </w:r>
      <w:r>
        <w:rPr>
          <w:rFonts w:asciiTheme="minorEastAsia" w:hAnsiTheme="minorEastAsia" w:eastAsiaTheme="minorEastAsia"/>
          <w:sz w:val="24"/>
          <w:szCs w:val="24"/>
        </w:rPr>
        <w:t>除依照《中华人民共和国信息公开条例》和国家有关规定主动公开政府信息外，根据本市实际情况，行政机关还应当重点公开以下政府信息：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（一）财政预算决算、“三公经费”和行政经费信息；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（二）保障性安居工程建设计划、项目开工和竣工情况，保障性住房的分配和退出等信息；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（三）食品安全标准，食品生产经营许可、专项检查整治等信息；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（四）环境核查审批、环境状况公报和重特大突发环境事件等信息；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（五）招投标违法违规行为及处理情况、国有资金占控股或者主导地位依法应当招标的项目等信息；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（六）生产安全事故的政府举措、处置进展、风险预警、防范措施等信息；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（七）农用地转为建设用地批准、征收集体土地批准、征地公告、征地补偿安置公示、集体土地征收结案等信息；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（八）政府指导价、政府定价和收费标准调整的项目、价格、依据、执行时间和范围等信息；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（九）本市企业信用信息系统中的警示信息和良好信息；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（十）政府部门预算执行审计结果信息；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（十一）行政机关对与人民群众利益密切相关的公共企事业单位进行监督管理的信息；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（十二）市人民政府决定主动公开的其他信息。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第十五条  </w:t>
      </w:r>
      <w:r>
        <w:rPr>
          <w:rFonts w:asciiTheme="minorEastAsia" w:hAnsiTheme="minorEastAsia" w:eastAsiaTheme="minorEastAsia"/>
          <w:sz w:val="24"/>
          <w:szCs w:val="24"/>
        </w:rPr>
        <w:t>行政机关应当加强政府信息资源的规范化、电子化管理，分类整合政府信息资源，营造公众利用信息资源的良好环境，提升政府信息资源的开发利用水平。</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第十六条  </w:t>
      </w:r>
      <w:r>
        <w:rPr>
          <w:rFonts w:asciiTheme="minorEastAsia" w:hAnsiTheme="minorEastAsia" w:eastAsiaTheme="minorEastAsia"/>
          <w:sz w:val="24"/>
          <w:szCs w:val="24"/>
        </w:rPr>
        <w:t>属于主动公开范围的政府信息，应当自该政府信息形成或者变更之日起15个工作日内予以公开。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对自然灾害、事故灾难、公共卫生和社会安全等重大突发事件，主管部门应当及时公开初步核实情况，并根据事态发展和处置情况，持续公开工作进展和政府应对措施等政府信息。</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第十七条  </w:t>
      </w:r>
      <w:r>
        <w:rPr>
          <w:rFonts w:asciiTheme="minorEastAsia" w:hAnsiTheme="minorEastAsia" w:eastAsiaTheme="minorEastAsia"/>
          <w:sz w:val="24"/>
          <w:szCs w:val="24"/>
        </w:rPr>
        <w:t>行政机关应当编制、公布政府信息公开指南和政府信息公开目录，并及时更新。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政府信息</w:t>
      </w:r>
      <w:r>
        <w:rPr>
          <w:rFonts w:asciiTheme="minorEastAsia" w:hAnsiTheme="minorEastAsia" w:eastAsiaTheme="minorEastAsia"/>
          <w:spacing w:val="-4"/>
          <w:sz w:val="24"/>
          <w:szCs w:val="24"/>
        </w:rPr>
        <w:t>公开指南，应当包括政府信息的分类、编排体系、获取方式，政府信息公开工作机构的名称和联系方式，政府信息公开申请的办理程序，权利救济途径等内容。</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政府信息公开目录，应当包括政府信息的索引、名称、内容概述、生成日期等内容。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第十八条  </w:t>
      </w:r>
      <w:r>
        <w:rPr>
          <w:rFonts w:asciiTheme="minorEastAsia" w:hAnsiTheme="minorEastAsia" w:eastAsiaTheme="minorEastAsia"/>
          <w:sz w:val="24"/>
          <w:szCs w:val="24"/>
        </w:rPr>
        <w:t>行政机关可以通过下列渠道公开政府信息：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（一）政府网站；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（二）政府公报；</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（三）新闻发布会；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（四）报纸、广播、电视；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（五）国家档案馆、公共图书馆、政务服务大厅；</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（六）公共查阅室、资料索取点、信息公告栏、电子信息屏；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（七）政务微博等网络平台；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（八）其他方式和渠道。</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行政机关应当采取便于公众知晓的方式公开信息。</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第十九条  </w:t>
      </w:r>
      <w:r>
        <w:rPr>
          <w:rFonts w:asciiTheme="minorEastAsia" w:hAnsiTheme="minorEastAsia" w:eastAsiaTheme="minorEastAsia"/>
          <w:sz w:val="24"/>
          <w:szCs w:val="24"/>
        </w:rPr>
        <w:t>行政机关应当通过政府门户网站及时公开、更新政府信息，并提供信息检索、查阅、下载等服务。</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第二十条  </w:t>
      </w:r>
      <w:r>
        <w:rPr>
          <w:rFonts w:asciiTheme="minorEastAsia" w:hAnsiTheme="minorEastAsia" w:eastAsiaTheme="minorEastAsia"/>
          <w:sz w:val="24"/>
          <w:szCs w:val="24"/>
        </w:rPr>
        <w:t>市和区、县人民政府应当在国家档案馆、公共图书馆设置政府信息查阅场所，并配备相应的设施、设备，为公民、法人或者其他组织获取政府信息提供便利。其他行政机关可以根据需要设置政府信息查阅场所、设施。</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行政机关应当向同级行政服务中心、国家档案馆、公共图书馆提供主动公开政府信息的电子文本，移送主动公开的行政规范性文件纸质文本。</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第二十一条  </w:t>
      </w:r>
      <w:r>
        <w:rPr>
          <w:rFonts w:asciiTheme="minorEastAsia" w:hAnsiTheme="minorEastAsia" w:eastAsiaTheme="minorEastAsia"/>
          <w:sz w:val="24"/>
          <w:szCs w:val="24"/>
        </w:rPr>
        <w:t>行政机关应当设置政府信息公开咨询电话，为公民、法人或者其他组织提供咨询服务。</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市非紧急救助服务中心和各分中心可以为公民、法人或者其他组织提供政府信息公开咨询等服务。</w:t>
      </w:r>
    </w:p>
    <w:p>
      <w:pPr>
        <w:pStyle w:val="63"/>
        <w:spacing w:before="218" w:after="218" w:line="412" w:lineRule="exact"/>
      </w:pPr>
      <w:r>
        <w:t>第三章  依申请公开</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第二十二条  </w:t>
      </w:r>
      <w:r>
        <w:rPr>
          <w:rFonts w:asciiTheme="minorEastAsia" w:hAnsiTheme="minorEastAsia" w:eastAsiaTheme="minorEastAsia"/>
          <w:sz w:val="24"/>
          <w:szCs w:val="24"/>
        </w:rPr>
        <w:t>行政机关应当公布受理政府信息公开申请的办公地址、办公时间、联系电话、传真号码、电子邮箱、举报电话等，方便公民申请。</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申请公开政府信息的公民存在阅读困难或者视听障碍的，行政机关应当为其提供必要的帮助。</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第二十三条  </w:t>
      </w:r>
      <w:r>
        <w:rPr>
          <w:rFonts w:asciiTheme="minorEastAsia" w:hAnsiTheme="minorEastAsia" w:eastAsiaTheme="minorEastAsia"/>
          <w:sz w:val="24"/>
          <w:szCs w:val="24"/>
        </w:rPr>
        <w:t>申请人向行政机关申请获取政府信息，应当采用书面形式（包括数据电文形式）；采用书面形式确有困难的，申请人可以口头提出，由受理该申请的行政机关代为填写政府信息公开申请，并由申请人签字、捺印或者盖章确认。</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行政机关应当向申请人提供政府信息公开申请书格式文本；申请人也可以采用其他书面形式向行政机关提出申请。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第二十四条  </w:t>
      </w:r>
      <w:r>
        <w:rPr>
          <w:rFonts w:asciiTheme="minorEastAsia" w:hAnsiTheme="minorEastAsia" w:eastAsiaTheme="minorEastAsia"/>
          <w:sz w:val="24"/>
          <w:szCs w:val="24"/>
        </w:rPr>
        <w:t>政府信息公开申请应当包括下列内容：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（一）申请人以及代理人、代表人的姓名或者名称、证件名称和号码、电话和通讯地址等有效联系方式；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（二）申请公开政府信息的内容描述，包括能够指向特定政府信息的文件名称、文号或者其他详尽、准确的特征描述；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（三）获取信息的方式以及提供信息的形式要求；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（四）受理机关名称；</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申请人委托代理人提出政府信息公开申请的，应当提供委托代理证明材料。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5人以上（含5人）共同申请同一政府信息，可以推选1至5名代表提交申请，并提供推举证明材料。</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受理机关收到申请人公开政府信息的申请后，应当出具登记回执。</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第二十五条  </w:t>
      </w:r>
      <w:r>
        <w:rPr>
          <w:rFonts w:asciiTheme="minorEastAsia" w:hAnsiTheme="minorEastAsia" w:eastAsiaTheme="minorEastAsia"/>
          <w:sz w:val="24"/>
          <w:szCs w:val="24"/>
        </w:rPr>
        <w:t>行政机关收到政府信息公开申请，能够当场答复的，应当当场予以答复。行政机关不能当场答复的，应当自收到申请之日起15个工作日内予以答复；如需延长答复期限的，应当经本行政机关政府信息公开工作机构负责人同意，并书面告知申请人，延长答复的期限最长不得超过15个工作日。</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因不可抗力或者其他法定事由行政机关不能在规定期限内答复申请人或者向申请人提供政府信息的，期限中止。中止时间不计算在前款规定期限内，障碍消除后期限恢复计算。期限的中止和恢复，行政机关应当向申请人书面说明情况。</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第二十六条  </w:t>
      </w:r>
      <w:r>
        <w:rPr>
          <w:rFonts w:asciiTheme="minorEastAsia" w:hAnsiTheme="minorEastAsia" w:eastAsiaTheme="minorEastAsia"/>
          <w:sz w:val="24"/>
          <w:szCs w:val="24"/>
        </w:rPr>
        <w:t>申请人要求撤回政府信息公开申请的，行政机关应当准许，并登记备案。</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申请人向同一行政机关同时申请两项以上政府信息的，行政机关根据便民原则可以分别答复或者合并答复。</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第二十七条  </w:t>
      </w:r>
      <w:r>
        <w:rPr>
          <w:rFonts w:asciiTheme="minorEastAsia" w:hAnsiTheme="minorEastAsia" w:eastAsiaTheme="minorEastAsia"/>
          <w:sz w:val="24"/>
          <w:szCs w:val="24"/>
        </w:rPr>
        <w:t>行政机关认为申请公开的政府信息涉及商业秘密或者个人隐私，公开后可能损害第三方合法权益的，应当书面征求第三方的意见；第三方不同意公开的，行政机关不</w:t>
      </w:r>
      <w:r>
        <w:rPr>
          <w:rFonts w:asciiTheme="minorEastAsia" w:hAnsiTheme="minorEastAsia" w:eastAsiaTheme="minorEastAsia"/>
          <w:spacing w:val="-4"/>
          <w:sz w:val="24"/>
          <w:szCs w:val="24"/>
        </w:rPr>
        <w:t>得公开。但是，行政机关认为不公开可能对公共利益造成重大影响的，应当予以公开。第三方不同意公开，行政机关决定公开的，应当在书面告知第三方后公开。</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行政机关征求第三方意见所需时间不计算在本规定第二十五条第一款规定的期限内。</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第二十八条  </w:t>
      </w:r>
      <w:r>
        <w:rPr>
          <w:rFonts w:asciiTheme="minorEastAsia" w:hAnsiTheme="minorEastAsia" w:eastAsiaTheme="minorEastAsia"/>
          <w:sz w:val="24"/>
          <w:szCs w:val="24"/>
        </w:rPr>
        <w:t>对申请公开的政府信息，行政机关根据下列情况分别作出书面答复：</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（一）申请公开的政府信息已主动公开的，应当告知申请人获取政府信息的方式和途径；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（二）申请公开的政府信息属于可以公开的，应当向申请人公开；行政机关或者第三方对政府信息的使用范围有特殊要求的，行政机关应当与申请人约定，申请人签字确认后，按照约定使用公开的政府信息；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（三）申请公开的政府信息中含有不应当公开的内容，但是能够作区分处理的，应当向申请人提供可以公开的信息内容；对不予公开的部分，应当说明理由；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（四）申请公开的政府信息属于不予公开范围的，应当告知申请人并说明理由；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（五）申请公开的政府信息属于行政机关在日常工作中制作或者获取的内部管理信息或者处于行政机关讨论、研究或者审查中的过程性信息，应当告知申请人不属于应当公开的政府信息；</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（六）申请公开的政府信息所涉事项属于本机关公开范围，但本机关未制作、未获取，或者未以一定形式记录、保存的，应当告知申请人申请的信息不存在并说明理由；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（七）申请公开的政府信息所涉事项不属于本机关公开范围或者属于市人民政府公布由具体工作部门公开的，应当告知申请人，对能够确定该政府信息公开机关的，告知申请人该行政机关的名称、联系方式；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（八）申请内容不明确的，应当告知申请人作出更改、补充；</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（九）同一申请人向同一行政机关就同一政府信息重复提出公开申请的，行政机关已经依法答复的，可以告知申请人不重复办理。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第二十九条  </w:t>
      </w:r>
      <w:r>
        <w:rPr>
          <w:rFonts w:asciiTheme="minorEastAsia" w:hAnsiTheme="minorEastAsia" w:eastAsiaTheme="minorEastAsia"/>
          <w:sz w:val="24"/>
          <w:szCs w:val="24"/>
        </w:rPr>
        <w:t>行政机关对下列申请事项应当分别按照以下方式处理：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（一）申请内容为咨询、信访、举报等事项，不属于政府信息公开申请范围的，应当告知申请人通过相应渠道提出，对能够确定负责该事项的行政机关的，告知申请人该行政机关的名称、联系方式；</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（二）申请内容属于行政程序中的当事人、利害关系人查阅案卷材料的，应当告知申请人按照相关法律、法规的规定办理；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（三）申请公开的政府信息已经移交各级国家档案馆的，应当告知申请人按照有关档案管理的法律、行政法规和国家有关规定办理。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第三十条  </w:t>
      </w:r>
      <w:r>
        <w:rPr>
          <w:rFonts w:asciiTheme="minorEastAsia" w:hAnsiTheme="minorEastAsia" w:eastAsiaTheme="minorEastAsia"/>
          <w:sz w:val="24"/>
          <w:szCs w:val="24"/>
        </w:rPr>
        <w:t>行政机关向申请人提供的政府信息应当是未经汇总、加工、分析或者重新制作的政府信息。</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行政机关依申请公开政府信息，应当按照申请人要求的形式予以提供；无法按照申请人要求的形式提供的，可以通过安排申请人查阅相关资料、提供复制件或者其他适当形式提供。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第三十一条  </w:t>
      </w:r>
      <w:r>
        <w:rPr>
          <w:rFonts w:asciiTheme="minorEastAsia" w:hAnsiTheme="minorEastAsia" w:eastAsiaTheme="minorEastAsia"/>
          <w:sz w:val="24"/>
          <w:szCs w:val="24"/>
        </w:rPr>
        <w:t>行政机关应当对以下情况进行记录，并留存相关材料：</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（一）申请人没有提供有效联系方式，致使行政机关无法向申请人提供书面答复的；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（二）征求第三方意见，无法与第三方取得联系或者未收到其回复意见的；</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（三）申请办理中的其他特殊情形。</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第三十二条  </w:t>
      </w:r>
      <w:r>
        <w:rPr>
          <w:rFonts w:asciiTheme="minorEastAsia" w:hAnsiTheme="minorEastAsia" w:eastAsiaTheme="minorEastAsia"/>
          <w:sz w:val="24"/>
          <w:szCs w:val="24"/>
        </w:rPr>
        <w:t>多人就同一政府信息向同一行政机关提出公开申请，行政机关同意公开，且该政府信息可以为公众知晓的，行政机关可以决定将该政府信息纳入主动公开范围。</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行政机关对申请公开的政府信息决定予以公开的，申请人可以建议行政机关将该信息纳入主动公开范围。</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第三十三条  </w:t>
      </w:r>
      <w:r>
        <w:rPr>
          <w:rFonts w:asciiTheme="minorEastAsia" w:hAnsiTheme="minorEastAsia" w:eastAsiaTheme="minorEastAsia"/>
          <w:sz w:val="24"/>
          <w:szCs w:val="24"/>
        </w:rPr>
        <w:t>公民、法人或者其他组织有证据证明行政机关提供的与其自身相关的政府信息记录不准确的，有权要求该行政机关予以更正。</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行政机关有权更正的，应当及时予以更正；无权更正的，应当转送有权更正的行政机关处理，并告知申请人。法律、法规、规章对信息更正有特殊程序规定的，从其规定。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第三十四条  </w:t>
      </w:r>
      <w:r>
        <w:rPr>
          <w:rFonts w:asciiTheme="minorEastAsia" w:hAnsiTheme="minorEastAsia" w:eastAsiaTheme="minorEastAsia"/>
          <w:sz w:val="24"/>
          <w:szCs w:val="24"/>
        </w:rPr>
        <w:t>行政机关依申请提供政府信息，可以收取实际发生的检索、复制、邮寄等成本费用，收取的费用纳入同级财政管理；具体收费标准由本市价格和财政主管部门制定。</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农村五保供养对象、城乡居民最低生活保障对象以及领取国家抚恤补助的优抚对象，经本人申请，凭民政部门颁发的相关证件，受理机关可以免收相关费用。</w:t>
      </w:r>
    </w:p>
    <w:p>
      <w:pPr>
        <w:pStyle w:val="63"/>
        <w:spacing w:before="218" w:after="218" w:line="412" w:lineRule="exact"/>
      </w:pPr>
      <w:r>
        <w:t>第四章  监督和保障</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第三十五条  </w:t>
      </w:r>
      <w:r>
        <w:rPr>
          <w:rFonts w:asciiTheme="minorEastAsia" w:hAnsiTheme="minorEastAsia" w:eastAsiaTheme="minorEastAsia"/>
          <w:sz w:val="24"/>
          <w:szCs w:val="24"/>
        </w:rPr>
        <w:t>本市各级人民政府应当建立健全政府信息公开工作考核制度、社会评议制度和责任追究制度，定期对政府信息公开工作进行考核、评议。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第三十六条  </w:t>
      </w:r>
      <w:r>
        <w:rPr>
          <w:rFonts w:asciiTheme="minorEastAsia" w:hAnsiTheme="minorEastAsia" w:eastAsiaTheme="minorEastAsia"/>
          <w:sz w:val="24"/>
          <w:szCs w:val="24"/>
        </w:rPr>
        <w:t>行政机关应当在每年3月31日前，公布本行政机关的政府信息公开工作年度报告。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政府信息公开工作年度报告应当包括下列内容：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（一）行政机关政府信息公开组织机构、制度建设、渠道场所、教育培训等年度工作开展情况；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（二）行政机关主动公开政府信息的情况；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（三）行政机关依申请公开政府信息和不予公开政府信息的情况；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（四）因政府信息公开申请行政复议、提起行政诉讼的情况；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（五）政府信息公开的收费以及免除费用的情况；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（六）政府信息公开工作存在的主要问题以及改进情况；</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（七）其他需要报告的事项。</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第三十七条  </w:t>
      </w:r>
      <w:r>
        <w:rPr>
          <w:rFonts w:asciiTheme="minorEastAsia" w:hAnsiTheme="minorEastAsia" w:eastAsiaTheme="minorEastAsia"/>
          <w:sz w:val="24"/>
          <w:szCs w:val="24"/>
        </w:rPr>
        <w:t>市政府办公厅组织开展政府信息公开年度考核工作。政府信息公开年度考核情况应当向社会公布。</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第三十八条  </w:t>
      </w:r>
      <w:r>
        <w:rPr>
          <w:rFonts w:asciiTheme="minorEastAsia" w:hAnsiTheme="minorEastAsia" w:eastAsiaTheme="minorEastAsia"/>
          <w:sz w:val="24"/>
          <w:szCs w:val="24"/>
        </w:rPr>
        <w:t>行政机关可以采取多种方式开展社会评议，征求公民、法人或者其他组织对本机关政府信息公开工作的意见和建议。对于合理的意见和建议，行政机关应当予以采纳。</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第三十九条  </w:t>
      </w:r>
      <w:r>
        <w:rPr>
          <w:rFonts w:asciiTheme="minorEastAsia" w:hAnsiTheme="minorEastAsia" w:eastAsiaTheme="minorEastAsia"/>
          <w:sz w:val="24"/>
          <w:szCs w:val="24"/>
        </w:rPr>
        <w:t>政府信息公开工作主管部门和监察机关负责对行政机关政府信息公开的实施情况进行监督检查，指导、监督本市政府信息公开责任追究工作。责任追究的方式和程序，执行本市行政问责办法。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第四十条  </w:t>
      </w:r>
      <w:r>
        <w:rPr>
          <w:rFonts w:asciiTheme="minorEastAsia" w:hAnsiTheme="minorEastAsia" w:eastAsiaTheme="minorEastAsia"/>
          <w:sz w:val="24"/>
          <w:szCs w:val="24"/>
        </w:rPr>
        <w:t>公民、法人或者其他组织认为行政机关不依法履行政府信息公开义务的，可以向上级行政机关、监察机关或者政府信息公开工作主管部门举报。收到举报的机关应当予以调查处理。</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公民、法人或者其他组织认为行政机关在政府信息公开工作中的具体行政行为侵犯其合法权益的，可以依法申请行政复议或者提起行政诉讼。行政机关对在行政复议和行政诉讼中发现的政府信息公开工作相关问题应当及时纠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第四十一条  </w:t>
      </w:r>
      <w:r>
        <w:rPr>
          <w:rFonts w:asciiTheme="minorEastAsia" w:hAnsiTheme="minorEastAsia" w:eastAsiaTheme="minorEastAsia"/>
          <w:sz w:val="24"/>
          <w:szCs w:val="24"/>
        </w:rPr>
        <w:t>行政机关违反本规定，未建立健全政府信息发布保密审查机制的，由监察机关、上一级行政机关责令改正；情节严重的，对行政机关主要负责人依法给予处分。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行政机关违反本规定，有下列情形之一的，由监察机关、上一级行政机关责令改正；情节严重的，对行政机关直接负责的主管人员和其他直接责任人员依法给予处分；构成犯罪的，依法追究刑事责任：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（一）不依法履行政府信息公开义务的；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（二）不及时更新公开的政府信息内容、政府信息公开指南和政府信息公开目录的；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（三）违反规定收取费用的；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（四）通过其他组织、个人以有偿服务方式提供政府信息的；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（五）公开不应当公开的政府信息的；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（六）违反本规定的其他行为。</w:t>
      </w:r>
    </w:p>
    <w:p>
      <w:pPr>
        <w:pStyle w:val="63"/>
        <w:spacing w:before="218" w:after="218" w:line="412" w:lineRule="exact"/>
      </w:pPr>
      <w:r>
        <w:t>第五章  附</w:t>
      </w:r>
      <w:r>
        <w:rPr>
          <w:rFonts w:hint="eastAsia"/>
        </w:rPr>
        <w:t xml:space="preserve">  </w:t>
      </w:r>
      <w:r>
        <w:t>则</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第四十二条  </w:t>
      </w:r>
      <w:r>
        <w:rPr>
          <w:rFonts w:asciiTheme="minorEastAsia" w:hAnsiTheme="minorEastAsia" w:eastAsiaTheme="minorEastAsia"/>
          <w:sz w:val="24"/>
          <w:szCs w:val="24"/>
        </w:rPr>
        <w:t>法律、法规授权的具有管理公共事务职能的组织公开政府信息的活动，适用本规定。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第四十三条  </w:t>
      </w:r>
      <w:r>
        <w:rPr>
          <w:rFonts w:asciiTheme="minorEastAsia" w:hAnsiTheme="minorEastAsia" w:eastAsiaTheme="minorEastAsia"/>
          <w:sz w:val="24"/>
          <w:szCs w:val="24"/>
        </w:rPr>
        <w:t>教育、医疗卫生、计划生育、供水、供电、供气、供热、环保、公共交通、通讯等与人民群众利益密切相关的公共企事业单位在提供社会公共服务过程中制作、获取的信息公开，参照本规定执行。</w:t>
      </w:r>
    </w:p>
    <w:p>
      <w:pPr>
        <w:pStyle w:val="3"/>
        <w:topLinePunct/>
        <w:spacing w:line="412" w:lineRule="exact"/>
        <w:ind w:firstLine="480"/>
        <w:rPr>
          <w:rFonts w:asciiTheme="minorEastAsia" w:hAnsiTheme="minorEastAsia" w:eastAsiaTheme="minorEastAsia"/>
          <w:b/>
          <w:sz w:val="24"/>
          <w:szCs w:val="24"/>
        </w:rPr>
      </w:pPr>
      <w:r>
        <w:rPr>
          <w:rFonts w:asciiTheme="minorEastAsia" w:hAnsiTheme="minorEastAsia" w:eastAsiaTheme="minorEastAsia"/>
          <w:sz w:val="24"/>
          <w:szCs w:val="24"/>
        </w:rPr>
        <w:t>有关主管部门应当对所属或者管理的公共企事业单位的信息公开工作进行指导和监督。</w:t>
      </w:r>
    </w:p>
    <w:p>
      <w:pPr>
        <w:pStyle w:val="3"/>
        <w:topLinePunct/>
        <w:spacing w:line="412" w:lineRule="exact"/>
        <w:ind w:firstLine="482"/>
        <w:rPr>
          <w:rFonts w:asciiTheme="minorEastAsia" w:hAnsiTheme="minorEastAsia" w:eastAsiaTheme="minorEastAsia"/>
          <w:b/>
          <w:sz w:val="24"/>
          <w:szCs w:val="24"/>
        </w:rPr>
      </w:pPr>
      <w:r>
        <w:rPr>
          <w:rFonts w:asciiTheme="minorEastAsia" w:hAnsiTheme="minorEastAsia" w:eastAsiaTheme="minorEastAsia"/>
          <w:b/>
          <w:sz w:val="24"/>
          <w:szCs w:val="24"/>
        </w:rPr>
        <w:t xml:space="preserve">第四十四条  </w:t>
      </w:r>
      <w:r>
        <w:rPr>
          <w:rFonts w:asciiTheme="minorEastAsia" w:hAnsiTheme="minorEastAsia" w:eastAsiaTheme="minorEastAsia"/>
          <w:sz w:val="24"/>
          <w:szCs w:val="24"/>
        </w:rPr>
        <w:t>法律、法规和国家有关规定对政府信息公开另有规定的，从其规定。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 xml:space="preserve">第四十五条  </w:t>
      </w:r>
      <w:r>
        <w:rPr>
          <w:rFonts w:asciiTheme="minorEastAsia" w:hAnsiTheme="minorEastAsia" w:eastAsiaTheme="minorEastAsia"/>
          <w:sz w:val="24"/>
          <w:szCs w:val="24"/>
        </w:rPr>
        <w:t>本规定自2015年1月1日起施行。</w:t>
      </w:r>
      <w:r>
        <w:rPr>
          <w:rFonts w:asciiTheme="minorEastAsia" w:hAnsiTheme="minorEastAsia" w:eastAsiaTheme="minorEastAsia"/>
          <w:sz w:val="24"/>
          <w:szCs w:val="24"/>
        </w:rPr>
        <w:br w:type="page"/>
      </w:r>
      <w:bookmarkStart w:id="1704" w:name="_Toc18942543"/>
    </w:p>
    <w:p>
      <w:pPr>
        <w:pStyle w:val="2"/>
        <w:keepNext w:val="0"/>
        <w:keepLines w:val="0"/>
        <w:topLinePunct/>
        <w:spacing w:line="416" w:lineRule="exact"/>
        <w:ind w:firstLine="482" w:firstLineChars="200"/>
        <w:jc w:val="both"/>
        <w:rPr>
          <w:rFonts w:asciiTheme="minorEastAsia" w:hAnsiTheme="minorEastAsia" w:eastAsiaTheme="minorEastAsia"/>
          <w:sz w:val="24"/>
          <w:szCs w:val="24"/>
        </w:rPr>
      </w:pPr>
    </w:p>
    <w:p>
      <w:pPr>
        <w:pStyle w:val="61"/>
      </w:pPr>
      <w:bookmarkStart w:id="1705" w:name="_Toc28251036"/>
      <w:bookmarkStart w:id="1706" w:name="_Toc28252320"/>
      <w:bookmarkStart w:id="1707" w:name="_Toc25648331"/>
      <w:bookmarkStart w:id="1708" w:name="_Toc28157107"/>
      <w:bookmarkStart w:id="1709" w:name="_Toc26348084"/>
      <w:bookmarkStart w:id="1710" w:name="_Toc25653832"/>
      <w:r>
        <w:t>北京市行政调解办法</w:t>
      </w:r>
      <w:bookmarkEnd w:id="1704"/>
      <w:bookmarkEnd w:id="1705"/>
      <w:bookmarkEnd w:id="1706"/>
      <w:bookmarkEnd w:id="1707"/>
      <w:bookmarkEnd w:id="1708"/>
      <w:bookmarkEnd w:id="1709"/>
      <w:bookmarkEnd w:id="1710"/>
    </w:p>
    <w:p>
      <w:pPr>
        <w:pStyle w:val="62"/>
        <w:topLinePunct w:val="0"/>
        <w:ind w:firstLine="0" w:firstLineChars="0"/>
        <w:jc w:val="center"/>
      </w:pPr>
      <w:r>
        <w:t>（2015年6月1日</w:t>
      </w:r>
      <w:r>
        <w:rPr>
          <w:shd w:val="clear" w:color="auto" w:fill="FFFFFF"/>
        </w:rPr>
        <w:t>北京市</w:t>
      </w:r>
      <w:r>
        <w:t>人民政府令第264号公布）</w:t>
      </w:r>
    </w:p>
    <w:p>
      <w:pPr>
        <w:pStyle w:val="63"/>
        <w:spacing w:before="218" w:after="218" w:line="412" w:lineRule="exact"/>
      </w:pPr>
      <w:r>
        <w:t>第一章</w:t>
      </w:r>
      <w:r>
        <w:rPr>
          <w:rFonts w:hint="eastAsia"/>
        </w:rPr>
        <w:t xml:space="preserve"> </w:t>
      </w:r>
      <w:r>
        <w:t xml:space="preserve"> 总</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为了规范行政机关的行政调解，及时、有效化解争议纠纷，促进社会和谐稳定，根据国家和本市有关规定，结合本市实际情况，制定本办法。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本市各级行政机关开展行政调解，适用本办法。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法律、法规、规章对行政调解另有规定的，从其规定。</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本市各级行政机关可以依法对下列争议纠纷进行调解：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（一）法律、法规、规章规定可以由行政机关调解的公民、法人和其他组织之间的纠纷（以下简称民事纠纷）：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1.可以进行治安调解的民间纠纷；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2.交通事故损害赔偿纠纷；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3.合同纠纷；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4.医疗事故赔偿纠纷；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5.消费者权益保护纠纷、产品质量纠纷；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6.土地承包经营纠纷；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7.侵犯商标专用权、专利权等知识产权的赔偿纠纷；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8.环境污染赔偿纠纷；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9.电力纠纷、水事纠纷；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10.其他依法可以调解的民事纠纷。</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（二）公民、法人或者其他组织与行政机关之间关于行政赔偿、补偿以及行政机关行使法律、法规、规章规定的自由裁量权产生的争议（以下简称行政争议）。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行政调解应当遵循自愿、合法、公平公正、注重效果原则。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市和区、县政府应当加强对本行政区域内行政调解工作的领导，健全行政调解与人民调解、司法调解的衔接机制，保障行政调解所必需的工作条件和经费，加强行政调解队伍建设。</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市和区、县政府工作部门应当加强对本领域、本系统行政调解工作的业务指导和协调推进。</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市和区、县政府法制机构负责推进、指导、协调和监督本行政区域行政调解工作。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行政机关应当确定专门机构统筹本机关的行政调解工作，并指导本机关具体承担行政调解工作的机构开展行政调解。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行政机关可以根据工作需要聘请行政调解辅助人员，保证行政调解工作正常开展。</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行政调解工作所需经费列入本行政机关的预算，由本级财政予以保障。</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行政机关开展行政调解，应当以事实为依据，以法律为准绳，不得损害国家利益、公共利益，以及公民、法人和其他组织的合法权益。</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行政机关调解民事纠纷，应当保持客观中立，不得偏袒、包庇一方当事人。</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行政机关调解行政争议，不得影响依法履行行政管理职责，不得以行政调解代替行政执法。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行政机关在行政调解中发现可能引起治安案件、刑事案件或者其他影响社会稳定的争议纠纷，应当及时通知公安机关或者其他有权处理的部门。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当事人在行政调解中应当遵守调解秩序，尊重参与调解的人员，如实陈述争议纠纷事实，自觉履行达成的调解协议。</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行政机关在行政调解中不得拒绝当事人提供证据，不得拒绝当事人终止调解的要求。</w:t>
      </w:r>
    </w:p>
    <w:p>
      <w:pPr>
        <w:pStyle w:val="63"/>
        <w:spacing w:before="218" w:after="218" w:line="412" w:lineRule="exact"/>
      </w:pPr>
      <w:r>
        <w:t>第二章</w:t>
      </w:r>
      <w:r>
        <w:rPr>
          <w:rFonts w:hint="eastAsia"/>
        </w:rPr>
        <w:t xml:space="preserve"> </w:t>
      </w:r>
      <w:r>
        <w:t xml:space="preserve"> 民事纠纷调解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对本办法第三条第（一）项规定的民事纠纷，当事人可以申请法律、法规、规章规定的行政机关进行调解。</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当事人申请调解民事纠纷应当符合下列条件：</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（一）与民事纠纷有直接利害关系；</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（二）有明确具体的调解请求、事实和理由；</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（三）民事纠纷尚未被人民法院、仲裁机构、人民调解组织或者其他行政机关受理或者处理。</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当事人申请调解民事纠纷应当说明其基本情况、调解请求、事实和理由等。行政机关应当自当事人申请之日起5个工作日内征求对方当事人意见，并决定是否受理。</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行政机关在履行行政管理职责过程中发现属于行政调解范围的民事纠纷，可以在征得双方当事人同意后启动调解。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行政机关调解民事纠纷，由其具体承担行政调解工作的机构的工作人员担任行政调解人员。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行政机关决定调解的，应当告知当事人调解的时间、地点、调解人员等事项，并提示就纠纷提起诉讼、申请仲裁的时效期间；决定不予受理的，应当告知当事人理由。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行政调解人员有下列情形之一的，应当主动回避；不主动回避的，当事人有权申请其回避：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（一）是民事纠纷当事人或者与当事人有近亲属关系的；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（二）与民事纠纷有利害关系的；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（三）与民事纠纷当事人有其他关系，可能影响公正调解的。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当事人申请回避的，行政机关应当及时作出是否回避的决定。决定回避的，应当及时更换行政调解人员；不需要回避的，告知当事人理由。</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当事人之外的公民、法人或者其他组织与民事纠纷有利害关系的，可以申请参加调解或者由行政机关通知其参加调解。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行政机关调解民事纠纷，根据需要，可以邀请有关单位、专业人员或者其他有关人员参与调解。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行政机关调解民事纠纷，当事人应当如实提供证据。必要时，行政机关可以自行调查取证。</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行政机关调解民事纠纷，应当听取当事人的陈述，向当事人讲解有关法律、法规、规章和政策，在分清事理、明辨法理的基础上，引导当事人自愿达成调解协议。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行政机关调解民事纠纷，应当自行政机关受理之日或者双方当事人同意调解之日起30日内结束；情况复杂或者有其他特殊情形的，经当事人同意，可以适当延长。</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行政机关认为当事人双方意愿差距较大、不具备达成协议的条件的，可以终止调解。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经调解达成协议的，行政机关应当制作调解协议书，调解协议书应当由当事人签名、盖章，加盖行政机关印章，当事人各执一份，行政机关留存一份；当事人认为无需制作调解协议书的，可以采取口头协议方式，行政调解人员应当记录协议内容，双方当事人签名、盖章。</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经调解无法达成协议或者当事人要求终止调解的，行政机关应当终止调解，并告知当事人可以通过诉讼、仲裁等途径解决民事纠纷。</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调解协议书应当载明下列事项：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（一）当事人的基本情况；</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（二）调解请求；</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（三）调解协议内容；</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（四）其他需要载明的事项。</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调解协议书自当事人签名、盖章，行政机关加盖印章之日起生效；口头协议自当事人达成协议之日起生效。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对调解协议书，当事人可以依法申请公证机关公证，或者申请人民法院确认效力。</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对案情简单、具备当场调解条件的民事纠纷，行政机关可以当场调解。当场调解达成协议且当事人能够即时履行的，行政机关应当将相关情况记录在案，无需制作调解协议书。</w:t>
      </w:r>
    </w:p>
    <w:p>
      <w:pPr>
        <w:pStyle w:val="63"/>
        <w:spacing w:before="218" w:after="218" w:line="412" w:lineRule="exact"/>
      </w:pPr>
      <w:r>
        <w:t>第三章</w:t>
      </w:r>
      <w:r>
        <w:rPr>
          <w:rFonts w:hint="eastAsia"/>
        </w:rPr>
        <w:t xml:space="preserve"> </w:t>
      </w:r>
      <w:r>
        <w:t xml:space="preserve"> 行政争议调解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因本办法第三条第（二）项规定的行政争议申请行政复议或者提起行政诉讼的，在行政复议机关作出复议决定或者人民法院作出判决、裁定之前，作出行政行为的行政机关征得当事人同意后，可以在行政复议机关或者人民法院的指导下进行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行政机关调解行政争议，可以确定由原行政行为的承办机构具体承担行政调解工作，也可以确定由其他机构具体承担行政调解工作。</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原行政行为的承办人不得担任调解人员。</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当事人之外的公民、法人或者其他组织与行政争议有利害关系的，行政机关应当通知其参加调解。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第二十八条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调解人员调解行政争议，应当听取当事人的陈述，向当事人讲解相关法律、法规、规章和政策，告知当事人执法依据、理由和相关考虑因素，答复当事人的疑问。</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第二十九条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行政机关调解行政争议，应当在自当事人同意调解之日起15个工作日内结束。</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与当事人达成协议的，行政机关应当记录协议内容。当事人认可原行政行为或者行政机关按照协议改变原行政行为的，当事人撤回行政复议申请或者撤回起诉；行政机关改变原行政行为的，应当撤销原行政行为，重新作出行政行为，并告知行政复议机关或者人民法院。</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行政机关与当事人无法达成协议或者当事人要求终止调解的，行政机关应当终止调解。</w:t>
      </w:r>
    </w:p>
    <w:p>
      <w:pPr>
        <w:pStyle w:val="63"/>
        <w:spacing w:before="218" w:after="218" w:line="412" w:lineRule="exact"/>
      </w:pPr>
      <w:r>
        <w:t xml:space="preserve">第四章 </w:t>
      </w:r>
      <w:r>
        <w:rPr>
          <w:rFonts w:hint="eastAsia"/>
        </w:rPr>
        <w:t xml:space="preserve"> </w:t>
      </w:r>
      <w:r>
        <w:t>指导和监督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第三十一条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行政机关应当建立行政调解工作档案，将记载调解申请、受理、过程、协议等内容的相关材料立卷归档。</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第三十二条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行政机关应当建立健全行政调解工作统计分析制度，定期对行政调解案件量、争议纠纷类型、结案方式等数据进行统计分析，并将相关数据和材料按照规定报送政府法制机构。</w:t>
      </w:r>
    </w:p>
    <w:p>
      <w:pPr>
        <w:pStyle w:val="3"/>
        <w:topLinePunct/>
        <w:spacing w:line="412"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行政机关应当将重大行政调解案件按照规定报送政府法制机构备案。</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第三十三条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市和区、县政府法制机构应当加强对本行政区域内行政调解工作的指导，建立健全行政调解工作程序和规范，完善相关配套制度；定期组织对行政调解工作人员进行业务培训，提高行政调解工作人员的专业素质。</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第三十四条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行政机关及其工作人员在行政调解过程中存在不履行、违法履行、不当履行行政调解职责行为的，按照国家和本市有关规定对直接负责的主管人员和其他直接责任人员给予行政问责和行政处分。</w:t>
      </w:r>
    </w:p>
    <w:p>
      <w:pPr>
        <w:pStyle w:val="63"/>
        <w:spacing w:before="218" w:after="218" w:line="412" w:lineRule="exact"/>
      </w:pPr>
      <w:r>
        <w:t xml:space="preserve">第五章 </w:t>
      </w:r>
      <w:r>
        <w:rPr>
          <w:rFonts w:hint="eastAsia"/>
        </w:rPr>
        <w:t xml:space="preserve"> </w:t>
      </w:r>
      <w:r>
        <w:t>附</w:t>
      </w:r>
      <w:r>
        <w:rPr>
          <w:rFonts w:hint="eastAsia"/>
        </w:rPr>
        <w:t xml:space="preserve">  </w:t>
      </w:r>
      <w:r>
        <w:t>则</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第三十五条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法律、法规授权的具有管理公共事务职能的组织开展行政调解，适用本办法。</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第三十六条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本办法所称的当事人包括民事纠纷的双方当事人和行政争议的行政相对人。</w:t>
      </w:r>
    </w:p>
    <w:p>
      <w:pPr>
        <w:pStyle w:val="3"/>
        <w:topLinePunct/>
        <w:spacing w:line="412" w:lineRule="exact"/>
        <w:ind w:firstLine="482"/>
        <w:rPr>
          <w:rFonts w:asciiTheme="minorEastAsia" w:hAnsiTheme="minorEastAsia" w:eastAsiaTheme="minorEastAsia"/>
          <w:sz w:val="24"/>
          <w:szCs w:val="24"/>
        </w:rPr>
      </w:pPr>
      <w:r>
        <w:rPr>
          <w:rFonts w:asciiTheme="minorEastAsia" w:hAnsiTheme="minorEastAsia" w:eastAsiaTheme="minorEastAsia"/>
          <w:b/>
          <w:sz w:val="24"/>
          <w:szCs w:val="24"/>
        </w:rPr>
        <w:t>第三十七条</w:t>
      </w:r>
      <w:r>
        <w:rPr>
          <w:rFonts w:hint="eastAsia" w:asciiTheme="minorEastAsia" w:hAnsiTheme="minorEastAsia" w:eastAsiaTheme="minorEastAsia"/>
          <w:b/>
          <w:sz w:val="24"/>
          <w:szCs w:val="24"/>
        </w:rPr>
        <w:t xml:space="preserve">  </w:t>
      </w:r>
      <w:r>
        <w:rPr>
          <w:rFonts w:asciiTheme="minorEastAsia" w:hAnsiTheme="minorEastAsia" w:eastAsiaTheme="minorEastAsia"/>
          <w:sz w:val="24"/>
          <w:szCs w:val="24"/>
        </w:rPr>
        <w:t>本办法自2015年9月1日起施行。</w:t>
      </w:r>
    </w:p>
    <w:p>
      <w:pPr>
        <w:pStyle w:val="3"/>
        <w:topLinePunct/>
        <w:spacing w:line="416" w:lineRule="exact"/>
        <w:ind w:firstLine="480"/>
        <w:rPr>
          <w:rFonts w:asciiTheme="minorEastAsia" w:hAnsiTheme="minorEastAsia" w:eastAsiaTheme="minorEastAsia"/>
          <w:sz w:val="24"/>
          <w:szCs w:val="24"/>
        </w:rPr>
      </w:pPr>
    </w:p>
    <w:p>
      <w:pPr>
        <w:pStyle w:val="3"/>
        <w:topLinePunct/>
        <w:spacing w:line="416" w:lineRule="exact"/>
        <w:ind w:firstLine="480"/>
        <w:rPr>
          <w:rFonts w:asciiTheme="minorEastAsia" w:hAnsiTheme="minorEastAsia" w:eastAsiaTheme="minorEastAsia"/>
          <w:sz w:val="24"/>
          <w:szCs w:val="24"/>
        </w:rPr>
      </w:pPr>
    </w:p>
    <w:sectPr>
      <w:headerReference r:id="rId60" w:type="default"/>
      <w:footerReference r:id="rId62" w:type="default"/>
      <w:headerReference r:id="rId61" w:type="even"/>
      <w:footerReference r:id="rId63" w:type="even"/>
      <w:pgSz w:w="12247" w:h="17180"/>
      <w:pgMar w:top="1814" w:right="1701" w:bottom="1701" w:left="1701" w:header="851" w:footer="1134"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62">
      <wne:acd wne:acdName="acd1"/>
    </wne:keymap>
    <wne:keymap wne:kcmPrimary="0263">
      <wne:acd wne:acdName="acd2"/>
    </wne:keymap>
    <wne:keymap wne:kcmPrimary="0264">
      <wne:acd wne:acdName="acd3"/>
    </wne:keymap>
    <wne:keymap wne:kcmPrimary="0235">
      <wne:acd wne:acdName="acd4"/>
    </wne:keymap>
  </wne:keymaps>
  <wne:acds>
    <wne:acd wne:argValue="AgA3aA9fMQA=" wne:acdName="acd0" wne:fciIndexBasedOn="0065"/>
    <wne:acd wne:argValue="AgA3aA9fMgA=" wne:acdName="acd1" wne:fciIndexBasedOn="0065"/>
    <wne:acd wne:argValue="AgA3aA9fMwA=" wne:acdName="acd2" wne:fciIndexBasedOn="0065"/>
    <wne:acd wne:argValue="AgA3aA9fNAA=" wne:acdName="acd3" wne:fciIndexBasedOn="0065"/>
    <wne:acd wne:argValue="AgA3aA9fN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210"/>
      </w:pPr>
      <w:r>
        <w:separator/>
      </w:r>
    </w:p>
  </w:endnote>
  <w:endnote w:type="continuationSeparator" w:id="1">
    <w:p>
      <w:pPr>
        <w:spacing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黑体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2" w:usb3="00000000" w:csb0="4002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_x0000_s1060" o:spid="_x0000_s1060" o:spt="202" type="#_x0000_t202" style="position:absolute;left:0pt;margin-left:476.6pt;margin-top:-140.2pt;height:86.2pt;width:51pt;z-index:251671552;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兽</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医</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兽</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药</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801</w:t>
    </w:r>
    <w:r>
      <w:rPr>
        <w:rFonts w:ascii="Times New Roman" w:hAnsi="Times New Roman"/>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u w:val="single"/>
      </w:rPr>
      <w:pict>
        <v:shape id="_x0000_s1061" o:spid="_x0000_s1061" o:spt="202" type="#_x0000_t202" style="position:absolute;left:0pt;margin-left:-85.05pt;margin-top:-140.2pt;height:87.05pt;width:51pt;z-index:251672576;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兽</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医</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兽</w:t>
                </w:r>
              </w:p>
              <w:p>
                <w:pPr>
                  <w:spacing w:before="120" w:after="120" w:line="280" w:lineRule="exact"/>
                  <w:ind w:left="168" w:leftChars="80" w:right="168" w:rightChars="80" w:firstLine="320"/>
                  <w:jc w:val="right"/>
                </w:pPr>
                <w:r>
                  <w:rPr>
                    <w:rFonts w:hint="eastAsia" w:ascii="华文中宋" w:hAnsi="华文中宋" w:eastAsia="华文中宋"/>
                    <w:color w:val="FFFFFF"/>
                    <w:sz w:val="32"/>
                  </w:rPr>
                  <w:t>药</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802</w:t>
    </w:r>
    <w:r>
      <w:rPr>
        <w:rFonts w:ascii="Times New Roman" w:hAnsi="Times New Roman"/>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_x0000_s1062" o:spid="_x0000_s1062" o:spt="202" type="#_x0000_t202" style="position:absolute;left:0pt;margin-left:476.6pt;margin-top:-54.2pt;height:64.6pt;width:51pt;z-index:251673600;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渔</w:t>
                </w:r>
              </w:p>
              <w:p>
                <w:pPr>
                  <w:spacing w:before="120" w:after="120" w:line="280" w:lineRule="exact"/>
                  <w:ind w:left="168" w:leftChars="80" w:firstLine="0" w:firstLineChars="0"/>
                  <w:rPr>
                    <w:rFonts w:ascii="华文中宋" w:hAnsi="华文中宋" w:eastAsia="华文中宋"/>
                    <w:color w:val="FFFFFF"/>
                    <w:sz w:val="32"/>
                  </w:rPr>
                </w:pP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业</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855</w:t>
    </w:r>
    <w:r>
      <w:rPr>
        <w:rFonts w:ascii="Times New Roman" w:hAnsi="Times New Roman"/>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u w:val="single"/>
      </w:rPr>
      <w:pict>
        <v:shape id="_x0000_s1063" o:spid="_x0000_s1063" o:spt="202" type="#_x0000_t202" style="position:absolute;left:0pt;margin-left:-85.35pt;margin-top:-54.55pt;height:65.25pt;width:51pt;z-index:251674624;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渔</w:t>
                </w:r>
              </w:p>
              <w:p>
                <w:pPr>
                  <w:spacing w:before="120" w:after="120" w:line="280" w:lineRule="exact"/>
                  <w:ind w:left="168" w:leftChars="80" w:right="168" w:rightChars="80" w:firstLine="320"/>
                  <w:jc w:val="right"/>
                  <w:rPr>
                    <w:rFonts w:ascii="华文中宋" w:hAnsi="华文中宋" w:eastAsia="华文中宋"/>
                    <w:color w:val="FFFFFF"/>
                    <w:sz w:val="32"/>
                  </w:rPr>
                </w:pPr>
              </w:p>
              <w:p>
                <w:pPr>
                  <w:spacing w:before="120" w:after="120" w:line="280" w:lineRule="exact"/>
                  <w:ind w:left="168" w:leftChars="80" w:right="168" w:rightChars="80" w:firstLine="320"/>
                  <w:jc w:val="right"/>
                </w:pPr>
                <w:r>
                  <w:rPr>
                    <w:rFonts w:hint="eastAsia" w:ascii="华文中宋" w:hAnsi="华文中宋" w:eastAsia="华文中宋"/>
                    <w:color w:val="FFFFFF"/>
                    <w:sz w:val="32"/>
                  </w:rPr>
                  <w:t>业</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856</w:t>
    </w:r>
    <w:r>
      <w:rPr>
        <w:rFonts w:ascii="Times New Roman" w:hAnsi="Times New Roman"/>
        <w:sz w:val="21"/>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903</w:t>
    </w:r>
    <w:r>
      <w:rPr>
        <w:rFonts w:ascii="Times New Roman" w:hAnsi="Times New Roman"/>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904</w:t>
    </w:r>
    <w:r>
      <w:rPr>
        <w:rFonts w:ascii="Times New Roman" w:hAnsi="Times New Roman"/>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1023</w:t>
    </w:r>
    <w:r>
      <w:rPr>
        <w:rFonts w:ascii="Times New Roman" w:hAnsi="Times New Roman"/>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1056</w:t>
    </w:r>
    <w:r>
      <w:rPr>
        <w:rFonts w:ascii="Times New Roman" w:hAnsi="Times New Roman"/>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1055</w:t>
    </w:r>
    <w:r>
      <w:rPr>
        <w:rFonts w:ascii="Times New Roman" w:hAnsi="Times New Roman"/>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_x0000_s1077" o:spid="_x0000_s1077" o:spt="202" type="#_x0000_t202" style="position:absolute;left:0pt;margin-left:476.9pt;margin-top:-336.1pt;height:68.05pt;width:51pt;z-index:251683840;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300" w:lineRule="exact"/>
                  <w:ind w:left="168" w:leftChars="80" w:firstLine="0" w:firstLineChars="0"/>
                  <w:rPr>
                    <w:rFonts w:ascii="华文中宋" w:hAnsi="华文中宋" w:eastAsia="华文中宋"/>
                    <w:color w:val="FFFFFF"/>
                    <w:sz w:val="32"/>
                  </w:rPr>
                </w:pP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机</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1161</w:t>
    </w:r>
    <w:r>
      <w:rPr>
        <w:rFonts w:ascii="Times New Roman" w:hAnsi="Times New Roman"/>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u w:val="single"/>
      </w:rPr>
      <w:pict>
        <v:shape id="_x0000_s1078" o:spid="_x0000_s1078" o:spt="202" type="#_x0000_t202" style="position:absolute;left:0pt;margin-left:-85.45pt;margin-top:-335.6pt;height:67.5pt;width:51pt;z-index:251684864;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right="168" w:rightChars="80" w:firstLine="320"/>
                  <w:jc w:val="right"/>
                  <w:rPr>
                    <w:rFonts w:ascii="华文中宋" w:hAnsi="华文中宋" w:eastAsia="华文中宋"/>
                    <w:color w:val="FFFFFF"/>
                    <w:sz w:val="32"/>
                  </w:rPr>
                </w:pPr>
              </w:p>
              <w:p>
                <w:pPr>
                  <w:spacing w:before="120" w:after="120" w:line="280" w:lineRule="exact"/>
                  <w:ind w:left="168" w:leftChars="80" w:right="168" w:rightChars="80" w:firstLine="320"/>
                  <w:jc w:val="right"/>
                </w:pPr>
                <w:r>
                  <w:rPr>
                    <w:rFonts w:hint="eastAsia" w:ascii="华文中宋" w:hAnsi="华文中宋" w:eastAsia="华文中宋"/>
                    <w:color w:val="FFFFFF"/>
                    <w:sz w:val="32"/>
                  </w:rPr>
                  <w:t>机</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1162</w:t>
    </w:r>
    <w:r>
      <w:rPr>
        <w:rFonts w:ascii="Times New Roman" w:hAnsi="Times New Roman"/>
        <w:sz w:val="21"/>
        <w:szCs w:val="21"/>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_x0000_s1079" o:spid="_x0000_s1079" o:spt="202" type="#_x0000_t202" style="position:absolute;left:0pt;margin-left:476.9pt;margin-top:-268.4pt;height:87.4pt;width:51pt;z-index:251685888;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村</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管</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理</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1199</w:t>
    </w:r>
    <w:r>
      <w:rPr>
        <w:rFonts w:ascii="Times New Roman" w:hAnsi="Times New Roman"/>
        <w:sz w:val="21"/>
        <w:szCs w:val="21"/>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u w:val="single"/>
      </w:rPr>
      <w:pict>
        <v:shape id="_x0000_s1080" o:spid="_x0000_s1080" o:spt="202" type="#_x0000_t202" style="position:absolute;left:0pt;margin-left:-85.45pt;margin-top:-267.9pt;height:85.65pt;width:51pt;z-index:251686912;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村</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管</w:t>
                </w:r>
              </w:p>
              <w:p>
                <w:pPr>
                  <w:spacing w:before="120" w:after="120" w:line="280" w:lineRule="exact"/>
                  <w:ind w:left="168" w:leftChars="80" w:right="168" w:rightChars="80" w:firstLine="320"/>
                  <w:jc w:val="right"/>
                </w:pPr>
                <w:r>
                  <w:rPr>
                    <w:rFonts w:hint="eastAsia" w:ascii="华文中宋" w:hAnsi="华文中宋" w:eastAsia="华文中宋"/>
                    <w:color w:val="FFFFFF"/>
                    <w:sz w:val="32"/>
                  </w:rPr>
                  <w:t>理</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1200</w:t>
    </w:r>
    <w:r>
      <w:rPr>
        <w:rFonts w:ascii="Times New Roman" w:hAnsi="Times New Roman"/>
        <w:sz w:val="21"/>
        <w:szCs w:val="2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_x0000_s1081" o:spid="_x0000_s1081" o:spt="202" type="#_x0000_t202" style="position:absolute;left:0pt;margin-left:476.9pt;margin-top:-182.25pt;height:70pt;width:51pt;z-index:251687936;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其</w:t>
                </w:r>
              </w:p>
              <w:p>
                <w:pPr>
                  <w:spacing w:before="120" w:after="120" w:line="300" w:lineRule="exact"/>
                  <w:ind w:left="168" w:leftChars="80" w:firstLine="0" w:firstLineChars="0"/>
                  <w:rPr>
                    <w:rFonts w:ascii="华文中宋" w:hAnsi="华文中宋" w:eastAsia="华文中宋"/>
                    <w:color w:val="FFFFFF"/>
                    <w:sz w:val="32"/>
                  </w:rPr>
                </w:pP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他</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1261</w:t>
    </w:r>
    <w:r>
      <w:rPr>
        <w:rFonts w:ascii="Times New Roman" w:hAnsi="Times New Roman"/>
        <w:sz w:val="21"/>
        <w:szCs w:val="21"/>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u w:val="single"/>
      </w:rPr>
      <w:pict>
        <v:shape id="_x0000_s1082" o:spid="_x0000_s1082" o:spt="202" type="#_x0000_t202" style="position:absolute;left:0pt;margin-left:-85.45pt;margin-top:-182.25pt;height:68.25pt;width:51pt;z-index:251688960;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其</w:t>
                </w:r>
              </w:p>
              <w:p>
                <w:pPr>
                  <w:spacing w:before="120" w:after="120" w:line="280" w:lineRule="exact"/>
                  <w:ind w:left="168" w:leftChars="80" w:right="168" w:rightChars="80" w:firstLine="320"/>
                  <w:jc w:val="right"/>
                  <w:rPr>
                    <w:rFonts w:ascii="华文中宋" w:hAnsi="华文中宋" w:eastAsia="华文中宋"/>
                    <w:color w:val="FFFFFF"/>
                    <w:sz w:val="32"/>
                  </w:rPr>
                </w:pPr>
              </w:p>
              <w:p>
                <w:pPr>
                  <w:spacing w:before="120" w:after="120" w:line="280" w:lineRule="exact"/>
                  <w:ind w:left="168" w:leftChars="80" w:right="168" w:rightChars="80" w:firstLine="320"/>
                  <w:jc w:val="right"/>
                </w:pPr>
                <w:r>
                  <w:rPr>
                    <w:rFonts w:hint="eastAsia" w:ascii="华文中宋" w:hAnsi="华文中宋" w:eastAsia="华文中宋"/>
                    <w:color w:val="FFFFFF"/>
                    <w:sz w:val="32"/>
                  </w:rPr>
                  <w:t>他</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1260</w:t>
    </w:r>
    <w:r>
      <w:rPr>
        <w:rFonts w:ascii="Times New Roman" w:hAnsi="Times New Roman"/>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469</w:t>
    </w:r>
    <w:r>
      <w:rPr>
        <w:rFonts w:ascii="Times New Roman" w:hAnsi="Times New Roman"/>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468</w:t>
    </w:r>
    <w:r>
      <w:rPr>
        <w:rFonts w:ascii="Times New Roman" w:hAnsi="Times New Roman"/>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_x0000_s1057" o:spid="_x0000_s1057" o:spt="202" type="#_x0000_t202" style="position:absolute;left:0pt;margin-left:476.6pt;margin-top:-274.1pt;height:66.8pt;width:51pt;z-index:251668480;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种</w:t>
                </w:r>
              </w:p>
              <w:p>
                <w:pPr>
                  <w:spacing w:before="120" w:after="120" w:line="280" w:lineRule="exact"/>
                  <w:ind w:left="168" w:leftChars="80" w:firstLine="0" w:firstLineChars="0"/>
                  <w:rPr>
                    <w:rFonts w:ascii="华文中宋" w:hAnsi="华文中宋" w:eastAsia="华文中宋"/>
                    <w:color w:val="FFFFFF"/>
                    <w:sz w:val="32"/>
                  </w:rPr>
                </w:pP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业</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595</w:t>
    </w:r>
    <w:r>
      <w:rPr>
        <w:rFonts w:ascii="Times New Roman" w:hAnsi="Times New Roman"/>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u w:val="single"/>
      </w:rPr>
      <w:pict>
        <v:shape id="_x0000_s1039" o:spid="_x0000_s1039" o:spt="202" type="#_x0000_t202" style="position:absolute;left:0pt;margin-left:-85.35pt;margin-top:-274.4pt;height:67.5pt;width:51pt;z-index:251667456;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种</w:t>
                </w:r>
              </w:p>
              <w:p>
                <w:pPr>
                  <w:spacing w:before="120" w:after="120" w:line="280" w:lineRule="exact"/>
                  <w:ind w:left="168" w:leftChars="80" w:right="168" w:rightChars="80" w:firstLine="320"/>
                  <w:jc w:val="right"/>
                  <w:rPr>
                    <w:rFonts w:ascii="华文中宋" w:hAnsi="华文中宋" w:eastAsia="华文中宋"/>
                    <w:color w:val="FFFFFF"/>
                    <w:sz w:val="32"/>
                  </w:rPr>
                </w:pPr>
              </w:p>
              <w:p>
                <w:pPr>
                  <w:spacing w:before="120" w:after="120" w:line="280" w:lineRule="exact"/>
                  <w:ind w:left="168" w:leftChars="80" w:right="168" w:rightChars="80" w:firstLine="320"/>
                  <w:jc w:val="right"/>
                </w:pPr>
                <w:r>
                  <w:rPr>
                    <w:rFonts w:hint="eastAsia" w:ascii="华文中宋" w:hAnsi="华文中宋" w:eastAsia="华文中宋"/>
                    <w:color w:val="FFFFFF"/>
                    <w:sz w:val="32"/>
                  </w:rPr>
                  <w:t>业</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596</w:t>
    </w:r>
    <w:r>
      <w:rPr>
        <w:rFonts w:ascii="Times New Roman" w:hAnsi="Times New Roman"/>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_x0000_s1058" o:spid="_x0000_s1058" o:spt="202" type="#_x0000_t202" style="position:absolute;left:0pt;margin-left:476.6pt;margin-top:-207.3pt;height:66.8pt;width:51pt;z-index:251669504;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畜</w:t>
                </w:r>
              </w:p>
              <w:p>
                <w:pPr>
                  <w:spacing w:before="120" w:after="120" w:line="280" w:lineRule="exact"/>
                  <w:ind w:left="168" w:leftChars="80" w:firstLine="0" w:firstLineChars="0"/>
                  <w:rPr>
                    <w:rFonts w:ascii="华文中宋" w:hAnsi="华文中宋" w:eastAsia="华文中宋"/>
                    <w:color w:val="FFFFFF"/>
                    <w:sz w:val="32"/>
                  </w:rPr>
                </w:pP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牧</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695</w:t>
    </w:r>
    <w:r>
      <w:rPr>
        <w:rFonts w:ascii="Times New Roman" w:hAnsi="Times New Roman"/>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sz w:val="21"/>
        <w:szCs w:val="21"/>
      </w:rPr>
    </w:pPr>
    <w:r>
      <w:rPr>
        <w:u w:val="single"/>
      </w:rPr>
      <w:pict>
        <v:shape id="_x0000_s1059" o:spid="_x0000_s1059" o:spt="202" type="#_x0000_t202" style="position:absolute;left:0pt;margin-left:-85.35pt;margin-top:-206.9pt;height:67.5pt;width:51pt;z-index:251670528;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畜</w:t>
                </w:r>
              </w:p>
              <w:p>
                <w:pPr>
                  <w:spacing w:before="120" w:after="120" w:line="280" w:lineRule="exact"/>
                  <w:ind w:left="168" w:leftChars="80" w:right="168" w:rightChars="80" w:firstLine="320"/>
                  <w:jc w:val="right"/>
                  <w:rPr>
                    <w:rFonts w:ascii="华文中宋" w:hAnsi="华文中宋" w:eastAsia="华文中宋"/>
                    <w:color w:val="FFFFFF"/>
                    <w:sz w:val="32"/>
                  </w:rPr>
                </w:pPr>
              </w:p>
              <w:p>
                <w:pPr>
                  <w:spacing w:before="120" w:after="120" w:line="280" w:lineRule="exact"/>
                  <w:ind w:left="168" w:leftChars="80" w:right="168" w:rightChars="80" w:firstLine="320"/>
                  <w:jc w:val="right"/>
                </w:pPr>
                <w:r>
                  <w:rPr>
                    <w:rFonts w:hint="eastAsia" w:ascii="华文中宋" w:hAnsi="华文中宋" w:eastAsia="华文中宋"/>
                    <w:color w:val="FFFFFF"/>
                    <w:sz w:val="32"/>
                  </w:rPr>
                  <w:t>牧</w:t>
                </w:r>
              </w:p>
            </w:txbxContent>
          </v:textbox>
        </v:shape>
      </w:pic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696</w:t>
    </w:r>
    <w:r>
      <w:rPr>
        <w:rFonts w:ascii="Times New Roman" w:hAnsi="Times New Roman"/>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210"/>
      </w:pPr>
      <w:r>
        <w:separator/>
      </w:r>
    </w:p>
  </w:footnote>
  <w:footnote w:type="continuationSeparator" w:id="1">
    <w:p>
      <w:pPr>
        <w:spacing w:before="0" w:after="0" w:line="240" w:lineRule="auto"/>
        <w:ind w:firstLine="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34" o:spid="_x0000_s1034" o:spt="202" type="#_x0000_t202" style="position:absolute;left:0pt;margin-left:476.75pt;margin-top:252.15pt;height:127.25pt;width:51pt;z-index:251663360;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村</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合</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作</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经</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济</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35" o:spid="_x0000_s1035" o:spt="202" type="#_x0000_t202" style="position:absolute;left:0pt;margin-left:-86.25pt;margin-top:252.7pt;height:126.7pt;width:51pt;z-index:251664384;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村</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合</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作</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经</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济</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36" o:spid="_x0000_s1036" o:spt="202" type="#_x0000_t202" style="position:absolute;left:0pt;margin-left:476.6pt;margin-top:370.35pt;height:86.8pt;width:51pt;z-index:251665408;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业</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综</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合</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37" o:spid="_x0000_s1037" o:spt="202" type="#_x0000_t202" style="position:absolute;left:0pt;margin-left:-86.4pt;margin-top:370.2pt;height:87.05pt;width:51pt;z-index:251666432;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业</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综</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合</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64" o:spid="_x0000_s1064" o:spt="202" type="#_x0000_t202" style="position:absolute;left:0pt;margin-left:476.55pt;margin-top:43.1pt;height:85.2pt;width:51pt;z-index:251675648;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药</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肥</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料</w:t>
                </w:r>
              </w:p>
            </w:txbxContent>
          </v:textbox>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65" o:spid="_x0000_s1065" o:spt="202" type="#_x0000_t202" style="position:absolute;left:0pt;margin-left:-85.1pt;margin-top:42.95pt;height:85pt;width:51pt;z-index:251676672;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药</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肥</w:t>
                </w:r>
              </w:p>
              <w:p>
                <w:pPr>
                  <w:spacing w:before="120" w:after="120" w:line="280" w:lineRule="exact"/>
                  <w:ind w:left="168" w:leftChars="80" w:right="168" w:rightChars="80" w:firstLine="320"/>
                  <w:jc w:val="right"/>
                </w:pPr>
                <w:r>
                  <w:rPr>
                    <w:rFonts w:hint="eastAsia" w:ascii="华文中宋" w:hAnsi="华文中宋" w:eastAsia="华文中宋"/>
                    <w:color w:val="FFFFFF"/>
                    <w:sz w:val="32"/>
                  </w:rPr>
                  <w:t>料</w:t>
                </w:r>
              </w:p>
            </w:txbxContent>
          </v:textbox>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66" o:spid="_x0000_s1066" o:spt="202" type="#_x0000_t202" style="position:absolute;left:0pt;margin-left:476.9pt;margin-top:43.1pt;height:174.4pt;width:51pt;z-index:251677696;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动</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植</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物</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检</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疫</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和</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防</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疫</w:t>
                </w:r>
              </w:p>
            </w:txbxContent>
          </v:textbox>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67" o:spid="_x0000_s1067" o:spt="202" type="#_x0000_t202" style="position:absolute;left:0pt;margin-left:-85.1pt;margin-top:42.95pt;height:174pt;width:51pt;z-index:251678720;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动</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植</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物</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检</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疫</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和</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防</w:t>
                </w:r>
              </w:p>
              <w:p>
                <w:pPr>
                  <w:spacing w:before="120" w:after="120" w:line="300" w:lineRule="exact"/>
                  <w:ind w:left="168" w:leftChars="80" w:right="168" w:rightChars="80" w:firstLine="320"/>
                  <w:jc w:val="right"/>
                </w:pPr>
                <w:r>
                  <w:rPr>
                    <w:rFonts w:hint="eastAsia" w:ascii="华文中宋" w:hAnsi="华文中宋" w:eastAsia="华文中宋"/>
                    <w:color w:val="FFFFFF"/>
                    <w:sz w:val="32"/>
                  </w:rPr>
                  <w:t>疫</w:t>
                </w:r>
              </w:p>
            </w:txbxContent>
          </v:textbox>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70" o:spid="_x0000_s1070" o:spt="202" type="#_x0000_t202" style="position:absolute;left:0pt;margin-left:476.8pt;margin-top:217.1pt;height:111pt;width:51pt;z-index:251679744;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动</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植</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物</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保</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护</w:t>
                </w:r>
              </w:p>
            </w:txbxContent>
          </v:textbox>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71" o:spid="_x0000_s1071" o:spt="202" type="#_x0000_t202" style="position:absolute;left:0pt;margin-left:-85.1pt;margin-top:217.45pt;height:111.15pt;width:51pt;z-index:251680768;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动</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植</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物</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保</w:t>
                </w:r>
              </w:p>
              <w:p>
                <w:pPr>
                  <w:spacing w:before="120" w:after="120" w:line="300" w:lineRule="exact"/>
                  <w:ind w:left="168" w:leftChars="80" w:right="168" w:rightChars="80" w:firstLine="320"/>
                  <w:jc w:val="right"/>
                </w:pPr>
                <w:r>
                  <w:rPr>
                    <w:rFonts w:hint="eastAsia" w:ascii="华文中宋" w:hAnsi="华文中宋" w:eastAsia="华文中宋"/>
                    <w:color w:val="FFFFFF"/>
                    <w:sz w:val="32"/>
                  </w:rPr>
                  <w:t>护</w:t>
                </w:r>
              </w:p>
            </w:txbxContent>
          </v:textbox>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75" o:spid="_x0000_s1075" o:spt="202" type="#_x0000_t202" style="position:absolute;left:0pt;margin-left:476.8pt;margin-top:326.45pt;height:68.05pt;width:51pt;z-index:251681792;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转</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基</w:t>
                </w:r>
              </w:p>
              <w:p>
                <w:pPr>
                  <w:spacing w:before="120" w:after="120" w:line="3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因</w:t>
                </w:r>
              </w:p>
            </w:txbxContent>
          </v:textbox>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76" o:spid="_x0000_s1076" o:spt="202" type="#_x0000_t202" style="position:absolute;left:0pt;margin-left:-85.95pt;margin-top:326.5pt;height:67pt;width:51pt;z-index:251682816;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转</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基</w:t>
                </w:r>
              </w:p>
              <w:p>
                <w:pPr>
                  <w:spacing w:before="120" w:after="120" w:line="280" w:lineRule="exact"/>
                  <w:ind w:left="168" w:leftChars="80" w:right="168" w:rightChars="80" w:firstLine="320"/>
                  <w:jc w:val="right"/>
                </w:pPr>
                <w:r>
                  <w:rPr>
                    <w:rFonts w:hint="eastAsia" w:ascii="华文中宋" w:hAnsi="华文中宋" w:eastAsia="华文中宋"/>
                    <w:color w:val="FFFFFF"/>
                    <w:sz w:val="32"/>
                  </w:rPr>
                  <w:t>因</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83" o:spid="_x0000_s1083" o:spt="202" type="#_x0000_t202" style="position:absolute;left:0pt;margin-left:476.7pt;margin-top:42.6pt;height:87.85pt;width:51pt;z-index:251689984;mso-width-relative:page;mso-height-relative:page;" fillcolor="#BFBFBF" filled="t" stroked="f" coordsize="21600,21600">
          <v:path/>
          <v:fill on="t" focussize="0,0"/>
          <v:stroke on="f" joinstyle="miter"/>
          <v:imagedata o:title=""/>
          <o:lock v:ext="edit"/>
          <v:textbox inset="0mm,0mm,0mm,0mm">
            <w:txbxContent>
              <w:p>
                <w:pPr>
                  <w:spacing w:before="120" w:after="120" w:line="4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目</w:t>
                </w:r>
              </w:p>
              <w:p>
                <w:pPr>
                  <w:spacing w:before="120" w:after="120" w:line="40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录</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84" o:spid="_x0000_s1084" o:spt="202" type="#_x0000_t202" style="position:absolute;left:0pt;margin-left:-85pt;margin-top:43.1pt;height:87.85pt;width:51pt;z-index:251691008;mso-width-relative:page;mso-height-relative:page;" fillcolor="#BFBFBF" filled="t" stroked="f" coordsize="21600,21600">
          <v:path/>
          <v:fill on="t" focussize="0,0"/>
          <v:stroke on="f" joinstyle="miter"/>
          <v:imagedata o:title=""/>
          <o:lock v:ext="edit"/>
          <v:textbox inset="0mm,0mm,0mm,0mm">
            <w:txbxContent>
              <w:p>
                <w:pPr>
                  <w:spacing w:before="120" w:after="120" w:line="4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目录</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30" o:spid="_x0000_s1030" o:spt="202" type="#_x0000_t202" style="position:absolute;left:0pt;margin-left:476.35pt;margin-top:77pt;height:87.85pt;width:51pt;z-index:251659264;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行</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政</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执</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法</w:t>
                </w:r>
              </w:p>
              <w:p>
                <w:pPr>
                  <w:spacing w:before="120" w:after="120" w:line="400" w:lineRule="exact"/>
                  <w:ind w:left="168" w:leftChars="80" w:firstLine="320"/>
                  <w:rPr>
                    <w:rFonts w:ascii="华文中宋" w:hAnsi="华文中宋" w:eastAsia="华文中宋"/>
                    <w:color w:val="FFFFFF"/>
                    <w:sz w:val="32"/>
                  </w:rPr>
                </w:pPr>
                <w:r>
                  <w:rPr>
                    <w:rFonts w:hint="eastAsia" w:ascii="华文中宋" w:hAnsi="华文中宋" w:eastAsia="华文中宋"/>
                    <w:color w:val="FFFFFF"/>
                    <w:sz w:val="32"/>
                  </w:rPr>
                  <w:t>法</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31" o:spid="_x0000_s1031" o:spt="202" type="#_x0000_t202" style="position:absolute;left:0pt;margin-left:-85.35pt;margin-top:77pt;height:87.85pt;width:51pt;z-index:251660288;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行</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政</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执</w:t>
                </w:r>
              </w:p>
              <w:p>
                <w:pPr>
                  <w:spacing w:before="120" w:after="120" w:line="28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法</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_x0000_s1032" o:spid="_x0000_s1032" o:spt="202" type="#_x0000_t202" style="position:absolute;left:0pt;margin-left:476.75pt;margin-top:164.85pt;height:87.85pt;width:51pt;z-index:251661312;mso-width-relative:page;mso-height-relative:page;" fillcolor="#BFBFBF" filled="t" stroked="f" coordsize="21600,21600">
          <v:path/>
          <v:fill on="t" focussize="0,0"/>
          <v:stroke on="f" joinstyle="miter"/>
          <v:imagedata o:title=""/>
          <o:lock v:ext="edit"/>
          <v:textbox inset="0mm,0mm,0mm,0mm">
            <w:txbxContent>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村</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土</w:t>
                </w:r>
              </w:p>
              <w:p>
                <w:pPr>
                  <w:spacing w:before="120" w:after="120" w:line="280" w:lineRule="exact"/>
                  <w:ind w:left="168" w:leftChars="80" w:firstLine="0" w:firstLineChars="0"/>
                  <w:rPr>
                    <w:rFonts w:ascii="华文中宋" w:hAnsi="华文中宋" w:eastAsia="华文中宋"/>
                    <w:color w:val="FFFFFF"/>
                    <w:sz w:val="32"/>
                  </w:rPr>
                </w:pPr>
                <w:r>
                  <w:rPr>
                    <w:rFonts w:hint="eastAsia" w:ascii="华文中宋" w:hAnsi="华文中宋" w:eastAsia="华文中宋"/>
                    <w:color w:val="FFFFFF"/>
                    <w:sz w:val="32"/>
                  </w:rPr>
                  <w:t>地</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u w:val="single"/>
      </w:rPr>
    </w:pPr>
    <w:r>
      <w:rPr>
        <w:u w:val="single"/>
      </w:rPr>
      <w:pict>
        <v:shape id="_x0000_s1033" o:spid="_x0000_s1033" o:spt="202" type="#_x0000_t202" style="position:absolute;left:0pt;margin-left:-86.1pt;margin-top:164.85pt;height:87.85pt;width:51pt;z-index:251662336;mso-width-relative:page;mso-height-relative:page;" fillcolor="#BFBFBF" filled="t" stroked="f" coordsize="21600,21600">
          <v:path/>
          <v:fill on="t" focussize="0,0"/>
          <v:stroke on="f" joinstyle="miter"/>
          <v:imagedata o:title=""/>
          <o:lock v:ext="edit"/>
          <v:textbox inset="0mm,0mm,0mm,0mm">
            <w:txbxContent>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农</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村</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土</w:t>
                </w:r>
              </w:p>
              <w:p>
                <w:pPr>
                  <w:spacing w:before="120" w:after="120" w:line="300" w:lineRule="exact"/>
                  <w:ind w:left="168" w:leftChars="80" w:right="168" w:rightChars="80" w:firstLine="320"/>
                  <w:jc w:val="right"/>
                  <w:rPr>
                    <w:rFonts w:ascii="华文中宋" w:hAnsi="华文中宋" w:eastAsia="华文中宋"/>
                    <w:color w:val="FFFFFF"/>
                    <w:sz w:val="32"/>
                  </w:rPr>
                </w:pPr>
                <w:r>
                  <w:rPr>
                    <w:rFonts w:hint="eastAsia" w:ascii="华文中宋" w:hAnsi="华文中宋" w:eastAsia="华文中宋"/>
                    <w:color w:val="FFFFFF"/>
                    <w:sz w:val="32"/>
                  </w:rPr>
                  <w:t>地</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23E497"/>
    <w:multiLevelType w:val="multilevel"/>
    <w:tmpl w:val="5823E497"/>
    <w:lvl w:ilvl="0" w:tentative="0">
      <w:start w:val="1"/>
      <w:numFmt w:val="chineseCountingThousand"/>
      <w:suff w:val="space"/>
      <w:lvlText w:val="%1、"/>
      <w:lvlJc w:val="left"/>
      <w:pPr>
        <w:ind w:left="-720" w:firstLine="560"/>
      </w:pPr>
      <w:rPr>
        <w:rFonts w:hint="eastAsia" w:cs="Times New Roman"/>
      </w:rPr>
    </w:lvl>
    <w:lvl w:ilvl="1" w:tentative="0">
      <w:start w:val="1"/>
      <w:numFmt w:val="chineseCountingThousand"/>
      <w:suff w:val="space"/>
      <w:lvlText w:val="（%2）"/>
      <w:lvlJc w:val="left"/>
      <w:pPr>
        <w:ind w:left="-360" w:firstLine="400"/>
      </w:pPr>
      <w:rPr>
        <w:rFonts w:hint="eastAsia" w:cs="Times New Roman"/>
      </w:rPr>
    </w:lvl>
    <w:lvl w:ilvl="2" w:tentative="0">
      <w:start w:val="1"/>
      <w:numFmt w:val="decimal"/>
      <w:suff w:val="space"/>
      <w:lvlText w:val="%3."/>
      <w:lvlJc w:val="left"/>
      <w:pPr>
        <w:ind w:left="898" w:hanging="1058"/>
      </w:pPr>
      <w:rPr>
        <w:rFonts w:hint="eastAsia" w:cs="Times New Roman"/>
      </w:rPr>
    </w:lvl>
    <w:lvl w:ilvl="3" w:tentative="0">
      <w:start w:val="1"/>
      <w:numFmt w:val="decimal"/>
      <w:pStyle w:val="6"/>
      <w:suff w:val="space"/>
      <w:lvlText w:val="（%4）"/>
      <w:lvlJc w:val="left"/>
      <w:pPr>
        <w:ind w:left="1464" w:hanging="1624"/>
      </w:pPr>
      <w:rPr>
        <w:rFonts w:hint="eastAsia" w:cs="Times New Roman"/>
      </w:rPr>
    </w:lvl>
    <w:lvl w:ilvl="4" w:tentative="0">
      <w:start w:val="1"/>
      <w:numFmt w:val="upperRoman"/>
      <w:pStyle w:val="7"/>
      <w:suff w:val="space"/>
      <w:lvlText w:val="%5."/>
      <w:lvlJc w:val="left"/>
      <w:pPr>
        <w:ind w:left="2031" w:hanging="1831"/>
      </w:pPr>
      <w:rPr>
        <w:rFonts w:hint="eastAsia" w:cs="Times New Roman"/>
      </w:rPr>
    </w:lvl>
    <w:lvl w:ilvl="5" w:tentative="0">
      <w:start w:val="1"/>
      <w:numFmt w:val="decimal"/>
      <w:lvlText w:val="%1.%2.%3.%4.%5.%6"/>
      <w:lvlJc w:val="left"/>
      <w:pPr>
        <w:tabs>
          <w:tab w:val="left" w:pos="3046"/>
        </w:tabs>
        <w:ind w:left="2740" w:hanging="1134"/>
      </w:pPr>
      <w:rPr>
        <w:rFonts w:hint="eastAsia" w:cs="Times New Roman"/>
      </w:rPr>
    </w:lvl>
    <w:lvl w:ilvl="6" w:tentative="0">
      <w:start w:val="1"/>
      <w:numFmt w:val="decimal"/>
      <w:lvlText w:val="%1.%2.%3.%4.%5.%6.%7"/>
      <w:lvlJc w:val="left"/>
      <w:pPr>
        <w:tabs>
          <w:tab w:val="left" w:pos="3831"/>
        </w:tabs>
        <w:ind w:left="3307" w:hanging="1276"/>
      </w:pPr>
      <w:rPr>
        <w:rFonts w:hint="eastAsia" w:cs="Times New Roman"/>
      </w:rPr>
    </w:lvl>
    <w:lvl w:ilvl="7" w:tentative="0">
      <w:start w:val="1"/>
      <w:numFmt w:val="decimal"/>
      <w:lvlText w:val="%1.%2.%3.%4.%5.%6.%7.%8"/>
      <w:lvlJc w:val="left"/>
      <w:pPr>
        <w:tabs>
          <w:tab w:val="left" w:pos="4616"/>
        </w:tabs>
        <w:ind w:left="3874" w:hanging="1418"/>
      </w:pPr>
      <w:rPr>
        <w:rFonts w:hint="eastAsia" w:cs="Times New Roman"/>
      </w:rPr>
    </w:lvl>
    <w:lvl w:ilvl="8" w:tentative="0">
      <w:start w:val="1"/>
      <w:numFmt w:val="decimal"/>
      <w:lvlText w:val="%1.%2.%3.%4.%5.%6.%7.%8.%9"/>
      <w:lvlJc w:val="left"/>
      <w:pPr>
        <w:tabs>
          <w:tab w:val="left" w:pos="5042"/>
        </w:tabs>
        <w:ind w:left="4582"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FmODEzMjhjYzAyOGQ2M2M1OWQ1ODAyZTg4N2UwN2UifQ=="/>
  </w:docVars>
  <w:rsids>
    <w:rsidRoot w:val="007709BB"/>
    <w:rsid w:val="00003C50"/>
    <w:rsid w:val="0001175A"/>
    <w:rsid w:val="000170B8"/>
    <w:rsid w:val="000224AF"/>
    <w:rsid w:val="000255FD"/>
    <w:rsid w:val="00034C95"/>
    <w:rsid w:val="00036AEF"/>
    <w:rsid w:val="00052D89"/>
    <w:rsid w:val="000550F1"/>
    <w:rsid w:val="00055200"/>
    <w:rsid w:val="00063301"/>
    <w:rsid w:val="00083923"/>
    <w:rsid w:val="000A32FE"/>
    <w:rsid w:val="000B2CE6"/>
    <w:rsid w:val="000B32E4"/>
    <w:rsid w:val="000D0181"/>
    <w:rsid w:val="000E0FE7"/>
    <w:rsid w:val="000E5941"/>
    <w:rsid w:val="000F5341"/>
    <w:rsid w:val="00110043"/>
    <w:rsid w:val="00116036"/>
    <w:rsid w:val="00132614"/>
    <w:rsid w:val="001457E9"/>
    <w:rsid w:val="001515F4"/>
    <w:rsid w:val="001623F9"/>
    <w:rsid w:val="00171337"/>
    <w:rsid w:val="0017265E"/>
    <w:rsid w:val="001A0F9F"/>
    <w:rsid w:val="001A30EE"/>
    <w:rsid w:val="001B0D7F"/>
    <w:rsid w:val="001D1343"/>
    <w:rsid w:val="001D41C5"/>
    <w:rsid w:val="001E77EE"/>
    <w:rsid w:val="001E7AB0"/>
    <w:rsid w:val="00210404"/>
    <w:rsid w:val="00212249"/>
    <w:rsid w:val="00227252"/>
    <w:rsid w:val="0024037F"/>
    <w:rsid w:val="00255404"/>
    <w:rsid w:val="00273551"/>
    <w:rsid w:val="0027607B"/>
    <w:rsid w:val="002855D2"/>
    <w:rsid w:val="0029218E"/>
    <w:rsid w:val="002A2E1B"/>
    <w:rsid w:val="002A3A36"/>
    <w:rsid w:val="002B511E"/>
    <w:rsid w:val="002B661F"/>
    <w:rsid w:val="002E1608"/>
    <w:rsid w:val="002F21A2"/>
    <w:rsid w:val="002F44E7"/>
    <w:rsid w:val="0030412B"/>
    <w:rsid w:val="0030662D"/>
    <w:rsid w:val="003239BF"/>
    <w:rsid w:val="00332051"/>
    <w:rsid w:val="003357C4"/>
    <w:rsid w:val="00350BB5"/>
    <w:rsid w:val="0036192E"/>
    <w:rsid w:val="003A049B"/>
    <w:rsid w:val="003A2B96"/>
    <w:rsid w:val="003A2D1A"/>
    <w:rsid w:val="003A66A5"/>
    <w:rsid w:val="003C1135"/>
    <w:rsid w:val="003C7E8B"/>
    <w:rsid w:val="003D33E6"/>
    <w:rsid w:val="003D5DDE"/>
    <w:rsid w:val="003F04DD"/>
    <w:rsid w:val="00401AA6"/>
    <w:rsid w:val="0040411E"/>
    <w:rsid w:val="0041691A"/>
    <w:rsid w:val="0042131A"/>
    <w:rsid w:val="004256DB"/>
    <w:rsid w:val="00445096"/>
    <w:rsid w:val="00446A29"/>
    <w:rsid w:val="0048074F"/>
    <w:rsid w:val="004832CD"/>
    <w:rsid w:val="00484CAD"/>
    <w:rsid w:val="004B5406"/>
    <w:rsid w:val="004C4BAB"/>
    <w:rsid w:val="004D5759"/>
    <w:rsid w:val="004E797C"/>
    <w:rsid w:val="004F1F76"/>
    <w:rsid w:val="004F71EF"/>
    <w:rsid w:val="004F78BD"/>
    <w:rsid w:val="00505A11"/>
    <w:rsid w:val="0050763F"/>
    <w:rsid w:val="005111F0"/>
    <w:rsid w:val="00513F72"/>
    <w:rsid w:val="00543667"/>
    <w:rsid w:val="00550EB9"/>
    <w:rsid w:val="00553001"/>
    <w:rsid w:val="005625BB"/>
    <w:rsid w:val="00574FE0"/>
    <w:rsid w:val="00593FB5"/>
    <w:rsid w:val="00594950"/>
    <w:rsid w:val="005950FD"/>
    <w:rsid w:val="005A16F7"/>
    <w:rsid w:val="005A55AF"/>
    <w:rsid w:val="005A7F76"/>
    <w:rsid w:val="005D2A91"/>
    <w:rsid w:val="006023F2"/>
    <w:rsid w:val="0060545C"/>
    <w:rsid w:val="00627EB1"/>
    <w:rsid w:val="00650C11"/>
    <w:rsid w:val="00657E9E"/>
    <w:rsid w:val="00691744"/>
    <w:rsid w:val="006A06E4"/>
    <w:rsid w:val="006A0841"/>
    <w:rsid w:val="006A579B"/>
    <w:rsid w:val="006E1768"/>
    <w:rsid w:val="006E3B33"/>
    <w:rsid w:val="006F47BF"/>
    <w:rsid w:val="00701425"/>
    <w:rsid w:val="0074024E"/>
    <w:rsid w:val="007535F2"/>
    <w:rsid w:val="00753E84"/>
    <w:rsid w:val="007709BB"/>
    <w:rsid w:val="00771D79"/>
    <w:rsid w:val="00774C36"/>
    <w:rsid w:val="0077759A"/>
    <w:rsid w:val="007A3DD9"/>
    <w:rsid w:val="007A49B2"/>
    <w:rsid w:val="007A5EDC"/>
    <w:rsid w:val="007C176C"/>
    <w:rsid w:val="007C1EBC"/>
    <w:rsid w:val="00812298"/>
    <w:rsid w:val="0081477A"/>
    <w:rsid w:val="0082192F"/>
    <w:rsid w:val="00822311"/>
    <w:rsid w:val="00823C11"/>
    <w:rsid w:val="00835E29"/>
    <w:rsid w:val="00851925"/>
    <w:rsid w:val="00876122"/>
    <w:rsid w:val="008A30F6"/>
    <w:rsid w:val="008B461F"/>
    <w:rsid w:val="008E0AC2"/>
    <w:rsid w:val="008E56FD"/>
    <w:rsid w:val="008F724B"/>
    <w:rsid w:val="00941C3B"/>
    <w:rsid w:val="0095184E"/>
    <w:rsid w:val="00952CEA"/>
    <w:rsid w:val="00960F26"/>
    <w:rsid w:val="00962E17"/>
    <w:rsid w:val="00964D5B"/>
    <w:rsid w:val="00965693"/>
    <w:rsid w:val="00982F55"/>
    <w:rsid w:val="009A514D"/>
    <w:rsid w:val="009D1FEE"/>
    <w:rsid w:val="009E1E58"/>
    <w:rsid w:val="009E3F49"/>
    <w:rsid w:val="009E5567"/>
    <w:rsid w:val="009F0594"/>
    <w:rsid w:val="009F242F"/>
    <w:rsid w:val="009F4241"/>
    <w:rsid w:val="00A035BC"/>
    <w:rsid w:val="00A0458D"/>
    <w:rsid w:val="00A11F88"/>
    <w:rsid w:val="00A128A7"/>
    <w:rsid w:val="00A26DE5"/>
    <w:rsid w:val="00A27B3C"/>
    <w:rsid w:val="00A32F83"/>
    <w:rsid w:val="00A5123F"/>
    <w:rsid w:val="00A60828"/>
    <w:rsid w:val="00A91297"/>
    <w:rsid w:val="00AD1399"/>
    <w:rsid w:val="00AD2084"/>
    <w:rsid w:val="00AF72AD"/>
    <w:rsid w:val="00B074CD"/>
    <w:rsid w:val="00B16362"/>
    <w:rsid w:val="00B17D12"/>
    <w:rsid w:val="00B31B63"/>
    <w:rsid w:val="00B3537D"/>
    <w:rsid w:val="00B42181"/>
    <w:rsid w:val="00B60019"/>
    <w:rsid w:val="00B60EA3"/>
    <w:rsid w:val="00B6353D"/>
    <w:rsid w:val="00B742ED"/>
    <w:rsid w:val="00B74F0E"/>
    <w:rsid w:val="00B7586A"/>
    <w:rsid w:val="00B76226"/>
    <w:rsid w:val="00B946F2"/>
    <w:rsid w:val="00B96AEA"/>
    <w:rsid w:val="00B9789C"/>
    <w:rsid w:val="00BA0BFD"/>
    <w:rsid w:val="00BA292F"/>
    <w:rsid w:val="00BA6A21"/>
    <w:rsid w:val="00BA77F7"/>
    <w:rsid w:val="00BB2A58"/>
    <w:rsid w:val="00BC0D45"/>
    <w:rsid w:val="00BD7BE9"/>
    <w:rsid w:val="00BE25EE"/>
    <w:rsid w:val="00BE43CE"/>
    <w:rsid w:val="00BE45C6"/>
    <w:rsid w:val="00BF7BDD"/>
    <w:rsid w:val="00C3063B"/>
    <w:rsid w:val="00C3094C"/>
    <w:rsid w:val="00C345AD"/>
    <w:rsid w:val="00C34DCC"/>
    <w:rsid w:val="00C52C6E"/>
    <w:rsid w:val="00C53252"/>
    <w:rsid w:val="00C72720"/>
    <w:rsid w:val="00C75D4F"/>
    <w:rsid w:val="00C809AC"/>
    <w:rsid w:val="00C82B06"/>
    <w:rsid w:val="00C82BE7"/>
    <w:rsid w:val="00CA2DEC"/>
    <w:rsid w:val="00CB11EC"/>
    <w:rsid w:val="00CB22CE"/>
    <w:rsid w:val="00CB6298"/>
    <w:rsid w:val="00CD6D70"/>
    <w:rsid w:val="00CF6D7D"/>
    <w:rsid w:val="00D03437"/>
    <w:rsid w:val="00D10331"/>
    <w:rsid w:val="00D11E8A"/>
    <w:rsid w:val="00D16B34"/>
    <w:rsid w:val="00D35ABC"/>
    <w:rsid w:val="00D44EDA"/>
    <w:rsid w:val="00D451E3"/>
    <w:rsid w:val="00D507A5"/>
    <w:rsid w:val="00D52FAE"/>
    <w:rsid w:val="00D65EBD"/>
    <w:rsid w:val="00D66F36"/>
    <w:rsid w:val="00D71266"/>
    <w:rsid w:val="00D72206"/>
    <w:rsid w:val="00D84572"/>
    <w:rsid w:val="00D91B67"/>
    <w:rsid w:val="00D926A1"/>
    <w:rsid w:val="00DC0560"/>
    <w:rsid w:val="00DC2F70"/>
    <w:rsid w:val="00DF079B"/>
    <w:rsid w:val="00DF41B8"/>
    <w:rsid w:val="00DF76D3"/>
    <w:rsid w:val="00E01E6D"/>
    <w:rsid w:val="00E10278"/>
    <w:rsid w:val="00E200F4"/>
    <w:rsid w:val="00E2104D"/>
    <w:rsid w:val="00E2558E"/>
    <w:rsid w:val="00E34A4C"/>
    <w:rsid w:val="00E61CE4"/>
    <w:rsid w:val="00E64851"/>
    <w:rsid w:val="00E8149A"/>
    <w:rsid w:val="00E826C3"/>
    <w:rsid w:val="00E845D8"/>
    <w:rsid w:val="00EA0A27"/>
    <w:rsid w:val="00EA0D6A"/>
    <w:rsid w:val="00EB2D8D"/>
    <w:rsid w:val="00EB3434"/>
    <w:rsid w:val="00EC02B6"/>
    <w:rsid w:val="00ED5FA9"/>
    <w:rsid w:val="00EE1663"/>
    <w:rsid w:val="00EE3563"/>
    <w:rsid w:val="00EF4CA5"/>
    <w:rsid w:val="00EF7E55"/>
    <w:rsid w:val="00F025E7"/>
    <w:rsid w:val="00F11EA1"/>
    <w:rsid w:val="00F14BD0"/>
    <w:rsid w:val="00F1515C"/>
    <w:rsid w:val="00F17C73"/>
    <w:rsid w:val="00F24B45"/>
    <w:rsid w:val="00F42D08"/>
    <w:rsid w:val="00F5545C"/>
    <w:rsid w:val="00F616A6"/>
    <w:rsid w:val="00F746DE"/>
    <w:rsid w:val="00F74FB3"/>
    <w:rsid w:val="00F75338"/>
    <w:rsid w:val="00F8018A"/>
    <w:rsid w:val="00F81C4A"/>
    <w:rsid w:val="00F85128"/>
    <w:rsid w:val="00F928C0"/>
    <w:rsid w:val="00FA16E2"/>
    <w:rsid w:val="00FA569A"/>
    <w:rsid w:val="00FC53A2"/>
    <w:rsid w:val="038F19CA"/>
    <w:rsid w:val="0E14592A"/>
    <w:rsid w:val="14A61108"/>
    <w:rsid w:val="20DE12F7"/>
    <w:rsid w:val="23EB216E"/>
    <w:rsid w:val="27FA13B4"/>
    <w:rsid w:val="29F50378"/>
    <w:rsid w:val="3322678A"/>
    <w:rsid w:val="3B7425D0"/>
    <w:rsid w:val="428C623E"/>
    <w:rsid w:val="44941A7A"/>
    <w:rsid w:val="4D9C72BE"/>
    <w:rsid w:val="4E907D8C"/>
    <w:rsid w:val="5E1756AB"/>
    <w:rsid w:val="62620973"/>
    <w:rsid w:val="724A0898"/>
    <w:rsid w:val="74817094"/>
    <w:rsid w:val="751D79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50" w:afterLines="50" w:line="388" w:lineRule="exact"/>
      <w:ind w:firstLine="100" w:firstLineChars="1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34"/>
    <w:qFormat/>
    <w:uiPriority w:val="0"/>
    <w:pPr>
      <w:keepNext/>
      <w:keepLines/>
      <w:spacing w:beforeLines="0" w:afterLines="0" w:line="240" w:lineRule="auto"/>
      <w:ind w:firstLine="0" w:firstLineChars="0"/>
      <w:jc w:val="center"/>
      <w:outlineLvl w:val="0"/>
    </w:pPr>
    <w:rPr>
      <w:rFonts w:ascii="宋体" w:hAnsi="宋体" w:eastAsia="宋体" w:cs="Times New Roman"/>
      <w:b/>
      <w:bCs/>
      <w:kern w:val="0"/>
      <w:sz w:val="28"/>
      <w:szCs w:val="44"/>
    </w:rPr>
  </w:style>
  <w:style w:type="paragraph" w:styleId="4">
    <w:name w:val="heading 2"/>
    <w:basedOn w:val="1"/>
    <w:next w:val="1"/>
    <w:link w:val="45"/>
    <w:qFormat/>
    <w:uiPriority w:val="0"/>
    <w:pPr>
      <w:keepNext/>
      <w:keepLines/>
      <w:spacing w:beforeLines="0" w:afterLines="0" w:line="416" w:lineRule="auto"/>
      <w:ind w:firstLine="0" w:firstLineChars="0"/>
      <w:outlineLvl w:val="1"/>
    </w:pPr>
    <w:rPr>
      <w:rFonts w:ascii="Arial" w:hAnsi="Arial" w:eastAsia="黑体" w:cs="Times New Roman"/>
      <w:b/>
      <w:bCs/>
      <w:sz w:val="32"/>
      <w:szCs w:val="32"/>
    </w:rPr>
  </w:style>
  <w:style w:type="paragraph" w:styleId="5">
    <w:name w:val="heading 3"/>
    <w:basedOn w:val="1"/>
    <w:next w:val="1"/>
    <w:link w:val="35"/>
    <w:qFormat/>
    <w:uiPriority w:val="0"/>
    <w:pPr>
      <w:keepNext/>
      <w:keepLines/>
      <w:spacing w:beforeLines="0" w:afterLines="0" w:line="416" w:lineRule="auto"/>
      <w:ind w:firstLine="0" w:firstLineChars="0"/>
      <w:outlineLvl w:val="2"/>
    </w:pPr>
    <w:rPr>
      <w:rFonts w:ascii="Times New Roman" w:hAnsi="Times New Roman" w:eastAsia="宋体" w:cs="Times New Roman"/>
      <w:b/>
      <w:bCs/>
      <w:sz w:val="32"/>
      <w:szCs w:val="32"/>
    </w:rPr>
  </w:style>
  <w:style w:type="paragraph" w:styleId="6">
    <w:name w:val="heading 4"/>
    <w:basedOn w:val="1"/>
    <w:next w:val="1"/>
    <w:link w:val="46"/>
    <w:qFormat/>
    <w:uiPriority w:val="0"/>
    <w:pPr>
      <w:keepNext/>
      <w:keepLines/>
      <w:numPr>
        <w:ilvl w:val="3"/>
        <w:numId w:val="1"/>
      </w:numPr>
      <w:spacing w:beforeLines="0" w:afterLines="0" w:line="240" w:lineRule="auto"/>
      <w:ind w:left="0" w:firstLine="562" w:firstLineChars="200"/>
      <w:outlineLvl w:val="3"/>
    </w:pPr>
    <w:rPr>
      <w:rFonts w:ascii="宋体" w:hAnsi="宋体" w:eastAsia="宋体" w:cs="Times New Roman"/>
      <w:bCs/>
      <w:szCs w:val="28"/>
    </w:rPr>
  </w:style>
  <w:style w:type="paragraph" w:styleId="7">
    <w:name w:val="heading 5"/>
    <w:basedOn w:val="1"/>
    <w:next w:val="1"/>
    <w:link w:val="47"/>
    <w:qFormat/>
    <w:uiPriority w:val="0"/>
    <w:pPr>
      <w:keepNext/>
      <w:keepLines/>
      <w:numPr>
        <w:ilvl w:val="4"/>
        <w:numId w:val="1"/>
      </w:numPr>
      <w:spacing w:beforeLines="0" w:afterLines="0" w:line="240" w:lineRule="auto"/>
      <w:ind w:left="0" w:firstLine="200" w:firstLineChars="200"/>
      <w:outlineLvl w:val="4"/>
    </w:pPr>
    <w:rPr>
      <w:rFonts w:ascii="宋体" w:hAnsi="宋体" w:eastAsia="宋体" w:cs="Times New Roman"/>
      <w:b/>
      <w:szCs w:val="28"/>
    </w:rPr>
  </w:style>
  <w:style w:type="paragraph" w:styleId="8">
    <w:name w:val="heading 9"/>
    <w:basedOn w:val="1"/>
    <w:next w:val="1"/>
    <w:link w:val="48"/>
    <w:qFormat/>
    <w:uiPriority w:val="0"/>
    <w:pPr>
      <w:keepNext/>
      <w:keepLines/>
      <w:spacing w:beforeLines="0" w:afterLines="0" w:line="319" w:lineRule="auto"/>
      <w:ind w:firstLine="0" w:firstLineChars="0"/>
      <w:outlineLvl w:val="8"/>
    </w:pPr>
    <w:rPr>
      <w:rFonts w:ascii="Arial" w:hAnsi="Arial" w:eastAsia="黑体" w:cs="Times New Roman"/>
      <w:szCs w:val="21"/>
    </w:rPr>
  </w:style>
  <w:style w:type="character" w:default="1" w:styleId="29">
    <w:name w:val="Default Paragraph Font"/>
    <w:unhideWhenUsed/>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3">
    <w:name w:val="Normal Indent"/>
    <w:basedOn w:val="1"/>
    <w:link w:val="36"/>
    <w:qFormat/>
    <w:uiPriority w:val="0"/>
    <w:pPr>
      <w:spacing w:beforeLines="0" w:afterLines="0" w:line="240" w:lineRule="auto"/>
      <w:ind w:firstLine="420" w:firstLineChars="200"/>
    </w:pPr>
    <w:rPr>
      <w:rFonts w:ascii="宋体" w:hAnsi="宋体" w:eastAsia="宋体" w:cs="Times New Roman"/>
      <w:szCs w:val="32"/>
    </w:rPr>
  </w:style>
  <w:style w:type="paragraph" w:styleId="9">
    <w:name w:val="toc 7"/>
    <w:basedOn w:val="1"/>
    <w:next w:val="1"/>
    <w:qFormat/>
    <w:uiPriority w:val="39"/>
    <w:pPr>
      <w:spacing w:beforeLines="0" w:afterLines="0" w:line="240" w:lineRule="auto"/>
      <w:ind w:left="1260" w:firstLine="0" w:firstLineChars="0"/>
      <w:jc w:val="left"/>
    </w:pPr>
    <w:rPr>
      <w:rFonts w:ascii="Times New Roman" w:hAnsi="Times New Roman" w:eastAsia="宋体" w:cs="Times New Roman"/>
      <w:sz w:val="20"/>
      <w:szCs w:val="20"/>
    </w:rPr>
  </w:style>
  <w:style w:type="paragraph" w:styleId="10">
    <w:name w:val="caption"/>
    <w:basedOn w:val="1"/>
    <w:next w:val="1"/>
    <w:qFormat/>
    <w:uiPriority w:val="0"/>
    <w:pPr>
      <w:spacing w:line="240" w:lineRule="auto"/>
      <w:ind w:firstLine="200" w:firstLineChars="200"/>
    </w:pPr>
    <w:rPr>
      <w:rFonts w:ascii="Arial" w:hAnsi="Arial" w:eastAsia="黑体" w:cs="Arial"/>
      <w:sz w:val="20"/>
      <w:szCs w:val="20"/>
    </w:rPr>
  </w:style>
  <w:style w:type="paragraph" w:styleId="11">
    <w:name w:val="Document Map"/>
    <w:basedOn w:val="1"/>
    <w:link w:val="42"/>
    <w:semiHidden/>
    <w:qFormat/>
    <w:uiPriority w:val="0"/>
    <w:pPr>
      <w:shd w:val="clear" w:color="auto" w:fill="000080"/>
      <w:spacing w:beforeLines="0" w:afterLines="0" w:line="240" w:lineRule="auto"/>
      <w:ind w:firstLine="0" w:firstLineChars="0"/>
    </w:pPr>
    <w:rPr>
      <w:rFonts w:ascii="宋体" w:hAnsi="宋体" w:eastAsia="宋体" w:cs="Times New Roman"/>
      <w:szCs w:val="32"/>
    </w:rPr>
  </w:style>
  <w:style w:type="paragraph" w:styleId="12">
    <w:name w:val="Body Text Indent"/>
    <w:basedOn w:val="1"/>
    <w:link w:val="49"/>
    <w:qFormat/>
    <w:uiPriority w:val="0"/>
    <w:pPr>
      <w:spacing w:beforeLines="0" w:afterLines="0" w:line="240" w:lineRule="auto"/>
      <w:ind w:left="420" w:leftChars="200" w:firstLine="0" w:firstLineChars="0"/>
    </w:pPr>
    <w:rPr>
      <w:rFonts w:ascii="Times New Roman" w:hAnsi="Times New Roman" w:eastAsia="仿宋_GB2312" w:cs="Times New Roman"/>
      <w:sz w:val="32"/>
      <w:szCs w:val="18"/>
    </w:rPr>
  </w:style>
  <w:style w:type="paragraph" w:styleId="13">
    <w:name w:val="toc 5"/>
    <w:basedOn w:val="1"/>
    <w:next w:val="1"/>
    <w:qFormat/>
    <w:uiPriority w:val="39"/>
    <w:pPr>
      <w:spacing w:beforeLines="0" w:afterLines="0" w:line="240" w:lineRule="auto"/>
      <w:ind w:left="840" w:firstLine="0" w:firstLineChars="0"/>
      <w:jc w:val="left"/>
    </w:pPr>
    <w:rPr>
      <w:rFonts w:ascii="Times New Roman" w:hAnsi="Times New Roman" w:eastAsia="宋体" w:cs="Times New Roman"/>
      <w:sz w:val="20"/>
      <w:szCs w:val="20"/>
    </w:rPr>
  </w:style>
  <w:style w:type="paragraph" w:styleId="14">
    <w:name w:val="toc 3"/>
    <w:basedOn w:val="1"/>
    <w:next w:val="1"/>
    <w:qFormat/>
    <w:uiPriority w:val="39"/>
    <w:pPr>
      <w:spacing w:beforeLines="0" w:afterLines="0" w:line="240" w:lineRule="auto"/>
      <w:ind w:left="420" w:firstLine="0" w:firstLineChars="0"/>
      <w:jc w:val="left"/>
    </w:pPr>
    <w:rPr>
      <w:rFonts w:ascii="Times New Roman" w:hAnsi="Times New Roman" w:eastAsia="宋体" w:cs="Times New Roman"/>
      <w:sz w:val="20"/>
      <w:szCs w:val="20"/>
    </w:rPr>
  </w:style>
  <w:style w:type="paragraph" w:styleId="15">
    <w:name w:val="toc 8"/>
    <w:basedOn w:val="1"/>
    <w:next w:val="1"/>
    <w:qFormat/>
    <w:uiPriority w:val="39"/>
    <w:pPr>
      <w:spacing w:beforeLines="0" w:afterLines="0" w:line="240" w:lineRule="auto"/>
      <w:ind w:left="1470" w:firstLine="0" w:firstLineChars="0"/>
      <w:jc w:val="left"/>
    </w:pPr>
    <w:rPr>
      <w:rFonts w:ascii="Times New Roman" w:hAnsi="Times New Roman" w:eastAsia="宋体" w:cs="Times New Roman"/>
      <w:sz w:val="20"/>
      <w:szCs w:val="20"/>
    </w:rPr>
  </w:style>
  <w:style w:type="paragraph" w:styleId="16">
    <w:name w:val="Balloon Text"/>
    <w:basedOn w:val="1"/>
    <w:link w:val="50"/>
    <w:semiHidden/>
    <w:qFormat/>
    <w:uiPriority w:val="0"/>
    <w:pPr>
      <w:spacing w:beforeLines="0" w:afterLines="0" w:line="240" w:lineRule="auto"/>
      <w:ind w:firstLine="0" w:firstLineChars="0"/>
    </w:pPr>
    <w:rPr>
      <w:rFonts w:ascii="宋体" w:hAnsi="宋体" w:eastAsia="宋体" w:cs="Times New Roman"/>
      <w:sz w:val="18"/>
      <w:szCs w:val="18"/>
    </w:rPr>
  </w:style>
  <w:style w:type="paragraph" w:styleId="17">
    <w:name w:val="footer"/>
    <w:basedOn w:val="1"/>
    <w:link w:val="44"/>
    <w:qFormat/>
    <w:uiPriority w:val="0"/>
    <w:pPr>
      <w:tabs>
        <w:tab w:val="center" w:pos="4153"/>
        <w:tab w:val="right" w:pos="8306"/>
      </w:tabs>
      <w:snapToGrid w:val="0"/>
      <w:spacing w:beforeLines="0" w:afterLines="0" w:line="240" w:lineRule="auto"/>
      <w:ind w:firstLine="0" w:firstLineChars="0"/>
      <w:jc w:val="left"/>
    </w:pPr>
    <w:rPr>
      <w:rFonts w:ascii="宋体" w:hAnsi="宋体" w:eastAsia="宋体" w:cs="Times New Roman"/>
      <w:sz w:val="18"/>
      <w:szCs w:val="18"/>
    </w:rPr>
  </w:style>
  <w:style w:type="paragraph" w:styleId="18">
    <w:name w:val="header"/>
    <w:basedOn w:val="1"/>
    <w:link w:val="43"/>
    <w:qFormat/>
    <w:uiPriority w:val="99"/>
    <w:pPr>
      <w:pBdr>
        <w:bottom w:val="single" w:color="auto" w:sz="6" w:space="1"/>
      </w:pBdr>
      <w:tabs>
        <w:tab w:val="center" w:pos="4153"/>
        <w:tab w:val="right" w:pos="8306"/>
      </w:tabs>
      <w:snapToGrid w:val="0"/>
      <w:spacing w:beforeLines="0" w:afterLines="0" w:line="240" w:lineRule="auto"/>
      <w:ind w:firstLine="0" w:firstLineChars="0"/>
      <w:jc w:val="center"/>
    </w:pPr>
    <w:rPr>
      <w:rFonts w:ascii="宋体" w:hAnsi="宋体" w:eastAsia="宋体" w:cs="Times New Roman"/>
      <w:sz w:val="18"/>
      <w:szCs w:val="18"/>
    </w:rPr>
  </w:style>
  <w:style w:type="paragraph" w:styleId="19">
    <w:name w:val="toc 1"/>
    <w:basedOn w:val="1"/>
    <w:next w:val="1"/>
    <w:qFormat/>
    <w:uiPriority w:val="39"/>
    <w:pPr>
      <w:tabs>
        <w:tab w:val="right" w:leader="dot" w:pos="8494"/>
      </w:tabs>
      <w:spacing w:before="156" w:after="156" w:line="416" w:lineRule="exact"/>
      <w:ind w:firstLine="0" w:firstLineChars="0"/>
      <w:jc w:val="center"/>
    </w:pPr>
    <w:rPr>
      <w:rFonts w:ascii="黑体" w:hAnsi="黑体" w:eastAsia="黑体" w:cs="Times New Roman"/>
      <w:sz w:val="28"/>
      <w:szCs w:val="28"/>
    </w:rPr>
  </w:style>
  <w:style w:type="paragraph" w:styleId="20">
    <w:name w:val="toc 4"/>
    <w:basedOn w:val="1"/>
    <w:next w:val="1"/>
    <w:qFormat/>
    <w:uiPriority w:val="39"/>
    <w:pPr>
      <w:spacing w:beforeLines="0" w:afterLines="0" w:line="240" w:lineRule="auto"/>
      <w:ind w:left="630" w:firstLine="0" w:firstLineChars="0"/>
      <w:jc w:val="left"/>
    </w:pPr>
    <w:rPr>
      <w:rFonts w:ascii="Times New Roman" w:hAnsi="Times New Roman" w:eastAsia="宋体" w:cs="Times New Roman"/>
      <w:sz w:val="20"/>
      <w:szCs w:val="20"/>
    </w:rPr>
  </w:style>
  <w:style w:type="paragraph" w:styleId="21">
    <w:name w:val="footnote text"/>
    <w:basedOn w:val="1"/>
    <w:link w:val="51"/>
    <w:semiHidden/>
    <w:qFormat/>
    <w:uiPriority w:val="0"/>
    <w:pPr>
      <w:snapToGrid w:val="0"/>
      <w:spacing w:beforeLines="0" w:afterLines="0" w:line="240" w:lineRule="auto"/>
      <w:ind w:firstLine="0" w:firstLineChars="0"/>
      <w:jc w:val="left"/>
    </w:pPr>
    <w:rPr>
      <w:rFonts w:ascii="Times New Roman" w:hAnsi="Times New Roman" w:eastAsia="宋体" w:cs="Tahoma"/>
      <w:sz w:val="18"/>
      <w:szCs w:val="21"/>
    </w:rPr>
  </w:style>
  <w:style w:type="paragraph" w:styleId="22">
    <w:name w:val="toc 6"/>
    <w:basedOn w:val="1"/>
    <w:next w:val="1"/>
    <w:qFormat/>
    <w:uiPriority w:val="39"/>
    <w:pPr>
      <w:spacing w:beforeLines="0" w:afterLines="0" w:line="240" w:lineRule="auto"/>
      <w:ind w:left="1050" w:firstLine="0" w:firstLineChars="0"/>
      <w:jc w:val="left"/>
    </w:pPr>
    <w:rPr>
      <w:rFonts w:ascii="Times New Roman" w:hAnsi="Times New Roman" w:eastAsia="宋体" w:cs="Times New Roman"/>
      <w:sz w:val="20"/>
      <w:szCs w:val="20"/>
    </w:rPr>
  </w:style>
  <w:style w:type="paragraph" w:styleId="23">
    <w:name w:val="toc 2"/>
    <w:basedOn w:val="1"/>
    <w:next w:val="1"/>
    <w:qFormat/>
    <w:uiPriority w:val="39"/>
    <w:pPr>
      <w:tabs>
        <w:tab w:val="right" w:leader="dot" w:pos="8494"/>
      </w:tabs>
      <w:spacing w:beforeLines="0" w:afterLines="0" w:line="416" w:lineRule="exact"/>
      <w:ind w:firstLine="0" w:firstLineChars="0"/>
      <w:jc w:val="left"/>
    </w:pPr>
    <w:rPr>
      <w:rFonts w:ascii="Times New Roman" w:hAnsi="Times New Roman" w:eastAsia="宋体" w:cs="Times New Roman"/>
      <w:bCs/>
      <w:sz w:val="22"/>
    </w:rPr>
  </w:style>
  <w:style w:type="paragraph" w:styleId="24">
    <w:name w:val="toc 9"/>
    <w:basedOn w:val="1"/>
    <w:next w:val="1"/>
    <w:qFormat/>
    <w:uiPriority w:val="39"/>
    <w:pPr>
      <w:spacing w:beforeLines="0" w:afterLines="0" w:line="240" w:lineRule="auto"/>
      <w:ind w:left="1680" w:firstLine="0" w:firstLineChars="0"/>
      <w:jc w:val="left"/>
    </w:pPr>
    <w:rPr>
      <w:rFonts w:ascii="Times New Roman" w:hAnsi="Times New Roman" w:eastAsia="宋体" w:cs="Times New Roman"/>
      <w:sz w:val="20"/>
      <w:szCs w:val="20"/>
    </w:rPr>
  </w:style>
  <w:style w:type="paragraph" w:styleId="25">
    <w:name w:val="Normal (Web)"/>
    <w:basedOn w:val="1"/>
    <w:qFormat/>
    <w:uiPriority w:val="0"/>
    <w:pPr>
      <w:widowControl/>
      <w:spacing w:beforeLines="0" w:beforeAutospacing="1" w:afterLines="0" w:afterAutospacing="1" w:line="240" w:lineRule="auto"/>
      <w:ind w:firstLine="0" w:firstLineChars="0"/>
      <w:jc w:val="left"/>
    </w:pPr>
    <w:rPr>
      <w:rFonts w:ascii="宋体" w:hAnsi="宋体" w:eastAsia="宋体" w:cs="宋体"/>
      <w:kern w:val="0"/>
      <w:sz w:val="24"/>
      <w:szCs w:val="24"/>
    </w:rPr>
  </w:style>
  <w:style w:type="paragraph" w:styleId="26">
    <w:name w:val="Title"/>
    <w:basedOn w:val="1"/>
    <w:next w:val="3"/>
    <w:link w:val="52"/>
    <w:qFormat/>
    <w:uiPriority w:val="0"/>
    <w:pPr>
      <w:spacing w:beforeLines="0" w:afterLines="0" w:line="240" w:lineRule="auto"/>
      <w:ind w:firstLine="0" w:firstLineChars="0"/>
      <w:jc w:val="center"/>
      <w:outlineLvl w:val="0"/>
    </w:pPr>
    <w:rPr>
      <w:rFonts w:ascii="Arial" w:hAnsi="Arial" w:eastAsia="宋体" w:cs="Arial"/>
      <w:b/>
      <w:bCs/>
      <w:sz w:val="44"/>
      <w:szCs w:val="32"/>
    </w:rPr>
  </w:style>
  <w:style w:type="table" w:styleId="28">
    <w:name w:val="Table Grid"/>
    <w:basedOn w:val="27"/>
    <w:qFormat/>
    <w:uiPriority w:val="59"/>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Hyperlink"/>
    <w:basedOn w:val="29"/>
    <w:qFormat/>
    <w:uiPriority w:val="99"/>
    <w:rPr>
      <w:rFonts w:cs="Times New Roman"/>
      <w:color w:val="005C81"/>
      <w:u w:val="none"/>
    </w:rPr>
  </w:style>
  <w:style w:type="character" w:styleId="33">
    <w:name w:val="footnote reference"/>
    <w:basedOn w:val="29"/>
    <w:semiHidden/>
    <w:qFormat/>
    <w:uiPriority w:val="0"/>
    <w:rPr>
      <w:vertAlign w:val="superscript"/>
    </w:rPr>
  </w:style>
  <w:style w:type="character" w:customStyle="1" w:styleId="34">
    <w:name w:val="标题 1 Char"/>
    <w:basedOn w:val="29"/>
    <w:link w:val="2"/>
    <w:qFormat/>
    <w:uiPriority w:val="0"/>
    <w:rPr>
      <w:rFonts w:ascii="宋体" w:hAnsi="宋体" w:eastAsia="宋体" w:cs="Times New Roman"/>
      <w:b/>
      <w:bCs/>
      <w:kern w:val="0"/>
      <w:sz w:val="28"/>
      <w:szCs w:val="44"/>
    </w:rPr>
  </w:style>
  <w:style w:type="character" w:customStyle="1" w:styleId="35">
    <w:name w:val="标题 3 Char"/>
    <w:basedOn w:val="29"/>
    <w:link w:val="5"/>
    <w:qFormat/>
    <w:uiPriority w:val="9"/>
    <w:rPr>
      <w:rFonts w:ascii="Times New Roman" w:hAnsi="Times New Roman" w:eastAsia="宋体" w:cs="Times New Roman"/>
      <w:b/>
      <w:bCs/>
      <w:sz w:val="32"/>
      <w:szCs w:val="32"/>
    </w:rPr>
  </w:style>
  <w:style w:type="character" w:customStyle="1" w:styleId="36">
    <w:name w:val="正文缩进 Char"/>
    <w:basedOn w:val="29"/>
    <w:link w:val="3"/>
    <w:qFormat/>
    <w:locked/>
    <w:uiPriority w:val="0"/>
    <w:rPr>
      <w:rFonts w:ascii="宋体" w:hAnsi="宋体" w:eastAsia="宋体" w:cs="Times New Roman"/>
      <w:szCs w:val="32"/>
    </w:rPr>
  </w:style>
  <w:style w:type="character" w:customStyle="1" w:styleId="37">
    <w:name w:val="章名 Char"/>
    <w:basedOn w:val="29"/>
    <w:link w:val="38"/>
    <w:qFormat/>
    <w:locked/>
    <w:uiPriority w:val="0"/>
    <w:rPr>
      <w:rFonts w:ascii="宋体" w:hAnsi="宋体" w:eastAsia="黑体"/>
      <w:sz w:val="24"/>
    </w:rPr>
  </w:style>
  <w:style w:type="paragraph" w:customStyle="1" w:styleId="38">
    <w:name w:val="章名"/>
    <w:basedOn w:val="1"/>
    <w:link w:val="37"/>
    <w:qFormat/>
    <w:uiPriority w:val="0"/>
    <w:pPr>
      <w:spacing w:beforeLines="0" w:afterLines="0" w:line="240" w:lineRule="auto"/>
      <w:ind w:firstLine="0" w:firstLineChars="0"/>
      <w:jc w:val="center"/>
      <w:outlineLvl w:val="2"/>
    </w:pPr>
    <w:rPr>
      <w:rFonts w:ascii="宋体" w:hAnsi="宋体" w:eastAsia="黑体"/>
      <w:sz w:val="24"/>
    </w:rPr>
  </w:style>
  <w:style w:type="paragraph" w:customStyle="1" w:styleId="39">
    <w:name w:val="法规节名"/>
    <w:basedOn w:val="3"/>
    <w:qFormat/>
    <w:uiPriority w:val="0"/>
    <w:pPr>
      <w:ind w:firstLine="0" w:firstLineChars="0"/>
      <w:jc w:val="center"/>
    </w:pPr>
    <w:rPr>
      <w:rFonts w:ascii="华文楷体" w:hAnsi="华文楷体" w:eastAsia="华文楷体"/>
      <w:b/>
      <w:bCs/>
    </w:rPr>
  </w:style>
  <w:style w:type="paragraph" w:customStyle="1" w:styleId="40">
    <w:name w:val="法规章名"/>
    <w:basedOn w:val="1"/>
    <w:link w:val="41"/>
    <w:qFormat/>
    <w:uiPriority w:val="0"/>
    <w:pPr>
      <w:spacing w:beforeLines="0" w:afterLines="0" w:line="240" w:lineRule="auto"/>
      <w:ind w:firstLine="0" w:firstLineChars="0"/>
      <w:jc w:val="center"/>
      <w:outlineLvl w:val="2"/>
    </w:pPr>
    <w:rPr>
      <w:rFonts w:ascii="宋体" w:hAnsi="宋体" w:eastAsia="黑体" w:cs="宋体"/>
      <w:szCs w:val="20"/>
    </w:rPr>
  </w:style>
  <w:style w:type="character" w:customStyle="1" w:styleId="41">
    <w:name w:val="法规章名 Char"/>
    <w:basedOn w:val="29"/>
    <w:link w:val="40"/>
    <w:qFormat/>
    <w:locked/>
    <w:uiPriority w:val="0"/>
    <w:rPr>
      <w:rFonts w:ascii="宋体" w:hAnsi="宋体" w:eastAsia="黑体" w:cs="宋体"/>
      <w:szCs w:val="20"/>
    </w:rPr>
  </w:style>
  <w:style w:type="character" w:customStyle="1" w:styleId="42">
    <w:name w:val="文档结构图 Char"/>
    <w:basedOn w:val="29"/>
    <w:link w:val="11"/>
    <w:semiHidden/>
    <w:qFormat/>
    <w:uiPriority w:val="0"/>
    <w:rPr>
      <w:rFonts w:ascii="宋体" w:hAnsi="宋体" w:eastAsia="宋体" w:cs="Times New Roman"/>
      <w:szCs w:val="32"/>
      <w:shd w:val="clear" w:color="auto" w:fill="000080"/>
    </w:rPr>
  </w:style>
  <w:style w:type="character" w:customStyle="1" w:styleId="43">
    <w:name w:val="页眉 Char"/>
    <w:basedOn w:val="29"/>
    <w:link w:val="18"/>
    <w:qFormat/>
    <w:uiPriority w:val="99"/>
    <w:rPr>
      <w:rFonts w:ascii="宋体" w:hAnsi="宋体" w:eastAsia="宋体" w:cs="Times New Roman"/>
      <w:sz w:val="18"/>
      <w:szCs w:val="18"/>
    </w:rPr>
  </w:style>
  <w:style w:type="character" w:customStyle="1" w:styleId="44">
    <w:name w:val="页脚 Char"/>
    <w:basedOn w:val="29"/>
    <w:link w:val="17"/>
    <w:qFormat/>
    <w:uiPriority w:val="0"/>
    <w:rPr>
      <w:rFonts w:ascii="宋体" w:hAnsi="宋体" w:eastAsia="宋体" w:cs="Times New Roman"/>
      <w:sz w:val="18"/>
      <w:szCs w:val="18"/>
    </w:rPr>
  </w:style>
  <w:style w:type="character" w:customStyle="1" w:styleId="45">
    <w:name w:val="标题 2 Char"/>
    <w:basedOn w:val="29"/>
    <w:link w:val="4"/>
    <w:qFormat/>
    <w:uiPriority w:val="0"/>
    <w:rPr>
      <w:rFonts w:ascii="Arial" w:hAnsi="Arial" w:eastAsia="黑体" w:cs="Times New Roman"/>
      <w:b/>
      <w:bCs/>
      <w:sz w:val="32"/>
      <w:szCs w:val="32"/>
    </w:rPr>
  </w:style>
  <w:style w:type="character" w:customStyle="1" w:styleId="46">
    <w:name w:val="标题 4 Char"/>
    <w:basedOn w:val="29"/>
    <w:link w:val="6"/>
    <w:qFormat/>
    <w:uiPriority w:val="0"/>
    <w:rPr>
      <w:rFonts w:ascii="宋体" w:hAnsi="宋体" w:eastAsia="宋体" w:cs="Times New Roman"/>
      <w:bCs/>
      <w:szCs w:val="28"/>
    </w:rPr>
  </w:style>
  <w:style w:type="character" w:customStyle="1" w:styleId="47">
    <w:name w:val="标题 5 Char"/>
    <w:basedOn w:val="29"/>
    <w:link w:val="7"/>
    <w:qFormat/>
    <w:uiPriority w:val="0"/>
    <w:rPr>
      <w:rFonts w:ascii="宋体" w:hAnsi="宋体" w:eastAsia="宋体" w:cs="Times New Roman"/>
      <w:b/>
      <w:szCs w:val="28"/>
    </w:rPr>
  </w:style>
  <w:style w:type="character" w:customStyle="1" w:styleId="48">
    <w:name w:val="标题 9 Char"/>
    <w:basedOn w:val="29"/>
    <w:link w:val="8"/>
    <w:qFormat/>
    <w:uiPriority w:val="0"/>
    <w:rPr>
      <w:rFonts w:ascii="Arial" w:hAnsi="Arial" w:eastAsia="黑体" w:cs="Times New Roman"/>
      <w:szCs w:val="21"/>
    </w:rPr>
  </w:style>
  <w:style w:type="character" w:customStyle="1" w:styleId="49">
    <w:name w:val="正文文本缩进 Char"/>
    <w:basedOn w:val="29"/>
    <w:link w:val="12"/>
    <w:qFormat/>
    <w:uiPriority w:val="0"/>
    <w:rPr>
      <w:rFonts w:ascii="Times New Roman" w:hAnsi="Times New Roman" w:eastAsia="仿宋_GB2312" w:cs="Times New Roman"/>
      <w:sz w:val="32"/>
      <w:szCs w:val="18"/>
    </w:rPr>
  </w:style>
  <w:style w:type="character" w:customStyle="1" w:styleId="50">
    <w:name w:val="批注框文本 Char"/>
    <w:basedOn w:val="29"/>
    <w:link w:val="16"/>
    <w:qFormat/>
    <w:uiPriority w:val="0"/>
    <w:rPr>
      <w:rFonts w:ascii="宋体" w:hAnsi="宋体" w:eastAsia="宋体" w:cs="Times New Roman"/>
      <w:sz w:val="18"/>
      <w:szCs w:val="18"/>
    </w:rPr>
  </w:style>
  <w:style w:type="character" w:customStyle="1" w:styleId="51">
    <w:name w:val="脚注文本 Char"/>
    <w:basedOn w:val="29"/>
    <w:link w:val="21"/>
    <w:qFormat/>
    <w:uiPriority w:val="0"/>
    <w:rPr>
      <w:rFonts w:ascii="Times New Roman" w:hAnsi="Times New Roman" w:eastAsia="宋体" w:cs="Tahoma"/>
      <w:sz w:val="18"/>
      <w:szCs w:val="21"/>
    </w:rPr>
  </w:style>
  <w:style w:type="character" w:customStyle="1" w:styleId="52">
    <w:name w:val="标题 Char"/>
    <w:basedOn w:val="29"/>
    <w:link w:val="26"/>
    <w:qFormat/>
    <w:uiPriority w:val="0"/>
    <w:rPr>
      <w:rFonts w:ascii="Arial" w:hAnsi="Arial" w:eastAsia="宋体" w:cs="Arial"/>
      <w:b/>
      <w:bCs/>
      <w:sz w:val="44"/>
      <w:szCs w:val="32"/>
    </w:rPr>
  </w:style>
  <w:style w:type="paragraph" w:customStyle="1" w:styleId="53">
    <w:name w:val="表格文字"/>
    <w:basedOn w:val="1"/>
    <w:qFormat/>
    <w:uiPriority w:val="0"/>
    <w:pPr>
      <w:spacing w:beforeLines="0" w:afterLines="0" w:line="280" w:lineRule="exact"/>
      <w:ind w:firstLine="0" w:firstLineChars="0"/>
      <w:jc w:val="center"/>
    </w:pPr>
    <w:rPr>
      <w:rFonts w:ascii="宋体" w:hAnsi="宋体" w:eastAsia="宋体" w:cs="宋体"/>
      <w:sz w:val="18"/>
      <w:szCs w:val="20"/>
    </w:rPr>
  </w:style>
  <w:style w:type="paragraph" w:customStyle="1" w:styleId="54">
    <w:name w:val="TOC 标题1"/>
    <w:basedOn w:val="2"/>
    <w:next w:val="1"/>
    <w:qFormat/>
    <w:uiPriority w:val="0"/>
    <w:pPr>
      <w:widowControl/>
      <w:spacing w:before="480" w:line="276" w:lineRule="auto"/>
      <w:jc w:val="left"/>
      <w:outlineLvl w:val="9"/>
    </w:pPr>
    <w:rPr>
      <w:rFonts w:ascii="Cambria" w:hAnsi="Cambria"/>
      <w:color w:val="365F91"/>
      <w:szCs w:val="28"/>
    </w:rPr>
  </w:style>
  <w:style w:type="character" w:customStyle="1" w:styleId="55">
    <w:name w:val="正文缩进 Char1"/>
    <w:basedOn w:val="29"/>
    <w:qFormat/>
    <w:uiPriority w:val="0"/>
    <w:rPr>
      <w:rFonts w:eastAsia="宋体" w:cs="Tahoma"/>
      <w:kern w:val="2"/>
      <w:sz w:val="18"/>
      <w:szCs w:val="18"/>
      <w:lang w:val="en-US" w:eastAsia="zh-CN" w:bidi="ar-SA"/>
    </w:rPr>
  </w:style>
  <w:style w:type="character" w:customStyle="1" w:styleId="56">
    <w:name w:val="正文文本缩进 Char1"/>
    <w:basedOn w:val="29"/>
    <w:qFormat/>
    <w:uiPriority w:val="0"/>
    <w:rPr>
      <w:rFonts w:ascii="宋体" w:hAnsi="宋体" w:eastAsia="宋体" w:cs="Times New Roman"/>
      <w:kern w:val="2"/>
      <w:sz w:val="32"/>
      <w:szCs w:val="32"/>
    </w:rPr>
  </w:style>
  <w:style w:type="character" w:customStyle="1" w:styleId="57">
    <w:name w:val="Char Char5"/>
    <w:qFormat/>
    <w:locked/>
    <w:uiPriority w:val="0"/>
    <w:rPr>
      <w:rFonts w:ascii="宋体" w:hAnsi="宋体" w:eastAsia="宋体"/>
      <w:kern w:val="2"/>
      <w:sz w:val="21"/>
      <w:szCs w:val="32"/>
      <w:lang w:val="en-US" w:eastAsia="zh-CN" w:bidi="ar-SA"/>
    </w:rPr>
  </w:style>
  <w:style w:type="character" w:customStyle="1" w:styleId="58">
    <w:name w:val="Char Char"/>
    <w:qFormat/>
    <w:locked/>
    <w:uiPriority w:val="0"/>
    <w:rPr>
      <w:rFonts w:ascii="宋体" w:hAnsi="宋体"/>
      <w:kern w:val="2"/>
      <w:sz w:val="21"/>
      <w:szCs w:val="32"/>
    </w:rPr>
  </w:style>
  <w:style w:type="character" w:customStyle="1" w:styleId="59">
    <w:name w:val="apple-converted-space"/>
    <w:basedOn w:val="29"/>
    <w:qFormat/>
    <w:uiPriority w:val="0"/>
  </w:style>
  <w:style w:type="paragraph" w:customStyle="1" w:styleId="60">
    <w:name w:val="样式1"/>
    <w:basedOn w:val="3"/>
    <w:qFormat/>
    <w:uiPriority w:val="0"/>
    <w:pPr>
      <w:topLinePunct/>
      <w:ind w:firstLine="0" w:firstLineChars="0"/>
      <w:jc w:val="center"/>
    </w:pPr>
    <w:rPr>
      <w:rFonts w:ascii="方正小标宋简体" w:eastAsia="方正小标宋简体" w:hAnsiTheme="minorEastAsia"/>
      <w:sz w:val="64"/>
      <w:szCs w:val="64"/>
    </w:rPr>
  </w:style>
  <w:style w:type="paragraph" w:customStyle="1" w:styleId="61">
    <w:name w:val="样式2"/>
    <w:basedOn w:val="2"/>
    <w:qFormat/>
    <w:uiPriority w:val="0"/>
    <w:pPr>
      <w:keepNext w:val="0"/>
      <w:keepLines w:val="0"/>
      <w:topLinePunct/>
    </w:pPr>
    <w:rPr>
      <w:rFonts w:ascii="方正小标宋简体" w:eastAsia="方正小标宋简体"/>
      <w:b w:val="0"/>
      <w:sz w:val="40"/>
      <w:szCs w:val="40"/>
    </w:rPr>
  </w:style>
  <w:style w:type="paragraph" w:customStyle="1" w:styleId="62">
    <w:name w:val="样式3"/>
    <w:basedOn w:val="3"/>
    <w:qFormat/>
    <w:uiPriority w:val="0"/>
    <w:pPr>
      <w:topLinePunct/>
      <w:spacing w:line="416" w:lineRule="exact"/>
      <w:ind w:left="420" w:leftChars="200" w:right="420" w:rightChars="200" w:firstLine="480"/>
    </w:pPr>
    <w:rPr>
      <w:rFonts w:ascii="楷体_GB2312" w:eastAsia="楷体_GB2312"/>
      <w:kern w:val="0"/>
      <w:sz w:val="24"/>
      <w:szCs w:val="24"/>
    </w:rPr>
  </w:style>
  <w:style w:type="paragraph" w:customStyle="1" w:styleId="63">
    <w:name w:val="样式4"/>
    <w:basedOn w:val="38"/>
    <w:qFormat/>
    <w:uiPriority w:val="0"/>
    <w:pPr>
      <w:topLinePunct/>
      <w:spacing w:beforeLines="70" w:afterLines="70" w:line="416" w:lineRule="exact"/>
      <w:outlineLvl w:val="9"/>
    </w:pPr>
    <w:rPr>
      <w:rFonts w:ascii="黑体" w:hAnsi="黑体" w:cs="Times New Roman"/>
      <w:bCs/>
      <w:sz w:val="28"/>
      <w:szCs w:val="28"/>
    </w:rPr>
  </w:style>
  <w:style w:type="paragraph" w:customStyle="1" w:styleId="64">
    <w:name w:val="样式5"/>
    <w:basedOn w:val="39"/>
    <w:qFormat/>
    <w:uiPriority w:val="0"/>
    <w:pPr>
      <w:topLinePunct/>
      <w:spacing w:beforeLines="50" w:afterLines="50" w:line="416" w:lineRule="exact"/>
    </w:pPr>
    <w:rPr>
      <w:rFonts w:ascii="仿宋_GB2312" w:eastAsia="仿宋_GB2312" w:hAnsiTheme="minorEastAsia"/>
      <w:b w:val="0"/>
      <w:sz w:val="26"/>
      <w:szCs w:val="24"/>
    </w:rPr>
  </w:style>
  <w:style w:type="paragraph" w:customStyle="1" w:styleId="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3" Type="http://schemas.openxmlformats.org/officeDocument/2006/relationships/fontTable" Target="fontTable.xml"/><Relationship Id="rId72" Type="http://schemas.microsoft.com/office/2006/relationships/keyMapCustomizations" Target="customizations.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header" Target="header3.xml"/><Relationship Id="rId69" Type="http://schemas.openxmlformats.org/officeDocument/2006/relationships/customXml" Target="../customXml/item1.xml"/><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image" Target="media/image1.jpeg"/><Relationship Id="rId64" Type="http://schemas.openxmlformats.org/officeDocument/2006/relationships/theme" Target="theme/theme1.xml"/><Relationship Id="rId63" Type="http://schemas.openxmlformats.org/officeDocument/2006/relationships/footer" Target="footer24.xml"/><Relationship Id="rId62" Type="http://schemas.openxmlformats.org/officeDocument/2006/relationships/footer" Target="footer23.xml"/><Relationship Id="rId61" Type="http://schemas.openxmlformats.org/officeDocument/2006/relationships/header" Target="header35.xml"/><Relationship Id="rId60" Type="http://schemas.openxmlformats.org/officeDocument/2006/relationships/header" Target="header34.xml"/><Relationship Id="rId6" Type="http://schemas.openxmlformats.org/officeDocument/2006/relationships/header" Target="header2.xml"/><Relationship Id="rId59" Type="http://schemas.openxmlformats.org/officeDocument/2006/relationships/footer" Target="footer22.xml"/><Relationship Id="rId58" Type="http://schemas.openxmlformats.org/officeDocument/2006/relationships/footer" Target="footer21.xml"/><Relationship Id="rId57" Type="http://schemas.openxmlformats.org/officeDocument/2006/relationships/header" Target="header33.xml"/><Relationship Id="rId56" Type="http://schemas.openxmlformats.org/officeDocument/2006/relationships/header" Target="header32.xml"/><Relationship Id="rId55" Type="http://schemas.openxmlformats.org/officeDocument/2006/relationships/footer" Target="footer20.xml"/><Relationship Id="rId54" Type="http://schemas.openxmlformats.org/officeDocument/2006/relationships/footer" Target="footer19.xml"/><Relationship Id="rId53" Type="http://schemas.openxmlformats.org/officeDocument/2006/relationships/header" Target="header31.xml"/><Relationship Id="rId52" Type="http://schemas.openxmlformats.org/officeDocument/2006/relationships/header" Target="header30.xml"/><Relationship Id="rId51" Type="http://schemas.openxmlformats.org/officeDocument/2006/relationships/footer" Target="footer18.xml"/><Relationship Id="rId50" Type="http://schemas.openxmlformats.org/officeDocument/2006/relationships/header" Target="header29.xml"/><Relationship Id="rId5" Type="http://schemas.openxmlformats.org/officeDocument/2006/relationships/header" Target="header1.xml"/><Relationship Id="rId49" Type="http://schemas.openxmlformats.org/officeDocument/2006/relationships/header" Target="header28.xml"/><Relationship Id="rId48" Type="http://schemas.openxmlformats.org/officeDocument/2006/relationships/header" Target="header27.xml"/><Relationship Id="rId47" Type="http://schemas.openxmlformats.org/officeDocument/2006/relationships/header" Target="header26.xml"/><Relationship Id="rId46" Type="http://schemas.openxmlformats.org/officeDocument/2006/relationships/footer" Target="footer17.xml"/><Relationship Id="rId45" Type="http://schemas.openxmlformats.org/officeDocument/2006/relationships/footer" Target="footer16.xml"/><Relationship Id="rId44" Type="http://schemas.openxmlformats.org/officeDocument/2006/relationships/header" Target="header25.xml"/><Relationship Id="rId43" Type="http://schemas.openxmlformats.org/officeDocument/2006/relationships/header" Target="header24.xml"/><Relationship Id="rId42" Type="http://schemas.openxmlformats.org/officeDocument/2006/relationships/footer" Target="footer15.xml"/><Relationship Id="rId41" Type="http://schemas.openxmlformats.org/officeDocument/2006/relationships/footer" Target="footer14.xml"/><Relationship Id="rId40" Type="http://schemas.openxmlformats.org/officeDocument/2006/relationships/header" Target="header23.xml"/><Relationship Id="rId4" Type="http://schemas.openxmlformats.org/officeDocument/2006/relationships/endnotes" Target="endnotes.xml"/><Relationship Id="rId39" Type="http://schemas.openxmlformats.org/officeDocument/2006/relationships/header" Target="header22.xml"/><Relationship Id="rId38" Type="http://schemas.openxmlformats.org/officeDocument/2006/relationships/footer" Target="footer13.xml"/><Relationship Id="rId37" Type="http://schemas.openxmlformats.org/officeDocument/2006/relationships/footer" Target="footer12.xml"/><Relationship Id="rId36" Type="http://schemas.openxmlformats.org/officeDocument/2006/relationships/header" Target="header21.xml"/><Relationship Id="rId35" Type="http://schemas.openxmlformats.org/officeDocument/2006/relationships/header" Target="header20.xml"/><Relationship Id="rId34" Type="http://schemas.openxmlformats.org/officeDocument/2006/relationships/footer" Target="footer11.xml"/><Relationship Id="rId33" Type="http://schemas.openxmlformats.org/officeDocument/2006/relationships/footer" Target="footer10.xml"/><Relationship Id="rId32" Type="http://schemas.openxmlformats.org/officeDocument/2006/relationships/header" Target="header19.xml"/><Relationship Id="rId31" Type="http://schemas.openxmlformats.org/officeDocument/2006/relationships/header" Target="header18.xml"/><Relationship Id="rId30" Type="http://schemas.openxmlformats.org/officeDocument/2006/relationships/footer" Target="footer9.xml"/><Relationship Id="rId3" Type="http://schemas.openxmlformats.org/officeDocument/2006/relationships/footnotes" Target="footnotes.xml"/><Relationship Id="rId29" Type="http://schemas.openxmlformats.org/officeDocument/2006/relationships/footer" Target="footer8.xml"/><Relationship Id="rId28" Type="http://schemas.openxmlformats.org/officeDocument/2006/relationships/header" Target="header17.xml"/><Relationship Id="rId27" Type="http://schemas.openxmlformats.org/officeDocument/2006/relationships/header" Target="header16.xml"/><Relationship Id="rId26" Type="http://schemas.openxmlformats.org/officeDocument/2006/relationships/footer" Target="footer7.xml"/><Relationship Id="rId25" Type="http://schemas.openxmlformats.org/officeDocument/2006/relationships/footer" Target="footer6.xml"/><Relationship Id="rId24" Type="http://schemas.openxmlformats.org/officeDocument/2006/relationships/header" Target="header15.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83"/>
    <customShpInfo spid="_x0000_s1084"/>
    <customShpInfo spid="_x0000_s1030"/>
    <customShpInfo spid="_x0000_s1031"/>
    <customShpInfo spid="_x0000_s1032"/>
    <customShpInfo spid="_x0000_s1033"/>
    <customShpInfo spid="_x0000_s1034"/>
    <customShpInfo spid="_x0000_s1035"/>
    <customShpInfo spid="_x0000_s1036"/>
    <customShpInfo spid="_x0000_s1037"/>
    <customShpInfo spid="_x0000_s1057"/>
    <customShpInfo spid="_x0000_s1039"/>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70"/>
    <customShpInfo spid="_x0000_s1071"/>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90932-2CC2-4F2A-923B-696269951348}">
  <ds:schemaRefs/>
</ds:datastoreItem>
</file>

<file path=docProps/app.xml><?xml version="1.0" encoding="utf-8"?>
<Properties xmlns="http://schemas.openxmlformats.org/officeDocument/2006/extended-properties" xmlns:vt="http://schemas.openxmlformats.org/officeDocument/2006/docPropsVTypes">
  <Template>Normal.dotm</Template>
  <Pages>1286</Pages>
  <Words>979226</Words>
  <Characters>986196</Characters>
  <Lines>7367</Lines>
  <Paragraphs>2074</Paragraphs>
  <TotalTime>0</TotalTime>
  <ScaleCrop>false</ScaleCrop>
  <LinksUpToDate>false</LinksUpToDate>
  <CharactersWithSpaces>1004762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2019-11-24T19:24:00Z</dcterms:created>
  <dc:creator>g</dc:creator>
  <cp:lastModifiedBy>米露露</cp:lastModifiedBy>
  <cp:lastPrinted>2019-12-27T08:50:00Z</cp:lastPrinted>
  <dcterms:modified xsi:type="dcterms:W3CDTF">2023-04-04T04:51:55Z</dcterms:modified>
  <cp:revision>151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C8965186885847669896DC08CD5F8D63</vt:lpwstr>
  </property>
</Properties>
</file>