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rPr>
          <w:rFonts w:hint="eastAsia" w:ascii="仿宋_GB2312" w:eastAsia="仿宋_GB2312"/>
        </w:rPr>
      </w:pPr>
      <w:r>
        <w:rPr>
          <w:rStyle w:val="5"/>
          <w:rFonts w:hint="eastAsia" w:ascii="黑体" w:hAnsi="黑体"/>
        </w:rPr>
        <w:t>北京市禁止露天烧烤食品的规定（2018）</w:t>
      </w:r>
      <w:r>
        <w:rPr>
          <w:rStyle w:val="5"/>
          <w:rFonts w:hint="eastAsia"/>
        </w:rPr>
        <w:t>  </w:t>
      </w:r>
      <w:r>
        <w:rPr>
          <w:rStyle w:val="5"/>
          <w:rFonts w:hint="eastAsia" w:ascii="黑体" w:hAnsi="黑体"/>
        </w:rPr>
        <w:t xml:space="preserve"> </w:t>
      </w:r>
      <w:r>
        <w:rPr>
          <w:rStyle w:val="5"/>
          <w:rFonts w:hint="eastAsia" w:ascii="黑体" w:hAnsi="黑体"/>
        </w:rPr>
        <w:br w:type="textWrapping"/>
      </w:r>
      <w:r>
        <w:rPr>
          <w:rFonts w:hint="eastAsia" w:ascii="仿宋_GB2312" w:eastAsia="仿宋_GB2312"/>
          <w:szCs w:val="21"/>
        </w:rPr>
        <w:t>　　</w:t>
      </w:r>
      <w:r>
        <w:rPr>
          <w:rFonts w:hint="eastAsia" w:ascii="仿宋_GB2312" w:eastAsia="仿宋_GB2312"/>
        </w:rPr>
        <w:t>（2000年9月25日北京市人民政府第62号令发布  根据2007年11月23日北京市人民政府第200号令第一次修改  根据2018年2月12日北京市人民政府第277号令第二次修改）</w:t>
      </w:r>
    </w:p>
    <w:p>
      <w:pPr>
        <w:rPr>
          <w:rFonts w:hint="eastAsia" w:ascii="仿宋_GB2312" w:eastAsia="仿宋_GB2312"/>
        </w:rPr>
      </w:pPr>
    </w:p>
    <w:p>
      <w:pPr>
        <w:ind w:firstLine="640"/>
        <w:rPr>
          <w:rFonts w:hint="eastAsia" w:ascii="仿宋_GB2312" w:eastAsia="仿宋_GB2312"/>
        </w:rPr>
      </w:pPr>
      <w:r>
        <w:rPr>
          <w:rFonts w:hint="eastAsia" w:ascii="仿宋_GB2312" w:hAnsi="黑体" w:eastAsia="仿宋_GB2312"/>
        </w:rPr>
        <w:t>第一条</w:t>
      </w:r>
      <w:r>
        <w:rPr>
          <w:rFonts w:hint="eastAsia" w:ascii="仿宋_GB2312" w:eastAsia="仿宋_GB2312"/>
        </w:rPr>
        <w:t xml:space="preserve">  为改善首都大气环境质量，维护城市市容环境卫生，禁止在本市城区和近郊区城镇地区的街道、胡同、广场、居住小区、公共绿地等公共场所露天烧烤食品。</w:t>
      </w:r>
    </w:p>
    <w:p>
      <w:pPr>
        <w:ind w:firstLine="640"/>
        <w:rPr>
          <w:rFonts w:hint="eastAsia" w:ascii="仿宋_GB2312" w:eastAsia="仿宋_GB2312"/>
        </w:rPr>
      </w:pPr>
      <w:r>
        <w:rPr>
          <w:rFonts w:hint="eastAsia" w:ascii="仿宋_GB2312" w:eastAsia="仿宋_GB2312"/>
        </w:rPr>
        <w:t>远郊区城镇地区禁止露天烧烤的具体范围，由远郊区人民政府划定。</w:t>
      </w:r>
    </w:p>
    <w:p>
      <w:pPr>
        <w:ind w:firstLine="640"/>
        <w:rPr>
          <w:rFonts w:hint="eastAsia" w:ascii="仿宋_GB2312" w:eastAsia="仿宋_GB2312"/>
        </w:rPr>
      </w:pPr>
      <w:r>
        <w:rPr>
          <w:rFonts w:hint="eastAsia" w:ascii="仿宋_GB2312" w:hAnsi="黑体" w:eastAsia="仿宋_GB2312"/>
        </w:rPr>
        <w:t>第二条</w:t>
      </w:r>
      <w:r>
        <w:rPr>
          <w:rFonts w:hint="eastAsia" w:ascii="仿宋_GB2312" w:eastAsia="仿宋_GB2312"/>
        </w:rPr>
        <w:t xml:space="preserve">  在政府划定的禁止范围内露天烧烤食品或者为露天烧烤食品提供场地的，由城市管理综合执法部门责令停止违法行为，没收烧烤工具，处2000元以上2万元以下罚款。</w:t>
      </w:r>
    </w:p>
    <w:p>
      <w:pPr>
        <w:ind w:firstLine="640"/>
        <w:rPr>
          <w:rFonts w:hint="eastAsia" w:ascii="仿宋_GB2312" w:eastAsia="仿宋_GB2312"/>
        </w:rPr>
      </w:pPr>
      <w:r>
        <w:rPr>
          <w:rFonts w:hint="eastAsia" w:ascii="仿宋_GB2312" w:eastAsia="仿宋_GB2312"/>
        </w:rPr>
        <w:t>构成违反治安管理行为的，由公安机关依照《中华人民共和国治安管理处罚法》的有关规定予以处罚。</w:t>
      </w:r>
    </w:p>
    <w:p>
      <w:pPr>
        <w:ind w:firstLine="640"/>
        <w:rPr>
          <w:rFonts w:hint="eastAsia" w:ascii="仿宋_GB2312" w:eastAsia="仿宋_GB2312"/>
        </w:rPr>
      </w:pPr>
      <w:r>
        <w:rPr>
          <w:rFonts w:hint="eastAsia" w:ascii="仿宋_GB2312" w:hAnsi="黑体" w:eastAsia="仿宋_GB2312"/>
        </w:rPr>
        <w:t>第三条</w:t>
      </w:r>
      <w:r>
        <w:rPr>
          <w:rFonts w:hint="eastAsia" w:ascii="仿宋_GB2312" w:eastAsia="仿宋_GB2312"/>
        </w:rPr>
        <w:t xml:space="preserve">  “门前三包”责任单位对在责任区内进行露天烧烤食品的，应当劝阻制止并向城市管理综合执法部门报告。对“门前三包”责任单位不劝阻制止也不向城市管理综合执法部门报告的，依照《北京市“门前三包”责任制管理办法》的规定予以处罚。</w:t>
      </w:r>
    </w:p>
    <w:p>
      <w:pPr>
        <w:ind w:firstLine="640"/>
        <w:rPr>
          <w:rFonts w:hint="eastAsia" w:ascii="仿宋_GB2312" w:eastAsia="仿宋_GB2312"/>
        </w:rPr>
      </w:pPr>
      <w:r>
        <w:rPr>
          <w:rFonts w:hint="eastAsia" w:ascii="仿宋_GB2312" w:hAnsi="黑体" w:eastAsia="仿宋_GB2312"/>
        </w:rPr>
        <w:t>第四条</w:t>
      </w:r>
      <w:r>
        <w:rPr>
          <w:rFonts w:hint="eastAsia" w:ascii="仿宋_GB2312" w:eastAsia="仿宋_GB2312"/>
        </w:rPr>
        <w:t xml:space="preserve">  生活消费品、生产资料市场的开办单位应当加强监督检查，制止在市场内露天烧烤食品。对开办单位不制止市场内露天烧烤食品的，由工商行政管理部门</w:t>
      </w:r>
      <w:r>
        <w:rPr>
          <w:rFonts w:hint="eastAsia" w:ascii="仿宋_GB2312" w:hAnsi="宋体" w:eastAsia="仿宋_GB2312" w:cs="宋体"/>
        </w:rPr>
        <w:t>处5000</w:t>
      </w:r>
      <w:r>
        <w:rPr>
          <w:rFonts w:hint="eastAsia" w:ascii="仿宋_GB2312" w:eastAsia="仿宋_GB2312"/>
        </w:rPr>
        <w:t>元以下罚款。</w:t>
      </w:r>
    </w:p>
    <w:p>
      <w:pPr>
        <w:ind w:firstLine="640"/>
        <w:rPr>
          <w:rFonts w:hint="eastAsia" w:ascii="仿宋_GB2312" w:eastAsia="仿宋_GB2312"/>
        </w:rPr>
      </w:pPr>
      <w:r>
        <w:rPr>
          <w:rFonts w:hint="eastAsia" w:ascii="仿宋_GB2312" w:hAnsi="黑体" w:eastAsia="仿宋_GB2312"/>
        </w:rPr>
        <w:t>第五条</w:t>
      </w:r>
      <w:r>
        <w:rPr>
          <w:rFonts w:hint="eastAsia" w:ascii="仿宋_GB2312" w:eastAsia="仿宋_GB2312"/>
        </w:rPr>
        <w:t xml:space="preserve">  本规定中的行政处罚除第四条外，均由城市管理综合执法部门负责实施。</w:t>
      </w:r>
    </w:p>
    <w:p>
      <w:pPr>
        <w:ind w:firstLine="420" w:firstLineChars="200"/>
        <w:rPr>
          <w:rFonts w:hint="eastAsia" w:ascii="仿宋_GB2312" w:eastAsia="仿宋_GB2312"/>
        </w:rPr>
      </w:pPr>
      <w:r>
        <w:rPr>
          <w:rFonts w:hint="eastAsia" w:ascii="仿宋_GB2312" w:hAnsi="黑体" w:eastAsia="仿宋_GB2312"/>
        </w:rPr>
        <w:t>第六条</w:t>
      </w:r>
      <w:r>
        <w:rPr>
          <w:rFonts w:hint="eastAsia" w:ascii="仿宋_GB2312" w:eastAsia="仿宋_GB2312"/>
        </w:rPr>
        <w:t xml:space="preserve">  本规定</w:t>
      </w:r>
      <w:r>
        <w:rPr>
          <w:rFonts w:hint="eastAsia" w:ascii="仿宋_GB2312" w:hAnsi="宋体" w:eastAsia="仿宋_GB2312" w:cs="宋体"/>
        </w:rPr>
        <w:t>自2000年10月1日起</w:t>
      </w:r>
      <w:r>
        <w:rPr>
          <w:rFonts w:hint="eastAsia" w:ascii="仿宋_GB2312" w:eastAsia="仿宋_GB2312"/>
        </w:rPr>
        <w:t>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485028"/>
    <w:rsid w:val="5F485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5"/>
    <w:qFormat/>
    <w:uiPriority w:val="0"/>
    <w:pPr>
      <w:keepNext/>
      <w:keepLines/>
      <w:spacing w:before="260" w:after="260"/>
      <w:outlineLvl w:val="1"/>
    </w:pPr>
    <w:rPr>
      <w:rFonts w:ascii="Arial" w:hAnsi="Arial" w:eastAsia="黑体"/>
      <w:b/>
      <w:bCs/>
      <w:sz w:val="28"/>
      <w:szCs w:val="32"/>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customStyle="1" w:styleId="5">
    <w:name w:val="标题 2 Char"/>
    <w:link w:val="2"/>
    <w:uiPriority w:val="0"/>
    <w:rPr>
      <w:rFonts w:ascii="Arial" w:hAnsi="Arial" w:eastAsia="黑体"/>
      <w:b/>
      <w:bCs/>
      <w:sz w:val="28"/>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2021-06-25T02:19:00Z</dcterms:created>
  <dc:creator>林校路分队</dc:creator>
  <cp:lastModifiedBy>林校路分队</cp:lastModifiedBy>
  <dcterms:modified xsi:type="dcterms:W3CDTF">2021-06-25T02:19:46Z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