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begin"/>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instrText xml:space="preserve"> HYPERLINK "https://www.bjdx.gov.cn/bjsdxqrmzf/zwfw/index.html" \t "/home/user/Documents\\x/_parent" </w:instrTex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separate"/>
      </w:r>
      <w:r>
        <w:rPr>
          <w:rStyle w:val="5"/>
          <w:rFonts w:hint="eastAsia" w:ascii="黑体" w:hAnsi="黑体" w:eastAsia="黑体" w:cs="黑体"/>
          <w:i w:val="0"/>
          <w:caps w:val="0"/>
          <w:color w:val="000000" w:themeColor="text1"/>
          <w:spacing w:val="0"/>
          <w:sz w:val="32"/>
          <w:szCs w:val="32"/>
          <w:u w:val="none"/>
          <w:bdr w:val="none" w:color="auto" w:sz="0" w:space="0"/>
          <w:shd w:val="clear" w:fill="FFFFFF"/>
          <w14:textFill>
            <w14:solidFill>
              <w14:schemeClr w14:val="tx1"/>
            </w14:solidFill>
          </w14:textFill>
        </w:rPr>
        <w:t>政务公开</w: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end"/>
      </w:r>
      <w:r>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t> &gt; </w: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begin"/>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instrText xml:space="preserve"> HYPERLINK "javascript:void(0)" \t "/home/user/Documents\\x/_parent" </w:instrTex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separate"/>
      </w:r>
      <w:r>
        <w:rPr>
          <w:rStyle w:val="5"/>
          <w:rFonts w:hint="eastAsia" w:ascii="黑体" w:hAnsi="黑体" w:eastAsia="黑体" w:cs="黑体"/>
          <w:i w:val="0"/>
          <w:caps w:val="0"/>
          <w:color w:val="000000" w:themeColor="text1"/>
          <w:spacing w:val="0"/>
          <w:sz w:val="32"/>
          <w:szCs w:val="32"/>
          <w:u w:val="none"/>
          <w:bdr w:val="none" w:color="auto" w:sz="0" w:space="0"/>
          <w:shd w:val="clear" w:fill="FFFFFF"/>
          <w14:textFill>
            <w14:solidFill>
              <w14:schemeClr w14:val="tx1"/>
            </w14:solidFill>
          </w14:textFill>
        </w:rPr>
        <w:t>重点领域信息公开</w: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end"/>
      </w:r>
      <w:r>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t> &gt; </w: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begin"/>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instrText xml:space="preserve"> HYPERLINK "https://www.bjdx.gov.cn/bjsdxqrmzf/zwfw/zdly/zfgs/index.html" \t "/home/user/Documents\\x/_parent" </w:instrTex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separate"/>
      </w:r>
      <w:r>
        <w:rPr>
          <w:rStyle w:val="5"/>
          <w:rFonts w:hint="eastAsia" w:ascii="黑体" w:hAnsi="黑体" w:eastAsia="黑体" w:cs="黑体"/>
          <w:i w:val="0"/>
          <w:caps w:val="0"/>
          <w:color w:val="000000" w:themeColor="text1"/>
          <w:spacing w:val="0"/>
          <w:sz w:val="32"/>
          <w:szCs w:val="32"/>
          <w:u w:val="none"/>
          <w:bdr w:val="none" w:color="auto" w:sz="0" w:space="0"/>
          <w:shd w:val="clear" w:fill="FFFFFF"/>
          <w14:textFill>
            <w14:solidFill>
              <w14:schemeClr w14:val="tx1"/>
            </w14:solidFill>
          </w14:textFill>
        </w:rPr>
        <w:t>执法公示</w: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end"/>
      </w:r>
      <w:r>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t> &gt; </w: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begin"/>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instrText xml:space="preserve"> HYPERLINK "javascript:void(0)" \t "/home/user/Documents\\x/_parent" </w:instrTex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separate"/>
      </w:r>
      <w:r>
        <w:rPr>
          <w:rStyle w:val="5"/>
          <w:rFonts w:hint="eastAsia" w:ascii="黑体" w:hAnsi="黑体" w:eastAsia="黑体" w:cs="黑体"/>
          <w:i w:val="0"/>
          <w:caps w:val="0"/>
          <w:color w:val="000000" w:themeColor="text1"/>
          <w:spacing w:val="0"/>
          <w:sz w:val="32"/>
          <w:szCs w:val="32"/>
          <w:u w:val="none"/>
          <w:bdr w:val="none" w:color="auto" w:sz="0" w:space="0"/>
          <w:shd w:val="clear" w:fill="FFFFFF"/>
          <w14:textFill>
            <w14:solidFill>
              <w14:schemeClr w14:val="tx1"/>
            </w14:solidFill>
          </w14:textFill>
        </w:rPr>
        <w:t>区属单位</w: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end"/>
      </w:r>
      <w:r>
        <w:rPr>
          <w:rFonts w:hint="eastAsia" w:ascii="黑体" w:hAnsi="黑体" w:eastAsia="黑体" w:cs="黑体"/>
          <w:i w:val="0"/>
          <w:caps w:val="0"/>
          <w:color w:val="000000" w:themeColor="text1"/>
          <w:spacing w:val="0"/>
          <w:kern w:val="0"/>
          <w:sz w:val="32"/>
          <w:szCs w:val="32"/>
          <w:shd w:val="clear" w:fill="FFFFFF"/>
          <w:lang w:val="en-US" w:eastAsia="zh-CN" w:bidi="ar"/>
          <w14:textFill>
            <w14:solidFill>
              <w14:schemeClr w14:val="tx1"/>
            </w14:solidFill>
          </w14:textFill>
        </w:rPr>
        <w:t> &gt; </w: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begin"/>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instrText xml:space="preserve"> HYPERLINK "https://www.bjdx.gov.cn/bjsdxqrmzf/zwfw/zdly/zfgs/zfjg/qjxj/index.html" \t "/home/user/Documents\\x/_parent" </w:instrTex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separate"/>
      </w:r>
      <w:r>
        <w:rPr>
          <w:rStyle w:val="5"/>
          <w:rFonts w:hint="eastAsia" w:ascii="黑体" w:hAnsi="黑体" w:eastAsia="黑体" w:cs="黑体"/>
          <w:i w:val="0"/>
          <w:caps w:val="0"/>
          <w:color w:val="000000" w:themeColor="text1"/>
          <w:spacing w:val="0"/>
          <w:sz w:val="32"/>
          <w:szCs w:val="32"/>
          <w:u w:val="none"/>
          <w:bdr w:val="none" w:color="auto" w:sz="0" w:space="0"/>
          <w:shd w:val="clear" w:fill="FFFFFF"/>
          <w14:textFill>
            <w14:solidFill>
              <w14:schemeClr w14:val="tx1"/>
            </w14:solidFill>
          </w14:textFill>
        </w:rPr>
        <w:t>区经信局</w:t>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fldChar w:fldCharType="end"/>
      </w:r>
      <w:r>
        <w:rPr>
          <w:rFonts w:hint="eastAsia" w:ascii="黑体" w:hAnsi="黑体" w:eastAsia="黑体" w:cs="黑体"/>
          <w:i w:val="0"/>
          <w:caps w:val="0"/>
          <w:color w:val="000000" w:themeColor="text1"/>
          <w:spacing w:val="0"/>
          <w:kern w:val="0"/>
          <w:sz w:val="32"/>
          <w:szCs w:val="32"/>
          <w:u w:val="none"/>
          <w:bdr w:val="none" w:color="auto" w:sz="0" w:space="0"/>
          <w:shd w:val="clear" w:fill="FFFFFF"/>
          <w:lang w:val="en-US" w:eastAsia="zh-CN" w:bidi="ar"/>
          <w14:textFill>
            <w14:solidFill>
              <w14:schemeClr w14:val="tx1"/>
            </w14:solidFill>
          </w14:textFill>
        </w:rPr>
        <w:t>（执法依据子栏目）</w:t>
      </w:r>
    </w:p>
    <w:bookmarkEnd w:id="0"/>
    <w:p>
      <w:pPr>
        <w:rPr>
          <w:rFonts w:asciiTheme="majorEastAsia" w:hAnsiTheme="majorEastAsia" w:eastAsiaTheme="majorEastAsia"/>
          <w:sz w:val="28"/>
          <w:szCs w:val="28"/>
        </w:rPr>
      </w:pPr>
    </w:p>
    <w:p>
      <w:pPr>
        <w:jc w:val="cente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企业投资项目核准和备案管理条例</w:t>
      </w:r>
    </w:p>
    <w:p>
      <w:pPr>
        <w:rPr>
          <w:rFonts w:asciiTheme="majorEastAsia" w:hAnsiTheme="majorEastAsia" w:eastAsiaTheme="majorEastAsia"/>
          <w:sz w:val="28"/>
          <w:szCs w:val="28"/>
        </w:rPr>
      </w:pPr>
      <w:r>
        <w:rPr>
          <w:rFonts w:asciiTheme="majorEastAsia" w:hAnsiTheme="majorEastAsia" w:eastAsiaTheme="majorEastAsia"/>
          <w:sz w:val="28"/>
          <w:szCs w:val="28"/>
        </w:rPr>
        <w:t xml:space="preserve"> </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第一条　为了规范政府对企业投资项目的核准和备案行为，加快转变政府的投资管理职能，落实企业投资自主权，制定本条例。</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第二条　本条例所称企业投资项目（以下简称项目），是指企业在中国境内投资建设的固定资产投资项目。</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对前款规定以外的项目，实行备案管理。除国务院另有规定的，实行备案管理的项目按照属地原则备案，备案机关及其权限由省、自治区、直辖市和计划单列市人民政府规定。</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第四条　除涉及国家秘密的项目外，项目核准、备案通过国家建立的项目在线监管平台（以下简称在线平台）办理。</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核准机关、备案机关以及其他有关部门统一使用在线平台生成的项目代码办理相关手续。</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国务院投资主管部门会同有关部门制定在线平台管理办法。</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第五条　核准机关、备案机关应当通过在线平台列明与项目有关的产业政策，公开项目核准的办理流程、办理时限等，并为企业提供相关咨询服务。</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第六条　企业办理项目核准手续，应当向核准机关提交项目申请书；由国务院核准的项目，向国务院投资主管部门提交项目申请书。项目申请书应当包括下列内容：</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（一）企业基本情况；</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（二）项目情况，包括项目名称、建设地点、建设规模、建设内容等；</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（三）项目利用资源情况分析以及对生态环境的影响分析；</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（四）项目对经济和社会的影响分析。</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企业应当对项目申请书内容的真实性负责。</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法律、行政法规规定办理相关手续作为项目核准前置条件的，企业应当提交已经办理相关手续的证明文件。</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第七条　项目申请书由企业自主组织编制，任何单位和个人不得强制企业委托中介服务机构编制项目申请书。</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核准机关应当制定并公布项目申请书示范文本，明确项目申请书编制要求。</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第八条　由国务院有关部门核准的项目，企业可以通过项目所在地省、自治区、直辖市和计划单列市人民政府有关部门（以下称地方人民政府有关部门）转送项目申请书，地方人民政府有关部门应当自收到项目申请书之日起5个工作日内转送核准机关。</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由国务院核准的项目，企业通过地方人民政府有关部门转送项目申请书的，地方人民政府有关部门应当在前款规定的期限内将项目申请书转送国务院投资主管部门，由国务院投资主管部门审核后报国务院核准。</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第九条　核准机关应当从下列方面对项目进行审查：</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（一）是否危害经济安全、社会安全、生态安全等国家安全；</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（二）是否符合相关发展建设规划、技术标准和产业政策；</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（三）是否合理开发并有效利用资源；</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（四）是否对重大公共利益产生不利影响。</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项目涉及有关部门或者项目所在地地方人民政府职责的，核准机关应当书面征求其意见,被征求意见单位应当及时书面回复。</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核准机关委托中介服务机构对项目进行评估的，应当明确评估重点；除项目情况复杂的，评估时限不得超过30个工作日。评估费用由核准机关承担。</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第十条　核准机关应当自受理申请之日起20个工作日内，作出是否予以核准的决定；项目情况复杂或者需要征求有关单位意见的，经本机关主要负责人批准，可以延长核准期限，但延长的期限不得超过40个工作日。核准机关委托中介服务机构对项目进行评估的，评估时间不计入核准期限。</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核准机关对项目予以核准的，应当向企业出具核准文件；不予核准的，应当书面通知企业并说明理由。由国务院核准的项目，由国务院投资主管部门根据国务院的决定向企业出具核准文件或者不予核准的书面通知。</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第十一条　企业拟变更已核准项目的建设地点，或者拟对建设规模、建设内容等作较大变更的，应当向核准机关提出变更申请。核准机关应当自受理申请之日起20个工作日内，作出是否同意变更的书面决定。</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第十二条　项目自核准机关作出予以核准决定或者同意变更决定之日起2年内未开工建设，需要延期开工建设的，企业应当在2年期限届满的30个工作日前，向核准机关申请延期开工建设。核准机关应当自受理申请之日起20个工作日内，作出是否同意延期开工建设的决定。开工建设只能延期一次，期限最长不得超过1年。国家对项目延期开工建设另有规定的，依照其规定。</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第十三条　实行备案管理的项目，企业应当在开工建设前通过在线平台将下列信息告知备案机关：</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（一）企业基本情况；</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（二）项目名称、建设地点、建设规模、建设内容；</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（三）项目总投资额；</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（四）项目符合产业政策的声明。</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企业应当对备案项目信息的真实性负责。</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备案机关收到本条第一款规定的全部信息即为备案；企业告知的信息不齐全的，备案机关应当指导企业补正。</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企业需要备案证明的，可以要求备案机关出具或者通过在线平台自行打印。</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第十四条　已备案项目信息发生较大变更的，企业应当及时告知备案机关。</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第十五条　备案机关发现已备案项目属于产业政策禁止投资建设或者实行核准管理的，应当及时告知企业予以纠正或者依法办理核准手续，并通知有关部门。</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第十六条　核准机关、备案机关以及依法对项目负有监督管理职责的其他有关部门应当加强事中事后监管，按照谁审批谁监管、谁主管谁监管的原则，落实监管责任，采取在线监测、现场核查等方式，加强对项目实施的监督检查。</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企业应当通过在线平台如实报送项目开工建设、建设进度、竣工的基本信息。</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第十七条　核准机关、备案机关以及依法对项目负有监督管理职责的其他有关部门应当建立项目信息共享机制，通过在线平台实现信息共享。</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企业在项目核准、备案以及项目实施中的违法行为及其处理信息，通过国家社会信用信息平台向社会公示。</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第十八条　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以欺骗、贿赂等不正当手段取得项目核准文件，尚未开工建设的，由核准机关撤销核准文件，处项目总投资额1‰以上5‰以下的罚款；已经开工建设的，依照前款规定予以处罚；构成犯罪的，依法追究刑事责任。</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第十九条　实行备案管理的项目，企业未依照本条例规定将项目信息或者已备案项目的信息变更情况告知备案机关，或者向备案机关提供虚假信息的，由备案机关责令限期改正；逾期不改正的，处2万元以上5万元以下的罚款。</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第二十条　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第二十一条　核准机关、备案机关及其工作人员在项目核准、备案工作中玩忽职守、滥用职权、徇私舞弊的，对负有责任的领导人员和直接责任人员依法给予处分；构成犯罪的，依法追究刑事责任。</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第二十二条　事业单位、社会团体等非企业组织在中国境内投资建设的固定资产投资项目适用本条例，但通过预算安排的固定资产投资项目除外。</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第二十三条　国防科技工业企业在中国境内投资建设的固定资产投资项目核准和备案管理办法，由国务院国防科技工业管理部门根据本条例的原则另行制定。</w:t>
      </w:r>
    </w:p>
    <w:p>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第二十四条　本条例自2017年2月1日起施行。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Microsoft Yahei">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CF"/>
    <w:rsid w:val="00186CB3"/>
    <w:rsid w:val="002344C2"/>
    <w:rsid w:val="00656FCF"/>
    <w:rsid w:val="00B65820"/>
    <w:rsid w:val="2CBE30F5"/>
    <w:rsid w:val="2FDB0A40"/>
    <w:rsid w:val="51B73708"/>
    <w:rsid w:val="57DB8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semiHidden/>
    <w:unhideWhenUsed/>
    <w:uiPriority w:val="99"/>
    <w:rPr>
      <w:color w:val="0000FF"/>
      <w:u w:val="single"/>
    </w:rPr>
  </w:style>
  <w:style w:type="character" w:customStyle="1" w:styleId="6">
    <w:name w:val="标题 1 Char"/>
    <w:basedOn w:val="4"/>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493</Words>
  <Characters>2811</Characters>
  <Lines>23</Lines>
  <Paragraphs>6</Paragraphs>
  <TotalTime>5</TotalTime>
  <ScaleCrop>false</ScaleCrop>
  <LinksUpToDate>false</LinksUpToDate>
  <CharactersWithSpaces>3298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2017-01-12T03:04:00Z</dcterms:created>
  <dc:creator>微软用户</dc:creator>
  <cp:lastModifiedBy>洪韬</cp:lastModifiedBy>
  <dcterms:modified xsi:type="dcterms:W3CDTF">2023-02-24T10:53:29Z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