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4" w:name="_GoBack"/>
      <w:bookmarkStart w:id="0" w:name="_Toc1581347285"/>
      <w:r>
        <w:rPr>
          <w:rFonts w:ascii="Times New Roman" w:hAnsi="Times New Roman" w:eastAsia="黑体" w:cs="Times New Roman"/>
          <w:sz w:val="32"/>
          <w:szCs w:val="32"/>
        </w:rPr>
        <w:t>二、思路和目标</w:t>
      </w:r>
      <w:bookmarkEnd w:id="0"/>
    </w:p>
    <w:bookmarkEnd w:id="4"/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sz w:val="32"/>
          <w:szCs w:val="32"/>
        </w:rPr>
      </w:pPr>
      <w:bookmarkStart w:id="1" w:name="_Toc437466928"/>
      <w:r>
        <w:rPr>
          <w:rFonts w:ascii="Times New Roman" w:hAnsi="Times New Roman" w:eastAsia="楷体_GB2312" w:cs="Times New Roman"/>
          <w:sz w:val="32"/>
          <w:szCs w:val="32"/>
        </w:rPr>
        <w:t>（一）总体思路</w:t>
      </w:r>
      <w:bookmarkEnd w:id="1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以习近平新时代中国特色社会主义思想为指导，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深入贯彻党的十九大和十九届历次全会精神，深入贯彻</w:t>
      </w:r>
      <w:r>
        <w:rPr>
          <w:rFonts w:ascii="Times New Roman" w:hAnsi="Times New Roman" w:eastAsia="仿宋_GB2312" w:cs="Times New Roman"/>
          <w:sz w:val="32"/>
          <w:szCs w:val="32"/>
        </w:rPr>
        <w:t>习近平总书记视察北京系列重要讲话精神，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紧紧围绕</w:t>
      </w:r>
      <w:r>
        <w:rPr>
          <w:rFonts w:ascii="Times New Roman" w:hAnsi="Times New Roman" w:eastAsia="仿宋_GB2312" w:cs="Times New Roman"/>
          <w:sz w:val="32"/>
          <w:szCs w:val="32"/>
        </w:rPr>
        <w:t>北京城市总体规划和分区规划赋予大兴的功能定位，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把握北京“两区”建设重大契机，</w:t>
      </w:r>
      <w:r>
        <w:rPr>
          <w:rFonts w:ascii="Times New Roman" w:hAnsi="Times New Roman" w:eastAsia="仿宋_GB2312" w:cs="Times New Roman"/>
          <w:sz w:val="32"/>
          <w:szCs w:val="32"/>
        </w:rPr>
        <w:t>深入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实施“产业强区”战略，充分</w:t>
      </w:r>
      <w:r>
        <w:rPr>
          <w:rFonts w:ascii="Times New Roman" w:hAnsi="Times New Roman" w:eastAsia="仿宋_GB2312" w:cs="Times New Roman"/>
          <w:sz w:val="32"/>
          <w:szCs w:val="32"/>
        </w:rPr>
        <w:t>发挥机场交通枢纽新门户作用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，用好国际国内两个市场两种资源，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加快创新成果承接转化，打好产业基础高级化、产业链现代化的攻坚战，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全面提升科技创新能力、创新主体活力和综合承载能力，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做强医药健康核心产业，培育新一代信息技术、智能制造与装备、科技服务支柱产业，构建高精尖产业体系，打造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科技创新“新高地”、首都发展“新空间”、对外开放“新门户”</w:t>
      </w:r>
      <w:r>
        <w:rPr>
          <w:rFonts w:hint="eastAsia" w:ascii="仿宋_GB2312" w:hAnsi="Times New Roman" w:eastAsia="仿宋_GB2312" w:cs="Times New Roman"/>
          <w:sz w:val="32"/>
          <w:szCs w:val="32"/>
        </w:rPr>
        <w:t>，助力</w:t>
      </w:r>
      <w:r>
        <w:rPr>
          <w:rFonts w:ascii="Times New Roman" w:hAnsi="Times New Roman" w:eastAsia="仿宋_GB2312" w:cs="Times New Roman"/>
          <w:sz w:val="32"/>
          <w:szCs w:val="32"/>
        </w:rPr>
        <w:t>北京国际科技创新中心建设。</w:t>
      </w:r>
    </w:p>
    <w:tbl>
      <w:tblPr>
        <w:tblStyle w:val="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vAlign w:val="top"/>
          </w:tcPr>
          <w:p>
            <w:pPr>
              <w:spacing w:line="560" w:lineRule="exact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专栏</w:t>
            </w:r>
            <w:r>
              <w:rPr>
                <w:rFonts w:hint="eastAsia" w:ascii="Times New Roman" w:hAnsi="Times New Roman" w:eastAsia="仿宋_GB2312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. 大兴区高精尖产业定位</w:t>
            </w:r>
          </w:p>
          <w:p>
            <w:pPr>
              <w:spacing w:line="560" w:lineRule="exact"/>
              <w:ind w:firstLine="562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1.科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技创新“新高地”。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落实大兴分区规划要求，依托现有的科创产业基础，发挥中关村大兴园国家级政策先行先试等优势，整合各类资本，吸引产业人才，培育新业态新模式，提升创新成果转化能力，加快构建具有国际影响力的科技创新引领区。</w:t>
            </w:r>
          </w:p>
          <w:p>
            <w:pPr>
              <w:spacing w:line="560" w:lineRule="exact"/>
              <w:ind w:firstLine="562" w:firstLineChars="200"/>
              <w:rPr>
                <w:rFonts w:ascii="仿宋_GB2312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2.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首都增长“新空间”。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发挥平原新城产业承载空间优势，深入推动新一轮城南行动计划，完善产业基础设施和配套服务设施，打造成为首都功能梯度转移的承接区、高质量发展的试验区，进一步加强与“三城一区”对接，引领南部科技创新成果转化带加速发展，建设首都发展的新高地。</w:t>
            </w:r>
          </w:p>
          <w:p>
            <w:pPr>
              <w:spacing w:line="560" w:lineRule="exact"/>
              <w:ind w:firstLine="562" w:firstLineChars="2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  <w:t>3.</w:t>
            </w:r>
            <w:r>
              <w:rPr>
                <w:rFonts w:hint="eastAsia" w:ascii="仿宋_GB2312" w:hAnsi="Times New Roman" w:eastAsia="仿宋_GB2312" w:cs="Times New Roman"/>
                <w:b/>
                <w:sz w:val="28"/>
                <w:szCs w:val="28"/>
              </w:rPr>
              <w:t>对外开放“新门户”。</w:t>
            </w:r>
            <w:r>
              <w:rPr>
                <w:rFonts w:hint="eastAsia" w:ascii="仿宋_GB2312" w:hAnsi="Times New Roman" w:eastAsia="仿宋_GB2312" w:cs="Times New Roman"/>
                <w:sz w:val="28"/>
                <w:szCs w:val="28"/>
              </w:rPr>
              <w:t>聚焦“新国门·新大兴”建设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用好自贸区、服务业扩大开放综合示范区、综合保税区叠加政策优势，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发挥机场枢纽节点作用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建好北京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中日创新合作示范区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，依托南中轴及其延长线、多条交通廊道与功能节点纽带，加强国际创新资源、高端产业要素等汇聚与流动，提升国际化的广度与深度，打造北京南部首都新国门。</w:t>
            </w:r>
          </w:p>
        </w:tc>
      </w:tr>
    </w:tbl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sz w:val="32"/>
          <w:szCs w:val="32"/>
        </w:rPr>
      </w:pPr>
      <w:bookmarkStart w:id="2" w:name="_Toc419297308"/>
      <w:r>
        <w:rPr>
          <w:rFonts w:ascii="Times New Roman" w:hAnsi="Times New Roman" w:eastAsia="楷体_GB2312" w:cs="Times New Roman"/>
          <w:sz w:val="32"/>
          <w:szCs w:val="32"/>
        </w:rPr>
        <w:t>（二）基本原则</w:t>
      </w:r>
      <w:bookmarkEnd w:id="2"/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坚持市场主导与政府引导相结合。</w:t>
      </w:r>
      <w:r>
        <w:rPr>
          <w:rFonts w:ascii="Times New Roman" w:hAnsi="Times New Roman" w:eastAsia="仿宋_GB2312" w:cs="Times New Roman"/>
          <w:sz w:val="32"/>
          <w:szCs w:val="32"/>
        </w:rPr>
        <w:t>充分发挥市场在区域协调发展新机制建设中的主导作用，激发以企业为核心的市场主体活力和创造力，全面提高土地、资金等要素市场化配给效率。更好地发挥政府在创新举国体制建设、普惠政策支持等方面的引导作用，营造有利于医药健康等高精尖产业发展的外部环境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坚持开放发展和自主创新相结合。</w:t>
      </w:r>
      <w:r>
        <w:rPr>
          <w:rFonts w:ascii="Times New Roman" w:hAnsi="Times New Roman" w:eastAsia="仿宋_GB2312" w:cs="Times New Roman"/>
          <w:sz w:val="32"/>
          <w:szCs w:val="32"/>
        </w:rPr>
        <w:t>充分发挥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自贸区和服务业扩大开放综合示范区</w:t>
      </w:r>
      <w:r>
        <w:rPr>
          <w:rFonts w:ascii="Times New Roman" w:hAnsi="Times New Roman" w:eastAsia="仿宋_GB2312" w:cs="Times New Roman"/>
          <w:sz w:val="32"/>
          <w:szCs w:val="32"/>
        </w:rPr>
        <w:t>叠加政策优势，搭建更高水平开放平台，强化知识产权保护和运用机制，加快融入全球创新网络建设开放型经济体系。瞄准国家重大战略需求，坚持科技自立自强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全面增强原始创新和自主创新能力，攻</w:t>
      </w:r>
      <w:r>
        <w:rPr>
          <w:rFonts w:hint="eastAsia" w:ascii="仿宋_GB2312" w:hAnsi="Times New Roman" w:eastAsia="仿宋_GB2312" w:cs="Times New Roman"/>
          <w:sz w:val="32"/>
          <w:szCs w:val="32"/>
        </w:rPr>
        <w:t>克一批核心和领跑技术，赢得新一轮全球科技竞争的战</w:t>
      </w:r>
      <w:r>
        <w:rPr>
          <w:rFonts w:ascii="Times New Roman" w:hAnsi="Times New Roman" w:eastAsia="仿宋_GB2312" w:cs="Times New Roman"/>
          <w:sz w:val="32"/>
          <w:szCs w:val="32"/>
        </w:rPr>
        <w:t>略主动。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坚持增量优质和存量优化相结合。</w:t>
      </w:r>
      <w:r>
        <w:rPr>
          <w:rFonts w:ascii="Times New Roman" w:hAnsi="Times New Roman" w:eastAsia="仿宋_GB2312" w:cs="Times New Roman"/>
          <w:sz w:val="32"/>
          <w:szCs w:val="32"/>
        </w:rPr>
        <w:t>突出做强增量和调优存量并举，巩固提升传统优势产业，加大对装备制造、中药等产业绿色化、智能化技术改造力度。加大对具有核心竞争力和重要知识产权的优质企业项目引进力度，推动新一轮科技革命创新产业导入和重大创新成果转化落地，培育壮大基因治疗、第三代半导体等新兴产业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坚持集约发展和提质增效相结合。</w:t>
      </w:r>
      <w:r>
        <w:rPr>
          <w:rFonts w:ascii="Times New Roman" w:hAnsi="Times New Roman" w:eastAsia="仿宋_GB2312" w:cs="Times New Roman"/>
          <w:sz w:val="32"/>
          <w:szCs w:val="32"/>
        </w:rPr>
        <w:t>落实城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市总规“减量集约、高效发展”原则，改变传统的依靠增量、资源扩张发展模式，按照人均/地均产出、资源消耗等现代产业</w:t>
      </w:r>
      <w:r>
        <w:rPr>
          <w:rFonts w:ascii="Times New Roman" w:hAnsi="Times New Roman" w:eastAsia="仿宋_GB2312" w:cs="Times New Roman"/>
          <w:sz w:val="32"/>
          <w:szCs w:val="32"/>
        </w:rPr>
        <w:t>评价指标体系，聚焦科技含量高、产出效率优、发展潜力大的医药健康、新一代信息技术等高精尖产业深耕细作，腾笼换鸟，加快向集约节约、追求质量效益的绿色智能发展模式转变。</w:t>
      </w:r>
    </w:p>
    <w:p>
      <w:pPr>
        <w:spacing w:line="560" w:lineRule="exact"/>
        <w:ind w:firstLine="640" w:firstLineChars="200"/>
        <w:outlineLvl w:val="1"/>
        <w:rPr>
          <w:rFonts w:ascii="Times New Roman" w:hAnsi="Times New Roman" w:eastAsia="楷体_GB2312" w:cs="Times New Roman"/>
          <w:sz w:val="32"/>
          <w:szCs w:val="32"/>
        </w:rPr>
      </w:pPr>
      <w:bookmarkStart w:id="3" w:name="_Toc214865809"/>
      <w:r>
        <w:rPr>
          <w:rFonts w:ascii="Times New Roman" w:hAnsi="Times New Roman" w:eastAsia="楷体_GB2312" w:cs="Times New Roman"/>
          <w:sz w:val="32"/>
          <w:szCs w:val="32"/>
        </w:rPr>
        <w:t>（三）发展目标</w:t>
      </w:r>
      <w:bookmarkEnd w:id="3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以规模结构优、质量效益好、创新能力强、智能化绿色化水平高、辐射协同效益显著的高质量发展为目标，深入推</w:t>
      </w:r>
      <w:r>
        <w:rPr>
          <w:rFonts w:hint="eastAsia" w:ascii="仿宋_GB2312" w:hAnsi="Times New Roman" w:eastAsia="仿宋_GB2312" w:cs="Times New Roman"/>
          <w:sz w:val="32"/>
          <w:szCs w:val="32"/>
        </w:rPr>
        <w:t>进“新国门</w:t>
      </w:r>
      <w:r>
        <w:rPr>
          <w:rFonts w:hint="eastAsia" w:ascii="仿宋_GB2312" w:hAnsi="仿宋_GB2312" w:eastAsia="仿宋_GB2312" w:cs="仿宋_GB2312"/>
          <w:sz w:val="32"/>
          <w:szCs w:val="32"/>
        </w:rPr>
        <w:t>·</w:t>
      </w:r>
      <w:r>
        <w:rPr>
          <w:rFonts w:hint="eastAsia" w:ascii="仿宋_GB2312" w:hAnsi="Times New Roman" w:eastAsia="仿宋_GB2312" w:cs="Times New Roman"/>
          <w:sz w:val="32"/>
          <w:szCs w:val="32"/>
        </w:rPr>
        <w:t>新大兴”建设，全区产业创新能力和发展水平显著提升，生</w:t>
      </w:r>
      <w:r>
        <w:rPr>
          <w:rFonts w:ascii="Times New Roman" w:hAnsi="Times New Roman" w:eastAsia="仿宋_GB2312" w:cs="Times New Roman"/>
          <w:sz w:val="32"/>
          <w:szCs w:val="32"/>
        </w:rPr>
        <w:t>产效率大幅提升，产业链与创新链基本贯通，空间布局进一步优化，开放发展取得新的突破，在医药健康、智能制造与装备等细分领域形成一批以龙头企业为牵引、单项冠军企业为支撑、大中小微企业融通协作发展的创新型产业集群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到</w:t>
      </w:r>
      <w:r>
        <w:rPr>
          <w:rFonts w:ascii="Times New Roman" w:hAnsi="Times New Roman" w:eastAsia="仿宋_GB2312" w:cs="Times New Roman"/>
          <w:b/>
          <w:sz w:val="32"/>
          <w:szCs w:val="32"/>
        </w:rPr>
        <w:t>2025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年，</w:t>
      </w:r>
      <w:r>
        <w:rPr>
          <w:rFonts w:ascii="Times New Roman" w:hAnsi="Times New Roman" w:eastAsia="仿宋_GB2312" w:cs="Times New Roman"/>
          <w:sz w:val="32"/>
          <w:szCs w:val="32"/>
        </w:rPr>
        <w:t>高精尖产业发展达到以下具体目标：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——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规模结构明显优化</w:t>
      </w:r>
      <w:r>
        <w:rPr>
          <w:rFonts w:ascii="Times New Roman" w:hAnsi="Times New Roman" w:eastAsia="仿宋_GB2312" w:cs="Times New Roman"/>
          <w:sz w:val="32"/>
          <w:szCs w:val="32"/>
        </w:rPr>
        <w:t>。全区引进和培育20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家</w:t>
      </w:r>
      <w:r>
        <w:rPr>
          <w:rFonts w:ascii="Times New Roman" w:hAnsi="Times New Roman" w:eastAsia="仿宋_GB2312" w:cs="Times New Roman"/>
          <w:sz w:val="32"/>
          <w:szCs w:val="32"/>
        </w:rPr>
        <w:t>以上单项冠军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、“</w:t>
      </w:r>
      <w:r>
        <w:rPr>
          <w:rFonts w:ascii="Times New Roman" w:hAnsi="Times New Roman" w:eastAsia="仿宋_GB2312" w:cs="Times New Roman"/>
          <w:sz w:val="32"/>
          <w:szCs w:val="32"/>
        </w:rPr>
        <w:t>专精特新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hAnsi="Times New Roman" w:eastAsia="仿宋_GB2312" w:cs="Times New Roman"/>
          <w:sz w:val="32"/>
          <w:szCs w:val="32"/>
        </w:rPr>
        <w:t>小巨人企业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，聚集规模以上高精尖制造业企业数量超过</w:t>
      </w:r>
      <w:r>
        <w:rPr>
          <w:rFonts w:ascii="Times New Roman" w:hAnsi="Times New Roman" w:eastAsia="仿宋_GB2312" w:cs="Times New Roman"/>
          <w:sz w:val="32"/>
          <w:szCs w:val="32"/>
        </w:rPr>
        <w:t>200家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，规模以上</w:t>
      </w:r>
      <w:r>
        <w:rPr>
          <w:rFonts w:ascii="Times New Roman" w:hAnsi="Times New Roman" w:eastAsia="仿宋_GB2312" w:cs="Times New Roman"/>
          <w:sz w:val="32"/>
          <w:szCs w:val="32"/>
        </w:rPr>
        <w:t>工业总产值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达到1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00亿元</w:t>
      </w:r>
      <w:r>
        <w:rPr>
          <w:rFonts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年均增速达到1</w:t>
      </w:r>
      <w:r>
        <w:rPr>
          <w:rFonts w:ascii="Times New Roman" w:hAnsi="Times New Roman" w:eastAsia="仿宋_GB2312" w:cs="Times New Roman"/>
          <w:sz w:val="32"/>
          <w:szCs w:val="32"/>
        </w:rPr>
        <w:t>2%，高精尖制造业营业收入占全区工业比重达到70%以上。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——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质量效益大幅提升。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生产效率大幅提升，</w:t>
      </w:r>
      <w:r>
        <w:rPr>
          <w:rFonts w:ascii="Times New Roman" w:hAnsi="Times New Roman" w:eastAsia="仿宋_GB2312" w:cs="Times New Roman"/>
          <w:sz w:val="32"/>
          <w:szCs w:val="32"/>
        </w:rPr>
        <w:t>全区工业全员劳动生产率达到50万元/人，地均工业总产值达到1亿元/公顷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（约6</w:t>
      </w:r>
      <w:r>
        <w:rPr>
          <w:rFonts w:ascii="Times New Roman" w:hAnsi="Times New Roman" w:eastAsia="仿宋_GB2312" w:cs="Times New Roman"/>
          <w:sz w:val="32"/>
          <w:szCs w:val="32"/>
        </w:rPr>
        <w:t>60万元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/亩）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——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创新能力显著增强。</w:t>
      </w:r>
      <w:r>
        <w:rPr>
          <w:rFonts w:ascii="Times New Roman" w:hAnsi="Times New Roman" w:eastAsia="仿宋_GB2312" w:cs="Times New Roman"/>
          <w:sz w:val="32"/>
          <w:szCs w:val="32"/>
        </w:rPr>
        <w:t>全区规模以上工业企业研发投入强度达到2%，新建20家以上国家级技术中心（或工程技术中心）、市级产业创新中心等各类创新平台，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高技术制造业工业总产值占工业比重达到</w:t>
      </w:r>
      <w:r>
        <w:rPr>
          <w:rFonts w:ascii="Times New Roman" w:hAnsi="Times New Roman" w:eastAsia="仿宋_GB2312" w:cs="Times New Roman"/>
          <w:sz w:val="32"/>
          <w:szCs w:val="32"/>
        </w:rPr>
        <w:t>45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</w:t>
      </w:r>
      <w:r>
        <w:rPr>
          <w:rFonts w:ascii="Times New Roman" w:hAnsi="Times New Roman" w:eastAsia="仿宋_GB2312" w:cs="Times New Roman"/>
          <w:sz w:val="32"/>
          <w:szCs w:val="32"/>
        </w:rPr>
        <w:t>加快推动基因细胞治疗、体外诊断试剂、医学影像设备、碳化硅、人工智能等一批前沿创新成果转化落地。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——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绿色发展更加突出。</w:t>
      </w:r>
      <w:r>
        <w:rPr>
          <w:rFonts w:ascii="Times New Roman" w:hAnsi="Times New Roman" w:eastAsia="仿宋_GB2312" w:cs="Times New Roman"/>
          <w:sz w:val="32"/>
          <w:szCs w:val="32"/>
        </w:rPr>
        <w:t>万元工业增加值能耗和水耗均达到市级要求，推动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形成绿色发展方式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——</w:t>
      </w:r>
      <w:r>
        <w:rPr>
          <w:rFonts w:ascii="Times New Roman" w:hAnsi="Times New Roman" w:eastAsia="仿宋_GB2312" w:cs="Times New Roman"/>
          <w:b/>
          <w:sz w:val="32"/>
          <w:szCs w:val="32"/>
        </w:rPr>
        <w:t>融合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赋能</w:t>
      </w:r>
      <w:r>
        <w:rPr>
          <w:rFonts w:ascii="Times New Roman" w:hAnsi="Times New Roman" w:eastAsia="仿宋_GB2312" w:cs="Times New Roman"/>
          <w:b/>
          <w:sz w:val="32"/>
          <w:szCs w:val="32"/>
        </w:rPr>
        <w:t>初具成效。</w:t>
      </w:r>
      <w:r>
        <w:rPr>
          <w:rFonts w:ascii="Times New Roman" w:hAnsi="Times New Roman" w:eastAsia="仿宋_GB2312" w:cs="Times New Roman"/>
          <w:sz w:val="32"/>
          <w:szCs w:val="32"/>
        </w:rPr>
        <w:t>培育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sz w:val="32"/>
          <w:szCs w:val="32"/>
        </w:rPr>
        <w:t>5个智能制造标杆企业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，科学研究与技术服务业、</w:t>
      </w:r>
      <w:r>
        <w:rPr>
          <w:rFonts w:ascii="Times New Roman" w:hAnsi="Times New Roman" w:eastAsia="仿宋_GB2312" w:cs="Times New Roman"/>
          <w:sz w:val="32"/>
          <w:szCs w:val="32"/>
        </w:rPr>
        <w:t>软件信息服务业等生产性服务业规模占第三产业比重超过15%。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展望</w:t>
      </w:r>
      <w:r>
        <w:rPr>
          <w:rFonts w:ascii="Times New Roman" w:hAnsi="Times New Roman" w:eastAsia="仿宋_GB2312" w:cs="Times New Roman"/>
          <w:b/>
          <w:sz w:val="32"/>
          <w:szCs w:val="32"/>
        </w:rPr>
        <w:t>2035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年，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全区高精尖产业蓬勃发展，实体经济根基更加稳固，创新生态、创新能力达到领先水平，产业综合竞争实力跃居全市前列，成为北京开放发展的重要窗口和国际科技创新中心的重要支撑。</w:t>
      </w:r>
      <w:r>
        <w:rPr>
          <w:rFonts w:ascii="Times New Roman" w:hAnsi="Times New Roman" w:eastAsia="仿宋_GB2312" w:cs="Times New Roman"/>
          <w:b/>
          <w:sz w:val="32"/>
          <w:szCs w:val="32"/>
        </w:rPr>
        <w:br w:type="page"/>
      </w:r>
    </w:p>
    <w:p>
      <w:pPr>
        <w:jc w:val="center"/>
        <w:rPr>
          <w:rFonts w:ascii="Times New Roman" w:hAnsi="Times New Roman" w:eastAsia="仿宋_GB2312" w:cs="Times New Roman"/>
          <w:b/>
          <w:sz w:val="32"/>
          <w:szCs w:val="32"/>
        </w:rPr>
      </w:pPr>
      <w:r>
        <w:rPr>
          <w:rFonts w:ascii="Times New Roman" w:hAnsi="Times New Roman" w:eastAsia="仿宋_GB2312" w:cs="Times New Roman"/>
          <w:b/>
          <w:sz w:val="32"/>
          <w:szCs w:val="32"/>
        </w:rPr>
        <w:t>大兴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区“十四五”高</w:t>
      </w:r>
      <w:r>
        <w:rPr>
          <w:rFonts w:ascii="Times New Roman" w:hAnsi="Times New Roman" w:eastAsia="仿宋_GB2312" w:cs="Times New Roman"/>
          <w:b/>
          <w:sz w:val="32"/>
          <w:szCs w:val="32"/>
        </w:rPr>
        <w:t>精尖产业发展</w:t>
      </w:r>
      <w:r>
        <w:rPr>
          <w:rFonts w:hint="eastAsia" w:ascii="Times New Roman" w:hAnsi="Times New Roman" w:eastAsia="仿宋_GB2312" w:cs="Times New Roman"/>
          <w:b/>
          <w:sz w:val="32"/>
          <w:szCs w:val="32"/>
        </w:rPr>
        <w:t>目标</w:t>
      </w:r>
    </w:p>
    <w:tbl>
      <w:tblPr>
        <w:tblStyle w:val="2"/>
        <w:tblW w:w="1034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895"/>
        <w:gridCol w:w="1094"/>
        <w:gridCol w:w="1669"/>
        <w:gridCol w:w="1559"/>
        <w:gridCol w:w="12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47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指标</w:t>
            </w:r>
          </w:p>
        </w:tc>
        <w:tc>
          <w:tcPr>
            <w:tcW w:w="10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6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2020年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2025年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color w:val="000000"/>
                <w:kern w:val="0"/>
                <w:sz w:val="28"/>
                <w:szCs w:val="28"/>
              </w:rPr>
              <w:t>类型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综合指标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规模以上工业总产值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亿元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904.9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1600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560" w:firstLineChars="200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其中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：年均增速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.1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（十三五期间）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规上高精尖制造业企业数量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家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高精尖制造业营收占比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70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质量指标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工业全员劳动生产率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"/>
                <w:w w:val="79"/>
                <w:kern w:val="0"/>
                <w:sz w:val="28"/>
                <w:szCs w:val="28"/>
              </w:rPr>
              <w:t>万元</w:t>
            </w:r>
            <w:r>
              <w:rPr>
                <w:rFonts w:ascii="Times New Roman" w:hAnsi="Times New Roman" w:eastAsia="仿宋_GB2312" w:cs="Times New Roman"/>
                <w:color w:val="000000"/>
                <w:spacing w:val="1"/>
                <w:w w:val="79"/>
                <w:kern w:val="0"/>
                <w:sz w:val="28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4"/>
                <w:w w:val="79"/>
                <w:kern w:val="0"/>
                <w:sz w:val="28"/>
                <w:szCs w:val="28"/>
              </w:rPr>
              <w:t>人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38.5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地均工业总产值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pacing w:val="1"/>
                <w:w w:val="61"/>
                <w:kern w:val="0"/>
                <w:sz w:val="28"/>
                <w:szCs w:val="28"/>
                <w:fitText w:val="735" w:id="1465460849"/>
              </w:rPr>
              <w:t>万元</w:t>
            </w:r>
            <w:r>
              <w:rPr>
                <w:rFonts w:ascii="Times New Roman" w:hAnsi="Times New Roman" w:eastAsia="仿宋_GB2312" w:cs="Times New Roman"/>
                <w:color w:val="000000"/>
                <w:spacing w:val="1"/>
                <w:w w:val="61"/>
                <w:kern w:val="0"/>
                <w:sz w:val="28"/>
                <w:szCs w:val="28"/>
                <w:fitText w:val="735" w:id="1465460849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1"/>
                <w:w w:val="61"/>
                <w:kern w:val="0"/>
                <w:sz w:val="28"/>
                <w:szCs w:val="28"/>
                <w:fitText w:val="735" w:id="1465460849"/>
              </w:rPr>
              <w:t>公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0"/>
                <w:w w:val="61"/>
                <w:kern w:val="0"/>
                <w:sz w:val="28"/>
                <w:szCs w:val="28"/>
                <w:fitText w:val="735" w:id="1465460849"/>
              </w:rPr>
              <w:t>顷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5600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28"/>
              </w:rPr>
              <w:t>（约</w:t>
            </w:r>
            <w:r>
              <w:rPr>
                <w:rFonts w:ascii="Times New Roman" w:hAnsi="Times New Roman" w:eastAsia="仿宋_GB2312" w:cs="Times New Roman"/>
                <w:kern w:val="0"/>
                <w:sz w:val="16"/>
                <w:szCs w:val="28"/>
              </w:rPr>
              <w:t>370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28"/>
              </w:rPr>
              <w:t>万元</w:t>
            </w:r>
            <w:r>
              <w:rPr>
                <w:rFonts w:ascii="Times New Roman" w:hAnsi="Times New Roman" w:eastAsia="仿宋_GB2312" w:cs="Times New Roman"/>
                <w:kern w:val="0"/>
                <w:sz w:val="16"/>
                <w:szCs w:val="28"/>
              </w:rPr>
              <w:t>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28"/>
              </w:rPr>
              <w:t>亩）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10000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28"/>
              </w:rPr>
              <w:t>（约</w:t>
            </w:r>
            <w:r>
              <w:rPr>
                <w:rFonts w:ascii="Times New Roman" w:hAnsi="Times New Roman" w:eastAsia="仿宋_GB2312" w:cs="Times New Roman"/>
                <w:kern w:val="0"/>
                <w:sz w:val="16"/>
                <w:szCs w:val="28"/>
              </w:rPr>
              <w:t>660万元/</w:t>
            </w:r>
            <w:r>
              <w:rPr>
                <w:rFonts w:hint="eastAsia" w:ascii="Times New Roman" w:hAnsi="Times New Roman" w:eastAsia="仿宋_GB2312" w:cs="Times New Roman"/>
                <w:kern w:val="0"/>
                <w:sz w:val="16"/>
                <w:szCs w:val="28"/>
              </w:rPr>
              <w:t>亩）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创新指标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规上工业企业研发投入强度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1.44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高技术制造业工业总产值占比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34.2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新建市级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及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以上创新平台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（十三五期间）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绿色指标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万元工业增加值能耗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降低率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0.228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吨标煤）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达到市级要求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万元工业增加值水耗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降低率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（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3.18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立方米）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18"/>
                <w:szCs w:val="28"/>
              </w:rPr>
              <w:t>达到市级要求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约束性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融合指标</w:t>
            </w: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智能制造标杆企业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个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科学研究与技术服务业和软件信息服务业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占第三产业比重</w:t>
            </w:r>
          </w:p>
        </w:tc>
        <w:tc>
          <w:tcPr>
            <w:tcW w:w="10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%</w:t>
            </w:r>
          </w:p>
        </w:tc>
        <w:tc>
          <w:tcPr>
            <w:tcW w:w="16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5.5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预期性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 w:cs="Times New Roman"/>
          <w:sz w:val="24"/>
          <w:szCs w:val="32"/>
        </w:rPr>
      </w:pPr>
      <w:r>
        <w:rPr>
          <w:rFonts w:ascii="Times New Roman" w:hAnsi="Times New Roman" w:eastAsia="仿宋_GB2312" w:cs="Times New Roman"/>
          <w:sz w:val="24"/>
          <w:szCs w:val="32"/>
        </w:rPr>
        <w:t>注：（）</w:t>
      </w:r>
      <w:r>
        <w:rPr>
          <w:rFonts w:hint="eastAsia" w:ascii="Times New Roman" w:hAnsi="Times New Roman" w:eastAsia="仿宋_GB2312" w:cs="Times New Roman"/>
          <w:sz w:val="24"/>
          <w:szCs w:val="32"/>
        </w:rPr>
        <w:t>属于</w:t>
      </w:r>
      <w:r>
        <w:rPr>
          <w:rFonts w:ascii="Times New Roman" w:hAnsi="Times New Roman" w:eastAsia="仿宋_GB2312" w:cs="Times New Roman"/>
          <w:sz w:val="24"/>
          <w:szCs w:val="32"/>
        </w:rPr>
        <w:t>解释性数据</w:t>
      </w:r>
      <w:r>
        <w:rPr>
          <w:rFonts w:hint="eastAsia" w:ascii="Times New Roman" w:hAnsi="Times New Roman" w:eastAsia="仿宋_GB2312" w:cs="Times New Roman"/>
          <w:sz w:val="24"/>
          <w:szCs w:val="32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767DF"/>
    <w:rsid w:val="70F7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2022-03-04T07:15:00Z</dcterms:created>
  <dc:creator>米露露</dc:creator>
  <cp:lastModifiedBy>米露露</cp:lastModifiedBy>
  <dcterms:modified xsi:type="dcterms:W3CDTF">2022-03-04T07:15:20Z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E0DC4C6585B645C4A171EBEC8501EC0A</vt:lpwstr>
  </property>
</Properties>
</file>