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640" w:firstLineChars="200"/>
        <w:outlineLvl w:val="0"/>
        <w:rPr>
          <w:rFonts w:ascii="Times New Roman" w:hAnsi="Times New Roman" w:eastAsia="黑体" w:cs="Times New Roman"/>
          <w:sz w:val="32"/>
          <w:szCs w:val="32"/>
        </w:rPr>
      </w:pPr>
      <w:bookmarkStart w:id="0" w:name="_Toc197914271"/>
      <w:bookmarkStart w:id="5" w:name="_GoBack"/>
      <w:r>
        <w:rPr>
          <w:rFonts w:ascii="Times New Roman" w:hAnsi="Times New Roman" w:eastAsia="黑体" w:cs="Times New Roman"/>
          <w:sz w:val="32"/>
          <w:szCs w:val="32"/>
        </w:rPr>
        <w:t>四、</w:t>
      </w:r>
      <w:r>
        <w:rPr>
          <w:rFonts w:hint="eastAsia" w:ascii="Times New Roman" w:hAnsi="Times New Roman" w:eastAsia="黑体" w:cs="Times New Roman"/>
          <w:sz w:val="32"/>
          <w:szCs w:val="32"/>
        </w:rPr>
        <w:t>打造高精尖产业四组团新格局</w:t>
      </w:r>
      <w:bookmarkEnd w:id="0"/>
    </w:p>
    <w:bookmarkEnd w:id="5"/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立足北京南中轴及其延长线，以土地集约高效利用和园区产业差异化发展为目标，以产业链和创新链为导向整合资源要素，通过产业组团发展模式带动产业协同创新。聚焦临空经济区、生物医药产业基地、新媒体产业基地、北京中日创新合作示范区等4个产业政策高地，突出功能导向，加强组团内部功能协同与产业统筹，打造高精尖产业发展主阵地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楷体_GB2312" w:cs="Times New Roman"/>
          <w:sz w:val="32"/>
          <w:szCs w:val="32"/>
        </w:rPr>
      </w:pPr>
      <w:bookmarkStart w:id="1" w:name="_Toc2030959823"/>
      <w:r>
        <w:rPr>
          <w:rFonts w:hint="eastAsia" w:ascii="Times New Roman" w:hAnsi="Times New Roman" w:eastAsia="楷体_GB2312" w:cs="Times New Roman"/>
          <w:sz w:val="32"/>
          <w:szCs w:val="32"/>
        </w:rPr>
        <w:t>（一）临空经济组团——国际开放新门户</w:t>
      </w:r>
      <w:bookmarkEnd w:id="1"/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充分发挥北京大兴国际机场交通枢纽优势地位，以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临空经济区（大兴）</w:t>
      </w:r>
      <w:r>
        <w:rPr>
          <w:rFonts w:ascii="Times New Roman" w:hAnsi="Times New Roman" w:eastAsia="仿宋_GB2312" w:cs="Times New Roman"/>
          <w:sz w:val="32"/>
          <w:szCs w:val="32"/>
        </w:rPr>
        <w:t>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主体</w:t>
      </w:r>
      <w:r>
        <w:rPr>
          <w:rFonts w:ascii="Times New Roman" w:hAnsi="Times New Roman" w:eastAsia="仿宋_GB2312" w:cs="Times New Roman"/>
          <w:sz w:val="32"/>
          <w:szCs w:val="32"/>
        </w:rPr>
        <w:t>，拓展榆垡镇、礼贤镇、魏善庄镇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sz w:val="32"/>
          <w:szCs w:val="32"/>
        </w:rPr>
        <w:t>庞各庄镇、安定镇等镇域空间为主要载体，打造临空经济组团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紧紧围绕“国家发展新的动力源”使命，加快推动世界一流航空枢纽建设，汇聚国际高能级临空资源，整合沉淀国际高端生产要素，建设对接国际要素的开放门户、我国创新转型的新动力源。聚焦面向未来的创新型产业，建设具有国际竞争力的生命健康产业集群。积极发展高品质航空航天产业，</w:t>
      </w:r>
      <w:r>
        <w:rPr>
          <w:rFonts w:ascii="Times New Roman" w:hAnsi="Times New Roman" w:eastAsia="仿宋_GB2312" w:cs="Times New Roman"/>
          <w:sz w:val="32"/>
          <w:szCs w:val="32"/>
        </w:rPr>
        <w:t>全面提升国际交往综合服务能力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。加快建立与国际接轨的开放型制度体系，构建现代化临空产业体系。探索数据贸易、跨境数据流动等试点，推进数字经济创新发展。</w:t>
      </w:r>
      <w:r>
        <w:rPr>
          <w:rFonts w:ascii="Times New Roman" w:hAnsi="Times New Roman" w:eastAsia="仿宋_GB2312" w:cs="Times New Roman"/>
          <w:sz w:val="32"/>
          <w:szCs w:val="32"/>
        </w:rPr>
        <w:t>积极拓展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智能制造和装备产业，发挥临空经济区（大兴）辐射带动作用，依托安定镇、庞各庄镇等建设商业航天产业基地，引入商业火箭研发、关键零部件、系统集成以及卫星互联网示范应用创新主体。</w:t>
      </w:r>
      <w:r>
        <w:rPr>
          <w:rFonts w:ascii="Times New Roman" w:hAnsi="Times New Roman" w:eastAsia="仿宋_GB2312" w:cs="Times New Roman"/>
          <w:sz w:val="32"/>
          <w:szCs w:val="32"/>
        </w:rPr>
        <w:t>加快与津冀地区联动，打造京津冀进一步改革开放和机制创新的示范区、建设</w:t>
      </w:r>
      <w:r>
        <w:rPr>
          <w:rFonts w:hint="eastAsia" w:ascii="仿宋_GB2312" w:hAnsi="仿宋_GB2312" w:eastAsia="仿宋_GB2312" w:cs="仿宋_GB2312"/>
          <w:sz w:val="32"/>
          <w:szCs w:val="32"/>
        </w:rPr>
        <w:t>首都国际交往新门户</w:t>
      </w:r>
      <w:r>
        <w:rPr>
          <w:rFonts w:ascii="Times New Roman" w:hAnsi="Times New Roman" w:eastAsia="仿宋_GB2312" w:cs="Times New Roman"/>
          <w:sz w:val="32"/>
          <w:szCs w:val="32"/>
        </w:rPr>
        <w:t>和临空经济新标杆。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楷体_GB2312" w:cs="Times New Roman"/>
          <w:sz w:val="32"/>
          <w:szCs w:val="32"/>
        </w:rPr>
      </w:pPr>
      <w:bookmarkStart w:id="2" w:name="_Toc1752497645"/>
      <w:r>
        <w:rPr>
          <w:rFonts w:hint="eastAsia" w:ascii="Times New Roman" w:hAnsi="Times New Roman" w:eastAsia="楷体_GB2312" w:cs="Times New Roman"/>
          <w:sz w:val="32"/>
          <w:szCs w:val="32"/>
        </w:rPr>
        <w:t>（二）生物医药组团——医药引领新高地</w:t>
      </w:r>
      <w:bookmarkEnd w:id="2"/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以生物医药产业基地为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主体</w:t>
      </w:r>
      <w:r>
        <w:rPr>
          <w:rFonts w:ascii="Times New Roman" w:hAnsi="Times New Roman" w:eastAsia="仿宋_GB2312" w:cs="Times New Roman"/>
          <w:sz w:val="32"/>
          <w:szCs w:val="32"/>
        </w:rPr>
        <w:t>，拓展黄村镇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（芦城工业区）、北臧村镇等</w:t>
      </w:r>
      <w:r>
        <w:rPr>
          <w:rFonts w:ascii="Times New Roman" w:hAnsi="Times New Roman" w:eastAsia="仿宋_GB2312" w:cs="Times New Roman"/>
          <w:sz w:val="32"/>
          <w:szCs w:val="32"/>
        </w:rPr>
        <w:t>为主要载体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做大做强医药健康产业及其配套产业，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提高</w:t>
      </w:r>
      <w:r>
        <w:rPr>
          <w:rFonts w:ascii="Times New Roman" w:hAnsi="Times New Roman" w:eastAsia="仿宋_GB2312" w:cs="Times New Roman"/>
          <w:sz w:val="32"/>
          <w:szCs w:val="32"/>
        </w:rPr>
        <w:t>医药健康引领和辐射带动能力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打造医药健康产业组团。加快医药健康龙头企业引进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推动存量企业提质增效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，培育</w:t>
      </w:r>
      <w:r>
        <w:rPr>
          <w:rFonts w:ascii="Times New Roman" w:hAnsi="Times New Roman" w:eastAsia="仿宋_GB2312" w:cs="Times New Roman"/>
          <w:sz w:val="32"/>
          <w:szCs w:val="32"/>
        </w:rPr>
        <w:t>千亿级产业集群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。做好</w:t>
      </w:r>
      <w:r>
        <w:rPr>
          <w:rFonts w:ascii="Times New Roman" w:hAnsi="Times New Roman" w:eastAsia="仿宋_GB2312" w:cs="Times New Roman"/>
          <w:sz w:val="32"/>
          <w:szCs w:val="32"/>
        </w:rPr>
        <w:t>生物医药产业基地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9</w:t>
      </w:r>
      <w:r>
        <w:rPr>
          <w:rFonts w:ascii="Times New Roman" w:hAnsi="Times New Roman" w:eastAsia="仿宋_GB2312" w:cs="Times New Roman"/>
          <w:sz w:val="32"/>
          <w:szCs w:val="32"/>
        </w:rPr>
        <w:t>.1平方公里扩区建设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完善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扩区范围内产业配套设施和公共服务体系，</w:t>
      </w:r>
      <w:r>
        <w:rPr>
          <w:rFonts w:ascii="Times New Roman" w:hAnsi="Times New Roman" w:eastAsia="仿宋_GB2312" w:cs="Times New Roman"/>
          <w:sz w:val="32"/>
          <w:szCs w:val="32"/>
        </w:rPr>
        <w:t>加快推动高端医疗器械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sz w:val="32"/>
          <w:szCs w:val="32"/>
        </w:rPr>
        <w:t>生物药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sz w:val="32"/>
          <w:szCs w:val="32"/>
        </w:rPr>
        <w:t>仿制药和中药等一批重点项目落地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。进一步完善生物医药产业基地公共服务水平和成果转化能力，营造产城融合的创新生态。</w:t>
      </w:r>
      <w:r>
        <w:rPr>
          <w:rFonts w:ascii="Times New Roman" w:hAnsi="Times New Roman" w:eastAsia="仿宋_GB2312" w:cs="Times New Roman"/>
          <w:sz w:val="32"/>
          <w:szCs w:val="32"/>
        </w:rPr>
        <w:t>打造具有世界影响力的医药健康前沿转化高地、中国药谷和健康新城。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楷体_GB2312" w:cs="Times New Roman"/>
          <w:sz w:val="32"/>
          <w:szCs w:val="32"/>
        </w:rPr>
      </w:pPr>
      <w:bookmarkStart w:id="3" w:name="_Toc724578580"/>
      <w:r>
        <w:rPr>
          <w:rFonts w:hint="eastAsia" w:ascii="Times New Roman" w:hAnsi="Times New Roman" w:eastAsia="楷体_GB2312" w:cs="Times New Roman"/>
          <w:sz w:val="32"/>
          <w:szCs w:val="32"/>
        </w:rPr>
        <w:t>（三）新媒体组团——产业融合新示范</w:t>
      </w:r>
      <w:bookmarkEnd w:id="3"/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以新媒体产业基地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为主体</w:t>
      </w:r>
      <w:r>
        <w:rPr>
          <w:rFonts w:ascii="Times New Roman" w:hAnsi="Times New Roman" w:eastAsia="仿宋_GB2312" w:cs="Times New Roman"/>
          <w:sz w:val="32"/>
          <w:szCs w:val="32"/>
        </w:rPr>
        <w:t>，拓展西红门部分镇域空间为主要载体，推动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数字经济和实体经济深度融合</w:t>
      </w:r>
      <w:r>
        <w:rPr>
          <w:rFonts w:ascii="Times New Roman" w:hAnsi="Times New Roman" w:eastAsia="仿宋_GB2312" w:cs="Times New Roman"/>
          <w:sz w:val="32"/>
          <w:szCs w:val="32"/>
        </w:rPr>
        <w:t>，打造新媒体组团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。积极</w:t>
      </w:r>
      <w:r>
        <w:rPr>
          <w:rFonts w:ascii="Times New Roman" w:hAnsi="Times New Roman" w:eastAsia="仿宋_GB2312" w:cs="Times New Roman"/>
          <w:sz w:val="32"/>
          <w:szCs w:val="32"/>
        </w:rPr>
        <w:t>发展数字创意与设计、新一代视听产业等新一代信息技术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加快建设数字经济产业集群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  <w:r>
        <w:rPr>
          <w:rFonts w:ascii="Times New Roman" w:hAnsi="Times New Roman" w:eastAsia="仿宋_GB2312" w:cs="Times New Roman"/>
          <w:sz w:val="32"/>
          <w:szCs w:val="32"/>
        </w:rPr>
        <w:t>完善创新创业孵化平台和公共服务</w:t>
      </w:r>
      <w:r>
        <w:rPr>
          <w:rFonts w:hint="eastAsia" w:ascii="仿宋_GB2312" w:hAnsi="Times New Roman" w:eastAsia="仿宋_GB2312" w:cs="Times New Roman"/>
          <w:sz w:val="32"/>
          <w:szCs w:val="32"/>
        </w:rPr>
        <w:t>体系，提</w:t>
      </w:r>
      <w:r>
        <w:rPr>
          <w:rFonts w:ascii="仿宋_GB2312" w:hAnsi="Times New Roman" w:eastAsia="仿宋_GB2312" w:cs="Times New Roman"/>
          <w:sz w:val="32"/>
          <w:szCs w:val="32"/>
        </w:rPr>
        <w:t>高</w:t>
      </w:r>
      <w:r>
        <w:rPr>
          <w:rFonts w:hint="eastAsia" w:ascii="仿宋_GB2312" w:hAnsi="Times New Roman" w:eastAsia="仿宋_GB2312" w:cs="Times New Roman"/>
          <w:sz w:val="32"/>
          <w:szCs w:val="32"/>
        </w:rPr>
        <w:t>创新成果承</w:t>
      </w:r>
      <w:r>
        <w:rPr>
          <w:rFonts w:ascii="Times New Roman" w:hAnsi="Times New Roman" w:eastAsia="仿宋_GB2312" w:cs="Times New Roman"/>
          <w:sz w:val="32"/>
          <w:szCs w:val="32"/>
        </w:rPr>
        <w:t>接与转化能力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，加强</w:t>
      </w:r>
      <w:r>
        <w:rPr>
          <w:rFonts w:ascii="Times New Roman" w:hAnsi="Times New Roman" w:eastAsia="仿宋_GB2312" w:cs="Times New Roman"/>
          <w:sz w:val="32"/>
          <w:szCs w:val="32"/>
        </w:rPr>
        <w:t>科技服务业对区域产业链支撑服务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  <w:r>
        <w:rPr>
          <w:rFonts w:ascii="Times New Roman" w:hAnsi="Times New Roman" w:eastAsia="仿宋_GB2312" w:cs="Times New Roman"/>
          <w:sz w:val="32"/>
          <w:szCs w:val="32"/>
        </w:rPr>
        <w:t>做强楼宇经济，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支持</w:t>
      </w:r>
      <w:r>
        <w:rPr>
          <w:rFonts w:ascii="Times New Roman" w:hAnsi="Times New Roman" w:eastAsia="仿宋_GB2312" w:cs="Times New Roman"/>
          <w:sz w:val="32"/>
          <w:szCs w:val="32"/>
        </w:rPr>
        <w:t>科技、信息技术、文化、金融等现代服务业与先进制造业深度融合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推动两业融合高质量发展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，打造千亿级数字文化融合发展示范区。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楷体_GB2312" w:cs="Times New Roman"/>
          <w:sz w:val="32"/>
          <w:szCs w:val="32"/>
        </w:rPr>
      </w:pPr>
      <w:bookmarkStart w:id="4" w:name="_Toc219136930"/>
      <w:r>
        <w:rPr>
          <w:rFonts w:hint="eastAsia" w:ascii="Times New Roman" w:hAnsi="Times New Roman" w:eastAsia="楷体_GB2312" w:cs="Times New Roman"/>
          <w:sz w:val="32"/>
          <w:szCs w:val="32"/>
        </w:rPr>
        <w:t>（四）中日创新合作组团——高端智造新载体</w:t>
      </w:r>
      <w:bookmarkEnd w:id="4"/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以北京中日创新合作示范区为主体，</w:t>
      </w:r>
      <w:r>
        <w:rPr>
          <w:rFonts w:ascii="Times New Roman" w:hAnsi="Times New Roman" w:eastAsia="仿宋_GB2312" w:cs="Times New Roman"/>
          <w:sz w:val="32"/>
          <w:szCs w:val="32"/>
        </w:rPr>
        <w:t>依托西红门工业区及集建地5、6号地、瀛海镇工业区及集建地、黄村镇孙村工业区及东南工业区、青云店集建地等承载空间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打造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中日</w:t>
      </w:r>
      <w:r>
        <w:rPr>
          <w:rFonts w:ascii="Times New Roman" w:hAnsi="Times New Roman" w:eastAsia="仿宋_GB2312" w:cs="Times New Roman"/>
          <w:sz w:val="32"/>
          <w:szCs w:val="32"/>
        </w:rPr>
        <w:t>创新合作组团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。依托大兴国际氢能示范区推动燃料电池汽车示范城市群建设。围绕区域全面经济伙伴关系协定集聚中日国际交往资源要素、优化开放协同创新创业生态，探索推进中日双向投资升级。</w:t>
      </w:r>
      <w:r>
        <w:rPr>
          <w:rFonts w:ascii="Times New Roman" w:hAnsi="Times New Roman" w:eastAsia="仿宋_GB2312" w:cs="Times New Roman"/>
          <w:sz w:val="32"/>
          <w:szCs w:val="32"/>
        </w:rPr>
        <w:t>聚焦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氢能、智能装备、第三代半导体、高端医疗器械等高端智造环节以及</w:t>
      </w:r>
      <w:r>
        <w:rPr>
          <w:rFonts w:ascii="Times New Roman" w:hAnsi="Times New Roman" w:eastAsia="仿宋_GB2312" w:cs="Times New Roman"/>
          <w:sz w:val="32"/>
          <w:szCs w:val="32"/>
        </w:rPr>
        <w:t>科技服务业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，推进产业链供应链紧密协同，</w:t>
      </w:r>
      <w:r>
        <w:rPr>
          <w:rFonts w:ascii="Times New Roman" w:hAnsi="Times New Roman" w:eastAsia="仿宋_GB2312" w:cs="Times New Roman"/>
          <w:sz w:val="32"/>
          <w:szCs w:val="32"/>
        </w:rPr>
        <w:t>面向国际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</w:t>
      </w:r>
      <w:r>
        <w:rPr>
          <w:rFonts w:ascii="Times New Roman" w:hAnsi="Times New Roman" w:eastAsia="仿宋_GB2312" w:cs="Times New Roman"/>
          <w:sz w:val="32"/>
          <w:szCs w:val="32"/>
        </w:rPr>
        <w:t>特别是日本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</w:t>
      </w:r>
      <w:r>
        <w:rPr>
          <w:rFonts w:ascii="Times New Roman" w:hAnsi="Times New Roman" w:eastAsia="仿宋_GB2312" w:cs="Times New Roman"/>
          <w:sz w:val="32"/>
          <w:szCs w:val="32"/>
        </w:rPr>
        <w:t>引入一批企业总部、技术研发中心和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单项</w:t>
      </w:r>
      <w:r>
        <w:rPr>
          <w:rFonts w:ascii="Times New Roman" w:hAnsi="Times New Roman" w:eastAsia="仿宋_GB2312" w:cs="Times New Roman"/>
          <w:sz w:val="32"/>
          <w:szCs w:val="32"/>
        </w:rPr>
        <w:t>冠军企业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  <w:r>
        <w:rPr>
          <w:rFonts w:ascii="Times New Roman" w:hAnsi="Times New Roman" w:eastAsia="仿宋_GB2312" w:cs="Times New Roman"/>
          <w:sz w:val="32"/>
          <w:szCs w:val="32"/>
        </w:rPr>
        <w:t>打造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具有全球影响力的国际协同创新与产业合作发展示范区、中日两国合作展示窗口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954905" cy="4646295"/>
            <wp:effectExtent l="0" t="0" r="1079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sz w:val="32"/>
          <w:szCs w:val="32"/>
        </w:rPr>
        <w:t>高精尖产业“四组团”布局图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发挥毗邻北京经济技术开发区高精尖产业主阵地区位优势，围绕亦庄新城建设，聚焦大健康、新一代信息技术等重点领域加强产业衔接，提高产业配套和生活配套水平，推动亦庄镇、旧宫镇、瀛海镇、长子营镇、采育镇、青云店镇等镇级园区与北京经济技术开发区协同发展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992A88"/>
    <w:rsid w:val="4399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2022-03-04T07:17:00Z</dcterms:created>
  <dc:creator>米露露</dc:creator>
  <cp:lastModifiedBy>米露露</cp:lastModifiedBy>
  <dcterms:modified xsi:type="dcterms:W3CDTF">2022-03-04T07:17:22Z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61513E509B264CB2B282F6FFE58AEC85</vt:lpwstr>
  </property>
</Properties>
</file>