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640"/>
        <w:outlineLvl w:val="0"/>
        <w:rPr>
          <w:rFonts w:ascii="Times New Roman" w:hAnsi="Times New Roman" w:eastAsia="黑体" w:cs="Times New Roman"/>
          <w:sz w:val="32"/>
          <w:szCs w:val="32"/>
        </w:rPr>
      </w:pPr>
      <w:bookmarkStart w:id="3" w:name="_GoBack"/>
      <w:bookmarkStart w:id="0" w:name="_Toc1540554490"/>
      <w:r>
        <w:rPr>
          <w:rFonts w:hint="eastAsia" w:ascii="Times New Roman" w:hAnsi="Times New Roman" w:eastAsia="黑体" w:cs="Times New Roman"/>
          <w:sz w:val="32"/>
          <w:szCs w:val="32"/>
        </w:rPr>
        <w:t>七、增强产业承载能力筑牢发展新根基</w:t>
      </w:r>
      <w:bookmarkEnd w:id="0"/>
    </w:p>
    <w:bookmarkEnd w:id="3"/>
    <w:p>
      <w:pPr>
        <w:spacing w:line="560" w:lineRule="exact"/>
        <w:ind w:firstLine="640" w:firstLineChars="200"/>
        <w:outlineLvl w:val="1"/>
        <w:rPr>
          <w:rFonts w:ascii="Times New Roman" w:hAnsi="Times New Roman" w:eastAsia="楷体_GB2312" w:cs="Times New Roman"/>
          <w:sz w:val="32"/>
          <w:szCs w:val="32"/>
        </w:rPr>
      </w:pPr>
      <w:bookmarkStart w:id="1" w:name="_Toc2137386989"/>
      <w:r>
        <w:rPr>
          <w:rFonts w:hint="eastAsia" w:ascii="Times New Roman" w:hAnsi="Times New Roman" w:eastAsia="楷体_GB2312" w:cs="Times New Roman"/>
          <w:sz w:val="32"/>
          <w:szCs w:val="32"/>
        </w:rPr>
        <w:t>（一）夯实产业基础设施</w:t>
      </w:r>
      <w:bookmarkEnd w:id="1"/>
    </w:p>
    <w:p>
      <w:pPr>
        <w:spacing w:line="560" w:lineRule="exact"/>
        <w:ind w:firstLine="643" w:firstLineChars="200"/>
        <w:textAlignment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完善园区载体建设</w:t>
      </w:r>
      <w:r>
        <w:rPr>
          <w:rFonts w:ascii="Times New Roman" w:hAnsi="Times New Roman" w:eastAsia="仿宋_GB2312" w:cs="Times New Roman"/>
          <w:sz w:val="32"/>
          <w:szCs w:val="32"/>
        </w:rPr>
        <w:t>。发挥园区产业载体核心功能，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引导</w:t>
      </w:r>
      <w:r>
        <w:rPr>
          <w:rFonts w:ascii="Times New Roman" w:hAnsi="Times New Roman" w:eastAsia="仿宋_GB2312" w:cs="Times New Roman"/>
          <w:sz w:val="32"/>
          <w:szCs w:val="32"/>
        </w:rPr>
        <w:t>高精尖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</w:t>
      </w:r>
      <w:r>
        <w:rPr>
          <w:rFonts w:ascii="Times New Roman" w:hAnsi="Times New Roman" w:eastAsia="仿宋_GB2312" w:cs="Times New Roman"/>
          <w:sz w:val="32"/>
          <w:szCs w:val="32"/>
        </w:rPr>
        <w:t>业入园发展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。推动</w:t>
      </w:r>
      <w:r>
        <w:rPr>
          <w:rFonts w:ascii="Times New Roman" w:hAnsi="Times New Roman" w:eastAsia="仿宋_GB2312" w:cs="Times New Roman"/>
          <w:sz w:val="32"/>
          <w:szCs w:val="32"/>
        </w:rPr>
        <w:t>生物医药基地和新媒体基地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跨入</w:t>
      </w:r>
      <w:r>
        <w:rPr>
          <w:rFonts w:ascii="Times New Roman" w:hAnsi="Times New Roman" w:eastAsia="仿宋_GB2312" w:cs="Times New Roman"/>
          <w:sz w:val="32"/>
          <w:szCs w:val="32"/>
        </w:rPr>
        <w:t>千亿级园区行列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加快推进临空经济区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（大兴）、中日创新合作示范区、大兴国际氢能示范区建设，培育孵化商业航天基地</w:t>
      </w:r>
      <w:r>
        <w:rPr>
          <w:rFonts w:ascii="Times New Roman" w:hAnsi="Times New Roman" w:eastAsia="仿宋_GB2312" w:cs="Times New Roman"/>
          <w:sz w:val="32"/>
          <w:szCs w:val="32"/>
        </w:rPr>
        <w:t>。持续深入推进临空经济区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（大兴）</w:t>
      </w:r>
      <w:r>
        <w:rPr>
          <w:rFonts w:ascii="Times New Roman" w:hAnsi="Times New Roman" w:eastAsia="仿宋_GB2312" w:cs="Times New Roman"/>
          <w:sz w:val="32"/>
          <w:szCs w:val="32"/>
        </w:rPr>
        <w:t>开发建设，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实施临空经济区三年行动计划，坚持职住平衡，</w:t>
      </w:r>
      <w:r>
        <w:rPr>
          <w:rFonts w:ascii="Times New Roman" w:hAnsi="Times New Roman" w:eastAsia="仿宋_GB2312" w:cs="Times New Roman"/>
          <w:sz w:val="32"/>
          <w:szCs w:val="32"/>
        </w:rPr>
        <w:t>高品质、高标准完成交通网络、综合管廊、水电气站等基础设施建设及运营工作，超前布局一批先进适用的智能基础设施。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做好生物医药产业基地</w:t>
      </w:r>
      <w:r>
        <w:rPr>
          <w:rFonts w:ascii="Times New Roman" w:hAnsi="Times New Roman" w:eastAsia="仿宋_GB2312" w:cs="Times New Roman"/>
          <w:sz w:val="32"/>
          <w:szCs w:val="32"/>
        </w:rPr>
        <w:t>9.1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平方公里扩区工作，加快扩区起步区规划实施，推动首都医科大学建设，完善物流、居住、商业、文化中心等生产生活配套体系。</w:t>
      </w:r>
      <w:r>
        <w:rPr>
          <w:rFonts w:ascii="Times New Roman" w:hAnsi="Times New Roman" w:eastAsia="仿宋_GB2312" w:cs="Times New Roman"/>
          <w:sz w:val="32"/>
          <w:szCs w:val="32"/>
        </w:rPr>
        <w:t>支持新媒体产业基地存量土地再利用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，着力</w:t>
      </w:r>
      <w:r>
        <w:rPr>
          <w:rFonts w:ascii="Times New Roman" w:hAnsi="Times New Roman" w:eastAsia="仿宋_GB2312" w:cs="Times New Roman"/>
          <w:sz w:val="32"/>
          <w:szCs w:val="32"/>
        </w:rPr>
        <w:t>推动一批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老旧厂房转型、孵化器品质提升等项目建设，谋划并开放一批数字经济创新应用场景。制定北京中日创新合作示范区三年行动计划，对标国际创新创业生态体系，加快中日创新合作示范区起步区建设，打造具有国际化水平的类海外环境和城市微中心；推动大兴国际氢能示范区加氢站、氢能科技园和氢能产业创新中心等重大项目建设。加快商业航天基地起步区开发建设，吸引商业航天头部企业和重点项目落地。</w:t>
      </w:r>
      <w:r>
        <w:rPr>
          <w:rFonts w:ascii="Times New Roman" w:hAnsi="Times New Roman" w:eastAsia="仿宋_GB2312" w:cs="Times New Roman"/>
          <w:sz w:val="32"/>
          <w:szCs w:val="32"/>
        </w:rPr>
        <w:t>完善镇级工业园区基础设施短板，支持镇级工业园引进专业化园区运营商，提升园区基础设施和公共服务水平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vAlign w:val="top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专栏8. 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园区筑基升级工程</w:t>
            </w:r>
          </w:p>
          <w:p>
            <w:pPr>
              <w:spacing w:line="560" w:lineRule="exact"/>
              <w:ind w:firstLine="560" w:firstLineChars="200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研究设立区级园区基础建设配套专项资金，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以中日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创新合作示范区、临空经济区（大兴）、生物医药产业基地为重点，兼顾新媒体产业基地和镇级工业园，加大园区基础设施配套建设投入，用于园区供水、排水、供电、道路、供气、供热、通讯等基础设施以及标准厂房建设等。根据园区当年基础设施投资（含标准厂房建设）总额按照一定比例给予支持，同时积极争取市级财政资金支持。重点支持并推动综合保税区一期、北京大兴国际机场东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西再生水厂、生物医药产业基地南北扩区主次道路网及市政管网、天堂河再生水厂扩建、中日创新合作示范区人才公寓等园区基础设施和配套设施建设。</w:t>
            </w:r>
          </w:p>
        </w:tc>
      </w:tr>
    </w:tbl>
    <w:p>
      <w:pPr>
        <w:spacing w:line="560" w:lineRule="exact"/>
        <w:ind w:firstLine="643" w:firstLineChars="200"/>
        <w:textAlignment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加快推进“新基建”。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落</w:t>
      </w:r>
      <w:r>
        <w:rPr>
          <w:rFonts w:ascii="Times New Roman" w:hAnsi="Times New Roman" w:eastAsia="仿宋_GB2312" w:cs="Times New Roman"/>
          <w:sz w:val="32"/>
          <w:szCs w:val="32"/>
        </w:rPr>
        <w:t>实《北京市加快新型基础设施建设行动方案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2020-2022年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》各项要求，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加快</w:t>
      </w:r>
      <w:r>
        <w:rPr>
          <w:rFonts w:ascii="Times New Roman" w:hAnsi="Times New Roman" w:eastAsia="仿宋_GB2312" w:cs="Times New Roman"/>
          <w:sz w:val="32"/>
          <w:szCs w:val="32"/>
        </w:rPr>
        <w:t>完善新型基础设施建设。在大兴区新型智慧城市建设行动基础上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</w:t>
      </w:r>
      <w:r>
        <w:rPr>
          <w:rFonts w:ascii="Times New Roman" w:hAnsi="Times New Roman" w:eastAsia="仿宋_GB2312" w:cs="Times New Roman"/>
          <w:sz w:val="32"/>
          <w:szCs w:val="32"/>
        </w:rPr>
        <w:t>全域场景创新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加快双千兆网络建设，推进千兆光纤宽带向机构单位、工业企业、产业园区延伸覆盖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统筹部署泛在感知设施，推进NB-IoT、eMTC等物联网技术商用部署和业务测试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建成网络基础稳固、数据智能融合、产业生态完善、平台创新活跃、应用智慧丰富、安全可信可控的新型基础设施。</w:t>
      </w:r>
    </w:p>
    <w:p>
      <w:pPr>
        <w:spacing w:line="560" w:lineRule="exact"/>
        <w:ind w:firstLine="640" w:firstLineChars="200"/>
        <w:outlineLvl w:val="1"/>
        <w:rPr>
          <w:rFonts w:ascii="Times New Roman" w:hAnsi="Times New Roman" w:eastAsia="楷体_GB2312" w:cs="Times New Roman"/>
          <w:sz w:val="32"/>
          <w:szCs w:val="32"/>
        </w:rPr>
      </w:pPr>
      <w:bookmarkStart w:id="2" w:name="_Toc1149688210"/>
      <w:r>
        <w:rPr>
          <w:rFonts w:hint="eastAsia" w:ascii="Times New Roman" w:hAnsi="Times New Roman" w:eastAsia="楷体_GB2312" w:cs="Times New Roman"/>
          <w:sz w:val="32"/>
          <w:szCs w:val="32"/>
        </w:rPr>
        <w:t>（二）提高土地利用效率</w:t>
      </w:r>
      <w:bookmarkEnd w:id="2"/>
    </w:p>
    <w:p>
      <w:pPr>
        <w:spacing w:line="560" w:lineRule="exact"/>
        <w:ind w:firstLine="643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实行土地全生命周期管理。</w:t>
      </w:r>
      <w:r>
        <w:rPr>
          <w:rFonts w:hint="eastAsia" w:ascii="仿宋_GB2312" w:eastAsia="仿宋_GB2312"/>
          <w:sz w:val="32"/>
          <w:szCs w:val="32"/>
        </w:rPr>
        <w:t>结合产业发展定位和高精尖企业指数体系，动态调整并完善高精尖项目落地实施准入标准，作为产业用地供应的前置条件。全面推行企业投资项目承诺制，实行全生命周期管理，通过履约监管协议加强产业用地项目评估，确保产业用地高效利用。发挥工业和科研用地入区联审联席会议作用，建立并完善区级联审监测评估机制，建立多部门联动机制，对规划调整、用途改变、资产转移、企业变更等行为进行联合管控。</w:t>
      </w:r>
    </w:p>
    <w:p>
      <w:pPr>
        <w:spacing w:line="560" w:lineRule="exact"/>
        <w:ind w:firstLine="643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盘活存量低效用地。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据人均产值、地均产出以及能耗、水耗、排污等效益、环境方面的指标，建立完善低效用地评价标准体系。全面梳理产业园区、国有企业、农村集体建设用地利用状况，摸清低效用地底数，划定低效用地范围，建立低效用地数据库。积极探索与驻区央企、市属国有企业协同推进低效存量用地再利用的有效途径。加强低效用地再开发及后续监管，推动低效用地盘活利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9325D"/>
    <w:rsid w:val="2B7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2022-03-04T07:18:00Z</dcterms:created>
  <dc:creator>米露露</dc:creator>
  <cp:lastModifiedBy>米露露</cp:lastModifiedBy>
  <dcterms:modified xsi:type="dcterms:W3CDTF">2022-03-04T07:19:02Z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33A3AC3223C3464985A50760B34C9D44</vt:lpwstr>
  </property>
</Properties>
</file>