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0" w:name="_Toc1704021508"/>
      <w:bookmarkStart w:id="5" w:name="_GoBack"/>
      <w:r>
        <w:rPr>
          <w:rFonts w:hint="eastAsia" w:ascii="Times New Roman" w:hAnsi="Times New Roman" w:eastAsia="黑体" w:cs="Times New Roman"/>
          <w:sz w:val="32"/>
          <w:szCs w:val="32"/>
        </w:rPr>
        <w:t>八、保障措施</w:t>
      </w:r>
      <w:bookmarkEnd w:id="0"/>
    </w:p>
    <w:bookmarkEnd w:id="5"/>
    <w:p>
      <w:pPr>
        <w:spacing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sz w:val="32"/>
          <w:szCs w:val="32"/>
        </w:rPr>
      </w:pPr>
      <w:bookmarkStart w:id="1" w:name="_Toc1736992679"/>
      <w:r>
        <w:rPr>
          <w:rFonts w:hint="eastAsia" w:ascii="Times New Roman" w:hAnsi="Times New Roman" w:eastAsia="楷体_GB2312" w:cs="Times New Roman"/>
          <w:sz w:val="32"/>
          <w:szCs w:val="32"/>
        </w:rPr>
        <w:t>（一）加强组织保障</w:t>
      </w:r>
      <w:bookmarkEnd w:id="1"/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统一组织领导。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托投资促进工作领导小组，建立由区领导挂帅，多部门共同参与的联席会制度，加大产业推进和项目调度力度。依托“四个一批”重大项目，建立高精尖产业项目“挂图推进”机制，按照“挂图作战、压实责任、倒排工期”的要求加快推动现有项目建成达产，确保重大项目能落地、早落地、快落地。围绕医药健康、氢能、商业航天等重点方向探索建立市场化产业促进和项目服务平台，组建专业化产业经理人团队和企业服务队伍。建立健全由产业主管部门牵头的区级招商引资组织架构体系，探索建立项目引进“一盘棋”机制。</w:t>
      </w:r>
    </w:p>
    <w:p>
      <w:pPr>
        <w:spacing w:line="560" w:lineRule="exact"/>
        <w:ind w:firstLine="643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加强园区统筹。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加强大兴园对全区产业发展的统筹管理能力，成立政府专职园区管理部门，建立健全全区园区统筹管理体系，形成“园区统筹部门、组团统筹乡镇、区域产业协同”的统筹发展机制。发挥</w:t>
      </w:r>
      <w:r>
        <w:rPr>
          <w:rFonts w:ascii="Times New Roman" w:hAnsi="Times New Roman" w:eastAsia="仿宋_GB2312" w:cs="Times New Roman"/>
          <w:sz w:val="32"/>
          <w:szCs w:val="32"/>
        </w:rPr>
        <w:t>中关村大兴园专职园区管理部门统筹作用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，加强重大项目区级统筹，指导各园区载体围绕自身产业定位开展针对性的招商引资工作。探索</w:t>
      </w:r>
      <w:r>
        <w:rPr>
          <w:rFonts w:ascii="Times New Roman" w:hAnsi="Times New Roman" w:eastAsia="仿宋_GB2312" w:cs="Times New Roman"/>
          <w:sz w:val="32"/>
          <w:szCs w:val="32"/>
        </w:rPr>
        <w:t>建立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园区管委和镇政府的利益共享新机制，支持园区管委统筹组团周边镇级工业园区规划、管理、招商等产业发展各项工作。</w:t>
      </w:r>
    </w:p>
    <w:p>
      <w:pPr>
        <w:spacing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sz w:val="32"/>
          <w:szCs w:val="32"/>
        </w:rPr>
      </w:pPr>
      <w:bookmarkStart w:id="2" w:name="_Toc1809640597"/>
      <w:r>
        <w:rPr>
          <w:rFonts w:hint="eastAsia" w:ascii="Times New Roman" w:hAnsi="Times New Roman" w:eastAsia="楷体_GB2312" w:cs="Times New Roman"/>
          <w:sz w:val="32"/>
          <w:szCs w:val="32"/>
        </w:rPr>
        <w:t>（二）加大要素保障</w:t>
      </w:r>
      <w:bookmarkEnd w:id="2"/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加大金融支持。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筹现有政策，通过直投、补贴、奖励等多种方式对重点领域的重大项目落地、关键核心技术攻关、重大兼并重组、创新成果转化给予支持。发挥财政资金的杠杆效应，进一步完善“母子基金+直投基金”为核心的产业基金体系。用好大兴区高精尖产业引导基金、北京建兴医疗健康产业股权投资基金、氢能产业基金等，引导和鼓励大兴区现有产业发展基金加大对高精尖企业支持力度，撬动社会资本支持高精尖产业发展。研究设立区级园区基础建设配套专项资金，支持园区基础设施改造升级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强化用地保障。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土地规划统筹研究，加快推动标准厂房等载体建设，优先安排符合本市高精尖产业目录和标准的项目的产业用地，做到“房等项目，地等项目”。探索对已征未建及未征的闲散边角建设用地的规划整合，通过与园区建设用地指标调剂、置换等方式</w:t>
      </w:r>
      <w:r>
        <w:rPr>
          <w:rFonts w:ascii="Times New Roman" w:hAnsi="Times New Roman" w:eastAsia="仿宋_GB2312" w:cs="Times New Roman"/>
          <w:sz w:val="32"/>
          <w:szCs w:val="32"/>
        </w:rPr>
        <w:t>实现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土地集中集约利用。研究制定高精尖产业多样化供地模式，支持租赁、弹性出让等多种方式满足高精尖企业用地多样化需求，探索工业园区、工业厂房分割销售制度。利用大兴区集体经营性建设用地入市试点契机，探索集体建设用地使用权入股、联营等方式拓展高精尖产业承载空间。降低产业用地成本，研究完善土地开发成本的分摊规则，高精尖产业项目用地分摊成本不超过园区平均土地成本的70%。探索实施产业用地标准化改革，推出一批完成区域综合评估、明确项目准入标准、市政配套完善的高精尖产业用地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建设人才队伍。</w:t>
      </w:r>
      <w:r>
        <w:rPr>
          <w:rFonts w:ascii="Times New Roman" w:hAnsi="Times New Roman" w:eastAsia="仿宋_GB2312" w:cs="Times New Roman"/>
          <w:sz w:val="32"/>
          <w:szCs w:val="32"/>
        </w:rPr>
        <w:t>面向高精尖产业发展需求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建立以企业家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产业领军人才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科技创新人才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专业技术人才为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主体</w:t>
      </w:r>
      <w:r>
        <w:rPr>
          <w:rFonts w:ascii="Times New Roman" w:hAnsi="Times New Roman" w:eastAsia="仿宋_GB2312" w:cs="Times New Roman"/>
          <w:sz w:val="32"/>
          <w:szCs w:val="32"/>
        </w:rPr>
        <w:t>的多层次人才体系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，面向全球</w:t>
      </w:r>
      <w:r>
        <w:rPr>
          <w:rFonts w:ascii="Times New Roman" w:hAnsi="Times New Roman" w:eastAsia="仿宋_GB2312" w:cs="Times New Roman"/>
          <w:sz w:val="32"/>
          <w:szCs w:val="32"/>
        </w:rPr>
        <w:t>引进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培育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储备一批能力强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水平高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具有国际化视野的高层次人才队伍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。用好“新国门十六条”、“兴十条”等人才支持政策，面向全球引入一批高</w:t>
      </w:r>
      <w:r>
        <w:rPr>
          <w:rFonts w:ascii="Times New Roman" w:hAnsi="Times New Roman" w:eastAsia="仿宋_GB2312" w:cs="Times New Roman"/>
          <w:sz w:val="32"/>
          <w:szCs w:val="32"/>
        </w:rPr>
        <w:t>层次企业家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产业领军人才和科技创新人才。建立并完善人才服务“直通车”制度，通过“一站式受理、统一化建档、专员式办结、跟踪式服务”模式提供全方位人才服务，确保各类人才“引得来、留得住、用得好”。加强专业技术人才培养，建立以产业需求为导向的人才培养机制，支持重点企业与区内乃至全市范围内高校联合建立人才培养基地、设立产学研人才社区等，完善产学研用结合的协同育人模式。</w:t>
      </w:r>
    </w:p>
    <w:p>
      <w:pPr>
        <w:spacing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sz w:val="32"/>
          <w:szCs w:val="32"/>
        </w:rPr>
      </w:pPr>
      <w:bookmarkStart w:id="3" w:name="_Toc1822992442"/>
      <w:r>
        <w:rPr>
          <w:rFonts w:hint="eastAsia" w:ascii="Times New Roman" w:hAnsi="Times New Roman" w:eastAsia="楷体_GB2312" w:cs="Times New Roman"/>
          <w:sz w:val="32"/>
          <w:szCs w:val="32"/>
        </w:rPr>
        <w:t>（三）优化营商环境</w:t>
      </w:r>
      <w:bookmarkEnd w:id="3"/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提高政务服务质量。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立足企业办事疼点难点，高效率统筹政务服务资源，持续提升政务服务水平。把牢“一次不用跑”和“最多跑一次”改革龙头，通过“制度创新+信息技术”，推动政务流程再造、政府管理体制变革。推进投资审批承诺制改革，持续深化规划用地“多审合一、多证合一”改革举措，探索基于风险等级的分类审批模式，对无风险、低风险和一般风险事项分别实行“非禁免批”“简化审批”和“告知承诺”制。在“一云两平台+N应用”的总体框架下，完善大兴区政务云，建立统一智慧政务平台，实现一网通办。加快推动临空经济区（大兴）与国际接轨，打造世界一流的营商环境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提高企业服务水平。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化全区企业发展服务工作“一盘棋”理念，构建全区统一领导，各部门、各单位、各镇（街道）、各园区管委会合理推进企业发展服务体系。畅通政企交流渠道，建立开放互动、形式多样的政企交流平台，及时了解区内高精尖企业发展和项目建设过程中存在的问题，主动靠前服务。建立并完善企业诉求分级处置、服务满意度评价等机制，形成以企业问题为导向、多级统筹联动的服务工作体系。进一步完善“服务包”工作机制，加强“企业管家”和“项目管家”的服务能力，找准企业发展痛点，定制“访送扶助”服务包，综合运用政策工具与市场化手段，组织专业团队进行“点穴式”精准帮扶。创新企业发展支持方式，探索通过搭建和挖潜应用场景，为企业创新、成果转化提供“试验田”平台。</w:t>
      </w:r>
    </w:p>
    <w:p>
      <w:pPr>
        <w:spacing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sz w:val="32"/>
          <w:szCs w:val="32"/>
        </w:rPr>
      </w:pPr>
      <w:bookmarkStart w:id="4" w:name="_Toc1315878940"/>
      <w:r>
        <w:rPr>
          <w:rFonts w:hint="eastAsia" w:ascii="Times New Roman" w:hAnsi="Times New Roman" w:eastAsia="楷体_GB2312" w:cs="Times New Roman"/>
          <w:sz w:val="32"/>
          <w:szCs w:val="32"/>
        </w:rPr>
        <w:t>（四）强化考核引导</w:t>
      </w:r>
      <w:bookmarkEnd w:id="4"/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完善产业评价体系。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依托大兴区高精尖企业指数，选取地均税收、地均产值、劳动生产率等主要指标构建“亩均论英雄”的高精尖评价指标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建立完善智慧产业平台，运用大数据全面客观的跟踪监测分析重点企业的发展情况，根据评价结果对企业进行分类分档，对不同档次的企业在资金支持、人才指标等方面给予不同的政策支持。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强化规划引领落实。</w:t>
      </w:r>
      <w:r>
        <w:rPr>
          <w:rFonts w:hint="eastAsia" w:ascii="仿宋_GB2312" w:eastAsia="仿宋_GB2312"/>
          <w:sz w:val="32"/>
          <w:szCs w:val="32"/>
        </w:rPr>
        <w:t>坚持“三落一提”基本要求，强化规划引领作用，维护规划的严肃性、权威性，确保规划落实落地。加强</w:t>
      </w:r>
      <w:r>
        <w:rPr>
          <w:rFonts w:ascii="仿宋_GB2312" w:eastAsia="仿宋_GB2312"/>
          <w:sz w:val="32"/>
          <w:szCs w:val="32"/>
        </w:rPr>
        <w:t>规划实施过程管理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分解规划年度目标和主要任务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明确牵头部门和工作责任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制定年度行动计划</w:t>
      </w:r>
      <w:r>
        <w:rPr>
          <w:rFonts w:hint="eastAsia" w:ascii="仿宋_GB2312" w:eastAsia="仿宋_GB2312"/>
          <w:sz w:val="32"/>
          <w:szCs w:val="32"/>
        </w:rPr>
        <w:t>，按照工作内容、目标、时限、主体“四个明确”建账落图，坚决推动规划部署落实。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建立规划动态调整和升级机制，加大规划落实情况跟踪力度，</w:t>
      </w:r>
      <w:r>
        <w:rPr>
          <w:rFonts w:ascii="仿宋_GB2312" w:eastAsia="仿宋_GB2312"/>
          <w:sz w:val="32"/>
          <w:szCs w:val="32"/>
        </w:rPr>
        <w:t>组织第三方机构开展中期评估和终期实施评价</w:t>
      </w:r>
      <w:r>
        <w:rPr>
          <w:rFonts w:hint="eastAsia" w:ascii="仿宋_GB2312" w:eastAsia="仿宋_GB2312"/>
          <w:sz w:val="32"/>
          <w:szCs w:val="32"/>
        </w:rPr>
        <w:t>，根据评估结果及时调整并完善规划和有关政策内容。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加大政策宣传力度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导企业用好用实产业扶持政策，鼓励企业做强核心主业、做优产业链条，开展科技创新向“高精尖”转型升级，指导推进惠企政策落地。统筹做好大兴区高精尖产业发展工作的新闻宣传、政策解读和舆论引导，通过网络平台、微信公众号等多种方式开展规划宣传和政策解读，向社会释放强烈的高质量发展信号，积极争取各方合力参与规划实施。</w:t>
      </w:r>
    </w:p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27BD9"/>
    <w:rsid w:val="3A6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2022-03-04T07:19:00Z</dcterms:created>
  <dc:creator>米露露</dc:creator>
  <cp:lastModifiedBy>米露露</cp:lastModifiedBy>
  <dcterms:modified xsi:type="dcterms:W3CDTF">2022-03-04T07:19:30Z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870B0763CC4B4F0C8F382823DAAADA9B</vt:lpwstr>
  </property>
</Properties>
</file>