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7" w:name="_GoBack"/>
      <w:bookmarkStart w:id="0" w:name="OLE_LINK7"/>
      <w:r>
        <w:rPr>
          <w:rFonts w:hint="eastAsia" w:ascii="方正小标宋简体" w:eastAsia="方正小标宋简体"/>
          <w:bCs/>
          <w:sz w:val="44"/>
          <w:szCs w:val="44"/>
        </w:rPr>
        <w:t>大兴区保障性住房装修标准</w:t>
      </w:r>
      <w:bookmarkEnd w:id="0"/>
      <w:bookmarkEnd w:id="7"/>
      <w:r>
        <w:rPr>
          <w:rFonts w:hint="eastAsia" w:ascii="方正小标宋简体" w:eastAsia="方正小标宋简体"/>
          <w:bCs/>
          <w:sz w:val="44"/>
          <w:szCs w:val="44"/>
        </w:rPr>
        <w:t>（暂行）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 总则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第一条  </w:t>
      </w:r>
      <w:bookmarkStart w:id="1" w:name="OLE_LINK1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为深入贯彻党的十八大和</w:t>
      </w:r>
      <w:bookmarkStart w:id="2" w:name="OLE_LINK13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十八届三中、四中、五中全会精神</w:t>
      </w:r>
      <w:bookmarkEnd w:id="2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，切实转变保障性住房建设模式，确保保障性住房工程质量，提高保障性住房品质</w:t>
      </w:r>
      <w:bookmarkEnd w:id="1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，让人民群众住上满意房、放心房，制定本标准。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第二条  本标准适用于大兴区范围内新建保障性住房建设项目。本标准所指保障性住房为</w:t>
      </w:r>
      <w:bookmarkStart w:id="3" w:name="OLE_LINK4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公共租赁住房、经济适用住房、限价商品住房、定向安置房及自住型商品住房。</w:t>
      </w:r>
      <w:bookmarkEnd w:id="3"/>
    </w:p>
    <w:p>
      <w:pPr>
        <w:spacing w:line="560" w:lineRule="exact"/>
        <w:ind w:firstLine="579" w:firstLineChars="181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第三条  除特殊要求外，大兴区保障性住房工程装修应以不低于同区域普通商品住房为标准，坚持安全、环保、节约、使用和经济原则，合理选用实用的建筑技术和建筑工程材料。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第四条  未作特殊要求区域，应满足国家、北京市现行相关规范、标准及设计要求。</w:t>
      </w:r>
    </w:p>
    <w:p>
      <w:pPr>
        <w:spacing w:line="560" w:lineRule="exact"/>
        <w:ind w:firstLine="66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第二章    公共租赁住房、经济适用住房、限价商品</w:t>
      </w:r>
    </w:p>
    <w:p>
      <w:pPr>
        <w:spacing w:line="560" w:lineRule="exact"/>
        <w:ind w:firstLine="66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住房工程装修标准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第五条  </w:t>
      </w:r>
      <w:bookmarkStart w:id="4" w:name="OLE_LINK5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根据</w:t>
      </w:r>
      <w:bookmarkStart w:id="5" w:name="OLE_LINK2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《关于在本市保障性住房中实施全装修成品交房有关意见的通知》(京建法〔2015〕17号)</w:t>
      </w:r>
      <w:bookmarkEnd w:id="5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，公共租赁住房装修标准详见《北京市公共租赁住房建设技术导则》、《北京市公共租赁住房标准设计图集》。经济适用住房、限价商品住房按照现行公共租赁住房装修标准实施装配式装修。</w:t>
      </w:r>
      <w:bookmarkEnd w:id="4"/>
    </w:p>
    <w:p>
      <w:pPr>
        <w:spacing w:line="56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第三章    定向安置房、自住型商品住房工程装修标准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第六条  定向安置房、自住型商品住房由开发建设单位编制装修方案,并依方案组织实施，鼓励采用装配式装修工艺，具体方式及内容通过安置协议或购房合同约定。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第七条  建设单位必须确保交房标准要与设计标准、合同标准、销售宣传内容相一致。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第八条  生活给水系统应充分利用市政给水管网的水压直接供水，需加压供水时，应当选用既节能、又保障用户水压稳定的给水加压设备。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第九条  生活水、中水、燃气、供电等计量应使用IC卡技术，实现计量付费一体化。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第十条  大兴区定向安置房、自住型商品住房应采取集中供热方式取暖，供暖热源应优先选用城市热力网，或选用清洁能源的集中供热方式；各楼栋供热入口均应配置热量计量装置，户内应设置温控装置，并应设置分户热计量或分配装置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第十一条  </w:t>
      </w:r>
      <w:bookmarkStart w:id="6" w:name="OLE_LINK8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定向安置房、自住型商品住房装修、设备安装标准</w:t>
      </w:r>
      <w:bookmarkEnd w:id="6"/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不低于1000元/</w:t>
      </w:r>
      <w:r>
        <w:rPr>
          <w:rFonts w:hint="eastAsia" w:ascii="仿宋_GB2312" w:hAnsi="宋体" w:cs="宋体"/>
          <w:color w:val="000000"/>
          <w:sz w:val="32"/>
          <w:szCs w:val="32"/>
          <w:shd w:val="clear" w:color="auto" w:fill="FFFFFF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且不能低于以下要求：</w:t>
      </w:r>
    </w:p>
    <w:p>
      <w:pPr>
        <w:widowControl/>
        <w:spacing w:line="560" w:lineRule="exact"/>
        <w:ind w:firstLine="482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ind w:firstLine="482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70"/>
        <w:gridCol w:w="453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部件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装修或选材要求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单元门（含地下室）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可视对讲，钢制电控防盗门（丙级防盗、甲级防火，门扇板材厚≥0.8mm，门框板材厚≥1.8mm，门框厚度≥100mm，门扇厚度≥50mm）。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国内知名产品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户门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钢制四防门（乙级防盗、甲级防火，门扇板材厚≥1.0mm，门框板材厚≥2.0mm，门框厚度≥100mm，门扇厚度≥50mm）。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外窗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中空玻璃断桥铝合金窗（窗壁厚≥1.4mm）。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楼梯间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墙面、顶棚：水性内墙耐擦洗环保涂料。楼梯间首层地面：防滑地砖；二层及以上楼梯间休息平台及踏步面：水泥压光地面。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未设置电梯的，楼梯间、踏步、休息平台地面做法为防滑地砖。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电梯间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墙面、顶棚：水性内墙耐擦洗环保涂料；地面：防滑地砖；电梯门套：石材。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阳台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全封闭式阳台。墙面：水性内墙耐擦洗环保涂料；地面：防滑地砖；天棚：水性内墙耐擦洗环保涂料并配置晾衣杆。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起居室、卧室、玄关、过道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墙面：水性内墙耐擦洗环保涂料；地面：实木复合地板；天棚：水性内墙耐擦洗环保涂料；木质踢脚线。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地板采用国内知名品牌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厨房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墙面：吊顶以下墙砖满铺；地面：防滑地砖满铺；天棚：铝扣板吊顶；橱柜：整体橱柜，包含烟机、灶具、水盆、龙头 ，石英石台面。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橱柜、烟机、灶具、水盆、龙头采用国内知名品牌。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卫生间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墙面：吊顶以下墙砖满铺；地面：防滑地砖满铺；天棚：铝扣板吊顶，配置浴霸及排风扇；浴室柜：地柜及镜柜一套，包含洗漱盆及龙头；洁具：淋浴花洒、座便器；五金：浴巾架、手纸盒、毛巾杆。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防水做到地面以上1.8m。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内门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实木复合木门。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照明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卫生间配防雾灯；厨房配照明灯；其他空间配吸顶灯。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窗台板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人造石窗台板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玄关柜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木质玄关柜。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热水器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卫生间安装电热水器或厨房安装燃气热水器。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国内知名产品。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空调外机框架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金属护栏（壁厚≥1mm）。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美观、耐用、不锈蚀。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首层窗防盗栏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防盗、不锈钢护栏（壁厚≥1mm）。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美观、适用二层防盗、不锈蚀。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散热器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钢制结构、钢铝复合结构产品。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国内知名产品。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电梯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国产合资品牌。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国内知名产品。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6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建筑外墙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涂料或饰面砂浆为主，外墙三层以上不得使用瓷砖、石材。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shd w:val="clear" w:color="auto" w:fill="FFFFFF"/>
              </w:rPr>
              <w:t>丰富多彩、美观、耐用、安全。</w:t>
            </w:r>
          </w:p>
        </w:tc>
      </w:tr>
    </w:tbl>
    <w:p>
      <w:pPr>
        <w:spacing w:line="56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第四章   附则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第十二条  本标准未尽事宜依照国家和市区两级有关规定、标准执行。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第十三条  本标准自发布之日起实施。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C3CD68-B806-42F1-9089-1973656630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2D147A-3E13-453A-83E0-79B952C9F7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955947-22EB-440E-A8FE-F2E36B1BE9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4B5343C-60C1-4A80-81E7-2C8A4D1D88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5435E"/>
    <w:multiLevelType w:val="singleLevel"/>
    <w:tmpl w:val="5745435E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2C501BA1"/>
    <w:rsid w:val="2C50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2023-08-25T03:44:00Z</dcterms:created>
  <dc:creator>米露露</dc:creator>
  <cp:lastModifiedBy>米露露</cp:lastModifiedBy>
  <dcterms:modified xsi:type="dcterms:W3CDTF">2023-08-25T03:45:12Z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926F5B1AB036426884EE2A4AE9D969D8_11</vt:lpwstr>
  </property>
</Properties>
</file>