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page" w:tblpX="1604" w:tblpY="712"/>
        <w:tblOverlap w:val="never"/>
        <w:tblW w:w="8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567"/>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8828" w:type="dxa"/>
            <w:gridSpan w:val="3"/>
            <w:noWrap w:val="0"/>
            <w:vAlign w:val="top"/>
          </w:tcPr>
          <w:p>
            <w:pPr>
              <w:rPr>
                <w:rFonts w:hint="eastAsia" w:ascii="方正小标宋简体" w:eastAsia="方正小标宋简体"/>
                <w:color w:val="FF0000"/>
                <w:w w:val="38"/>
                <w:sz w:val="56"/>
                <w:szCs w:val="52"/>
              </w:rPr>
            </w:pPr>
          </w:p>
          <w:p>
            <w:pPr>
              <w:rPr>
                <w:rFonts w:ascii="方正小标宋简体" w:eastAsia="方正小标宋简体"/>
                <w:w w:val="40"/>
                <w:sz w:val="64"/>
                <w:szCs w:val="64"/>
              </w:rPr>
            </w:pPr>
            <w:r>
              <w:rPr>
                <w:rFonts w:hint="eastAsia" w:ascii="方正小标宋简体" w:eastAsia="方正小标宋简体"/>
                <w:color w:val="FF0000"/>
                <w:w w:val="38"/>
                <w:sz w:val="96"/>
                <w:szCs w:val="64"/>
              </w:rPr>
              <w:t>北京大兴</w:t>
            </w:r>
            <w:r>
              <w:rPr>
                <w:rFonts w:ascii="方正小标宋简体" w:eastAsia="方正小标宋简体"/>
                <w:color w:val="FF0000"/>
                <w:w w:val="38"/>
                <w:sz w:val="96"/>
                <w:szCs w:val="64"/>
              </w:rPr>
              <w:t>国际机场临空经济区</w:t>
            </w:r>
            <w:r>
              <w:rPr>
                <w:rFonts w:hint="eastAsia" w:ascii="方正小标宋简体" w:eastAsia="方正小标宋简体"/>
                <w:color w:val="FF0000"/>
                <w:w w:val="38"/>
                <w:sz w:val="96"/>
                <w:szCs w:val="64"/>
              </w:rPr>
              <w:t>（</w:t>
            </w:r>
            <w:r>
              <w:rPr>
                <w:rFonts w:ascii="方正小标宋简体" w:eastAsia="方正小标宋简体"/>
                <w:color w:val="FF0000"/>
                <w:w w:val="38"/>
                <w:sz w:val="96"/>
                <w:szCs w:val="64"/>
              </w:rPr>
              <w:t>大兴）管理</w:t>
            </w:r>
            <w:r>
              <w:rPr>
                <w:rFonts w:hint="eastAsia" w:ascii="方正小标宋简体" w:eastAsia="方正小标宋简体"/>
                <w:color w:val="FF0000"/>
                <w:w w:val="38"/>
                <w:sz w:val="96"/>
                <w:szCs w:val="64"/>
              </w:rPr>
              <w:t>委员会文件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8828" w:type="dxa"/>
            <w:gridSpan w:val="3"/>
            <w:noWrap w:val="0"/>
            <w:vAlign w:val="bottom"/>
          </w:tcPr>
          <w:p>
            <w:pPr>
              <w:ind w:firstLine="2844" w:firstLineChars="900"/>
              <w:jc w:val="left"/>
            </w:pPr>
            <w:r>
              <w:rPr>
                <w:rFonts w:hint="eastAsia" w:ascii="仿宋_GB2312" w:hAnsi="仿宋_GB2312" w:eastAsia="仿宋_GB2312" w:cs="仿宋_GB2312"/>
                <w:snapToGrid w:val="0"/>
                <w:kern w:val="0"/>
                <w:sz w:val="32"/>
                <w:szCs w:val="32"/>
              </w:rPr>
              <w:t>京临管发〔2022〕</w:t>
            </w:r>
            <w:r>
              <w:rPr>
                <w:rFonts w:hint="eastAsia" w:ascii="仿宋_GB2312" w:hAnsi="仿宋_GB2312" w:cs="仿宋_GB2312"/>
                <w:snapToGrid w:val="0"/>
                <w:kern w:val="0"/>
                <w:sz w:val="32"/>
                <w:szCs w:val="32"/>
                <w:lang w:val="en-US" w:eastAsia="zh-CN"/>
              </w:rPr>
              <w:t>48</w:t>
            </w:r>
            <w:r>
              <w:rPr>
                <w:rFonts w:hint="eastAsia" w:ascii="仿宋_GB2312" w:hAnsi="仿宋_GB2312" w:eastAsia="仿宋_GB2312" w:cs="仿宋_GB2312"/>
                <w:snapToGrid w:val="0"/>
                <w:kern w:val="0"/>
                <w:sz w:val="32"/>
                <w:szCs w:val="32"/>
              </w:rPr>
              <w:t>号</w:t>
            </w:r>
            <w:r>
              <w:rPr>
                <w:rFonts w:hint="eastAsia" w:ascii="仿宋_GB2312" w:eastAsia="仿宋_GB2312"/>
                <w:snapToGrid w:val="0"/>
                <w:kern w:val="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4106" w:type="dxa"/>
            <w:noWrap w:val="0"/>
            <w:vAlign w:val="top"/>
          </w:tcPr>
          <w:p>
            <w:pPr>
              <w:ind w:firstLine="436" w:firstLineChars="100"/>
            </w:pPr>
            <w:r>
              <w:rPr>
                <w:rFonts w:ascii="方正小标宋简体" w:hAnsi="方正小标宋简体" w:eastAsia="方正小标宋简体" w:cs="方正小标宋简体"/>
                <w:kern w:val="0"/>
                <w:sz w:val="44"/>
                <w:szCs w:val="44"/>
              </w:rPr>
              <mc:AlternateContent>
                <mc:Choice Requires="wps">
                  <w:drawing>
                    <wp:anchor distT="0" distB="0" distL="114300" distR="114300" simplePos="0" relativeHeight="251664384" behindDoc="0" locked="0" layoutInCell="1" allowOverlap="1">
                      <wp:simplePos x="0" y="0"/>
                      <wp:positionH relativeFrom="margin">
                        <wp:posOffset>-53340</wp:posOffset>
                      </wp:positionH>
                      <wp:positionV relativeFrom="paragraph">
                        <wp:posOffset>43815</wp:posOffset>
                      </wp:positionV>
                      <wp:extent cx="5615940" cy="0"/>
                      <wp:effectExtent l="0" t="13970" r="3810" b="24130"/>
                      <wp:wrapNone/>
                      <wp:docPr id="62" name="直接连接符 62"/>
                      <wp:cNvGraphicFramePr/>
                      <a:graphic xmlns:a="http://schemas.openxmlformats.org/drawingml/2006/main">
                        <a:graphicData uri="http://schemas.microsoft.com/office/word/2010/wordprocessingShape">
                          <wps:wsp>
                            <wps:cNvCnPr/>
                            <wps:spPr>
                              <a:xfrm flipV="1">
                                <a:off x="0" y="0"/>
                                <a:ext cx="5615940"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4.2pt;margin-top:3.45pt;height:0pt;width:442.2pt;mso-position-horizontal-relative:margin;z-index:251664384;mso-width-relative:page;mso-height-relative:page;" filled="f" stroked="t" coordsize="21600,21600" o:gfxdata="UEsDBAoAAAAAAIdO4kAAAAAAAAAAAAAAAAAEAAAAZHJzL1BLAwQUAAAACACHTuJArF05ltcAAAAG&#10;AQAADwAAAGRycy9kb3ducmV2LnhtbE2PS0/DMBCE70j8B2uRuLVOEaQhxOkBlZeKhNqCxNGNlyRq&#10;vBvF7gN+PQsXOI5mNPNNMTv6Tu1xCC2Tgck4AYVUsWupNvC6vhtloEK05GzHhAY+McCsPD0pbO74&#10;QEvcr2KtpIRCbg00Mfa51qFq0Nsw5h5JvA8evI0ih1q7wR6k3Hf6IklS7W1LstDYHm8brLarnTcw&#10;f3xbzB++asfb9PnFX92/Z09TNub8bJLcgIp4jH9h+MEXdCiFacM7ckF1BkbZpSQNpNegxM6mqVzb&#10;/GpdFvo/fvkNUEsDBBQAAAAIAIdO4kA5KDr76QEAALUDAAAOAAAAZHJzL2Uyb0RvYy54bWytU72O&#10;EzEQ7pF4B8s92U1Ewt0qmysuCg2CSMD1jtfeteQ/eXzZ5CV4ASQ6qCivv7chPAZj7150HM0VpLBm&#10;PJNv5vv87fLqYDTZiwDK2ZpOJyUlwnLXKNvW9POnzasLSiAy2zDtrKjpUQC9Wr18sex9JWauc7oR&#10;gSCIhar3Ne1i9FVRAO+EYTBxXlgsShcMi5iGtmgC6xHd6GJWlouid6HxwXEBgLfroUhHxPAcQCel&#10;4mLt+K0RNg6oQWgWkRJ0ygNd5W2lFDx+kBJEJLqmyDTmE4dgvEtnsVqyqg3Md4qPK7DnrPCEk2HK&#10;4tAz1JpFRm6D+gfKKB4cOBkn3JliIJIVQRbT8ok2HzvmReaCUoM/iw7/D5a/328DUU1NFzNKLDP4&#10;4qevd7++fP99/w3P088fBCsoU++hwu5ruw1jBn4bEueDDIZIrfwN+imrgLzIIYt8PIssDpFwvJwv&#10;pvPL16g/f6gVA0SC8gHiW+EMSUFNtbKJP6vY/h1EHIutDy3p2rqN0jq/obakr+nsYv5mjtAMjSnR&#10;EBgaj+TAtpQw3aLjeQwZEpxWTfp7AoLQ7q51IHuGPtlsSvwlzjjur7Y0e82gG/pyaWzTNsGI7Lhx&#10;1STYIFGKdq45ZuWKlOFrZvTReckuj3OMH39t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XTmW&#10;1wAAAAYBAAAPAAAAAAAAAAEAIAAAACIAAABkcnMvZG93bnJldi54bWxQSwECFAAUAAAACACHTuJA&#10;OSg6++kBAAC1AwAADgAAAAAAAAABACAAAAAmAQAAZHJzL2Uyb0RvYy54bWxQSwUGAAAAAAYABgBZ&#10;AQAAgQUAAAAA&#10;">
                      <v:fill on="f" focussize="0,0"/>
                      <v:stroke weight="2.25pt" color="#FF0000" joinstyle="round"/>
                      <v:imagedata o:title=""/>
                      <o:lock v:ext="edit" aspectratio="f"/>
                    </v:line>
                  </w:pict>
                </mc:Fallback>
              </mc:AlternateContent>
            </w:r>
          </w:p>
        </w:tc>
        <w:tc>
          <w:tcPr>
            <w:tcW w:w="567" w:type="dxa"/>
            <w:noWrap w:val="0"/>
            <w:vAlign w:val="top"/>
          </w:tcPr>
          <w:p/>
        </w:tc>
        <w:tc>
          <w:tcPr>
            <w:tcW w:w="4155" w:type="dxa"/>
            <w:noWrap w:val="0"/>
            <w:vAlign w:val="top"/>
          </w:tcPr>
          <w:p>
            <w:pPr>
              <w:wordWrap w:val="0"/>
              <w:jc w:val="right"/>
            </w:pPr>
          </w:p>
        </w:tc>
      </w:tr>
    </w:tbl>
    <w:p>
      <w:pPr>
        <w:spacing w:line="400" w:lineRule="exact"/>
        <w:jc w:val="center"/>
        <w:rPr>
          <w:rFonts w:ascii="方正小标宋简体" w:hAnsi="方正小标宋简体" w:eastAsia="方正小标宋简体" w:cs="方正小标宋简体"/>
          <w:kern w:val="0"/>
          <w:sz w:val="44"/>
          <w:szCs w:val="44"/>
        </w:rPr>
      </w:pPr>
      <w:bookmarkStart w:id="12" w:name="_GoBack"/>
      <w:bookmarkEnd w:id="12"/>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w w:val="1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w w:val="100"/>
          <w:kern w:val="0"/>
          <w:sz w:val="44"/>
          <w:szCs w:val="44"/>
          <w:lang w:val="en-US" w:eastAsia="zh-CN"/>
        </w:rPr>
      </w:pPr>
      <w:r>
        <w:rPr>
          <w:rFonts w:hint="eastAsia" w:ascii="方正小标宋简体" w:hAnsi="方正小标宋简体" w:eastAsia="方正小标宋简体" w:cs="方正小标宋简体"/>
          <w:spacing w:val="0"/>
          <w:w w:val="100"/>
          <w:kern w:val="0"/>
          <w:sz w:val="44"/>
          <w:szCs w:val="44"/>
        </w:rPr>
        <w:t>北京大兴国际机场临空经济区（大兴）</w:t>
      </w:r>
      <w:r>
        <w:rPr>
          <w:rFonts w:hint="eastAsia" w:ascii="方正小标宋简体" w:hAnsi="方正小标宋简体" w:eastAsia="方正小标宋简体" w:cs="方正小标宋简体"/>
          <w:spacing w:val="0"/>
          <w:w w:val="100"/>
          <w:kern w:val="0"/>
          <w:sz w:val="44"/>
          <w:szCs w:val="44"/>
          <w:lang w:val="en-US" w:eastAsia="zh-CN"/>
        </w:rPr>
        <w:t>管委会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color w:val="000000"/>
          <w:spacing w:val="0"/>
          <w:w w:val="100"/>
          <w:kern w:val="0"/>
          <w:sz w:val="44"/>
          <w:szCs w:val="44"/>
        </w:rPr>
      </w:pPr>
      <w:r>
        <w:rPr>
          <w:rFonts w:hint="eastAsia" w:ascii="方正小标宋简体" w:hAnsi="方正小标宋简体" w:eastAsia="方正小标宋简体" w:cs="方正小标宋简体"/>
          <w:spacing w:val="0"/>
          <w:w w:val="100"/>
          <w:kern w:val="0"/>
          <w:sz w:val="44"/>
          <w:szCs w:val="44"/>
          <w:lang w:val="en-US" w:eastAsia="zh-CN"/>
        </w:rPr>
        <w:t>关于印发《</w:t>
      </w:r>
      <w:r>
        <w:rPr>
          <w:rFonts w:hint="eastAsia" w:ascii="方正小标宋简体" w:hAnsi="方正小标宋简体" w:eastAsia="方正小标宋简体" w:cs="方正小标宋简体"/>
          <w:snapToGrid/>
          <w:color w:val="000000"/>
          <w:spacing w:val="0"/>
          <w:w w:val="100"/>
          <w:kern w:val="0"/>
          <w:sz w:val="44"/>
          <w:szCs w:val="44"/>
        </w:rPr>
        <w:t>“区域评估+标准地+告知承诺+综合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w w:val="100"/>
          <w:kern w:val="0"/>
          <w:sz w:val="44"/>
          <w:szCs w:val="44"/>
          <w:lang w:val="en-US" w:eastAsia="zh-CN"/>
        </w:rPr>
      </w:pPr>
      <w:r>
        <w:rPr>
          <w:rFonts w:hint="eastAsia" w:ascii="方正小标宋简体" w:hAnsi="方正小标宋简体" w:eastAsia="方正小标宋简体" w:cs="方正小标宋简体"/>
          <w:snapToGrid/>
          <w:color w:val="000000"/>
          <w:spacing w:val="0"/>
          <w:w w:val="100"/>
          <w:kern w:val="0"/>
          <w:sz w:val="44"/>
          <w:szCs w:val="44"/>
        </w:rPr>
        <w:t>服务”改革管理办法</w:t>
      </w:r>
      <w:r>
        <w:rPr>
          <w:rFonts w:hint="eastAsia" w:ascii="方正小标宋简体" w:hAnsi="方正小标宋简体" w:eastAsia="方正小标宋简体" w:cs="方正小标宋简体"/>
          <w:spacing w:val="0"/>
          <w:w w:val="100"/>
          <w:kern w:val="0"/>
          <w:sz w:val="44"/>
          <w:szCs w:val="44"/>
          <w:lang w:val="en-US" w:eastAsia="zh-CN"/>
        </w:rPr>
        <w:t>》和《关于进一步深化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w w:val="100"/>
          <w:kern w:val="0"/>
          <w:sz w:val="44"/>
          <w:szCs w:val="44"/>
          <w:lang w:val="en-US" w:eastAsia="zh-CN"/>
        </w:rPr>
      </w:pPr>
      <w:r>
        <w:rPr>
          <w:rFonts w:hint="eastAsia" w:ascii="方正小标宋简体" w:hAnsi="方正小标宋简体" w:eastAsia="方正小标宋简体" w:cs="方正小标宋简体"/>
          <w:spacing w:val="0"/>
          <w:w w:val="100"/>
          <w:kern w:val="0"/>
          <w:sz w:val="44"/>
          <w:szCs w:val="44"/>
          <w:lang w:val="en-US" w:eastAsia="zh-CN"/>
        </w:rPr>
        <w:t>“区域评估+标准地+告知承诺+综合服务”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w w:val="100"/>
          <w:kern w:val="0"/>
          <w:sz w:val="44"/>
          <w:szCs w:val="44"/>
          <w:lang w:val="en-US" w:eastAsia="zh-CN"/>
        </w:rPr>
      </w:pPr>
      <w:r>
        <w:rPr>
          <w:rFonts w:hint="eastAsia" w:ascii="方正小标宋简体" w:hAnsi="方正小标宋简体" w:eastAsia="方正小标宋简体" w:cs="方正小标宋简体"/>
          <w:spacing w:val="0"/>
          <w:w w:val="100"/>
          <w:kern w:val="0"/>
          <w:sz w:val="44"/>
          <w:szCs w:val="44"/>
          <w:lang w:val="en-US" w:eastAsia="zh-CN"/>
        </w:rPr>
        <w:t>改革创新工作的实施意见》的通知</w:t>
      </w:r>
    </w:p>
    <w:p>
      <w:pPr>
        <w:pStyle w:val="13"/>
        <w:keepNext w:val="0"/>
        <w:keepLines w:val="0"/>
        <w:pageBreakBefore w:val="0"/>
        <w:shd w:val="clear" w:color="auto" w:fill="FFFFFF"/>
        <w:kinsoku/>
        <w:wordWrap w:val="0"/>
        <w:overflowPunct/>
        <w:topLinePunct w:val="0"/>
        <w:autoSpaceDE/>
        <w:autoSpaceDN/>
        <w:bidi w:val="0"/>
        <w:spacing w:before="0" w:beforeAutospacing="0" w:after="0" w:afterAutospacing="0" w:line="560" w:lineRule="exact"/>
        <w:jc w:val="both"/>
        <w:textAlignment w:val="auto"/>
        <w:rPr>
          <w:rFonts w:hint="eastAsia" w:ascii="方正小标宋简体" w:hAnsi="方正小标宋简体" w:eastAsia="方正小标宋简体" w:cs="方正小标宋简体"/>
          <w:spacing w:val="-28"/>
          <w:sz w:val="44"/>
          <w:szCs w:val="44"/>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管委会各部门</w:t>
      </w:r>
      <w:r>
        <w:rPr>
          <w:rFonts w:hint="eastAsia" w:ascii="仿宋_GB2312" w:hAnsi="仿宋_GB2312" w:cs="仿宋_GB2312"/>
          <w:sz w:val="32"/>
          <w:szCs w:val="32"/>
          <w:lang w:eastAsia="zh-CN"/>
        </w:rPr>
        <w:t>、机场办、新航城公司</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北京大兴国际机场临空经济区（北京部分）“区域评估+标准地+告知承诺+综合服务”改革管理办法</w:t>
      </w:r>
      <w:r>
        <w:rPr>
          <w:rFonts w:hint="eastAsia" w:ascii="仿宋_GB2312" w:hAnsi="仿宋_GB2312" w:cs="仿宋_GB2312"/>
          <w:sz w:val="32"/>
          <w:szCs w:val="32"/>
          <w:lang w:val="en-US" w:eastAsia="zh-CN"/>
        </w:rPr>
        <w:t>》和《北京大兴国际机场临空经济区（北京部分）关于进一步深化“区域评估+标准地+告知承诺+综合服务”改革创新工作的实施意见》</w:t>
      </w:r>
      <w:r>
        <w:rPr>
          <w:rFonts w:hint="eastAsia" w:ascii="仿宋_GB2312" w:hAnsi="仿宋_GB2312" w:eastAsia="仿宋_GB2312" w:cs="仿宋_GB2312"/>
          <w:sz w:val="32"/>
          <w:szCs w:val="32"/>
          <w:lang w:val="en-US" w:eastAsia="zh-CN"/>
        </w:rPr>
        <w:t>已通过2022年</w:t>
      </w:r>
      <w:r>
        <w:rPr>
          <w:rFonts w:hint="default" w:ascii="仿宋_GB2312" w:hAnsi="仿宋_GB2312" w:cs="仿宋_GB2312"/>
          <w:sz w:val="32"/>
          <w:szCs w:val="32"/>
          <w:lang w:val="en"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w:t>
      </w:r>
      <w:r>
        <w:rPr>
          <w:rFonts w:hint="default" w:ascii="仿宋_GB2312" w:hAnsi="仿宋_GB2312" w:cs="仿宋_GB2312"/>
          <w:sz w:val="32"/>
          <w:szCs w:val="32"/>
          <w:lang w:val="en" w:eastAsia="zh-CN"/>
        </w:rPr>
        <w:t>1</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主任专题会</w:t>
      </w:r>
      <w:r>
        <w:rPr>
          <w:rFonts w:hint="eastAsia" w:ascii="仿宋_GB2312" w:hAnsi="仿宋_GB2312" w:eastAsia="仿宋_GB2312" w:cs="仿宋_GB2312"/>
          <w:sz w:val="32"/>
          <w:szCs w:val="32"/>
          <w:lang w:val="en-US" w:eastAsia="zh-CN"/>
        </w:rPr>
        <w:t>审议，现印发给你们，请认真贯彻执行。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ind w:firstLine="1896" w:firstLineChars="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896" w:firstLineChars="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896" w:firstLineChars="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896"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北京大兴国际机场临空经济区（大兴）管理委员会</w:t>
      </w:r>
    </w:p>
    <w:p>
      <w:pPr>
        <w:pStyle w:val="15"/>
        <w:keepNext w:val="0"/>
        <w:keepLines w:val="0"/>
        <w:pageBreakBefore w:val="0"/>
        <w:kinsoku/>
        <w:wordWrap/>
        <w:overflowPunct/>
        <w:topLinePunct w:val="0"/>
        <w:autoSpaceDE/>
        <w:autoSpaceDN/>
        <w:bidi w:val="0"/>
        <w:spacing w:line="560" w:lineRule="exact"/>
        <w:ind w:firstLine="0" w:firstLineChars="0"/>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default" w:ascii="仿宋_GB2312" w:hAnsi="仿宋_GB2312" w:cs="仿宋_GB2312"/>
          <w:sz w:val="32"/>
          <w:szCs w:val="32"/>
          <w:lang w:val="en"/>
        </w:rPr>
        <w:t>12</w:t>
      </w:r>
      <w:r>
        <w:rPr>
          <w:rFonts w:ascii="仿宋_GB2312" w:hAnsi="仿宋_GB2312" w:eastAsia="仿宋_GB2312" w:cs="仿宋_GB2312"/>
          <w:sz w:val="32"/>
          <w:szCs w:val="32"/>
        </w:rPr>
        <w:t>月</w:t>
      </w:r>
      <w:r>
        <w:rPr>
          <w:rFonts w:hint="eastAsia" w:ascii="仿宋_GB2312" w:hAnsi="仿宋_GB2312" w:cs="仿宋_GB2312"/>
          <w:sz w:val="32"/>
          <w:szCs w:val="32"/>
          <w:lang w:val="en-US" w:eastAsia="zh-CN"/>
        </w:rPr>
        <w:t>21</w:t>
      </w:r>
      <w:r>
        <w:rPr>
          <w:rFonts w:ascii="仿宋_GB2312" w:hAnsi="仿宋_GB2312" w:eastAsia="仿宋_GB2312" w:cs="仿宋_GB2312"/>
          <w:sz w:val="32"/>
          <w:szCs w:val="32"/>
        </w:rPr>
        <w:t>日</w:t>
      </w:r>
    </w:p>
    <w:p>
      <w:pPr>
        <w:adjustRightInd w:val="0"/>
        <w:snapToGrid w:val="0"/>
        <w:spacing w:line="560" w:lineRule="exact"/>
        <w:jc w:val="center"/>
        <w:rPr>
          <w:rFonts w:ascii="方正小标宋简体" w:hAnsi="方正小标宋简体" w:eastAsia="方正小标宋简体" w:cs="方正小标宋简体"/>
          <w:snapToGrid/>
          <w:color w:val="000000"/>
          <w:kern w:val="2"/>
          <w:sz w:val="44"/>
          <w:szCs w:val="44"/>
        </w:rPr>
      </w:pPr>
      <w:r>
        <w:rPr>
          <w:rFonts w:hint="eastAsia" w:ascii="方正小标宋简体" w:hAnsi="方正小标宋简体" w:eastAsia="方正小标宋简体" w:cs="方正小标宋简体"/>
          <w:snapToGrid/>
          <w:color w:val="000000"/>
          <w:kern w:val="2"/>
          <w:sz w:val="44"/>
          <w:szCs w:val="44"/>
        </w:rPr>
        <w:t>北京大兴国际机场临空经济区（北京部分）</w:t>
      </w:r>
    </w:p>
    <w:p>
      <w:pPr>
        <w:adjustRightInd w:val="0"/>
        <w:snapToGrid w:val="0"/>
        <w:spacing w:line="560" w:lineRule="exact"/>
        <w:jc w:val="center"/>
        <w:rPr>
          <w:rFonts w:ascii="方正小标宋简体" w:hAnsi="方正小标宋简体" w:eastAsia="方正小标宋简体" w:cs="方正小标宋简体"/>
          <w:snapToGrid/>
          <w:color w:val="000000"/>
          <w:kern w:val="2"/>
          <w:sz w:val="44"/>
          <w:szCs w:val="44"/>
        </w:rPr>
      </w:pPr>
      <w:r>
        <w:rPr>
          <w:rFonts w:hint="eastAsia" w:ascii="方正小标宋简体" w:hAnsi="方正小标宋简体" w:eastAsia="方正小标宋简体" w:cs="方正小标宋简体"/>
          <w:snapToGrid/>
          <w:color w:val="000000"/>
          <w:kern w:val="2"/>
          <w:sz w:val="44"/>
          <w:szCs w:val="44"/>
        </w:rPr>
        <w:t>“区域评估+标准地+告知承诺+综合服务”</w:t>
      </w:r>
    </w:p>
    <w:p>
      <w:pPr>
        <w:adjustRightInd w:val="0"/>
        <w:snapToGrid w:val="0"/>
        <w:spacing w:line="560" w:lineRule="exact"/>
        <w:jc w:val="center"/>
        <w:rPr>
          <w:rFonts w:ascii="方正小标宋简体" w:hAnsi="方正小标宋简体" w:eastAsia="方正小标宋简体" w:cs="方正小标宋简体"/>
          <w:snapToGrid/>
          <w:color w:val="000000"/>
          <w:kern w:val="2"/>
          <w:sz w:val="44"/>
          <w:szCs w:val="44"/>
        </w:rPr>
      </w:pPr>
      <w:r>
        <w:rPr>
          <w:rFonts w:hint="eastAsia" w:ascii="方正小标宋简体" w:hAnsi="方正小标宋简体" w:eastAsia="方正小标宋简体" w:cs="方正小标宋简体"/>
          <w:snapToGrid/>
          <w:color w:val="000000"/>
          <w:kern w:val="2"/>
          <w:sz w:val="44"/>
          <w:szCs w:val="44"/>
        </w:rPr>
        <w:t>改革管理办法</w:t>
      </w:r>
    </w:p>
    <w:p>
      <w:pPr>
        <w:pStyle w:val="15"/>
        <w:spacing w:line="560" w:lineRule="exact"/>
        <w:ind w:left="632" w:firstLine="632"/>
        <w:rPr>
          <w:sz w:val="20"/>
          <w:szCs w:val="15"/>
        </w:rPr>
      </w:pPr>
    </w:p>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 xml:space="preserve">第一章 </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总则</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第一条</w:t>
      </w:r>
      <w:r>
        <w:rPr>
          <w:rFonts w:ascii="楷体_GB2312" w:hAnsi="楷体_GB2312" w:eastAsia="楷体_GB2312" w:cs="楷体_GB2312"/>
          <w:b/>
          <w:bCs/>
          <w:snapToGrid/>
          <w:kern w:val="2"/>
          <w:szCs w:val="32"/>
        </w:rPr>
        <w:t xml:space="preserve"> </w:t>
      </w:r>
      <w:r>
        <w:rPr>
          <w:rFonts w:hint="eastAsia" w:ascii="楷体_GB2312" w:hAnsi="楷体_GB2312" w:eastAsia="楷体_GB2312" w:cs="楷体_GB2312"/>
          <w:b/>
          <w:bCs/>
          <w:snapToGrid/>
          <w:kern w:val="2"/>
          <w:szCs w:val="32"/>
        </w:rPr>
        <w:t>【实施目的】</w:t>
      </w:r>
      <w:bookmarkStart w:id="0" w:name="_Hlk58339680"/>
      <w:r>
        <w:rPr>
          <w:rFonts w:hint="eastAsia" w:ascii="仿宋_GB2312" w:hAnsi="仿宋_GB2312" w:cs="仿宋_GB2312"/>
          <w:snapToGrid/>
          <w:color w:val="000000"/>
          <w:kern w:val="2"/>
          <w:szCs w:val="32"/>
        </w:rPr>
        <w:t>为深入推进“放管服”改革，贯彻《北京市优化营商环境条例》，落实北京营商环境5</w:t>
      </w:r>
      <w:r>
        <w:rPr>
          <w:rFonts w:ascii="仿宋_GB2312" w:hAnsi="仿宋_GB2312" w:cs="仿宋_GB2312"/>
          <w:snapToGrid/>
          <w:color w:val="000000"/>
          <w:kern w:val="2"/>
          <w:szCs w:val="32"/>
        </w:rPr>
        <w:t>.0</w:t>
      </w:r>
      <w:r>
        <w:rPr>
          <w:rFonts w:hint="eastAsia" w:ascii="仿宋_GB2312" w:hAnsi="仿宋_GB2312" w:cs="仿宋_GB2312"/>
          <w:snapToGrid/>
          <w:color w:val="000000"/>
          <w:kern w:val="2"/>
          <w:szCs w:val="32"/>
        </w:rPr>
        <w:t>版改革任务，积极推动国家服务业扩大开放综合示范区和北京自由贸易试验区制度创新，加快转变政府职能，促进北京大兴国际机场临空经济区（北京部分）（以下简称临空经济区）高质量发展，打造国际一流的营商环境，根据</w:t>
      </w:r>
      <w:bookmarkStart w:id="1" w:name="_Hlk119424104"/>
      <w:r>
        <w:rPr>
          <w:rFonts w:hint="eastAsia" w:ascii="仿宋_GB2312" w:hAnsi="仿宋_GB2312" w:cs="仿宋_GB2312"/>
          <w:snapToGrid/>
          <w:color w:val="000000"/>
          <w:kern w:val="2"/>
          <w:szCs w:val="32"/>
        </w:rPr>
        <w:t>《北京市培育和激发市场主体活力持续优化营商环境实施方案》</w:t>
      </w:r>
      <w:bookmarkEnd w:id="1"/>
      <w:r>
        <w:rPr>
          <w:rFonts w:hint="eastAsia" w:ascii="仿宋_GB2312" w:hAnsi="仿宋_GB2312" w:cs="仿宋_GB2312"/>
          <w:snapToGrid/>
          <w:color w:val="000000"/>
          <w:kern w:val="2"/>
          <w:szCs w:val="32"/>
        </w:rPr>
        <w:t>（京政办发〔2021〕18号）及《北京市营商环境创新试点工作实施方案》（京政发〔2022〕6号）要求，</w:t>
      </w:r>
      <w:r>
        <w:rPr>
          <w:rFonts w:hint="eastAsia" w:ascii="仿宋_GB2312" w:hAnsi="仿宋_GB2312" w:cs="仿宋_GB2312"/>
          <w:snapToGrid/>
          <w:color w:val="000000"/>
          <w:spacing w:val="-6"/>
          <w:kern w:val="2"/>
          <w:sz w:val="32"/>
          <w:szCs w:val="32"/>
        </w:rPr>
        <w:t>按照市委市政府决策部署，结合临空经济区工作实际，制定本办法。</w:t>
      </w:r>
    </w:p>
    <w:bookmarkEnd w:id="0"/>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第二条 【基本概念】</w:t>
      </w:r>
      <w:r>
        <w:rPr>
          <w:rFonts w:hint="eastAsia" w:ascii="仿宋_GB2312" w:hAnsi="仿宋_GB2312" w:cs="仿宋_GB2312"/>
          <w:snapToGrid/>
          <w:color w:val="000000"/>
          <w:kern w:val="2"/>
          <w:szCs w:val="32"/>
        </w:rPr>
        <w:t>本办法所称“区域评估+标准地+告知承诺+综合服务”，是指在完成区域评估的基础上，制定土地出让的经济效益、创新特色、资源消耗、绿色低碳等系列标准，构建以告知承诺为基础的审批制度，建立项目建设综合服务工作机制，形成</w:t>
      </w:r>
      <w:bookmarkStart w:id="2" w:name="_Hlk59198130"/>
      <w:r>
        <w:rPr>
          <w:rFonts w:hint="eastAsia" w:ascii="仿宋_GB2312" w:hAnsi="仿宋_GB2312" w:cs="仿宋_GB2312"/>
          <w:snapToGrid/>
          <w:color w:val="000000"/>
          <w:kern w:val="2"/>
          <w:szCs w:val="32"/>
        </w:rPr>
        <w:t>以“评估可共享、出让有标准、承诺即批复、全程包服务”为理念的</w:t>
      </w:r>
      <w:bookmarkEnd w:id="2"/>
      <w:r>
        <w:rPr>
          <w:rFonts w:hint="eastAsia" w:ascii="仿宋_GB2312" w:hAnsi="仿宋_GB2312" w:cs="仿宋_GB2312"/>
          <w:snapToGrid/>
          <w:color w:val="000000"/>
          <w:kern w:val="2"/>
          <w:szCs w:val="32"/>
        </w:rPr>
        <w:t>项目全过程管理服务模式。</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第三条 【适用范围】</w:t>
      </w:r>
      <w:r>
        <w:rPr>
          <w:rFonts w:hint="eastAsia" w:ascii="仿宋_GB2312" w:hAnsi="仿宋_GB2312" w:cs="仿宋_GB2312"/>
          <w:snapToGrid/>
          <w:color w:val="000000"/>
          <w:kern w:val="2"/>
          <w:szCs w:val="32"/>
        </w:rPr>
        <w:t>本办法适用于临空经济区范围（50平方公里）内的企业投资项目。</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第四条</w:t>
      </w:r>
      <w:r>
        <w:rPr>
          <w:rFonts w:hint="eastAsia" w:ascii="仿宋_GB2312" w:hAnsi="微软雅黑"/>
          <w:b/>
          <w:bCs/>
          <w:snapToGrid/>
          <w:kern w:val="2"/>
          <w:szCs w:val="32"/>
        </w:rPr>
        <w:t xml:space="preserve"> </w:t>
      </w:r>
      <w:r>
        <w:rPr>
          <w:rFonts w:hint="eastAsia" w:ascii="楷体_GB2312" w:hAnsi="楷体_GB2312" w:eastAsia="楷体_GB2312" w:cs="楷体_GB2312"/>
          <w:b/>
          <w:bCs/>
          <w:snapToGrid/>
          <w:kern w:val="2"/>
          <w:szCs w:val="32"/>
        </w:rPr>
        <w:t>【组织实施】</w:t>
      </w:r>
      <w:r>
        <w:rPr>
          <w:rFonts w:hint="eastAsia" w:ascii="仿宋_GB2312" w:hAnsi="仿宋_GB2312" w:cs="仿宋_GB2312"/>
          <w:snapToGrid/>
          <w:color w:val="000000"/>
          <w:kern w:val="2"/>
          <w:szCs w:val="32"/>
        </w:rPr>
        <w:t>成立临空经济区“区域评估+标准地+告知承诺+综合服务”改革领导小组（以下简称改革领导小组）。由北京大兴国际机场临空经济区（大兴）管理委员会（以下简称临空区</w:t>
      </w:r>
      <w:r>
        <w:rPr>
          <w:rFonts w:hint="eastAsia" w:ascii="仿宋_GB2312" w:hAnsi="仿宋_GB2312" w:cs="仿宋_GB2312"/>
          <w:snapToGrid/>
          <w:color w:val="000000"/>
          <w:kern w:val="2"/>
          <w:szCs w:val="32"/>
          <w:lang w:val="en-US" w:eastAsia="zh-CN"/>
        </w:rPr>
        <w:t>〈大兴〉</w:t>
      </w:r>
      <w:r>
        <w:rPr>
          <w:rFonts w:hint="eastAsia" w:ascii="仿宋_GB2312" w:hAnsi="仿宋_GB2312" w:cs="仿宋_GB2312"/>
          <w:snapToGrid/>
          <w:color w:val="000000"/>
          <w:kern w:val="2"/>
          <w:szCs w:val="32"/>
        </w:rPr>
        <w:t>管委会）专职副主任担任组长、临空区（大兴）管委会分管相关工作的主任助理担任副组长，临空区（大兴）管委会各职能部门负责人为组员。改革领导小组建立联席工作会议制度，负责统筹决策改革重大事项。改革领导小组下设办公室，负责“区域评估+标准地+告知承诺+综合服务”改革工作的组织实施、统筹协调等，临空区（大兴）管委会各职能部门根据职责分工落实推进相关工作。</w:t>
      </w:r>
    </w:p>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 xml:space="preserve">第二章 </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出让前准备</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第五条</w:t>
      </w:r>
      <w:r>
        <w:rPr>
          <w:rFonts w:hint="eastAsia" w:ascii="仿宋_GB2312" w:hAnsi="微软雅黑"/>
          <w:b/>
          <w:bCs/>
          <w:snapToGrid/>
          <w:kern w:val="2"/>
          <w:szCs w:val="32"/>
        </w:rPr>
        <w:t xml:space="preserve"> </w:t>
      </w:r>
      <w:r>
        <w:rPr>
          <w:rFonts w:hint="eastAsia" w:ascii="楷体_GB2312" w:hAnsi="楷体_GB2312" w:eastAsia="楷体_GB2312" w:cs="楷体_GB2312"/>
          <w:b/>
          <w:bCs/>
          <w:snapToGrid/>
          <w:kern w:val="2"/>
          <w:szCs w:val="32"/>
        </w:rPr>
        <w:t>【地块前期开发】</w:t>
      </w:r>
      <w:bookmarkStart w:id="3" w:name="_Hlk32839814"/>
      <w:r>
        <w:rPr>
          <w:rFonts w:hint="eastAsia" w:ascii="仿宋_GB2312" w:hAnsi="仿宋_GB2312" w:cs="仿宋_GB2312"/>
          <w:snapToGrid/>
          <w:color w:val="000000"/>
          <w:kern w:val="2"/>
          <w:szCs w:val="32"/>
        </w:rPr>
        <w:t>由临空经济区规划建设部门确定拟出让地块的通平条件。在项目施工阶段保证临水临电及施工必要条件需求，即通水、通电、通路与土地平整；在项目完工之前达到“十通一平”基础配套要求，即通市政道路、自来水、再生水、雨水、污水、电力、燃气、热力、电信及有线电视。</w:t>
      </w:r>
    </w:p>
    <w:p>
      <w:pPr>
        <w:spacing w:line="560" w:lineRule="exact"/>
        <w:ind w:firstLine="632" w:firstLineChars="200"/>
        <w:rPr>
          <w:rFonts w:ascii="仿宋_GB2312" w:hAnsi="仿宋_GB2312" w:cs="仿宋_GB2312"/>
          <w:snapToGrid/>
          <w:kern w:val="2"/>
          <w:szCs w:val="32"/>
        </w:rPr>
      </w:pPr>
      <w:r>
        <w:rPr>
          <w:rFonts w:hint="eastAsia" w:ascii="楷体_GB2312" w:hAnsi="楷体_GB2312" w:eastAsia="楷体_GB2312" w:cs="楷体_GB2312"/>
          <w:b/>
          <w:bCs/>
          <w:snapToGrid/>
          <w:kern w:val="2"/>
          <w:szCs w:val="32"/>
        </w:rPr>
        <w:t>第六条 【区域评估】</w:t>
      </w:r>
      <w:r>
        <w:rPr>
          <w:rFonts w:hint="eastAsia" w:ascii="仿宋_GB2312" w:hAnsi="仿宋_GB2312" w:cs="仿宋_GB2312"/>
          <w:snapToGrid/>
          <w:kern w:val="2"/>
          <w:szCs w:val="32"/>
        </w:rPr>
        <w:t>依据《关于优化营商环境推行环境、水、交通区域评估实施方案（试行）》（京规自发〔2020〕280号）和《进一步深化工程建设项目审批领域改革创新 更好激发市场主体活力工作方案》（京规自发〔202</w:t>
      </w:r>
      <w:r>
        <w:rPr>
          <w:rFonts w:ascii="仿宋_GB2312" w:hAnsi="仿宋_GB2312" w:cs="仿宋_GB2312"/>
          <w:snapToGrid/>
          <w:kern w:val="2"/>
          <w:szCs w:val="32"/>
        </w:rPr>
        <w:t>2</w:t>
      </w:r>
      <w:r>
        <w:rPr>
          <w:rFonts w:hint="eastAsia" w:ascii="仿宋_GB2312" w:hAnsi="仿宋_GB2312" w:cs="仿宋_GB2312"/>
          <w:snapToGrid/>
          <w:kern w:val="2"/>
          <w:szCs w:val="32"/>
        </w:rPr>
        <w:t>〕</w:t>
      </w:r>
      <w:r>
        <w:rPr>
          <w:rFonts w:ascii="仿宋_GB2312" w:hAnsi="仿宋_GB2312" w:cs="仿宋_GB2312"/>
          <w:snapToGrid/>
          <w:kern w:val="2"/>
          <w:szCs w:val="32"/>
        </w:rPr>
        <w:t>43</w:t>
      </w:r>
      <w:r>
        <w:rPr>
          <w:rFonts w:hint="eastAsia" w:ascii="仿宋_GB2312" w:hAnsi="仿宋_GB2312" w:cs="仿宋_GB2312"/>
          <w:snapToGrid/>
          <w:kern w:val="2"/>
          <w:szCs w:val="32"/>
        </w:rPr>
        <w:t>号）文件要求，在</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范围内推行环境、水、交通等区域评估工作。规划部门根据临空</w:t>
      </w:r>
      <w:r>
        <w:rPr>
          <w:rFonts w:hint="eastAsia" w:ascii="仿宋_GB2312" w:hAnsi="仿宋_GB2312" w:cs="仿宋_GB2312"/>
          <w:snapToGrid/>
          <w:kern w:val="2"/>
          <w:szCs w:val="32"/>
          <w:lang w:val="en-US" w:eastAsia="zh-CN"/>
        </w:rPr>
        <w:t>经济</w:t>
      </w:r>
      <w:r>
        <w:rPr>
          <w:rFonts w:hint="eastAsia" w:ascii="仿宋_GB2312" w:hAnsi="仿宋_GB2312" w:cs="仿宋_GB2312"/>
          <w:snapToGrid/>
          <w:kern w:val="2"/>
          <w:szCs w:val="32"/>
        </w:rPr>
        <w:t xml:space="preserve">区开发建设进度，启动区域评估工作。 </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根据评估情况，明确建设项目在资源消耗、绿色低碳等方面的准入要求</w:t>
      </w:r>
      <w:bookmarkStart w:id="4" w:name="_Hlk60040949"/>
      <w:r>
        <w:rPr>
          <w:rFonts w:hint="eastAsia" w:ascii="仿宋_GB2312" w:hAnsi="仿宋_GB2312" w:cs="仿宋_GB2312"/>
          <w:snapToGrid/>
          <w:color w:val="000000"/>
          <w:kern w:val="2"/>
          <w:szCs w:val="32"/>
        </w:rPr>
        <w:t>，将区域评估成果及审查意见中有关生态环境、水、交通的相关要求纳入土地出让条件，在土地出让前告知建设单位。</w:t>
      </w:r>
      <w:bookmarkEnd w:id="4"/>
      <w:r>
        <w:rPr>
          <w:rFonts w:hint="eastAsia" w:ascii="仿宋_GB2312" w:hAnsi="仿宋_GB2312" w:cs="仿宋_GB2312"/>
          <w:snapToGrid/>
          <w:kern w:val="2"/>
          <w:szCs w:val="32"/>
        </w:rPr>
        <w:t>对评估范围内的符合准入要求的建设项目</w:t>
      </w:r>
      <w:r>
        <w:rPr>
          <w:rFonts w:hint="eastAsia" w:ascii="仿宋_GB2312" w:hAnsi="仿宋_GB2312" w:cs="仿宋_GB2312"/>
          <w:snapToGrid/>
          <w:color w:val="000000"/>
          <w:kern w:val="2"/>
          <w:szCs w:val="32"/>
        </w:rPr>
        <w:t>，根据各行业主管部门意见，采取相应的简化审批措施。推进临空经济区规划环评与项目环评联动，避免重复评价。</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第七条 【标准地指标体系】</w:t>
      </w:r>
      <w:r>
        <w:rPr>
          <w:rFonts w:hint="eastAsia" w:ascii="仿宋_GB2312" w:hAnsi="仿宋_GB2312" w:cs="仿宋_GB2312"/>
          <w:snapToGrid/>
          <w:color w:val="000000"/>
          <w:kern w:val="2"/>
          <w:szCs w:val="32"/>
        </w:rPr>
        <w:t>按照区域高质量发展要求，根据街区控规、产业规划、综合指标体系及区域评估成果，结合不同产业特点分类建立健全标准地指标体系，主要包括经济效益指标、创新特色指标、资源消耗指标、绿色低碳指标。建立标准地指标体系动态调整工作机制，由各项指标责任部门提出修订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第八条 【告知承诺事项清单】</w:t>
      </w:r>
      <w:r>
        <w:rPr>
          <w:rFonts w:hint="eastAsia" w:ascii="仿宋_GB2312" w:hAnsi="仿宋_GB2312" w:cs="仿宋_GB2312"/>
          <w:snapToGrid/>
          <w:color w:val="000000"/>
          <w:kern w:val="2"/>
          <w:szCs w:val="32"/>
        </w:rPr>
        <w:t>临空经济区审批部门根据《北京市人民政府关于由北京大兴国际机场临空经济区（大兴）管理委员会和大兴区政府有关部门行使部分行政权力和办理部分公共服务事项的决定》（京政发〔2020</w:t>
      </w:r>
      <w:bookmarkStart w:id="5" w:name="_Hlk58338372"/>
      <w:r>
        <w:rPr>
          <w:rFonts w:hint="eastAsia" w:ascii="仿宋_GB2312" w:hAnsi="仿宋_GB2312" w:cs="仿宋_GB2312"/>
          <w:snapToGrid/>
          <w:color w:val="000000"/>
          <w:kern w:val="2"/>
          <w:szCs w:val="32"/>
        </w:rPr>
        <w:t>〕</w:t>
      </w:r>
      <w:bookmarkEnd w:id="5"/>
      <w:r>
        <w:rPr>
          <w:rFonts w:hint="eastAsia" w:ascii="仿宋_GB2312" w:hAnsi="仿宋_GB2312" w:cs="仿宋_GB2312"/>
          <w:snapToGrid/>
          <w:color w:val="000000"/>
          <w:kern w:val="2"/>
          <w:szCs w:val="32"/>
        </w:rPr>
        <w:t>22号）和</w:t>
      </w:r>
      <w:r>
        <w:rPr>
          <w:rFonts w:hint="eastAsia" w:ascii="仿宋_GB2312" w:hAnsi="仿宋_GB2312" w:cs="仿宋_GB2312"/>
          <w:snapToGrid/>
          <w:kern w:val="2"/>
          <w:szCs w:val="32"/>
        </w:rPr>
        <w:t>《北京市人民政府关于由部分重点功能区管理机构和区政府有关部门行使一批市级行政权力等事项的决定》（京政发〔202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27</w:t>
      </w:r>
      <w:r>
        <w:rPr>
          <w:rFonts w:hint="eastAsia" w:ascii="仿宋_GB2312" w:hAnsi="仿宋_GB2312" w:cs="仿宋_GB2312"/>
          <w:snapToGrid/>
          <w:kern w:val="2"/>
          <w:szCs w:val="32"/>
        </w:rPr>
        <w:t>号），参考</w:t>
      </w:r>
      <w:r>
        <w:rPr>
          <w:rFonts w:hint="eastAsia" w:ascii="仿宋_GB2312" w:hAnsi="仿宋_GB2312" w:cs="仿宋_GB2312"/>
          <w:snapToGrid/>
          <w:color w:val="000000"/>
          <w:kern w:val="2"/>
          <w:szCs w:val="32"/>
        </w:rPr>
        <w:t>北京市告知承诺审批事项清单，编制临空经济区采取告知承诺方式办理的政务服务事项清单，对告知承诺审批事项清单实施动态调整管理，结合临空经济区信用体系建设，不断扩大告知承诺审批事项范围。</w:t>
      </w:r>
    </w:p>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 xml:space="preserve">第三章 </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土地出让</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第九条 【地块定标】</w:t>
      </w:r>
      <w:bookmarkEnd w:id="3"/>
      <w:r>
        <w:rPr>
          <w:rFonts w:hint="eastAsia" w:ascii="仿宋_GB2312" w:hAnsi="仿宋_GB2312" w:cs="仿宋_GB2312"/>
          <w:snapToGrid/>
          <w:kern w:val="2"/>
          <w:szCs w:val="32"/>
        </w:rPr>
        <w:t>根据《北京大兴国际机场临空经济区（大兴）标准地管理工作方案（试行）》（京临管发〔202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37</w:t>
      </w:r>
      <w:r>
        <w:rPr>
          <w:rFonts w:hint="eastAsia" w:ascii="仿宋_GB2312" w:hAnsi="仿宋_GB2312" w:cs="仿宋_GB2312"/>
          <w:snapToGrid/>
          <w:kern w:val="2"/>
          <w:szCs w:val="32"/>
        </w:rPr>
        <w:t>号）</w:t>
      </w:r>
      <w:r>
        <w:rPr>
          <w:rFonts w:hint="eastAsia" w:ascii="仿宋_GB2312" w:hAnsi="仿宋_GB2312" w:cs="仿宋_GB2312"/>
          <w:snapToGrid/>
          <w:color w:val="000000"/>
          <w:kern w:val="2"/>
          <w:szCs w:val="32"/>
        </w:rPr>
        <w:t>，由临空经济区负责发展改革、规划建设、营商服务等工作的部门根据标准地指标体系，结合相关区域评估、街区功能定位、项目准入等要求，确定拟出让地块经济效益指标、创新特色指标、资源消耗指标、绿色低碳指标的具体控制性指标要求。</w:t>
      </w:r>
    </w:p>
    <w:p>
      <w:pPr>
        <w:adjustRightInd w:val="0"/>
        <w:snapToGrid w:val="0"/>
        <w:spacing w:line="560" w:lineRule="exact"/>
        <w:ind w:firstLine="632" w:firstLineChars="200"/>
        <w:rPr>
          <w:rFonts w:ascii="仿宋_GB2312" w:hAnsi="仿宋_GB2312" w:cs="仿宋_GB2312"/>
          <w:snapToGrid/>
          <w:kern w:val="2"/>
          <w:szCs w:val="32"/>
        </w:rPr>
      </w:pPr>
      <w:r>
        <w:rPr>
          <w:rFonts w:hint="eastAsia" w:ascii="楷体_GB2312" w:hAnsi="楷体_GB2312" w:eastAsia="楷体_GB2312" w:cs="楷体_GB2312"/>
          <w:b/>
          <w:bCs/>
          <w:snapToGrid/>
          <w:kern w:val="2"/>
          <w:szCs w:val="32"/>
        </w:rPr>
        <w:t>第十条 【按标出让】</w:t>
      </w:r>
      <w:r>
        <w:rPr>
          <w:rFonts w:hint="eastAsia" w:ascii="仿宋_GB2312" w:hAnsi="仿宋_GB2312" w:cs="仿宋_GB2312"/>
          <w:snapToGrid/>
          <w:color w:val="000000"/>
          <w:kern w:val="2"/>
          <w:szCs w:val="32"/>
        </w:rPr>
        <w:t>临空</w:t>
      </w:r>
      <w:r>
        <w:rPr>
          <w:rFonts w:hint="eastAsia" w:ascii="仿宋_GB2312" w:hAnsi="仿宋_GB2312" w:cs="仿宋_GB2312"/>
          <w:snapToGrid/>
          <w:color w:val="000000"/>
          <w:kern w:val="2"/>
          <w:szCs w:val="32"/>
          <w:lang w:val="en-US" w:eastAsia="zh-CN"/>
        </w:rPr>
        <w:t>经济</w:t>
      </w:r>
      <w:r>
        <w:rPr>
          <w:rFonts w:hint="eastAsia" w:ascii="仿宋_GB2312" w:hAnsi="仿宋_GB2312" w:cs="仿宋_GB2312"/>
          <w:snapToGrid/>
          <w:color w:val="000000"/>
          <w:kern w:val="2"/>
          <w:szCs w:val="32"/>
        </w:rPr>
        <w:t>区规划建设部门根据标准地地块具体控制性指标要求制定土地出让方案，组织实施土地出让工作。企业竞得土地后，与临空区（大兴）管委会签订《国有建设用地使用权出让合同》（以下简称《出让合同》），同步签订《</w:t>
      </w:r>
      <w:r>
        <w:rPr>
          <w:rFonts w:hint="eastAsia" w:ascii="仿宋_GB2312" w:hAnsi="仿宋_GB2312" w:cs="仿宋_GB2312"/>
          <w:snapToGrid/>
          <w:kern w:val="2"/>
          <w:szCs w:val="32"/>
        </w:rPr>
        <w:t>北京大兴国际机场临空经济区（大兴）履约监管协议</w:t>
      </w:r>
      <w:r>
        <w:rPr>
          <w:rFonts w:hint="eastAsia" w:ascii="仿宋_GB2312" w:hAnsi="仿宋_GB2312" w:cs="仿宋_GB2312"/>
          <w:snapToGrid/>
          <w:color w:val="000000"/>
          <w:kern w:val="2"/>
          <w:szCs w:val="32"/>
        </w:rPr>
        <w:t>》（以下简称《履约监管协议》）。《履约监管协议》中载明标准地控制性指标要求、开竣工、投达产等履约标准，以及监管措施、验收办法和违约责任等内容</w:t>
      </w:r>
      <w:r>
        <w:rPr>
          <w:rFonts w:hint="eastAsia" w:ascii="仿宋_GB2312" w:hAnsi="仿宋_GB2312" w:cs="仿宋_GB2312"/>
          <w:snapToGrid/>
          <w:kern w:val="2"/>
          <w:szCs w:val="32"/>
        </w:rPr>
        <w:t>。</w:t>
      </w:r>
    </w:p>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 xml:space="preserve">第四章 </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审批服务</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第十一条 【部门联动服务】</w:t>
      </w:r>
      <w:r>
        <w:rPr>
          <w:rFonts w:hint="eastAsia" w:ascii="仿宋_GB2312" w:hAnsi="仿宋_GB2312" w:cs="仿宋_GB2312"/>
          <w:snapToGrid/>
          <w:kern w:val="2"/>
          <w:szCs w:val="32"/>
        </w:rPr>
        <w:t>依托</w:t>
      </w:r>
      <w:r>
        <w:rPr>
          <w:rFonts w:hint="eastAsia" w:ascii="仿宋_GB2312" w:hAnsi="仿宋_GB2312" w:cs="仿宋_GB2312"/>
          <w:snapToGrid/>
          <w:color w:val="000000"/>
          <w:kern w:val="2"/>
          <w:szCs w:val="32"/>
        </w:rPr>
        <w:t>临空经济区</w:t>
      </w:r>
      <w:r>
        <w:rPr>
          <w:rFonts w:hint="eastAsia" w:ascii="仿宋_GB2312"/>
          <w:szCs w:val="32"/>
        </w:rPr>
        <w:t>相关行政许可及关联事项集中办理</w:t>
      </w:r>
      <w:r>
        <w:rPr>
          <w:rFonts w:hint="eastAsia" w:ascii="仿宋_GB2312" w:hAnsi="仿宋_GB2312" w:cs="仿宋_GB2312"/>
          <w:snapToGrid/>
          <w:kern w:val="2"/>
          <w:szCs w:val="32"/>
        </w:rPr>
        <w:t>的优势，建立“部门联动工作机制”，实现发改、规自、人防、环保、园林等多个相关事项协同办理。在企业取得土地成交确认书后，由临空区</w:t>
      </w:r>
      <w:r>
        <w:rPr>
          <w:rFonts w:hint="eastAsia" w:ascii="仿宋_GB2312" w:hAnsi="仿宋_GB2312" w:cs="仿宋_GB2312"/>
          <w:snapToGrid/>
          <w:color w:val="000000"/>
          <w:kern w:val="2"/>
          <w:szCs w:val="32"/>
        </w:rPr>
        <w:t>（大兴）管委会相关部门</w:t>
      </w:r>
      <w:r>
        <w:rPr>
          <w:rFonts w:hint="eastAsia" w:ascii="仿宋_GB2312" w:hAnsi="仿宋_GB2312" w:cs="仿宋_GB2312"/>
          <w:snapToGrid/>
          <w:kern w:val="2"/>
          <w:szCs w:val="32"/>
        </w:rPr>
        <w:t>组织集中回复“多规合一”协同平台相关意见，为项目实现“一天办N证，拿地即开工”提供高效服务</w:t>
      </w:r>
      <w:r>
        <w:rPr>
          <w:rFonts w:hint="eastAsia" w:ascii="仿宋_GB2312" w:hAnsi="仿宋_GB2312" w:cs="仿宋_GB2312"/>
          <w:snapToGrid/>
          <w:color w:val="000000"/>
          <w:kern w:val="2"/>
          <w:szCs w:val="32"/>
        </w:rPr>
        <w:t>。</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第十二条 【综合告知承诺审批】</w:t>
      </w:r>
      <w:bookmarkStart w:id="6" w:name="_Hlk60043399"/>
      <w:r>
        <w:rPr>
          <w:rFonts w:hint="eastAsia" w:ascii="仿宋_GB2312" w:hAnsi="仿宋_GB2312" w:cs="仿宋_GB2312"/>
          <w:snapToGrid/>
          <w:kern w:val="2"/>
          <w:szCs w:val="32"/>
        </w:rPr>
        <w:t>对纳入“告知承诺事项”清单的审批事项，结合项目实际需求，实行“综合告知承诺”，即审批部门一次性告知，企业根据意愿一次性承诺。通过“一张综合告知承诺书”，企业进入“一个窗口”，提交“一套资料”。审批部门并联审批，加盖“一枚印章”，实现“一单告知、一窗办理、一站办结”。通过“综合告知承诺”实现“一天办N证”，即城建类固定资产投资项目核准、建设工程规划许可证、建设工程施工许可证、水影响评价审查等审批事项同时办结</w:t>
      </w:r>
      <w:r>
        <w:rPr>
          <w:rFonts w:hint="eastAsia" w:ascii="仿宋_GB2312" w:hAnsi="仿宋_GB2312" w:cs="仿宋_GB2312"/>
          <w:snapToGrid/>
          <w:color w:val="000000"/>
          <w:kern w:val="2"/>
          <w:szCs w:val="32"/>
        </w:rPr>
        <w:t>。优化完善审批服务，推进告知承诺全程网办，大力压减办理时限，探索实现远程签署告知承诺书。</w:t>
      </w:r>
    </w:p>
    <w:bookmarkEnd w:id="6"/>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第五章</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 xml:space="preserve"> 监督管理</w:t>
      </w:r>
    </w:p>
    <w:p>
      <w:pPr>
        <w:adjustRightInd w:val="0"/>
        <w:snapToGrid w:val="0"/>
        <w:spacing w:line="560" w:lineRule="exact"/>
        <w:ind w:firstLine="632" w:firstLineChars="200"/>
        <w:rPr>
          <w:rFonts w:ascii="仿宋_GB2312" w:hAnsi="仿宋_GB2312" w:cs="仿宋_GB2312"/>
          <w:snapToGrid/>
          <w:kern w:val="2"/>
          <w:szCs w:val="32"/>
        </w:rPr>
      </w:pPr>
      <w:r>
        <w:rPr>
          <w:rFonts w:hint="eastAsia" w:ascii="楷体_GB2312" w:hAnsi="楷体_GB2312" w:eastAsia="楷体_GB2312" w:cs="楷体_GB2312"/>
          <w:b/>
          <w:bCs/>
          <w:snapToGrid/>
          <w:kern w:val="2"/>
          <w:szCs w:val="32"/>
        </w:rPr>
        <w:t>第十三条 【事中事后监管】</w:t>
      </w:r>
      <w:r>
        <w:rPr>
          <w:rFonts w:hint="eastAsia" w:ascii="仿宋_GB2312" w:hAnsi="仿宋_GB2312" w:cs="仿宋_GB2312"/>
          <w:snapToGrid/>
          <w:kern w:val="2"/>
          <w:szCs w:val="32"/>
        </w:rPr>
        <w:t>根据《北京大兴国际机场临空经济区（大兴）告知承诺事项核查管理办法（试行）》（京临管发〔202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39</w:t>
      </w:r>
      <w:r>
        <w:rPr>
          <w:rFonts w:hint="eastAsia" w:ascii="仿宋_GB2312" w:hAnsi="仿宋_GB2312" w:cs="仿宋_GB2312"/>
          <w:snapToGrid/>
          <w:kern w:val="2"/>
          <w:szCs w:val="32"/>
        </w:rPr>
        <w:t>号），健全告知承诺事项事中事后核查机制，</w:t>
      </w:r>
      <w:r>
        <w:rPr>
          <w:rFonts w:hint="eastAsia" w:ascii="仿宋_GB2312" w:hAnsi="仿宋_GB2312" w:cs="仿宋_GB2312"/>
          <w:snapToGrid/>
          <w:color w:val="000000"/>
          <w:kern w:val="2"/>
          <w:szCs w:val="32"/>
        </w:rPr>
        <w:t>探索</w:t>
      </w:r>
      <w:r>
        <w:rPr>
          <w:rFonts w:hint="eastAsia" w:ascii="仿宋_GB2312" w:hAnsi="仿宋_GB2312" w:cs="仿宋_GB2312"/>
          <w:snapToGrid/>
          <w:kern w:val="2"/>
          <w:szCs w:val="32"/>
        </w:rPr>
        <w:t>承诺内容在线核查。</w:t>
      </w:r>
      <w:r>
        <w:rPr>
          <w:rFonts w:hint="eastAsia" w:ascii="仿宋_GB2312" w:hAnsi="仿宋_GB2312" w:cs="仿宋_GB2312"/>
          <w:snapToGrid/>
          <w:color w:val="000000"/>
          <w:kern w:val="2"/>
          <w:szCs w:val="32"/>
        </w:rPr>
        <w:t>针对告知承诺违诺失信行为，</w:t>
      </w:r>
      <w:r>
        <w:rPr>
          <w:rFonts w:hint="eastAsia" w:ascii="仿宋_GB2312" w:hAnsi="仿宋_GB2312" w:cs="仿宋_GB2312"/>
          <w:snapToGrid/>
          <w:kern w:val="2"/>
          <w:szCs w:val="32"/>
        </w:rPr>
        <w:t>根据事项特点制定信用评价标准，</w:t>
      </w:r>
      <w:r>
        <w:rPr>
          <w:rFonts w:hint="eastAsia" w:ascii="仿宋_GB2312" w:hAnsi="仿宋_GB2312" w:cs="仿宋_GB2312"/>
          <w:snapToGrid/>
          <w:color w:val="000000"/>
          <w:kern w:val="2"/>
          <w:szCs w:val="32"/>
        </w:rPr>
        <w:t>建立核查管理与临空经济区信用评价联动的工作机制。及时将核查结果和信用评价结果抄送市区行业管理部门，做好事中事后监管的对接工作。</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第十四条 【对标验收】</w:t>
      </w:r>
      <w:r>
        <w:rPr>
          <w:rFonts w:hint="eastAsia" w:ascii="仿宋_GB2312" w:hAnsi="仿宋_GB2312" w:cs="仿宋_GB2312"/>
          <w:snapToGrid/>
          <w:kern w:val="2"/>
          <w:szCs w:val="32"/>
        </w:rPr>
        <w:t>根据《北京大兴国际机场临空经济区（北京部分）标准地指标验收管理办法（试行）》（京临管发〔202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46</w:t>
      </w:r>
      <w:r>
        <w:rPr>
          <w:rFonts w:hint="eastAsia" w:ascii="仿宋_GB2312" w:hAnsi="仿宋_GB2312" w:cs="仿宋_GB2312"/>
          <w:snapToGrid/>
          <w:kern w:val="2"/>
          <w:szCs w:val="32"/>
        </w:rPr>
        <w:t>号），</w:t>
      </w:r>
      <w:r>
        <w:rPr>
          <w:rFonts w:hint="eastAsia" w:ascii="仿宋_GB2312" w:hAnsi="仿宋_GB2312" w:cs="仿宋_GB2312"/>
          <w:snapToGrid/>
          <w:color w:val="000000"/>
          <w:kern w:val="2"/>
          <w:szCs w:val="32"/>
        </w:rPr>
        <w:t>按照事先约定的条件对项目进行对标验收。项目未通过标准地指标验收的，责令企业限期整改，并按照《履约监管协议》约定</w:t>
      </w:r>
      <w:r>
        <w:rPr>
          <w:rFonts w:hint="eastAsia" w:ascii="仿宋_GB2312" w:hAnsi="仿宋_GB2312" w:cs="仿宋_GB2312"/>
          <w:snapToGrid/>
          <w:color w:val="000000"/>
          <w:kern w:val="2"/>
          <w:szCs w:val="32"/>
          <w:lang w:eastAsia="zh-CN"/>
        </w:rPr>
        <w:t>，</w:t>
      </w:r>
      <w:r>
        <w:rPr>
          <w:rFonts w:hint="eastAsia" w:ascii="仿宋_GB2312" w:hAnsi="仿宋_GB2312" w:cs="仿宋_GB2312"/>
          <w:snapToGrid/>
          <w:color w:val="000000"/>
          <w:kern w:val="2"/>
          <w:szCs w:val="32"/>
        </w:rPr>
        <w:t>承担相应的违约责任。</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第十五条 【达产复核】</w:t>
      </w:r>
      <w:r>
        <w:rPr>
          <w:rFonts w:hint="eastAsia"/>
        </w:rPr>
        <w:t>按照《北京大兴国际机场临空经济区（北京部分）标准地指标验收管理办法（试行）》</w:t>
      </w:r>
      <w:r>
        <w:rPr>
          <w:rFonts w:hint="eastAsia" w:ascii="仿宋_GB2312" w:hAnsi="仿宋_GB2312" w:cs="仿宋_GB2312"/>
          <w:snapToGrid/>
          <w:kern w:val="2"/>
          <w:szCs w:val="32"/>
        </w:rPr>
        <w:t>（京临管发〔202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46</w:t>
      </w:r>
      <w:r>
        <w:rPr>
          <w:rFonts w:hint="eastAsia" w:ascii="仿宋_GB2312" w:hAnsi="仿宋_GB2312" w:cs="仿宋_GB2312"/>
          <w:snapToGrid/>
          <w:kern w:val="2"/>
          <w:szCs w:val="32"/>
        </w:rPr>
        <w:t>号）</w:t>
      </w:r>
      <w:r>
        <w:rPr>
          <w:rFonts w:hint="eastAsia"/>
        </w:rPr>
        <w:t>的相关要求，项目在达产期限届满前，相关部门对照《履约监管协议》中确定的经济效益、创新特色、资源消耗等指标开展达产复核验收，并出具达产复核意见书</w:t>
      </w:r>
      <w:r>
        <w:rPr>
          <w:rFonts w:hint="eastAsia" w:ascii="仿宋_GB2312" w:hAnsi="仿宋_GB2312" w:cs="仿宋_GB2312"/>
          <w:snapToGrid/>
          <w:color w:val="000000"/>
          <w:kern w:val="2"/>
          <w:szCs w:val="32"/>
        </w:rPr>
        <w:t>。</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第十六条 【违约管理】</w:t>
      </w:r>
      <w:r>
        <w:rPr>
          <w:rFonts w:hint="eastAsia"/>
        </w:rPr>
        <w:t>因项目方原因未按期组织竣工验收</w:t>
      </w:r>
      <w:r>
        <w:rPr>
          <w:rFonts w:hint="eastAsia"/>
          <w:lang w:eastAsia="zh-CN"/>
        </w:rPr>
        <w:t>、</w:t>
      </w:r>
      <w:r>
        <w:rPr>
          <w:rFonts w:hint="eastAsia"/>
        </w:rPr>
        <w:t>未按约定的建设进度完成竣工</w:t>
      </w:r>
      <w:r>
        <w:rPr>
          <w:rFonts w:hint="eastAsia"/>
          <w:lang w:eastAsia="zh-CN"/>
        </w:rPr>
        <w:t>、</w:t>
      </w:r>
      <w:r>
        <w:rPr>
          <w:rFonts w:hint="eastAsia"/>
        </w:rPr>
        <w:t>未通过标准地指标验收，或达产复核不合格的，按照《国有建设用地使用权出让合同》和《履约监管协议》相关约定依法追究违约责任</w:t>
      </w:r>
      <w:r>
        <w:rPr>
          <w:rFonts w:hint="eastAsia" w:ascii="仿宋_GB2312" w:hAnsi="仿宋_GB2312" w:cs="仿宋_GB2312"/>
          <w:snapToGrid/>
          <w:color w:val="000000"/>
          <w:kern w:val="2"/>
          <w:szCs w:val="32"/>
        </w:rPr>
        <w:t>。</w:t>
      </w:r>
    </w:p>
    <w:p>
      <w:pPr>
        <w:spacing w:before="289" w:beforeLines="50" w:after="289" w:afterLines="50" w:line="560" w:lineRule="exact"/>
        <w:jc w:val="center"/>
        <w:outlineLvl w:val="0"/>
        <w:rPr>
          <w:rFonts w:ascii="黑体" w:hAnsi="黑体" w:eastAsia="黑体"/>
          <w:snapToGrid/>
          <w:kern w:val="2"/>
          <w:szCs w:val="32"/>
        </w:rPr>
      </w:pPr>
      <w:r>
        <w:rPr>
          <w:rFonts w:hint="eastAsia" w:ascii="黑体" w:hAnsi="黑体" w:eastAsia="黑体"/>
          <w:snapToGrid/>
          <w:kern w:val="2"/>
          <w:szCs w:val="32"/>
        </w:rPr>
        <w:t>第六章</w:t>
      </w:r>
      <w:r>
        <w:rPr>
          <w:rFonts w:hint="eastAsia" w:ascii="黑体" w:hAnsi="黑体" w:eastAsia="黑体"/>
          <w:snapToGrid/>
          <w:kern w:val="2"/>
          <w:szCs w:val="32"/>
          <w:lang w:val="en-US" w:eastAsia="zh-CN"/>
        </w:rPr>
        <w:t xml:space="preserve"> </w:t>
      </w:r>
      <w:r>
        <w:rPr>
          <w:rFonts w:hint="eastAsia" w:ascii="黑体" w:hAnsi="黑体" w:eastAsia="黑体"/>
          <w:snapToGrid/>
          <w:kern w:val="2"/>
          <w:szCs w:val="32"/>
        </w:rPr>
        <w:t xml:space="preserve"> 保障机制</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第十七条 【建立信用管理工作机制】</w:t>
      </w:r>
      <w:r>
        <w:rPr>
          <w:rFonts w:hint="eastAsia" w:ascii="仿宋_GB2312" w:hAnsi="仿宋_GB2312" w:cs="仿宋_GB2312"/>
          <w:kern w:val="2"/>
          <w:szCs w:val="32"/>
        </w:rPr>
        <w:t>建立</w:t>
      </w:r>
      <w:r>
        <w:rPr>
          <w:rFonts w:hint="eastAsia" w:ascii="仿宋_GB2312" w:hAnsi="仿宋_GB2312" w:cs="仿宋_GB2312"/>
          <w:snapToGrid/>
          <w:color w:val="000000"/>
          <w:kern w:val="2"/>
          <w:szCs w:val="32"/>
        </w:rPr>
        <w:t>临空经济区</w:t>
      </w:r>
      <w:r>
        <w:rPr>
          <w:rFonts w:hint="eastAsia" w:ascii="仿宋_GB2312" w:hAnsi="仿宋_GB2312" w:cs="仿宋_GB2312"/>
          <w:kern w:val="2"/>
          <w:szCs w:val="32"/>
        </w:rPr>
        <w:t>行政相对人信用信息归集与评价管理机制</w:t>
      </w:r>
      <w:r>
        <w:rPr>
          <w:rFonts w:hint="eastAsia" w:ascii="仿宋_GB2312" w:hAnsi="仿宋_GB2312" w:cs="仿宋_GB2312"/>
          <w:szCs w:val="32"/>
        </w:rPr>
        <w:t>，形成“信用信息归集评价+审批改革创新”联动的工作模式。</w:t>
      </w:r>
      <w:r>
        <w:rPr>
          <w:rFonts w:hint="eastAsia" w:ascii="仿宋_GB2312" w:hAnsi="仿宋_GB2312" w:cs="仿宋_GB2312"/>
          <w:kern w:val="2"/>
          <w:szCs w:val="32"/>
        </w:rPr>
        <w:t>根据</w:t>
      </w:r>
      <w:r>
        <w:rPr>
          <w:rFonts w:hint="eastAsia" w:ascii="仿宋_GB2312" w:hAnsi="仿宋_GB2312" w:cs="仿宋_GB2312"/>
          <w:snapToGrid/>
          <w:color w:val="000000"/>
          <w:kern w:val="2"/>
          <w:szCs w:val="32"/>
        </w:rPr>
        <w:t>临空经济区</w:t>
      </w:r>
      <w:r>
        <w:rPr>
          <w:rFonts w:hint="eastAsia" w:ascii="仿宋_GB2312" w:hAnsi="仿宋_GB2312" w:cs="仿宋_GB2312"/>
          <w:szCs w:val="32"/>
        </w:rPr>
        <w:t>审批部门</w:t>
      </w:r>
      <w:r>
        <w:rPr>
          <w:rFonts w:hint="eastAsia" w:ascii="仿宋_GB2312" w:hAnsi="仿宋_GB2312" w:cs="仿宋_GB2312"/>
          <w:kern w:val="2"/>
          <w:szCs w:val="32"/>
        </w:rPr>
        <w:t>批后核查结果，结合相关市区行业管理部门的事后监管结果以及北京市公共信用信息</w:t>
      </w:r>
      <w:r>
        <w:rPr>
          <w:rFonts w:hint="eastAsia" w:ascii="仿宋_GB2312" w:hAnsi="仿宋_GB2312" w:cs="仿宋_GB2312"/>
          <w:szCs w:val="32"/>
        </w:rPr>
        <w:t>，对行政相对人进行</w:t>
      </w:r>
      <w:r>
        <w:rPr>
          <w:rFonts w:hint="eastAsia" w:ascii="仿宋_GB2312" w:hAnsi="仿宋_GB2312" w:cs="仿宋_GB2312"/>
          <w:kern w:val="2"/>
          <w:szCs w:val="32"/>
        </w:rPr>
        <w:t>信用</w:t>
      </w:r>
      <w:r>
        <w:rPr>
          <w:rFonts w:hint="eastAsia" w:ascii="仿宋_GB2312" w:hAnsi="仿宋_GB2312" w:cs="仿宋_GB2312"/>
          <w:szCs w:val="32"/>
        </w:rPr>
        <w:t>信息归集，并按规定进行分值评定、等级评价、分级管理、</w:t>
      </w:r>
      <w:r>
        <w:rPr>
          <w:rFonts w:hint="eastAsia" w:ascii="仿宋_GB2312" w:hAnsi="仿宋_GB2312" w:cs="仿宋_GB2312"/>
          <w:kern w:val="2"/>
          <w:szCs w:val="32"/>
          <w:lang w:bidi="ar"/>
        </w:rPr>
        <w:t>评价结果应用</w:t>
      </w:r>
      <w:r>
        <w:rPr>
          <w:rFonts w:hint="eastAsia" w:ascii="仿宋_GB2312" w:hAnsi="仿宋_GB2312" w:cs="仿宋_GB2312"/>
          <w:szCs w:val="32"/>
        </w:rPr>
        <w:t>及信用权益保护等</w:t>
      </w:r>
      <w:r>
        <w:rPr>
          <w:rFonts w:hint="eastAsia" w:ascii="仿宋_GB2312" w:hAnsi="仿宋_GB2312" w:cs="仿宋_GB2312"/>
          <w:snapToGrid/>
          <w:color w:val="000000"/>
          <w:kern w:val="2"/>
          <w:szCs w:val="32"/>
        </w:rPr>
        <w:t>。</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第十八条 【建设数字地图】</w:t>
      </w:r>
      <w:r>
        <w:rPr>
          <w:rFonts w:hint="eastAsia" w:ascii="仿宋_GB2312" w:hAnsi="仿宋_GB2312" w:cs="仿宋_GB2312"/>
          <w:snapToGrid/>
          <w:color w:val="000000"/>
          <w:kern w:val="2"/>
          <w:szCs w:val="32"/>
        </w:rPr>
        <w:t>构建“交互式”标准地数字地图，实现已成交、已公告、计划出让的标准地信息、周边交通及商业等配套设施信息的可视化展示，提供项目准入门槛咨询、地块信息咨询、政策规划咨询等交互式服务。</w:t>
      </w:r>
    </w:p>
    <w:p>
      <w:pPr>
        <w:spacing w:before="289" w:beforeLines="50" w:after="289" w:afterLines="50" w:line="560" w:lineRule="exact"/>
        <w:jc w:val="center"/>
        <w:outlineLvl w:val="0"/>
        <w:rPr>
          <w:rFonts w:ascii="黑体" w:hAnsi="黑体" w:eastAsia="黑体"/>
          <w:snapToGrid/>
          <w:kern w:val="2"/>
          <w:szCs w:val="32"/>
        </w:rPr>
      </w:pPr>
      <w:r>
        <w:rPr>
          <w:rFonts w:ascii="黑体" w:hAnsi="黑体" w:eastAsia="黑体"/>
          <w:snapToGrid/>
          <w:kern w:val="2"/>
          <w:szCs w:val="32"/>
        </w:rPr>
        <w:t>第七章  附则</w:t>
      </w:r>
    </w:p>
    <w:p>
      <w:pPr>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楷体_GB2312" w:hAnsi="楷体_GB2312" w:eastAsia="楷体_GB2312" w:cs="楷体_GB2312"/>
          <w:b/>
          <w:bCs/>
          <w:snapToGrid/>
          <w:kern w:val="2"/>
          <w:szCs w:val="32"/>
        </w:rPr>
        <w:t>第十九条 【生效日期】</w:t>
      </w:r>
      <w:r>
        <w:rPr>
          <w:rFonts w:hint="eastAsia" w:ascii="仿宋_GB2312" w:hAnsi="仿宋_GB2312" w:cs="仿宋_GB2312"/>
          <w:snapToGrid/>
          <w:color w:val="000000"/>
          <w:kern w:val="2"/>
          <w:szCs w:val="32"/>
        </w:rPr>
        <w:t>本办法自印发之日起实施。实施期间法律、行政法规等对本办法涉及内容有新规定的，从其规定。</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本办法由临空区（大兴）管委会负责解释。</w:t>
      </w:r>
    </w:p>
    <w:p>
      <w:pPr>
        <w:pStyle w:val="15"/>
        <w:spacing w:line="560" w:lineRule="exact"/>
        <w:ind w:left="632" w:firstLine="632"/>
      </w:pPr>
    </w:p>
    <w:p>
      <w:pPr>
        <w:pStyle w:val="15"/>
        <w:spacing w:line="560" w:lineRule="exact"/>
        <w:ind w:firstLine="632"/>
        <w:sectPr>
          <w:footerReference r:id="rId3" w:type="default"/>
          <w:pgSz w:w="11906" w:h="16838"/>
          <w:pgMar w:top="2098" w:right="1474" w:bottom="1985" w:left="1588" w:header="851" w:footer="992" w:gutter="0"/>
          <w:pgNumType w:fmt="numberInDash" w:start="1"/>
          <w:cols w:space="720" w:num="1"/>
          <w:docGrid w:type="linesAndChars" w:linePitch="579" w:charSpace="-849"/>
        </w:sectPr>
      </w:pPr>
    </w:p>
    <w:p>
      <w:pPr>
        <w:adjustRightInd w:val="0"/>
        <w:snapToGrid w:val="0"/>
        <w:spacing w:line="560" w:lineRule="exact"/>
        <w:jc w:val="center"/>
        <w:rPr>
          <w:rFonts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color w:val="000000"/>
          <w:kern w:val="2"/>
          <w:sz w:val="44"/>
          <w:szCs w:val="44"/>
        </w:rPr>
        <w:t>北京大兴国际机场临空经济区（北京部分）</w:t>
      </w:r>
    </w:p>
    <w:p>
      <w:pPr>
        <w:adjustRightInd w:val="0"/>
        <w:snapToGrid w:val="0"/>
        <w:spacing w:line="560" w:lineRule="exact"/>
        <w:jc w:val="center"/>
        <w:rPr>
          <w:rFonts w:ascii="方正小标宋简体" w:hAnsi="方正小标宋简体" w:eastAsia="方正小标宋简体" w:cs="方正小标宋简体"/>
          <w:snapToGrid/>
          <w:color w:val="000000"/>
          <w:kern w:val="2"/>
          <w:sz w:val="44"/>
          <w:szCs w:val="44"/>
        </w:rPr>
      </w:pPr>
      <w:r>
        <w:rPr>
          <w:rFonts w:hint="eastAsia" w:ascii="方正小标宋简体" w:hAnsi="方正小标宋简体" w:eastAsia="方正小标宋简体" w:cs="方正小标宋简体"/>
          <w:snapToGrid/>
          <w:color w:val="000000"/>
          <w:kern w:val="2"/>
          <w:sz w:val="44"/>
          <w:szCs w:val="44"/>
        </w:rPr>
        <w:t>关于进一步深化“区域评估+标准地+告知承诺+综合服务”改革创新工作的实施意见</w:t>
      </w:r>
    </w:p>
    <w:p>
      <w:pPr>
        <w:adjustRightInd w:val="0"/>
        <w:snapToGrid w:val="0"/>
        <w:spacing w:line="560" w:lineRule="exact"/>
        <w:jc w:val="center"/>
        <w:rPr>
          <w:rFonts w:ascii="方正小标宋简体" w:hAnsi="Calibri" w:eastAsia="方正小标宋简体"/>
          <w:snapToGrid/>
          <w:color w:val="000000"/>
          <w:kern w:val="2"/>
          <w:sz w:val="44"/>
          <w:szCs w:val="44"/>
        </w:rPr>
      </w:pP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为深入推进“放管服”改革，贯彻《北京市优化营商环境条例》，落实北京营商环境5</w:t>
      </w:r>
      <w:r>
        <w:rPr>
          <w:rFonts w:ascii="仿宋_GB2312" w:hAnsi="仿宋_GB2312" w:cs="仿宋_GB2312"/>
          <w:snapToGrid/>
          <w:color w:val="000000"/>
          <w:kern w:val="2"/>
          <w:szCs w:val="32"/>
        </w:rPr>
        <w:t>.0</w:t>
      </w:r>
      <w:r>
        <w:rPr>
          <w:rFonts w:hint="eastAsia" w:ascii="仿宋_GB2312" w:hAnsi="仿宋_GB2312" w:cs="仿宋_GB2312"/>
          <w:snapToGrid/>
          <w:color w:val="000000"/>
          <w:kern w:val="2"/>
          <w:szCs w:val="32"/>
        </w:rPr>
        <w:t>版改革任务，积极推动国家服务业扩大开放综合示范区和北京自由贸易试验区制度创新，加快转变政府职能，促进北京大兴国际机场临空经济区（北京部分）（以下简称临空经济区）高质量发展，打造国际一流的营商环境，根据《北京市培育和激发市场主体活力持续优化营商环境实施方案》（京政办发〔2021〕18号）及《北京市营商环境创新试点工作实施方案》（京政发〔2022〕6号）要求，按照市委市政府决策部署，结合临空经济区工作实际，就开展“区域评估+标准地+告知承诺+综合服务”改革工作提出如下意见：</w:t>
      </w:r>
    </w:p>
    <w:p>
      <w:pPr>
        <w:adjustRightInd w:val="0"/>
        <w:snapToGrid w:val="0"/>
        <w:spacing w:line="560" w:lineRule="exact"/>
        <w:ind w:firstLine="632" w:firstLineChars="200"/>
        <w:outlineLvl w:val="0"/>
        <w:rPr>
          <w:rFonts w:ascii="黑体" w:hAnsi="黑体" w:eastAsia="黑体"/>
          <w:snapToGrid/>
          <w:color w:val="000000"/>
          <w:kern w:val="2"/>
          <w:szCs w:val="32"/>
        </w:rPr>
      </w:pPr>
      <w:r>
        <w:rPr>
          <w:rFonts w:hint="eastAsia" w:ascii="黑体" w:hAnsi="黑体" w:eastAsia="黑体"/>
          <w:snapToGrid/>
          <w:color w:val="000000"/>
          <w:kern w:val="2"/>
          <w:szCs w:val="32"/>
        </w:rPr>
        <w:t>一、总体要求</w:t>
      </w:r>
    </w:p>
    <w:p>
      <w:pPr>
        <w:adjustRightInd w:val="0"/>
        <w:snapToGrid w:val="0"/>
        <w:spacing w:line="560" w:lineRule="exact"/>
        <w:ind w:firstLine="632" w:firstLineChars="200"/>
        <w:outlineLvl w:val="1"/>
        <w:rPr>
          <w:rFonts w:ascii="楷体_GB2312" w:hAnsi="楷体_GB2312" w:eastAsia="楷体_GB2312" w:cs="楷体_GB2312"/>
          <w:snapToGrid/>
          <w:color w:val="000000"/>
          <w:kern w:val="2"/>
          <w:szCs w:val="32"/>
        </w:rPr>
      </w:pPr>
      <w:r>
        <w:rPr>
          <w:rFonts w:hint="eastAsia" w:ascii="楷体_GB2312" w:hAnsi="楷体_GB2312" w:eastAsia="楷体_GB2312" w:cs="楷体_GB2312"/>
          <w:snapToGrid/>
          <w:color w:val="000000"/>
          <w:kern w:val="2"/>
          <w:szCs w:val="32"/>
        </w:rPr>
        <w:t>（一）指导思想</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以习近平新时代中国特色社会主义思想为指导，全面深入贯彻党的二十大精神，深刻领会习近平总书记关于“北京市要率先加大营商环境改革力度”的工作要求，立足临空经济区战略定位，紧紧围绕促进“五子”联动落地，主动服务和融入新发展格局，牢固树立创新、协调、绿色、开放、共享的新发展理念，以推进政府治理体系和治理能力现代化为目标，以激发市场主体活力和社会创造力为导向，对标国际，立足实际，全力构建法治化、国际化、便利化营商环境。</w:t>
      </w:r>
    </w:p>
    <w:p>
      <w:pPr>
        <w:adjustRightInd w:val="0"/>
        <w:snapToGrid w:val="0"/>
        <w:spacing w:line="560" w:lineRule="exact"/>
        <w:ind w:firstLine="632" w:firstLineChars="200"/>
        <w:outlineLvl w:val="1"/>
        <w:rPr>
          <w:rFonts w:ascii="楷体_GB2312" w:hAnsi="楷体_GB2312" w:eastAsia="楷体_GB2312" w:cs="楷体_GB2312"/>
          <w:snapToGrid/>
          <w:color w:val="000000"/>
          <w:kern w:val="2"/>
          <w:szCs w:val="32"/>
        </w:rPr>
      </w:pPr>
      <w:r>
        <w:rPr>
          <w:rFonts w:hint="eastAsia" w:ascii="楷体_GB2312" w:hAnsi="楷体_GB2312" w:eastAsia="楷体_GB2312" w:cs="楷体_GB2312"/>
          <w:snapToGrid/>
          <w:color w:val="000000"/>
          <w:kern w:val="2"/>
          <w:szCs w:val="32"/>
        </w:rPr>
        <w:t>（二）基本原则</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1.坚持国际标准，创新示范。充分落实临空经济区“国际交往中心功能承载区”的战略定位，深化企业投资项目“区域评估+标准地+告知承诺+综合服务”改革，形成具有国际先进水平的制度创新体系，突出临空经济区在体制机制创新中的改革先锋地位。</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hint="eastAsia" w:ascii="仿宋_GB2312" w:hAnsi="仿宋_GB2312" w:cs="仿宋_GB2312"/>
          <w:snapToGrid/>
          <w:color w:val="000000"/>
          <w:kern w:val="2"/>
          <w:szCs w:val="32"/>
        </w:rPr>
        <w:t>2.坚持放管并重，优化服务。认真贯彻党中央、国务院和北京市政府的改革决策部署，注重“放管服”并举，探索高质量发展目标下的新监管模式、服务模式，实现减审批、提效能、优服务，提升监管与服务水平。</w:t>
      </w:r>
    </w:p>
    <w:p>
      <w:pPr>
        <w:overflowPunct w:val="0"/>
        <w:adjustRightInd w:val="0"/>
        <w:snapToGrid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color w:val="000000"/>
          <w:kern w:val="2"/>
          <w:szCs w:val="32"/>
        </w:rPr>
        <w:t>3.坚持依法明责，简化审批。</w:t>
      </w:r>
      <w:r>
        <w:rPr>
          <w:rFonts w:hint="eastAsia" w:ascii="仿宋_GB2312" w:hAnsi="仿宋_GB2312" w:cs="仿宋_GB2312"/>
          <w:snapToGrid/>
          <w:kern w:val="2"/>
          <w:szCs w:val="32"/>
        </w:rPr>
        <w:t>在确保依法、安全的前提下，通过建立健全告知承诺审批制度，加快审批流程再造，实现审批责任从政府部门一方担责到政府、市场、社会三方共同履责的转变，实现审批方式从实质性审查到形式审查的转变。</w:t>
      </w:r>
    </w:p>
    <w:p>
      <w:pPr>
        <w:overflowPunct w:val="0"/>
        <w:adjustRightInd w:val="0"/>
        <w:snapToGrid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color w:val="000000"/>
          <w:kern w:val="2"/>
          <w:szCs w:val="32"/>
        </w:rPr>
        <w:t>4.坚持智慧赋能，平台共享。</w:t>
      </w:r>
      <w:r>
        <w:rPr>
          <w:rFonts w:hint="eastAsia" w:ascii="仿宋_GB2312" w:hAnsi="仿宋_GB2312" w:cs="仿宋_GB2312"/>
          <w:snapToGrid/>
          <w:kern w:val="2"/>
          <w:szCs w:val="32"/>
        </w:rPr>
        <w:t>以需求为导向，充分利用区块链、大数据、云计算、物联网等新一代信息技术，推进“互联网+”政务服务系统建设，切实提高审批服务效能，搭建</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审批、监管数据共享协作平台，增强跨部门、跨层级业务协同和数据共享能力。</w:t>
      </w:r>
    </w:p>
    <w:p>
      <w:pPr>
        <w:adjustRightInd w:val="0"/>
        <w:snapToGrid w:val="0"/>
        <w:spacing w:line="560" w:lineRule="exact"/>
        <w:ind w:firstLine="632" w:firstLineChars="200"/>
        <w:outlineLvl w:val="0"/>
        <w:rPr>
          <w:rFonts w:ascii="黑体" w:hAnsi="黑体" w:eastAsia="黑体"/>
          <w:snapToGrid/>
          <w:color w:val="000000"/>
          <w:kern w:val="2"/>
          <w:szCs w:val="32"/>
        </w:rPr>
      </w:pPr>
      <w:r>
        <w:rPr>
          <w:rFonts w:hint="eastAsia" w:ascii="黑体" w:hAnsi="黑体" w:eastAsia="黑体"/>
          <w:snapToGrid/>
          <w:color w:val="000000"/>
          <w:kern w:val="2"/>
          <w:szCs w:val="32"/>
        </w:rPr>
        <w:t>二</w:t>
      </w:r>
      <w:r>
        <w:rPr>
          <w:rFonts w:ascii="黑体" w:hAnsi="黑体" w:eastAsia="黑体"/>
          <w:snapToGrid/>
          <w:color w:val="000000"/>
          <w:kern w:val="2"/>
          <w:szCs w:val="32"/>
        </w:rPr>
        <w:t>、</w:t>
      </w:r>
      <w:r>
        <w:rPr>
          <w:rFonts w:hint="eastAsia" w:ascii="黑体" w:hAnsi="黑体" w:eastAsia="黑体"/>
          <w:snapToGrid/>
          <w:color w:val="000000"/>
          <w:kern w:val="2"/>
          <w:szCs w:val="32"/>
        </w:rPr>
        <w:t>工作范围和目标</w:t>
      </w:r>
    </w:p>
    <w:p>
      <w:pPr>
        <w:adjustRightInd w:val="0"/>
        <w:snapToGrid w:val="0"/>
        <w:spacing w:line="560" w:lineRule="exact"/>
        <w:ind w:firstLine="632" w:firstLineChars="200"/>
        <w:outlineLvl w:val="1"/>
        <w:rPr>
          <w:rFonts w:ascii="楷体_GB2312" w:hAnsi="楷体_GB2312" w:eastAsia="楷体_GB2312" w:cs="楷体_GB2312"/>
          <w:snapToGrid/>
          <w:color w:val="000000"/>
          <w:kern w:val="2"/>
          <w:szCs w:val="32"/>
        </w:rPr>
      </w:pPr>
      <w:r>
        <w:rPr>
          <w:rFonts w:hint="eastAsia" w:ascii="楷体_GB2312" w:hAnsi="楷体_GB2312" w:eastAsia="楷体_GB2312" w:cs="楷体_GB2312"/>
          <w:snapToGrid/>
          <w:color w:val="000000"/>
          <w:kern w:val="2"/>
          <w:szCs w:val="32"/>
        </w:rPr>
        <w:t>（一）工作范围</w:t>
      </w:r>
    </w:p>
    <w:p>
      <w:pPr>
        <w:spacing w:line="560" w:lineRule="exact"/>
        <w:ind w:firstLine="632" w:firstLineChars="200"/>
        <w:rPr>
          <w:snapToGrid/>
          <w:kern w:val="2"/>
          <w:szCs w:val="32"/>
        </w:rPr>
      </w:pPr>
      <w:r>
        <w:rPr>
          <w:rFonts w:hint="eastAsia" w:ascii="仿宋_GB2312" w:hAnsi="仿宋_GB2312" w:cs="仿宋_GB2312"/>
          <w:snapToGrid/>
          <w:kern w:val="2"/>
          <w:szCs w:val="32"/>
        </w:rPr>
        <w:t>本实施意见适用于</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范围（50平方公里）内的企业投资项目。</w:t>
      </w:r>
    </w:p>
    <w:p>
      <w:pPr>
        <w:adjustRightInd w:val="0"/>
        <w:snapToGrid w:val="0"/>
        <w:spacing w:line="560" w:lineRule="exact"/>
        <w:ind w:firstLine="632" w:firstLineChars="200"/>
        <w:outlineLvl w:val="1"/>
        <w:rPr>
          <w:rFonts w:ascii="楷体_GB2312" w:hAnsi="楷体_GB2312" w:eastAsia="楷体_GB2312" w:cs="楷体_GB2312"/>
          <w:snapToGrid/>
          <w:color w:val="000000"/>
          <w:kern w:val="2"/>
          <w:szCs w:val="32"/>
        </w:rPr>
      </w:pPr>
      <w:r>
        <w:rPr>
          <w:rFonts w:hint="eastAsia" w:ascii="楷体_GB2312" w:hAnsi="楷体_GB2312" w:eastAsia="楷体_GB2312" w:cs="楷体_GB2312"/>
          <w:snapToGrid/>
          <w:color w:val="000000"/>
          <w:kern w:val="2"/>
          <w:szCs w:val="32"/>
        </w:rPr>
        <w:t>（二）工作目标</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深入推进工程建设领域优化营商环境改革，紧抓创新机遇，充分利用“三区叠加”优势，对标国际一流，通过系统性地实施区域评估、标准地、告知承诺、综合服务，最大限度地提升社会投资项目的审批效率及相应的配套服务质量，助推项目“早落地、早投产”，将</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打造为北京市营商环境的先进区域</w:t>
      </w:r>
      <w:r>
        <w:rPr>
          <w:rFonts w:hint="eastAsia" w:ascii="仿宋_GB2312" w:hAnsi="仿宋_GB2312" w:cs="仿宋_GB2312"/>
          <w:snapToGrid/>
          <w:kern w:val="2"/>
          <w:szCs w:val="32"/>
          <w:lang w:val="en-US" w:eastAsia="zh-CN"/>
        </w:rPr>
        <w:t>和</w:t>
      </w:r>
      <w:r>
        <w:rPr>
          <w:rFonts w:hint="eastAsia" w:ascii="仿宋_GB2312" w:hAnsi="仿宋_GB2312" w:cs="仿宋_GB2312"/>
          <w:snapToGrid/>
          <w:kern w:val="2"/>
          <w:szCs w:val="32"/>
        </w:rPr>
        <w:t>全国自贸区审批改革的标杆。</w:t>
      </w:r>
    </w:p>
    <w:p>
      <w:pPr>
        <w:adjustRightInd w:val="0"/>
        <w:snapToGrid w:val="0"/>
        <w:spacing w:line="560" w:lineRule="exact"/>
        <w:ind w:firstLine="632" w:firstLineChars="200"/>
        <w:outlineLvl w:val="0"/>
        <w:rPr>
          <w:rFonts w:ascii="黑体" w:hAnsi="黑体" w:eastAsia="黑体"/>
          <w:snapToGrid/>
          <w:color w:val="000000"/>
          <w:kern w:val="2"/>
          <w:szCs w:val="32"/>
        </w:rPr>
      </w:pPr>
      <w:r>
        <w:rPr>
          <w:rFonts w:hint="eastAsia" w:ascii="黑体" w:hAnsi="黑体" w:eastAsia="黑体"/>
          <w:snapToGrid/>
          <w:color w:val="000000"/>
          <w:kern w:val="2"/>
          <w:szCs w:val="32"/>
        </w:rPr>
        <w:t>三</w:t>
      </w:r>
      <w:r>
        <w:rPr>
          <w:rFonts w:ascii="黑体" w:hAnsi="黑体" w:eastAsia="黑体"/>
          <w:snapToGrid/>
          <w:color w:val="000000"/>
          <w:kern w:val="2"/>
          <w:szCs w:val="32"/>
        </w:rPr>
        <w:t>、</w:t>
      </w:r>
      <w:r>
        <w:rPr>
          <w:rFonts w:hint="eastAsia" w:ascii="黑体" w:hAnsi="黑体" w:eastAsia="黑体"/>
          <w:snapToGrid/>
          <w:color w:val="000000"/>
          <w:kern w:val="2"/>
          <w:szCs w:val="32"/>
        </w:rPr>
        <w:t>重点任务</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“区域评估+标准地+告知承诺+综合服务”改革工作主要包括出让前准备、标准地出让、审批服务、监督管理及配套工作等重点环节。</w:t>
      </w:r>
    </w:p>
    <w:p>
      <w:pPr>
        <w:adjustRightInd w:val="0"/>
        <w:snapToGrid w:val="0"/>
        <w:spacing w:line="560" w:lineRule="exact"/>
        <w:ind w:firstLine="632" w:firstLineChars="200"/>
        <w:outlineLvl w:val="1"/>
        <w:rPr>
          <w:rFonts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（一）出让前准备</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ascii="仿宋_GB2312" w:hAnsi="仿宋_GB2312" w:cs="仿宋_GB2312"/>
          <w:snapToGrid/>
          <w:color w:val="000000"/>
          <w:kern w:val="2"/>
          <w:szCs w:val="32"/>
        </w:rPr>
        <w:t>1.</w:t>
      </w:r>
      <w:r>
        <w:rPr>
          <w:rFonts w:hint="eastAsia" w:ascii="仿宋_GB2312" w:hAnsi="仿宋_GB2312" w:cs="仿宋_GB2312"/>
          <w:snapToGrid/>
          <w:color w:val="000000"/>
          <w:kern w:val="2"/>
          <w:szCs w:val="32"/>
        </w:rPr>
        <w:t>推进地块前期开发</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加快</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土地储备整理工作，明确拟出让地块的通平条件。</w:t>
      </w:r>
      <w:r>
        <w:rPr>
          <w:rFonts w:hint="eastAsia" w:ascii="仿宋_GB2312" w:hAnsi="仿宋_GB2312" w:cs="仿宋_GB2312"/>
          <w:snapToGrid/>
          <w:color w:val="000000"/>
          <w:kern w:val="2"/>
          <w:szCs w:val="32"/>
        </w:rPr>
        <w:t>在项目施工阶段保证临水临电及施工必要条件需求，即通水、通电、通路与土地平整；在项目完工之前达到“十通一平”基础配套要求，即通市政道路、自来水、再生水、雨水、污水、电力、燃气、热力、电信及有线电视</w:t>
      </w:r>
      <w:r>
        <w:rPr>
          <w:rFonts w:hint="eastAsia" w:ascii="仿宋_GB2312" w:hAnsi="仿宋_GB2312" w:cs="仿宋_GB2312"/>
          <w:snapToGrid/>
          <w:kern w:val="2"/>
          <w:szCs w:val="32"/>
        </w:rPr>
        <w:t>。确保土地权属清晰，严格执行“净地”出让规定，为改革措施落地提供坚实基础。（规划建设部、土地一级开发主体）</w:t>
      </w:r>
    </w:p>
    <w:p>
      <w:pPr>
        <w:overflowPunct w:val="0"/>
        <w:adjustRightInd w:val="0"/>
        <w:snapToGrid w:val="0"/>
        <w:spacing w:line="560" w:lineRule="exact"/>
        <w:ind w:firstLine="632" w:firstLineChars="200"/>
        <w:rPr>
          <w:rFonts w:ascii="仿宋_GB2312" w:hAnsi="仿宋_GB2312" w:cs="仿宋_GB2312"/>
          <w:snapToGrid/>
          <w:color w:val="000000"/>
          <w:kern w:val="2"/>
          <w:szCs w:val="32"/>
        </w:rPr>
      </w:pPr>
      <w:r>
        <w:rPr>
          <w:rFonts w:ascii="仿宋_GB2312" w:hAnsi="仿宋_GB2312" w:cs="仿宋_GB2312"/>
          <w:snapToGrid/>
          <w:color w:val="000000"/>
          <w:kern w:val="2"/>
          <w:szCs w:val="32"/>
        </w:rPr>
        <w:t>2.</w:t>
      </w:r>
      <w:r>
        <w:rPr>
          <w:rFonts w:hint="eastAsia" w:ascii="仿宋_GB2312" w:hAnsi="仿宋_GB2312" w:cs="仿宋_GB2312"/>
          <w:snapToGrid/>
          <w:color w:val="000000"/>
          <w:kern w:val="2"/>
          <w:szCs w:val="32"/>
        </w:rPr>
        <w:t>开展区域评估</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依据《关于优化营商环境推行环境、水、交通区域评估实施方案（试行）》（京规自发〔2020〕280号）和《进一步深化工程建设项目审批领域改革创新 更好激发市场主体活力工作方案》（京规自发〔202</w:t>
      </w:r>
      <w:r>
        <w:rPr>
          <w:rFonts w:ascii="仿宋_GB2312" w:hAnsi="仿宋_GB2312" w:cs="仿宋_GB2312"/>
          <w:snapToGrid/>
          <w:kern w:val="2"/>
          <w:szCs w:val="32"/>
        </w:rPr>
        <w:t>2</w:t>
      </w:r>
      <w:r>
        <w:rPr>
          <w:rFonts w:hint="eastAsia" w:ascii="仿宋_GB2312" w:hAnsi="仿宋_GB2312" w:cs="仿宋_GB2312"/>
          <w:snapToGrid/>
          <w:kern w:val="2"/>
          <w:szCs w:val="32"/>
        </w:rPr>
        <w:t>〕</w:t>
      </w:r>
      <w:r>
        <w:rPr>
          <w:rFonts w:ascii="仿宋_GB2312" w:hAnsi="仿宋_GB2312" w:cs="仿宋_GB2312"/>
          <w:snapToGrid/>
          <w:kern w:val="2"/>
          <w:szCs w:val="32"/>
        </w:rPr>
        <w:t>43</w:t>
      </w:r>
      <w:r>
        <w:rPr>
          <w:rFonts w:hint="eastAsia" w:ascii="仿宋_GB2312" w:hAnsi="仿宋_GB2312" w:cs="仿宋_GB2312"/>
          <w:snapToGrid/>
          <w:kern w:val="2"/>
          <w:szCs w:val="32"/>
        </w:rPr>
        <w:t>号）要求，在</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范围内推行环境、水、交通等区域评估工作。规划部门根据临空</w:t>
      </w:r>
      <w:r>
        <w:rPr>
          <w:rFonts w:hint="eastAsia" w:ascii="仿宋_GB2312" w:hAnsi="仿宋_GB2312" w:cs="仿宋_GB2312"/>
          <w:snapToGrid/>
          <w:kern w:val="2"/>
          <w:szCs w:val="32"/>
          <w:lang w:val="en-US" w:eastAsia="zh-CN"/>
        </w:rPr>
        <w:t>经济</w:t>
      </w:r>
      <w:r>
        <w:rPr>
          <w:rFonts w:hint="eastAsia" w:ascii="仿宋_GB2312" w:hAnsi="仿宋_GB2312" w:cs="仿宋_GB2312"/>
          <w:snapToGrid/>
          <w:kern w:val="2"/>
          <w:szCs w:val="32"/>
        </w:rPr>
        <w:t xml:space="preserve">区开发建设进度，启动区域评估工作。各专项评估的范围应征求市行业主管部门意见，评估报告的编制应符合市行业主管部门制定的实施细则、技术要求，并充分利用已有的各专项规划成果。 </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根据评估成果，明确建设项目在资源消耗、绿色低碳等方面的准入要求。将评估成果及审查意见中有关生态环境、水、交通的相关要求纳入土地出让条件，在土地出让前告知建设单位。</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区域评估成果供入区的建设单位无偿使用。对评估范围内的符合准入要求的建设项目，根据各行业主管部门意见，可采取直接准入、许可准入、备案制、告知承诺制或容缺后补等简化审批措施。推动</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规划环评与项目环评联动，实现项目环评</w:t>
      </w:r>
      <w:r>
        <w:rPr>
          <w:rFonts w:hint="eastAsia" w:ascii="仿宋_GB2312" w:hAnsi="仿宋_GB2312" w:cs="仿宋_GB2312"/>
          <w:snapToGrid/>
          <w:spacing w:val="-6"/>
          <w:kern w:val="2"/>
          <w:sz w:val="32"/>
          <w:szCs w:val="32"/>
        </w:rPr>
        <w:t>告知承诺制审批。（规划建设部、综合审批部、土地一级开发主体）</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3.建立健全标准地指标体系</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在符合国家政策和建设用地控制标准的前提下，依据</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街区控规、产业规划、综合指标体系等上位规划，建立健全标准地指标体系，针对不同产业类型的项目，明确经济效益、创新特色、资源消耗、绿色低碳四大类指标的具体要求。</w:t>
      </w:r>
      <w:r>
        <w:rPr>
          <w:rFonts w:hint="eastAsia" w:ascii="仿宋_GB2312" w:hAnsi="仿宋_GB2312" w:cs="仿宋_GB2312"/>
          <w:snapToGrid/>
          <w:color w:val="000000"/>
          <w:kern w:val="2"/>
          <w:szCs w:val="32"/>
        </w:rPr>
        <w:t>建立标准地指标体系动态调整工作机制，由各项指标责任部门提出修订意见。</w:t>
      </w:r>
      <w:r>
        <w:rPr>
          <w:rFonts w:hint="eastAsia" w:ascii="仿宋_GB2312" w:hAnsi="仿宋_GB2312" w:cs="仿宋_GB2312"/>
          <w:snapToGrid/>
          <w:kern w:val="2"/>
          <w:szCs w:val="32"/>
        </w:rPr>
        <w:t>（规划建设部、发展改革部、营商服务部）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4.</w:t>
      </w:r>
      <w:r>
        <w:rPr>
          <w:rFonts w:hint="eastAsia" w:ascii="仿宋_GB2312" w:hAnsi="仿宋_GB2312" w:cs="仿宋_GB2312"/>
          <w:snapToGrid/>
          <w:kern w:val="2"/>
          <w:szCs w:val="32"/>
        </w:rPr>
        <w:t>动态调整告知承诺审批事项清单</w:t>
      </w:r>
    </w:p>
    <w:p>
      <w:pPr>
        <w:overflowPunct w:val="0"/>
        <w:adjustRightInd w:val="0"/>
        <w:snapToGrid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依据《北京市人民政府关于由北京大兴国际机场临空经济区（大兴）管理委员会和大兴区政府有关部门行使部分行政权力和办理部分公共服务事项的决定》（京政发〔2020〕22号）和《北京市人民政府关于由部分重点功能区管理机构和区政府有关部门行使一批市级行政权力等事项的决定》（京政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27</w:t>
      </w:r>
      <w:r>
        <w:rPr>
          <w:rFonts w:hint="eastAsia" w:ascii="仿宋_GB2312" w:hAnsi="仿宋_GB2312" w:cs="仿宋_GB2312"/>
          <w:snapToGrid/>
          <w:kern w:val="2"/>
          <w:szCs w:val="32"/>
        </w:rPr>
        <w:t>号），以北京市告知承诺审批事项清单为基础，充分论证事项的办理流程、监管办法，</w:t>
      </w:r>
      <w:r>
        <w:rPr>
          <w:rFonts w:hint="eastAsia" w:ascii="仿宋_GB2312" w:hAnsi="仿宋_GB2312" w:cs="仿宋_GB2312"/>
          <w:snapToGrid/>
          <w:color w:val="000000"/>
          <w:kern w:val="2"/>
          <w:szCs w:val="32"/>
        </w:rPr>
        <w:t>结合临空经济区信用体系建设，</w:t>
      </w:r>
      <w:r>
        <w:rPr>
          <w:rFonts w:hint="eastAsia" w:ascii="仿宋_GB2312" w:hAnsi="仿宋_GB2312" w:cs="仿宋_GB2312"/>
          <w:snapToGrid/>
          <w:kern w:val="2"/>
          <w:szCs w:val="32"/>
        </w:rPr>
        <w:t>动态调整</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采取告知承诺审批制办理的政务服务事项清单，并向社会公开。（综合审批部）</w:t>
      </w:r>
    </w:p>
    <w:p>
      <w:pPr>
        <w:adjustRightInd w:val="0"/>
        <w:snapToGrid w:val="0"/>
        <w:spacing w:line="560" w:lineRule="exact"/>
        <w:ind w:firstLine="632" w:firstLineChars="200"/>
        <w:outlineLvl w:val="1"/>
        <w:rPr>
          <w:rFonts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（二）标准地出让</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5.地块定标</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根据《北京大兴国际机场临空经济区（大兴）标准地管理工作方案（试行）》（京临管发〔202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37</w:t>
      </w:r>
      <w:r>
        <w:rPr>
          <w:rFonts w:hint="eastAsia" w:ascii="仿宋_GB2312" w:hAnsi="仿宋_GB2312" w:cs="仿宋_GB2312"/>
          <w:snapToGrid/>
          <w:kern w:val="2"/>
          <w:szCs w:val="32"/>
        </w:rPr>
        <w:t>号），由</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规划建设部门组织开展地块定标工作，发展改革、营商服务部门在项目入区审查阶段提出拟出让地块经济效益类、创新特色类、绿色低碳类指标要求。（规划建设部、发展改革部、营商服务部）</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6.按标出让</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临空经济区规划建设部门根据审议通过的标准地地块具体控制性指标，制定国有建设用地使用权出让方案，按规定程序报批后，发布土地出让公告，组织实施土地出让工作。企业竞得土地后，按规定程序及时间要求，与临空区（大兴）管委会签订《国有建设用地使用权出让合同》及《北京大兴国际机场临空经济区（大兴）履约监管协议》（以下简称《履约监管协议》）。《履约监管协议》规定标准地控制性指标要求、开竣工、投达产等履约标准，以及监管措施、验收办法和违约责任。（规划建设部、营商服务部、发展改革部）</w:t>
      </w:r>
    </w:p>
    <w:p>
      <w:pPr>
        <w:adjustRightInd w:val="0"/>
        <w:snapToGrid w:val="0"/>
        <w:spacing w:line="560" w:lineRule="exact"/>
        <w:ind w:firstLine="632" w:firstLineChars="200"/>
        <w:outlineLvl w:val="1"/>
        <w:rPr>
          <w:rFonts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（三）审批服务</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7</w:t>
      </w:r>
      <w:r>
        <w:rPr>
          <w:rFonts w:hint="eastAsia" w:ascii="仿宋_GB2312" w:hAnsi="仿宋_GB2312" w:cs="仿宋_GB2312"/>
          <w:snapToGrid/>
          <w:kern w:val="2"/>
          <w:szCs w:val="32"/>
        </w:rPr>
        <w:t>.建立部门联动工作机制</w:t>
      </w:r>
    </w:p>
    <w:p>
      <w:pPr>
        <w:adjustRightInd w:val="0"/>
        <w:snapToGrid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建立部门联动工作机制。依托</w:t>
      </w:r>
      <w:r>
        <w:rPr>
          <w:rFonts w:hint="eastAsia" w:ascii="仿宋_GB2312" w:hAnsi="仿宋_GB2312" w:cs="仿宋_GB2312"/>
          <w:snapToGrid/>
          <w:color w:val="000000"/>
          <w:kern w:val="2"/>
          <w:szCs w:val="32"/>
        </w:rPr>
        <w:t>临空经济区</w:t>
      </w:r>
      <w:r>
        <w:rPr>
          <w:rFonts w:hint="eastAsia" w:ascii="仿宋_GB2312"/>
          <w:szCs w:val="32"/>
        </w:rPr>
        <w:t>相关行政许可及关联事项集中办理</w:t>
      </w:r>
      <w:r>
        <w:rPr>
          <w:rFonts w:hint="eastAsia" w:ascii="仿宋_GB2312" w:hAnsi="仿宋_GB2312" w:cs="仿宋_GB2312"/>
          <w:snapToGrid/>
          <w:kern w:val="2"/>
          <w:szCs w:val="32"/>
        </w:rPr>
        <w:t>的优势，建立“部门联动工作机制”，实现发改、规自、人防、环保、园林等多个相关事项协同办理。在企业取得土地成交确认书后，由临空区</w:t>
      </w:r>
      <w:r>
        <w:rPr>
          <w:rFonts w:hint="eastAsia" w:ascii="仿宋_GB2312" w:hAnsi="仿宋_GB2312" w:cs="仿宋_GB2312"/>
          <w:snapToGrid/>
          <w:color w:val="000000"/>
          <w:kern w:val="2"/>
          <w:szCs w:val="32"/>
        </w:rPr>
        <w:t>（大兴）管委会相关部门</w:t>
      </w:r>
      <w:r>
        <w:rPr>
          <w:rFonts w:hint="eastAsia" w:ascii="仿宋_GB2312" w:hAnsi="仿宋_GB2312" w:cs="仿宋_GB2312"/>
          <w:snapToGrid/>
          <w:kern w:val="2"/>
          <w:szCs w:val="32"/>
        </w:rPr>
        <w:t>组织集中回复“多规合一”协同平台相关意见，为项目实现“一天办N证，拿地即开工”提供高效服务</w:t>
      </w:r>
      <w:r>
        <w:rPr>
          <w:rFonts w:hint="eastAsia" w:ascii="仿宋_GB2312" w:hAnsi="仿宋_GB2312" w:cs="仿宋_GB2312"/>
          <w:snapToGrid/>
          <w:color w:val="000000"/>
          <w:kern w:val="2"/>
          <w:szCs w:val="32"/>
        </w:rPr>
        <w:t>。</w:t>
      </w:r>
      <w:r>
        <w:rPr>
          <w:rFonts w:hint="eastAsia" w:ascii="仿宋_GB2312" w:hAnsi="仿宋_GB2312" w:cs="仿宋_GB2312"/>
          <w:snapToGrid/>
          <w:kern w:val="2"/>
          <w:szCs w:val="32"/>
        </w:rPr>
        <w:t>（综合审批部、规划建设部、营商服务部）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8</w:t>
      </w:r>
      <w:r>
        <w:rPr>
          <w:rFonts w:hint="eastAsia" w:ascii="仿宋_GB2312" w:hAnsi="仿宋_GB2312" w:cs="仿宋_GB2312"/>
          <w:snapToGrid/>
          <w:kern w:val="2"/>
          <w:szCs w:val="32"/>
        </w:rPr>
        <w:t>.实行综合告知承诺审批</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在企业正式签订土地出让合同后，对纳入“告知承诺事项”清单的审批事项，结合项目实际需求，实行“综合告知承诺”，即审批部门一次性告知，企业根据意愿一次性承诺。通过“一张综合告知承诺书”，企业进入“一个窗口”，提交“一套资料”。审批部门并联审批，加盖“一枚印章”，实现“一单告知、一窗办理、一站办结”。</w:t>
      </w:r>
      <w:r>
        <w:rPr>
          <w:rFonts w:hint="eastAsia" w:ascii="仿宋_GB2312" w:hAnsi="仿宋_GB2312" w:cs="仿宋_GB2312"/>
          <w:snapToGrid/>
          <w:color w:val="000000"/>
          <w:kern w:val="2"/>
          <w:szCs w:val="32"/>
        </w:rPr>
        <w:t>优化完善审批服务，推进告知承诺全程网办，大力压减办理时限，探索实现远程签署告知承诺书。</w:t>
      </w:r>
      <w:r>
        <w:rPr>
          <w:rFonts w:hint="eastAsia" w:ascii="仿宋_GB2312" w:hAnsi="仿宋_GB2312" w:cs="仿宋_GB2312"/>
          <w:snapToGrid/>
          <w:kern w:val="2"/>
          <w:szCs w:val="32"/>
        </w:rPr>
        <w:t>通过“综合告知承诺”实现“一天办N证，拿地即开工”，即城建类固定资产投资项目核准、建设工程规划许可证、建设工程施工许可证、</w:t>
      </w:r>
      <w:r>
        <w:rPr>
          <w:rFonts w:hint="eastAsia" w:ascii="仿宋_GB2312" w:hAnsi="仿宋_GB2312" w:cs="仿宋_GB2312"/>
          <w:snapToGrid/>
          <w:spacing w:val="-6"/>
          <w:kern w:val="2"/>
          <w:sz w:val="32"/>
          <w:szCs w:val="32"/>
        </w:rPr>
        <w:t>水影响评价审查等审批事项同时办结。（综合审批部、规划建设部）</w:t>
      </w:r>
    </w:p>
    <w:p>
      <w:pPr>
        <w:adjustRightInd w:val="0"/>
        <w:snapToGrid w:val="0"/>
        <w:spacing w:line="560" w:lineRule="exact"/>
        <w:ind w:firstLine="632" w:firstLineChars="200"/>
        <w:outlineLvl w:val="1"/>
        <w:rPr>
          <w:rFonts w:ascii="楷体_GB2312" w:hAnsi="楷体_GB2312" w:eastAsia="楷体_GB2312" w:cs="楷体_GB2312"/>
          <w:snapToGrid/>
          <w:kern w:val="2"/>
        </w:rPr>
      </w:pPr>
      <w:r>
        <w:rPr>
          <w:rFonts w:hint="eastAsia" w:ascii="楷体_GB2312" w:hAnsi="楷体_GB2312" w:eastAsia="楷体_GB2312" w:cs="楷体_GB2312"/>
          <w:bCs/>
          <w:snapToGrid/>
          <w:kern w:val="2"/>
          <w:szCs w:val="32"/>
        </w:rPr>
        <w:t>（四）监督管理</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9</w:t>
      </w:r>
      <w:r>
        <w:rPr>
          <w:rFonts w:hint="eastAsia" w:ascii="仿宋_GB2312" w:hAnsi="仿宋_GB2312" w:cs="仿宋_GB2312"/>
          <w:snapToGrid/>
          <w:kern w:val="2"/>
          <w:szCs w:val="32"/>
        </w:rPr>
        <w:t>.事中事后监管</w:t>
      </w:r>
    </w:p>
    <w:p>
      <w:pPr>
        <w:overflowPunct w:val="0"/>
        <w:adjustRightInd w:val="0"/>
        <w:snapToGrid w:val="0"/>
        <w:spacing w:line="560" w:lineRule="exact"/>
        <w:ind w:firstLine="632" w:firstLineChars="200"/>
        <w:rPr>
          <w:rFonts w:ascii="仿宋_GB2312" w:hAnsi="仿宋_GB2312" w:cs="仿宋_GB2312"/>
          <w:snapToGrid/>
          <w:kern w:val="2"/>
          <w:szCs w:val="32"/>
        </w:rPr>
      </w:pPr>
      <w:bookmarkStart w:id="7" w:name="_Hlk59198647"/>
      <w:r>
        <w:rPr>
          <w:rFonts w:hint="eastAsia" w:ascii="仿宋_GB2312" w:hAnsi="仿宋_GB2312" w:cs="仿宋_GB2312"/>
          <w:snapToGrid/>
          <w:kern w:val="2"/>
          <w:szCs w:val="32"/>
        </w:rPr>
        <w:t>根据《北京大兴国际机场临空经济区（大兴）告知承诺事项核查管理办法（试行）》（京临管发〔202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39</w:t>
      </w:r>
      <w:r>
        <w:rPr>
          <w:rFonts w:hint="eastAsia" w:ascii="仿宋_GB2312" w:hAnsi="仿宋_GB2312" w:cs="仿宋_GB2312"/>
          <w:snapToGrid/>
          <w:kern w:val="2"/>
          <w:szCs w:val="32"/>
        </w:rPr>
        <w:t>号），健全告知承诺事项事中事后核查机制，</w:t>
      </w:r>
      <w:r>
        <w:rPr>
          <w:rFonts w:hint="eastAsia" w:ascii="仿宋_GB2312" w:hAnsi="仿宋_GB2312" w:cs="仿宋_GB2312"/>
          <w:snapToGrid/>
          <w:color w:val="000000"/>
          <w:kern w:val="2"/>
          <w:szCs w:val="32"/>
        </w:rPr>
        <w:t>探索</w:t>
      </w:r>
      <w:r>
        <w:rPr>
          <w:rFonts w:hint="eastAsia" w:ascii="仿宋_GB2312" w:hAnsi="仿宋_GB2312" w:cs="仿宋_GB2312"/>
          <w:snapToGrid/>
          <w:kern w:val="2"/>
          <w:szCs w:val="32"/>
        </w:rPr>
        <w:t>承诺内容在线核查。</w:t>
      </w:r>
      <w:r>
        <w:rPr>
          <w:rFonts w:hint="eastAsia" w:ascii="仿宋_GB2312" w:hAnsi="仿宋_GB2312" w:cs="仿宋_GB2312"/>
          <w:snapToGrid/>
          <w:color w:val="000000"/>
          <w:kern w:val="2"/>
          <w:szCs w:val="32"/>
        </w:rPr>
        <w:t>未履行承诺的，责令其限期整改，整改后仍未达到条件的，撤销已作出的决定；作出虚假承诺的，直接撤销决定，按照未取得决定擅自从事相关活动由有权行政主体依法追究相应法律责任。针对告知承诺违诺失信行为，</w:t>
      </w:r>
      <w:r>
        <w:rPr>
          <w:rFonts w:hint="eastAsia" w:ascii="仿宋_GB2312" w:hAnsi="仿宋_GB2312" w:cs="仿宋_GB2312"/>
          <w:snapToGrid/>
          <w:kern w:val="2"/>
          <w:szCs w:val="32"/>
        </w:rPr>
        <w:t>根据事项特点制定信用评价标准，</w:t>
      </w:r>
      <w:r>
        <w:rPr>
          <w:rFonts w:hint="eastAsia" w:ascii="仿宋_GB2312" w:hAnsi="仿宋_GB2312" w:cs="仿宋_GB2312"/>
          <w:snapToGrid/>
          <w:color w:val="000000"/>
          <w:kern w:val="2"/>
          <w:szCs w:val="32"/>
        </w:rPr>
        <w:t>建立核查管理与临空经济区信用评价联动的工作机制。</w:t>
      </w:r>
      <w:r>
        <w:rPr>
          <w:rFonts w:hint="eastAsia" w:ascii="仿宋_GB2312" w:hAnsi="仿宋_GB2312" w:cs="仿宋_GB2312"/>
          <w:snapToGrid/>
          <w:kern w:val="2"/>
          <w:szCs w:val="32"/>
        </w:rPr>
        <w:t>同时，</w:t>
      </w:r>
      <w:r>
        <w:rPr>
          <w:rFonts w:hint="eastAsia" w:ascii="仿宋_GB2312" w:hAnsi="仿宋_GB2312" w:cs="仿宋_GB2312"/>
          <w:snapToGrid/>
          <w:color w:val="000000"/>
          <w:kern w:val="2"/>
          <w:szCs w:val="32"/>
        </w:rPr>
        <w:t>将核查结果和信用评价结果及时抄送市区行业管理部门，做好事中事后监管的对接工作。</w:t>
      </w:r>
      <w:r>
        <w:rPr>
          <w:rFonts w:hint="eastAsia" w:ascii="仿宋_GB2312" w:hAnsi="仿宋_GB2312" w:cs="仿宋_GB2312"/>
          <w:snapToGrid/>
          <w:kern w:val="2"/>
          <w:szCs w:val="32"/>
        </w:rPr>
        <w:t>（综合审批部、规划建设部）</w:t>
      </w:r>
      <w:bookmarkEnd w:id="7"/>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10</w:t>
      </w:r>
      <w:r>
        <w:rPr>
          <w:rFonts w:hint="eastAsia" w:ascii="仿宋_GB2312" w:hAnsi="仿宋_GB2312" w:cs="仿宋_GB2312"/>
          <w:snapToGrid/>
          <w:kern w:val="2"/>
          <w:szCs w:val="32"/>
        </w:rPr>
        <w:t>.对标验收</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根据《北京大兴国际机场临空经济区（北京部分）标准地指标验收管理办法（试行）》（京临管发〔202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46</w:t>
      </w:r>
      <w:r>
        <w:rPr>
          <w:rFonts w:hint="eastAsia" w:ascii="仿宋_GB2312" w:hAnsi="仿宋_GB2312" w:cs="仿宋_GB2312"/>
          <w:snapToGrid/>
          <w:kern w:val="2"/>
          <w:szCs w:val="32"/>
        </w:rPr>
        <w:t>号），项目竣工后，由营商服务部门组织相关部门按照事先约定的条件对项目进行对标验收。项目未通过标准地指标验收的，责令限期整改，并按照《履约监管协议》的约定内容履行相应违约责任。（营商服务部、综合审批部、规划建设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11</w:t>
      </w:r>
      <w:r>
        <w:rPr>
          <w:rFonts w:hint="eastAsia" w:ascii="仿宋_GB2312" w:hAnsi="仿宋_GB2312" w:cs="仿宋_GB2312"/>
          <w:snapToGrid/>
          <w:kern w:val="2"/>
          <w:szCs w:val="32"/>
        </w:rPr>
        <w:t>.达产复核</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按照《北京大兴国际机场临空经济区（北京部分）标准地指标验收管理办法（试行）》（京临管发〔202</w:t>
      </w:r>
      <w:r>
        <w:rPr>
          <w:rFonts w:ascii="仿宋_GB2312" w:hAnsi="仿宋_GB2312" w:cs="仿宋_GB2312"/>
          <w:snapToGrid/>
          <w:kern w:val="2"/>
          <w:szCs w:val="32"/>
        </w:rPr>
        <w:t>1</w:t>
      </w:r>
      <w:r>
        <w:rPr>
          <w:rFonts w:hint="eastAsia" w:ascii="仿宋_GB2312" w:hAnsi="仿宋_GB2312" w:cs="仿宋_GB2312"/>
          <w:snapToGrid/>
          <w:kern w:val="2"/>
          <w:szCs w:val="32"/>
        </w:rPr>
        <w:t>〕</w:t>
      </w:r>
      <w:r>
        <w:rPr>
          <w:rFonts w:ascii="仿宋_GB2312" w:hAnsi="仿宋_GB2312" w:cs="仿宋_GB2312"/>
          <w:snapToGrid/>
          <w:kern w:val="2"/>
          <w:szCs w:val="32"/>
        </w:rPr>
        <w:t>46</w:t>
      </w:r>
      <w:r>
        <w:rPr>
          <w:rFonts w:hint="eastAsia" w:ascii="仿宋_GB2312" w:hAnsi="仿宋_GB2312" w:cs="仿宋_GB2312"/>
          <w:snapToGrid/>
          <w:kern w:val="2"/>
          <w:szCs w:val="32"/>
        </w:rPr>
        <w:t>号）的相关要求，项目在达产期限届满前，相关部门对照《履约监管协议》中确定的经济效益、创新特色、资源消耗等指标标准开展达产复核验收，并出具达产复核意见书。（营商服务部、发展改革部、规划建设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12</w:t>
      </w:r>
      <w:r>
        <w:rPr>
          <w:rFonts w:hint="eastAsia" w:ascii="仿宋_GB2312" w:hAnsi="仿宋_GB2312" w:cs="仿宋_GB2312"/>
          <w:snapToGrid/>
          <w:kern w:val="2"/>
          <w:szCs w:val="32"/>
        </w:rPr>
        <w:t>.违约管理</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因项目方原因未按期组织竣工验收</w:t>
      </w:r>
      <w:r>
        <w:rPr>
          <w:rFonts w:hint="eastAsia" w:ascii="仿宋_GB2312" w:hAnsi="仿宋_GB2312" w:cs="仿宋_GB2312"/>
          <w:snapToGrid/>
          <w:kern w:val="2"/>
          <w:szCs w:val="32"/>
          <w:lang w:eastAsia="zh-CN"/>
        </w:rPr>
        <w:t>、</w:t>
      </w:r>
      <w:r>
        <w:rPr>
          <w:rFonts w:hint="eastAsia" w:ascii="仿宋_GB2312" w:hAnsi="仿宋_GB2312" w:cs="仿宋_GB2312"/>
          <w:snapToGrid/>
          <w:kern w:val="2"/>
          <w:szCs w:val="32"/>
        </w:rPr>
        <w:t>未按约定的建设进度完成竣工</w:t>
      </w:r>
      <w:r>
        <w:rPr>
          <w:rFonts w:hint="eastAsia" w:ascii="仿宋_GB2312" w:hAnsi="仿宋_GB2312" w:cs="仿宋_GB2312"/>
          <w:snapToGrid/>
          <w:kern w:val="2"/>
          <w:szCs w:val="32"/>
          <w:lang w:eastAsia="zh-CN"/>
        </w:rPr>
        <w:t>、</w:t>
      </w:r>
      <w:r>
        <w:rPr>
          <w:rFonts w:hint="eastAsia" w:ascii="仿宋_GB2312" w:hAnsi="仿宋_GB2312" w:cs="仿宋_GB2312"/>
          <w:snapToGrid/>
          <w:kern w:val="2"/>
          <w:szCs w:val="32"/>
        </w:rPr>
        <w:t>未通过标准地指标验收，或达产复核不合格的，按照《国有建设用地使用权出让合同》和《履约监管协议》相关约定依法追究违约责任。（营商服务部、规划建设部）</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（五）配套措施</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13</w:t>
      </w:r>
      <w:r>
        <w:rPr>
          <w:rFonts w:hint="eastAsia" w:ascii="仿宋_GB2312" w:hAnsi="仿宋_GB2312" w:cs="仿宋_GB2312"/>
          <w:snapToGrid/>
          <w:kern w:val="2"/>
          <w:szCs w:val="32"/>
        </w:rPr>
        <w:t>.建立综合服务工作机制</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建立综合服务工作机制，通过政府购买服务方式，为社会投资主体提供前期辅导、技术咨询、全程代办帮办等服务，以及工程建设项目审批中的各项中介服务，建立综合服务队伍。社会投资主体可通过线下到访</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综合政务服务大厅、线上访问</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政务服务平台两种方式，提出技术咨询、代办帮办等服务需求。营商服务部门负责定期对第三方服务机构进行监督考核。（营商服务部）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14</w:t>
      </w:r>
      <w:r>
        <w:rPr>
          <w:rFonts w:hint="eastAsia" w:ascii="仿宋_GB2312" w:hAnsi="仿宋_GB2312" w:cs="仿宋_GB2312"/>
          <w:snapToGrid/>
          <w:kern w:val="2"/>
          <w:szCs w:val="32"/>
        </w:rPr>
        <w:t>.创新信用管理工作机制</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zCs w:val="32"/>
        </w:rPr>
        <w:t>编制</w:t>
      </w:r>
      <w:r>
        <w:rPr>
          <w:rFonts w:hint="eastAsia" w:ascii="仿宋_GB2312" w:hAnsi="仿宋_GB2312" w:cs="仿宋_GB2312"/>
          <w:snapToGrid/>
          <w:color w:val="000000"/>
          <w:kern w:val="2"/>
          <w:szCs w:val="32"/>
        </w:rPr>
        <w:t>临空经济区</w:t>
      </w:r>
      <w:r>
        <w:rPr>
          <w:rFonts w:hint="eastAsia" w:ascii="仿宋_GB2312" w:hAnsi="仿宋_GB2312" w:cs="仿宋_GB2312"/>
          <w:szCs w:val="32"/>
        </w:rPr>
        <w:t>行政相对人信用信息归集目录和信用评价标准，</w:t>
      </w:r>
      <w:r>
        <w:rPr>
          <w:rFonts w:hint="eastAsia" w:ascii="仿宋_GB2312" w:hAnsi="仿宋_GB2312" w:cs="仿宋_GB2312"/>
          <w:kern w:val="2"/>
          <w:szCs w:val="32"/>
        </w:rPr>
        <w:t>建立行政相对人信用信息归集和评价管理</w:t>
      </w:r>
      <w:r>
        <w:rPr>
          <w:rFonts w:ascii="仿宋_GB2312" w:hAnsi="仿宋_GB2312" w:cs="仿宋_GB2312"/>
          <w:kern w:val="2"/>
          <w:szCs w:val="32"/>
        </w:rPr>
        <w:t>体系</w:t>
      </w:r>
      <w:bookmarkStart w:id="8" w:name="_Hlk59198692"/>
      <w:r>
        <w:rPr>
          <w:rFonts w:hint="eastAsia" w:ascii="仿宋_GB2312" w:hAnsi="仿宋_GB2312" w:cs="仿宋_GB2312"/>
          <w:szCs w:val="32"/>
        </w:rPr>
        <w:t>，形成“信用信息归集评价+审批改革创新”联动的工作模式。审批部门</w:t>
      </w:r>
      <w:r>
        <w:rPr>
          <w:rFonts w:hint="eastAsia" w:ascii="仿宋_GB2312" w:hAnsi="仿宋_GB2312" w:cs="仿宋_GB2312"/>
          <w:kern w:val="2"/>
          <w:szCs w:val="32"/>
        </w:rPr>
        <w:t>根据行政审批、批后核查及市区行业管理部门事中事后监管情况</w:t>
      </w:r>
      <w:r>
        <w:rPr>
          <w:rFonts w:hint="eastAsia" w:ascii="仿宋_GB2312" w:hAnsi="仿宋_GB2312" w:cs="仿宋_GB2312"/>
          <w:szCs w:val="32"/>
        </w:rPr>
        <w:t>，对行政审批相对人进行</w:t>
      </w:r>
      <w:r>
        <w:rPr>
          <w:rFonts w:hint="eastAsia" w:ascii="仿宋_GB2312" w:hAnsi="仿宋_GB2312" w:cs="仿宋_GB2312"/>
          <w:kern w:val="2"/>
          <w:szCs w:val="32"/>
        </w:rPr>
        <w:t>信用</w:t>
      </w:r>
      <w:r>
        <w:rPr>
          <w:rFonts w:hint="eastAsia" w:ascii="仿宋_GB2312" w:hAnsi="仿宋_GB2312" w:cs="仿宋_GB2312"/>
          <w:szCs w:val="32"/>
        </w:rPr>
        <w:t>信息归集，并按规定进行分值评定、等级评价、分级管理、</w:t>
      </w:r>
      <w:r>
        <w:rPr>
          <w:rFonts w:hint="eastAsia" w:ascii="仿宋_GB2312" w:hAnsi="仿宋_GB2312" w:cs="仿宋_GB2312"/>
          <w:kern w:val="2"/>
          <w:szCs w:val="32"/>
          <w:lang w:bidi="ar"/>
        </w:rPr>
        <w:t>评价结果应用</w:t>
      </w:r>
      <w:r>
        <w:rPr>
          <w:rFonts w:hint="eastAsia" w:ascii="仿宋_GB2312" w:hAnsi="仿宋_GB2312" w:cs="仿宋_GB2312"/>
          <w:szCs w:val="32"/>
        </w:rPr>
        <w:t>及信用权益保护等</w:t>
      </w:r>
      <w:r>
        <w:rPr>
          <w:rFonts w:ascii="仿宋_GB2312" w:hAnsi="仿宋_GB2312" w:cs="仿宋_GB2312"/>
          <w:szCs w:val="32"/>
        </w:rPr>
        <w:t>。</w:t>
      </w:r>
      <w:bookmarkEnd w:id="8"/>
      <w:r>
        <w:rPr>
          <w:rFonts w:hint="eastAsia" w:ascii="仿宋_GB2312" w:hAnsi="仿宋_GB2312" w:cs="仿宋_GB2312"/>
          <w:snapToGrid/>
          <w:kern w:val="2"/>
          <w:szCs w:val="32"/>
        </w:rPr>
        <w:t>（综合审批部、规划建设部）</w:t>
      </w:r>
    </w:p>
    <w:p>
      <w:pPr>
        <w:spacing w:line="560" w:lineRule="exact"/>
        <w:ind w:firstLine="632" w:firstLineChars="200"/>
        <w:rPr>
          <w:rFonts w:ascii="仿宋_GB2312" w:hAnsi="仿宋_GB2312" w:cs="仿宋_GB2312"/>
          <w:snapToGrid/>
          <w:kern w:val="2"/>
          <w:szCs w:val="32"/>
        </w:rPr>
      </w:pPr>
      <w:r>
        <w:rPr>
          <w:rFonts w:ascii="仿宋_GB2312" w:hAnsi="仿宋_GB2312" w:cs="仿宋_GB2312"/>
          <w:snapToGrid/>
          <w:kern w:val="2"/>
          <w:szCs w:val="32"/>
        </w:rPr>
        <w:t>15</w:t>
      </w:r>
      <w:r>
        <w:rPr>
          <w:rFonts w:hint="eastAsia" w:ascii="仿宋_GB2312" w:hAnsi="仿宋_GB2312" w:cs="仿宋_GB2312"/>
          <w:snapToGrid/>
          <w:kern w:val="2"/>
          <w:szCs w:val="32"/>
        </w:rPr>
        <w:t>.建立标准地数字地图</w:t>
      </w:r>
    </w:p>
    <w:p>
      <w:pPr>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结合</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规划建设信息平台建立“交互式”标准地数字地图。基本功能应包括可视化展示已成交、已公告、计划出让的标准地信息、周边交通及商业等配套设施信息，提供项目准入门槛咨询、地块信息咨询、政策规划咨询等交互式服务。（规划建设部）</w:t>
      </w:r>
    </w:p>
    <w:p>
      <w:pPr>
        <w:adjustRightInd w:val="0"/>
        <w:snapToGrid w:val="0"/>
        <w:spacing w:line="560" w:lineRule="exact"/>
        <w:ind w:firstLine="632" w:firstLineChars="200"/>
        <w:outlineLvl w:val="0"/>
        <w:rPr>
          <w:rFonts w:ascii="黑体" w:hAnsi="黑体" w:eastAsia="黑体"/>
          <w:snapToGrid/>
          <w:color w:val="000000"/>
          <w:kern w:val="2"/>
          <w:szCs w:val="32"/>
        </w:rPr>
      </w:pPr>
      <w:r>
        <w:rPr>
          <w:rFonts w:hint="eastAsia" w:ascii="黑体" w:hAnsi="黑体" w:eastAsia="黑体"/>
          <w:snapToGrid/>
          <w:kern w:val="2"/>
          <w:szCs w:val="32"/>
        </w:rPr>
        <w:t>四</w:t>
      </w:r>
      <w:r>
        <w:rPr>
          <w:rFonts w:hint="eastAsia" w:ascii="黑体" w:hAnsi="黑体" w:eastAsia="黑体"/>
          <w:snapToGrid/>
          <w:color w:val="000000"/>
          <w:kern w:val="2"/>
          <w:szCs w:val="32"/>
        </w:rPr>
        <w:t>、保障措施</w:t>
      </w:r>
    </w:p>
    <w:p>
      <w:pPr>
        <w:adjustRightInd w:val="0"/>
        <w:snapToGrid w:val="0"/>
        <w:spacing w:line="560" w:lineRule="exact"/>
        <w:ind w:firstLine="632" w:firstLineChars="200"/>
        <w:outlineLvl w:val="1"/>
        <w:rPr>
          <w:rFonts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（一）加强组织领导</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成立北京大兴国际机场临空经济区（北京部分）“区域评估+标准地+告知承诺+综合服务”改革领导小组（以下简称改革领导小组）。由临空区（大兴）管委会专职副主任担任组长、临空区（大兴）管委会分管相关工作的主任助理担任副组长，临空区（大兴）管委会各职能部门负责人为组员。改革领导小组建立联席工作会议制度，负责统筹决策相关方案的重要事项。改革领导小组下设办公室，办公室设立在临空区（大兴）管委会综合审批部。</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（二）保障资金支持</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临空区（大兴）管委会各部门应根据实际情况，将改革涉及的各项工作任务所需费用按期纳入财政预算，做好经费保障工作。</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（三）强调动态调整</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建立入驻企业反馈机制，通过多种渠道收集企业诉求。聘请第三方技术机构对改革的实施效果进行评估。根据企业反馈情况、第三方评估结果对实施意见等政策进行修正完善。</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（四）完善配套措施</w:t>
      </w:r>
    </w:p>
    <w:p>
      <w:pPr>
        <w:overflowPunct w:val="0"/>
        <w:spacing w:line="560" w:lineRule="exact"/>
        <w:ind w:firstLine="632" w:firstLineChars="200"/>
        <w:rPr>
          <w:rFonts w:ascii="仿宋_GB2312" w:hAnsi="仿宋_GB2312" w:cs="仿宋_GB2312"/>
          <w:snapToGrid/>
          <w:kern w:val="2"/>
          <w:szCs w:val="32"/>
        </w:rPr>
      </w:pPr>
      <w:r>
        <w:rPr>
          <w:rFonts w:hint="eastAsia" w:ascii="仿宋_GB2312" w:hAnsi="仿宋_GB2312" w:cs="仿宋_GB2312"/>
          <w:snapToGrid/>
          <w:kern w:val="2"/>
          <w:szCs w:val="32"/>
        </w:rPr>
        <w:t>办公室负责牵头落实改革实施过程中涉及的各项配套措施，相关工作纳入到</w:t>
      </w:r>
      <w:r>
        <w:rPr>
          <w:rFonts w:hint="eastAsia" w:ascii="仿宋_GB2312" w:hAnsi="仿宋_GB2312" w:cs="仿宋_GB2312"/>
          <w:snapToGrid/>
          <w:color w:val="000000"/>
          <w:kern w:val="2"/>
          <w:szCs w:val="32"/>
        </w:rPr>
        <w:t>临空经济区</w:t>
      </w:r>
      <w:r>
        <w:rPr>
          <w:rFonts w:hint="eastAsia" w:ascii="仿宋_GB2312" w:hAnsi="仿宋_GB2312" w:cs="仿宋_GB2312"/>
          <w:snapToGrid/>
          <w:kern w:val="2"/>
          <w:szCs w:val="32"/>
        </w:rPr>
        <w:t>相关工作计划中。</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（五）建立容错纠错制度</w:t>
      </w:r>
    </w:p>
    <w:p>
      <w:pPr>
        <w:overflowPunct w:val="0"/>
        <w:adjustRightInd w:val="0"/>
        <w:snapToGrid w:val="0"/>
        <w:spacing w:line="560" w:lineRule="exact"/>
        <w:ind w:firstLine="632" w:firstLineChars="200"/>
        <w:rPr>
          <w:snapToGrid/>
          <w:kern w:val="2"/>
          <w:szCs w:val="32"/>
        </w:rPr>
      </w:pPr>
      <w:r>
        <w:rPr>
          <w:rFonts w:hint="eastAsia"/>
          <w:snapToGrid/>
          <w:kern w:val="2"/>
          <w:szCs w:val="32"/>
        </w:rPr>
        <w:t>探索出台区域评估、标准地、告知承诺、综合服务、信用管理等改革容错纠错免责办法。</w:t>
      </w:r>
    </w:p>
    <w:p>
      <w:pPr>
        <w:adjustRightInd w:val="0"/>
        <w:snapToGrid w:val="0"/>
        <w:spacing w:line="560" w:lineRule="exact"/>
        <w:ind w:firstLine="632" w:firstLineChars="200"/>
        <w:outlineLvl w:val="1"/>
        <w:rPr>
          <w:rFonts w:hint="eastAsia" w:ascii="楷体_GB2312" w:hAnsi="楷体_GB2312" w:eastAsia="楷体_GB2312" w:cs="楷体_GB2312"/>
          <w:bCs/>
          <w:snapToGrid/>
          <w:kern w:val="2"/>
          <w:szCs w:val="32"/>
        </w:rPr>
      </w:pPr>
      <w:r>
        <w:rPr>
          <w:rFonts w:hint="eastAsia" w:ascii="楷体_GB2312" w:hAnsi="楷体_GB2312" w:eastAsia="楷体_GB2312" w:cs="楷体_GB2312"/>
          <w:bCs/>
          <w:snapToGrid/>
          <w:kern w:val="2"/>
          <w:szCs w:val="32"/>
        </w:rPr>
        <w:t>（六）注重宣传引导</w:t>
      </w:r>
    </w:p>
    <w:p>
      <w:pPr>
        <w:overflowPunct w:val="0"/>
        <w:adjustRightInd w:val="0"/>
        <w:snapToGrid w:val="0"/>
        <w:spacing w:line="560" w:lineRule="exact"/>
        <w:ind w:firstLine="632" w:firstLineChars="200"/>
        <w:rPr>
          <w:snapToGrid/>
          <w:kern w:val="2"/>
          <w:szCs w:val="32"/>
        </w:rPr>
      </w:pPr>
      <w:r>
        <w:rPr>
          <w:rFonts w:hint="eastAsia"/>
          <w:snapToGrid/>
          <w:kern w:val="2"/>
          <w:szCs w:val="32"/>
        </w:rPr>
        <w:t>及时向</w:t>
      </w:r>
      <w:r>
        <w:rPr>
          <w:rFonts w:hint="eastAsia" w:ascii="仿宋_GB2312" w:hAnsi="仿宋_GB2312" w:cs="仿宋_GB2312"/>
          <w:snapToGrid/>
          <w:color w:val="000000"/>
          <w:kern w:val="2"/>
          <w:szCs w:val="32"/>
        </w:rPr>
        <w:t>临空经济区</w:t>
      </w:r>
      <w:r>
        <w:rPr>
          <w:rFonts w:hint="eastAsia"/>
          <w:snapToGrid/>
          <w:kern w:val="2"/>
          <w:szCs w:val="32"/>
        </w:rPr>
        <w:t>各单位宣传、解读改革政策内容，通过互联网、新媒体、电视、报纸等多种方式宣传改革理念和主要内容，及时准确发布相关信息。</w:t>
      </w:r>
    </w:p>
    <w:p>
      <w:pPr>
        <w:pStyle w:val="15"/>
        <w:ind w:left="632" w:firstLine="632"/>
      </w:pPr>
    </w:p>
    <w:p>
      <w:pPr>
        <w:overflowPunct w:val="0"/>
        <w:adjustRightInd w:val="0"/>
        <w:snapToGrid w:val="0"/>
        <w:spacing w:line="560" w:lineRule="exact"/>
        <w:ind w:left="1896" w:leftChars="200" w:hanging="1264" w:hangingChars="400"/>
        <w:rPr>
          <w:rFonts w:ascii="仿宋_GB2312" w:hAnsi="仿宋_GB2312" w:cs="仿宋_GB2312"/>
          <w:snapToGrid/>
          <w:kern w:val="2"/>
          <w:szCs w:val="32"/>
        </w:rPr>
      </w:pPr>
      <w:r>
        <w:rPr>
          <w:rFonts w:hint="eastAsia" w:ascii="仿宋_GB2312" w:hAnsi="仿宋_GB2312" w:cs="仿宋_GB2312"/>
          <w:snapToGrid/>
          <w:kern w:val="2"/>
          <w:szCs w:val="32"/>
        </w:rPr>
        <w:t>附件：</w:t>
      </w:r>
      <w:r>
        <w:rPr>
          <w:rFonts w:ascii="仿宋_GB2312" w:hAnsi="仿宋_GB2312" w:cs="仿宋_GB2312"/>
          <w:snapToGrid/>
          <w:kern w:val="2"/>
          <w:szCs w:val="32"/>
        </w:rPr>
        <w:t>1</w:t>
      </w:r>
      <w:r>
        <w:rPr>
          <w:rFonts w:hint="eastAsia" w:ascii="仿宋_GB2312" w:hAnsi="仿宋_GB2312" w:cs="仿宋_GB2312"/>
          <w:snapToGrid/>
          <w:kern w:val="2"/>
          <w:szCs w:val="32"/>
        </w:rPr>
        <w:t>.</w:t>
      </w:r>
      <w:bookmarkStart w:id="9" w:name="_Hlk117611562"/>
      <w:r>
        <w:rPr>
          <w:rFonts w:ascii="仿宋_GB2312" w:hAnsi="仿宋_GB2312" w:cs="仿宋_GB2312"/>
          <w:snapToGrid/>
          <w:kern w:val="2"/>
          <w:szCs w:val="32"/>
        </w:rPr>
        <w:t xml:space="preserve"> </w:t>
      </w:r>
      <w:r>
        <w:rPr>
          <w:rFonts w:hint="eastAsia" w:ascii="仿宋_GB2312" w:hAnsi="仿宋_GB2312" w:cs="仿宋_GB2312"/>
          <w:snapToGrid/>
          <w:kern w:val="2"/>
          <w:szCs w:val="32"/>
        </w:rPr>
        <w:t>标准地指标体系（</w:t>
      </w:r>
      <w:r>
        <w:rPr>
          <w:rFonts w:ascii="仿宋_GB2312" w:hAnsi="仿宋_GB2312" w:cs="仿宋_GB2312"/>
          <w:snapToGrid/>
          <w:kern w:val="2"/>
          <w:szCs w:val="32"/>
        </w:rPr>
        <w:t>2.0</w:t>
      </w:r>
      <w:r>
        <w:rPr>
          <w:rFonts w:hint="eastAsia" w:ascii="仿宋_GB2312" w:hAnsi="仿宋_GB2312" w:cs="仿宋_GB2312"/>
          <w:snapToGrid/>
          <w:kern w:val="2"/>
          <w:szCs w:val="32"/>
        </w:rPr>
        <w:t>版）</w:t>
      </w:r>
      <w:bookmarkEnd w:id="9"/>
    </w:p>
    <w:p>
      <w:pPr>
        <w:pStyle w:val="15"/>
        <w:ind w:left="632" w:firstLine="948" w:firstLineChars="300"/>
        <w:rPr>
          <w:rFonts w:ascii="仿宋_GB2312" w:hAnsi="Calibri"/>
          <w:b/>
          <w:bCs/>
          <w:snapToGrid/>
          <w:kern w:val="2"/>
          <w:sz w:val="28"/>
          <w:szCs w:val="28"/>
        </w:rPr>
        <w:sectPr>
          <w:footerReference r:id="rId4" w:type="default"/>
          <w:pgSz w:w="11906" w:h="16838"/>
          <w:pgMar w:top="2098" w:right="1474" w:bottom="1985" w:left="1588" w:header="851" w:footer="992" w:gutter="0"/>
          <w:pgNumType w:fmt="numberInDash"/>
          <w:cols w:space="720" w:num="1"/>
          <w:docGrid w:type="linesAndChars" w:linePitch="579" w:charSpace="-849"/>
        </w:sectPr>
      </w:pPr>
      <w:r>
        <w:rPr>
          <w:rFonts w:ascii="仿宋_GB2312" w:hAnsi="仿宋_GB2312" w:cs="仿宋_GB2312"/>
          <w:snapToGrid/>
          <w:kern w:val="2"/>
          <w:szCs w:val="32"/>
        </w:rPr>
        <w:t>2</w:t>
      </w:r>
      <w:r>
        <w:rPr>
          <w:rFonts w:hint="eastAsia" w:ascii="仿宋_GB2312" w:hAnsi="仿宋_GB2312" w:cs="仿宋_GB2312"/>
          <w:snapToGrid/>
          <w:kern w:val="2"/>
          <w:szCs w:val="32"/>
        </w:rPr>
        <w:t>.</w:t>
      </w:r>
      <w:r>
        <w:rPr>
          <w:rFonts w:ascii="仿宋_GB2312" w:hAnsi="仿宋_GB2312" w:cs="仿宋_GB2312"/>
          <w:snapToGrid/>
          <w:kern w:val="2"/>
          <w:szCs w:val="32"/>
        </w:rPr>
        <w:t xml:space="preserve"> </w:t>
      </w:r>
      <w:r>
        <w:rPr>
          <w:rFonts w:hint="eastAsia" w:ascii="仿宋_GB2312" w:hAnsi="仿宋_GB2312" w:cs="仿宋_GB2312"/>
          <w:snapToGrid/>
          <w:kern w:val="2"/>
          <w:szCs w:val="32"/>
        </w:rPr>
        <w:t>告知承诺审批事项清单</w:t>
      </w:r>
      <w:r>
        <w:rPr>
          <w:snapToGrid/>
        </w:rPr>
        <w:br w:type="page"/>
      </w:r>
    </w:p>
    <w:p>
      <w:pPr>
        <w:spacing w:line="560" w:lineRule="exact"/>
        <w:rPr>
          <w:rFonts w:ascii="黑体" w:hAnsi="黑体" w:eastAsia="黑体" w:cs="CESI黑体-GB2312"/>
          <w:szCs w:val="32"/>
        </w:rPr>
      </w:pPr>
      <w:r>
        <w:rPr>
          <w:rFonts w:hint="eastAsia" w:ascii="黑体" w:hAnsi="黑体" w:eastAsia="黑体" w:cs="CESI黑体-GB2312"/>
          <w:szCs w:val="32"/>
        </w:rPr>
        <w:t>附件1</w:t>
      </w:r>
    </w:p>
    <w:p>
      <w:pPr>
        <w:adjustRightInd w:val="0"/>
        <w:snapToGrid w:val="0"/>
        <w:ind w:right="320" w:rightChars="100"/>
        <w:jc w:val="center"/>
        <w:rPr>
          <w:rFonts w:ascii="方正小标宋简体" w:eastAsia="方正小标宋简体"/>
          <w:sz w:val="44"/>
          <w:szCs w:val="44"/>
        </w:rPr>
      </w:pPr>
      <w:r>
        <w:rPr>
          <w:rFonts w:hint="eastAsia" w:ascii="方正小标宋简体" w:eastAsia="方正小标宋简体"/>
          <w:sz w:val="44"/>
          <w:szCs w:val="44"/>
        </w:rPr>
        <w:t>标准地指标体系（2</w:t>
      </w:r>
      <w:r>
        <w:rPr>
          <w:rFonts w:ascii="方正小标宋简体" w:eastAsia="方正小标宋简体"/>
          <w:sz w:val="44"/>
          <w:szCs w:val="44"/>
        </w:rPr>
        <w:t>.0</w:t>
      </w:r>
      <w:r>
        <w:rPr>
          <w:rFonts w:hint="eastAsia" w:ascii="方正小标宋简体" w:eastAsia="方正小标宋简体"/>
          <w:sz w:val="44"/>
          <w:szCs w:val="44"/>
        </w:rPr>
        <w:t>版）</w:t>
      </w:r>
    </w:p>
    <w:tbl>
      <w:tblPr>
        <w:tblStyle w:val="16"/>
        <w:tblW w:w="14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6"/>
        <w:gridCol w:w="14"/>
        <w:gridCol w:w="350"/>
        <w:gridCol w:w="1559"/>
        <w:gridCol w:w="1134"/>
        <w:gridCol w:w="992"/>
        <w:gridCol w:w="2046"/>
        <w:gridCol w:w="851"/>
        <w:gridCol w:w="762"/>
        <w:gridCol w:w="1012"/>
        <w:gridCol w:w="869"/>
        <w:gridCol w:w="1017"/>
        <w:gridCol w:w="729"/>
        <w:gridCol w:w="86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1440" w:type="dxa"/>
            <w:gridSpan w:val="2"/>
            <w:vMerge w:val="restart"/>
            <w:vAlign w:val="center"/>
          </w:tcPr>
          <w:p>
            <w:pPr>
              <w:pStyle w:val="40"/>
              <w:spacing w:line="240" w:lineRule="auto"/>
              <w:rPr>
                <w:rFonts w:hint="eastAsia" w:ascii="宋体" w:hAnsi="宋体" w:eastAsia="宋体"/>
                <w:b/>
                <w:bCs/>
                <w:szCs w:val="24"/>
              </w:rPr>
            </w:pPr>
            <w:r>
              <w:rPr>
                <w:rFonts w:hint="eastAsia" w:ascii="宋体" w:hAnsi="宋体" w:eastAsia="宋体"/>
                <w:b/>
                <w:bCs/>
                <w:szCs w:val="24"/>
              </w:rPr>
              <w:t>临空</w:t>
            </w:r>
          </w:p>
          <w:p>
            <w:pPr>
              <w:pStyle w:val="40"/>
              <w:spacing w:line="240" w:lineRule="auto"/>
              <w:rPr>
                <w:rFonts w:ascii="宋体" w:hAnsi="宋体" w:eastAsia="宋体"/>
                <w:b/>
                <w:bCs/>
                <w:szCs w:val="24"/>
              </w:rPr>
            </w:pPr>
            <w:r>
              <w:rPr>
                <w:rFonts w:hint="eastAsia" w:ascii="宋体" w:hAnsi="宋体" w:eastAsia="宋体"/>
                <w:b/>
                <w:bCs/>
                <w:szCs w:val="24"/>
                <w:lang w:val="en-US" w:eastAsia="zh-CN"/>
              </w:rPr>
              <w:t>经济</w:t>
            </w:r>
            <w:r>
              <w:rPr>
                <w:rFonts w:hint="eastAsia" w:ascii="宋体" w:hAnsi="宋体" w:eastAsia="宋体"/>
                <w:b/>
                <w:bCs/>
                <w:szCs w:val="24"/>
              </w:rPr>
              <w:t>区</w:t>
            </w:r>
          </w:p>
          <w:p>
            <w:pPr>
              <w:pStyle w:val="40"/>
              <w:spacing w:line="240" w:lineRule="auto"/>
              <w:rPr>
                <w:rFonts w:ascii="宋体" w:hAnsi="宋体" w:eastAsia="宋体"/>
                <w:b/>
                <w:bCs/>
                <w:szCs w:val="24"/>
              </w:rPr>
            </w:pPr>
            <w:r>
              <w:rPr>
                <w:rFonts w:hint="eastAsia" w:ascii="宋体" w:hAnsi="宋体" w:eastAsia="宋体"/>
                <w:b/>
                <w:bCs/>
                <w:szCs w:val="24"/>
              </w:rPr>
              <w:t>主导产业</w:t>
            </w:r>
          </w:p>
        </w:tc>
        <w:tc>
          <w:tcPr>
            <w:tcW w:w="350" w:type="dxa"/>
            <w:vMerge w:val="restart"/>
            <w:vAlign w:val="center"/>
          </w:tcPr>
          <w:p>
            <w:pPr>
              <w:pStyle w:val="40"/>
              <w:spacing w:line="360" w:lineRule="exact"/>
              <w:rPr>
                <w:rFonts w:ascii="宋体" w:hAnsi="宋体" w:eastAsia="宋体"/>
                <w:b/>
                <w:bCs/>
                <w:szCs w:val="24"/>
              </w:rPr>
            </w:pPr>
            <w:r>
              <w:rPr>
                <w:rFonts w:hint="eastAsia" w:ascii="宋体" w:hAnsi="宋体" w:eastAsia="宋体"/>
                <w:b/>
                <w:bCs/>
                <w:szCs w:val="24"/>
              </w:rPr>
              <w:t>序号</w:t>
            </w:r>
          </w:p>
        </w:tc>
        <w:tc>
          <w:tcPr>
            <w:tcW w:w="1559" w:type="dxa"/>
            <w:vMerge w:val="restart"/>
            <w:vAlign w:val="center"/>
          </w:tcPr>
          <w:p>
            <w:pPr>
              <w:pStyle w:val="40"/>
              <w:spacing w:line="360" w:lineRule="exact"/>
              <w:rPr>
                <w:rFonts w:ascii="宋体" w:hAnsi="宋体" w:eastAsia="宋体"/>
                <w:b/>
                <w:bCs/>
                <w:szCs w:val="24"/>
              </w:rPr>
            </w:pPr>
            <w:r>
              <w:rPr>
                <w:rFonts w:hint="eastAsia" w:ascii="宋体" w:hAnsi="宋体" w:eastAsia="宋体"/>
                <w:b/>
                <w:bCs/>
                <w:szCs w:val="24"/>
              </w:rPr>
              <w:t>行业小类</w:t>
            </w:r>
          </w:p>
        </w:tc>
        <w:tc>
          <w:tcPr>
            <w:tcW w:w="4172" w:type="dxa"/>
            <w:gridSpan w:val="3"/>
            <w:vAlign w:val="center"/>
          </w:tcPr>
          <w:p>
            <w:pPr>
              <w:pStyle w:val="40"/>
              <w:spacing w:line="240" w:lineRule="auto"/>
              <w:rPr>
                <w:rFonts w:ascii="宋体" w:hAnsi="宋体" w:eastAsia="宋体"/>
                <w:b/>
                <w:bCs/>
                <w:szCs w:val="24"/>
              </w:rPr>
            </w:pPr>
            <w:r>
              <w:rPr>
                <w:rFonts w:hint="eastAsia" w:ascii="宋体" w:hAnsi="宋体" w:eastAsia="宋体"/>
                <w:b/>
                <w:bCs/>
                <w:szCs w:val="24"/>
              </w:rPr>
              <w:t>经济效益类</w:t>
            </w:r>
          </w:p>
        </w:tc>
        <w:tc>
          <w:tcPr>
            <w:tcW w:w="1613" w:type="dxa"/>
            <w:gridSpan w:val="2"/>
            <w:vAlign w:val="center"/>
          </w:tcPr>
          <w:p>
            <w:pPr>
              <w:pStyle w:val="40"/>
              <w:spacing w:line="240" w:lineRule="auto"/>
              <w:rPr>
                <w:rFonts w:ascii="宋体" w:hAnsi="宋体" w:eastAsia="宋体"/>
                <w:b/>
                <w:bCs/>
                <w:szCs w:val="24"/>
              </w:rPr>
            </w:pPr>
            <w:r>
              <w:rPr>
                <w:rFonts w:hint="eastAsia" w:ascii="宋体" w:hAnsi="宋体" w:eastAsia="宋体"/>
                <w:b/>
                <w:bCs/>
                <w:szCs w:val="24"/>
              </w:rPr>
              <w:t>创新特色类</w:t>
            </w:r>
          </w:p>
        </w:tc>
        <w:tc>
          <w:tcPr>
            <w:tcW w:w="1881" w:type="dxa"/>
            <w:gridSpan w:val="2"/>
            <w:vAlign w:val="center"/>
          </w:tcPr>
          <w:p>
            <w:pPr>
              <w:pStyle w:val="40"/>
              <w:spacing w:line="240" w:lineRule="auto"/>
              <w:rPr>
                <w:rFonts w:ascii="宋体" w:hAnsi="宋体" w:eastAsia="宋体"/>
                <w:b/>
                <w:bCs/>
                <w:szCs w:val="24"/>
              </w:rPr>
            </w:pPr>
            <w:r>
              <w:rPr>
                <w:rFonts w:hint="eastAsia" w:ascii="宋体" w:hAnsi="宋体" w:eastAsia="宋体"/>
                <w:b/>
                <w:bCs/>
                <w:szCs w:val="24"/>
              </w:rPr>
              <w:t>资源消耗类</w:t>
            </w:r>
          </w:p>
        </w:tc>
        <w:tc>
          <w:tcPr>
            <w:tcW w:w="3342" w:type="dxa"/>
            <w:gridSpan w:val="4"/>
            <w:vAlign w:val="center"/>
          </w:tcPr>
          <w:p>
            <w:pPr>
              <w:pStyle w:val="40"/>
              <w:spacing w:line="240" w:lineRule="auto"/>
              <w:rPr>
                <w:rFonts w:ascii="宋体" w:hAnsi="宋体" w:eastAsia="宋体"/>
                <w:b/>
                <w:bCs/>
                <w:szCs w:val="24"/>
              </w:rPr>
            </w:pPr>
            <w:r>
              <w:rPr>
                <w:rFonts w:hint="eastAsia" w:ascii="宋体" w:hAnsi="宋体" w:eastAsia="宋体"/>
                <w:b/>
                <w:bCs/>
                <w:szCs w:val="24"/>
              </w:rPr>
              <w:t>绿色低碳类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0"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Merge w:val="continue"/>
            <w:vAlign w:val="center"/>
          </w:tcPr>
          <w:p>
            <w:pPr>
              <w:pStyle w:val="40"/>
              <w:spacing w:line="360" w:lineRule="exact"/>
              <w:rPr>
                <w:rFonts w:ascii="宋体" w:hAnsi="宋体" w:eastAsia="宋体"/>
                <w:szCs w:val="24"/>
              </w:rPr>
            </w:pPr>
          </w:p>
        </w:tc>
        <w:tc>
          <w:tcPr>
            <w:tcW w:w="1559" w:type="dxa"/>
            <w:vMerge w:val="continue"/>
            <w:vAlign w:val="center"/>
          </w:tcPr>
          <w:p>
            <w:pPr>
              <w:pStyle w:val="40"/>
              <w:spacing w:line="360" w:lineRule="exact"/>
              <w:rPr>
                <w:rFonts w:ascii="宋体" w:hAnsi="宋体" w:eastAsia="宋体"/>
                <w:szCs w:val="24"/>
              </w:rPr>
            </w:pPr>
          </w:p>
        </w:tc>
        <w:tc>
          <w:tcPr>
            <w:tcW w:w="1134" w:type="dxa"/>
            <w:vAlign w:val="center"/>
          </w:tcPr>
          <w:p>
            <w:pPr>
              <w:pStyle w:val="40"/>
              <w:spacing w:line="320" w:lineRule="exact"/>
              <w:rPr>
                <w:rFonts w:ascii="宋体" w:hAnsi="宋体" w:eastAsia="宋体"/>
                <w:szCs w:val="24"/>
              </w:rPr>
            </w:pPr>
            <w:r>
              <w:rPr>
                <w:rFonts w:ascii="宋体" w:hAnsi="宋体" w:eastAsia="宋体"/>
                <w:szCs w:val="24"/>
              </w:rPr>
              <w:t>固定资产</w:t>
            </w:r>
          </w:p>
          <w:p>
            <w:pPr>
              <w:pStyle w:val="40"/>
              <w:spacing w:line="320" w:lineRule="exact"/>
              <w:rPr>
                <w:rFonts w:ascii="宋体" w:hAnsi="宋体" w:eastAsia="宋体"/>
                <w:szCs w:val="24"/>
              </w:rPr>
            </w:pPr>
            <w:r>
              <w:rPr>
                <w:rFonts w:ascii="宋体" w:hAnsi="宋体" w:eastAsia="宋体"/>
                <w:szCs w:val="24"/>
              </w:rPr>
              <w:t>投资强度</w:t>
            </w:r>
          </w:p>
          <w:p>
            <w:pPr>
              <w:pStyle w:val="40"/>
              <w:spacing w:line="320" w:lineRule="exact"/>
              <w:rPr>
                <w:rFonts w:ascii="宋体" w:hAnsi="宋体" w:eastAsia="宋体"/>
                <w:szCs w:val="24"/>
              </w:rPr>
            </w:pPr>
            <w:r>
              <w:rPr>
                <w:rFonts w:ascii="宋体" w:hAnsi="宋体" w:eastAsia="宋体"/>
                <w:szCs w:val="24"/>
              </w:rPr>
              <w:t>（万元/</w:t>
            </w:r>
          </w:p>
          <w:p>
            <w:pPr>
              <w:pStyle w:val="40"/>
              <w:spacing w:line="320" w:lineRule="exact"/>
              <w:rPr>
                <w:rFonts w:ascii="宋体" w:hAnsi="宋体" w:eastAsia="宋体"/>
                <w:szCs w:val="24"/>
              </w:rPr>
            </w:pPr>
            <w:r>
              <w:rPr>
                <w:rFonts w:ascii="宋体" w:hAnsi="宋体" w:eastAsia="宋体"/>
                <w:szCs w:val="24"/>
              </w:rPr>
              <w:t>公顷）</w:t>
            </w:r>
          </w:p>
        </w:tc>
        <w:tc>
          <w:tcPr>
            <w:tcW w:w="992" w:type="dxa"/>
            <w:vAlign w:val="center"/>
          </w:tcPr>
          <w:p>
            <w:pPr>
              <w:pStyle w:val="40"/>
              <w:spacing w:line="320" w:lineRule="exact"/>
              <w:rPr>
                <w:rFonts w:ascii="宋体" w:hAnsi="宋体" w:eastAsia="宋体"/>
                <w:szCs w:val="24"/>
              </w:rPr>
            </w:pPr>
            <w:r>
              <w:rPr>
                <w:rFonts w:hint="eastAsia" w:ascii="宋体" w:hAnsi="宋体" w:eastAsia="宋体"/>
                <w:szCs w:val="24"/>
              </w:rPr>
              <w:t>地均</w:t>
            </w:r>
          </w:p>
          <w:p>
            <w:pPr>
              <w:pStyle w:val="40"/>
              <w:spacing w:line="320" w:lineRule="exact"/>
              <w:rPr>
                <w:rFonts w:ascii="宋体" w:hAnsi="宋体" w:eastAsia="宋体"/>
                <w:szCs w:val="24"/>
              </w:rPr>
            </w:pPr>
            <w:r>
              <w:rPr>
                <w:rFonts w:hint="eastAsia" w:ascii="宋体" w:hAnsi="宋体" w:eastAsia="宋体"/>
                <w:szCs w:val="24"/>
              </w:rPr>
              <w:t>产出</w:t>
            </w:r>
          </w:p>
          <w:p>
            <w:pPr>
              <w:pStyle w:val="40"/>
              <w:spacing w:line="320" w:lineRule="exact"/>
              <w:rPr>
                <w:rFonts w:ascii="宋体" w:hAnsi="宋体" w:eastAsia="宋体"/>
                <w:szCs w:val="24"/>
              </w:rPr>
            </w:pPr>
            <w:r>
              <w:rPr>
                <w:rFonts w:hint="eastAsia" w:ascii="宋体" w:hAnsi="宋体" w:eastAsia="宋体"/>
                <w:szCs w:val="24"/>
              </w:rPr>
              <w:t>（万元</w:t>
            </w:r>
            <w:r>
              <w:rPr>
                <w:rFonts w:ascii="宋体" w:hAnsi="宋体" w:eastAsia="宋体"/>
                <w:szCs w:val="24"/>
              </w:rPr>
              <w:t>/公顷）</w:t>
            </w:r>
          </w:p>
        </w:tc>
        <w:tc>
          <w:tcPr>
            <w:tcW w:w="2046" w:type="dxa"/>
            <w:vAlign w:val="center"/>
          </w:tcPr>
          <w:p>
            <w:pPr>
              <w:pStyle w:val="40"/>
              <w:spacing w:line="320" w:lineRule="exact"/>
              <w:rPr>
                <w:rFonts w:ascii="宋体" w:hAnsi="宋体" w:eastAsia="宋体"/>
                <w:szCs w:val="24"/>
              </w:rPr>
            </w:pPr>
            <w:r>
              <w:rPr>
                <w:rFonts w:hint="eastAsia" w:ascii="宋体" w:hAnsi="宋体" w:eastAsia="宋体"/>
                <w:szCs w:val="24"/>
              </w:rPr>
              <w:t>单位</w:t>
            </w:r>
          </w:p>
          <w:p>
            <w:pPr>
              <w:pStyle w:val="40"/>
              <w:spacing w:line="320" w:lineRule="exact"/>
              <w:rPr>
                <w:rFonts w:ascii="宋体" w:hAnsi="宋体" w:eastAsia="宋体"/>
                <w:szCs w:val="24"/>
              </w:rPr>
            </w:pPr>
            <w:r>
              <w:rPr>
                <w:rFonts w:ascii="宋体" w:hAnsi="宋体" w:eastAsia="宋体"/>
                <w:szCs w:val="24"/>
              </w:rPr>
              <w:t>税收</w:t>
            </w:r>
          </w:p>
        </w:tc>
        <w:tc>
          <w:tcPr>
            <w:tcW w:w="851" w:type="dxa"/>
            <w:vAlign w:val="center"/>
          </w:tcPr>
          <w:p>
            <w:pPr>
              <w:pStyle w:val="40"/>
              <w:spacing w:line="320" w:lineRule="exact"/>
              <w:rPr>
                <w:rFonts w:ascii="宋体" w:hAnsi="宋体" w:eastAsia="宋体"/>
                <w:szCs w:val="24"/>
              </w:rPr>
            </w:pPr>
            <w:r>
              <w:rPr>
                <w:rFonts w:ascii="宋体" w:hAnsi="宋体" w:eastAsia="宋体"/>
                <w:szCs w:val="24"/>
              </w:rPr>
              <w:t>R&amp;D经费投入强度</w:t>
            </w:r>
          </w:p>
          <w:p>
            <w:pPr>
              <w:pStyle w:val="40"/>
              <w:spacing w:line="320" w:lineRule="exact"/>
              <w:rPr>
                <w:rFonts w:ascii="宋体" w:hAnsi="宋体" w:eastAsia="宋体"/>
                <w:szCs w:val="24"/>
              </w:rPr>
            </w:pPr>
            <w:r>
              <w:rPr>
                <w:rFonts w:ascii="宋体" w:hAnsi="宋体" w:eastAsia="宋体"/>
                <w:szCs w:val="24"/>
              </w:rPr>
              <w:t>（%）</w:t>
            </w:r>
          </w:p>
        </w:tc>
        <w:tc>
          <w:tcPr>
            <w:tcW w:w="762" w:type="dxa"/>
            <w:vAlign w:val="center"/>
          </w:tcPr>
          <w:p>
            <w:pPr>
              <w:pStyle w:val="40"/>
              <w:spacing w:line="320" w:lineRule="exact"/>
              <w:rPr>
                <w:rFonts w:ascii="宋体" w:hAnsi="宋体" w:eastAsia="宋体"/>
                <w:szCs w:val="24"/>
              </w:rPr>
            </w:pPr>
            <w:r>
              <w:rPr>
                <w:rFonts w:ascii="宋体" w:hAnsi="宋体" w:eastAsia="宋体"/>
                <w:szCs w:val="24"/>
              </w:rPr>
              <w:t>航空</w:t>
            </w:r>
          </w:p>
          <w:p>
            <w:pPr>
              <w:pStyle w:val="40"/>
              <w:spacing w:line="320" w:lineRule="exact"/>
              <w:rPr>
                <w:rFonts w:ascii="宋体" w:hAnsi="宋体" w:eastAsia="宋体"/>
                <w:szCs w:val="24"/>
              </w:rPr>
            </w:pPr>
            <w:r>
              <w:rPr>
                <w:rFonts w:ascii="宋体" w:hAnsi="宋体" w:eastAsia="宋体"/>
                <w:szCs w:val="24"/>
              </w:rPr>
              <w:t>企业</w:t>
            </w:r>
          </w:p>
          <w:p>
            <w:pPr>
              <w:pStyle w:val="40"/>
              <w:spacing w:line="320" w:lineRule="exact"/>
              <w:rPr>
                <w:rFonts w:ascii="宋体" w:hAnsi="宋体" w:eastAsia="宋体"/>
                <w:szCs w:val="24"/>
              </w:rPr>
            </w:pPr>
            <w:r>
              <w:rPr>
                <w:rFonts w:ascii="宋体" w:hAnsi="宋体" w:eastAsia="宋体"/>
                <w:szCs w:val="24"/>
              </w:rPr>
              <w:t>关联性</w:t>
            </w:r>
          </w:p>
        </w:tc>
        <w:tc>
          <w:tcPr>
            <w:tcW w:w="1012" w:type="dxa"/>
            <w:vAlign w:val="center"/>
          </w:tcPr>
          <w:p>
            <w:pPr>
              <w:pStyle w:val="40"/>
              <w:spacing w:line="320" w:lineRule="exact"/>
              <w:rPr>
                <w:rFonts w:ascii="宋体" w:hAnsi="宋体" w:eastAsia="宋体"/>
                <w:szCs w:val="24"/>
              </w:rPr>
            </w:pPr>
            <w:bookmarkStart w:id="10" w:name="_Hlk117526966"/>
            <w:r>
              <w:rPr>
                <w:rFonts w:hint="eastAsia" w:ascii="宋体" w:hAnsi="宋体" w:eastAsia="宋体"/>
                <w:szCs w:val="24"/>
              </w:rPr>
              <w:t>单位</w:t>
            </w:r>
          </w:p>
          <w:p>
            <w:pPr>
              <w:pStyle w:val="40"/>
              <w:spacing w:line="320" w:lineRule="exact"/>
              <w:rPr>
                <w:rFonts w:ascii="宋体" w:hAnsi="宋体" w:eastAsia="宋体"/>
                <w:szCs w:val="24"/>
              </w:rPr>
            </w:pPr>
            <w:r>
              <w:rPr>
                <w:rFonts w:hint="eastAsia" w:ascii="宋体" w:hAnsi="宋体" w:eastAsia="宋体"/>
                <w:szCs w:val="24"/>
              </w:rPr>
              <w:t>产出</w:t>
            </w:r>
          </w:p>
          <w:p>
            <w:pPr>
              <w:pStyle w:val="40"/>
              <w:spacing w:line="320" w:lineRule="exact"/>
              <w:rPr>
                <w:rFonts w:ascii="宋体" w:hAnsi="宋体" w:eastAsia="宋体"/>
                <w:szCs w:val="24"/>
              </w:rPr>
            </w:pPr>
            <w:r>
              <w:rPr>
                <w:rFonts w:ascii="宋体" w:hAnsi="宋体" w:eastAsia="宋体"/>
                <w:szCs w:val="24"/>
              </w:rPr>
              <w:t>能耗</w:t>
            </w:r>
          </w:p>
          <w:p>
            <w:pPr>
              <w:pStyle w:val="40"/>
              <w:spacing w:line="320" w:lineRule="exact"/>
              <w:rPr>
                <w:rFonts w:ascii="宋体" w:hAnsi="宋体" w:eastAsia="宋体"/>
                <w:szCs w:val="24"/>
              </w:rPr>
            </w:pPr>
            <w:r>
              <w:rPr>
                <w:rFonts w:ascii="宋体" w:hAnsi="宋体" w:eastAsia="宋体"/>
                <w:szCs w:val="24"/>
              </w:rPr>
              <w:t>（tce/</w:t>
            </w:r>
          </w:p>
          <w:p>
            <w:pPr>
              <w:pStyle w:val="40"/>
              <w:spacing w:line="320" w:lineRule="exact"/>
              <w:rPr>
                <w:rFonts w:ascii="宋体" w:hAnsi="宋体" w:eastAsia="宋体"/>
                <w:szCs w:val="24"/>
              </w:rPr>
            </w:pPr>
            <w:r>
              <w:rPr>
                <w:rFonts w:ascii="宋体" w:hAnsi="宋体" w:eastAsia="宋体"/>
                <w:szCs w:val="24"/>
              </w:rPr>
              <w:t>万元）</w:t>
            </w:r>
            <w:bookmarkEnd w:id="10"/>
          </w:p>
        </w:tc>
        <w:tc>
          <w:tcPr>
            <w:tcW w:w="869" w:type="dxa"/>
            <w:vAlign w:val="center"/>
          </w:tcPr>
          <w:p>
            <w:pPr>
              <w:pStyle w:val="40"/>
              <w:spacing w:line="320" w:lineRule="exact"/>
              <w:rPr>
                <w:rFonts w:ascii="宋体" w:hAnsi="宋体" w:eastAsia="宋体"/>
                <w:szCs w:val="24"/>
              </w:rPr>
            </w:pPr>
            <w:r>
              <w:rPr>
                <w:rFonts w:hint="eastAsia" w:ascii="宋体" w:hAnsi="宋体" w:eastAsia="宋体"/>
                <w:szCs w:val="24"/>
              </w:rPr>
              <w:t>单位</w:t>
            </w:r>
          </w:p>
          <w:p>
            <w:pPr>
              <w:pStyle w:val="40"/>
              <w:spacing w:line="320" w:lineRule="exact"/>
              <w:rPr>
                <w:rFonts w:ascii="宋体" w:hAnsi="宋体" w:eastAsia="宋体"/>
                <w:szCs w:val="24"/>
              </w:rPr>
            </w:pPr>
            <w:r>
              <w:rPr>
                <w:rFonts w:hint="eastAsia" w:ascii="宋体" w:hAnsi="宋体" w:eastAsia="宋体"/>
                <w:szCs w:val="24"/>
              </w:rPr>
              <w:t>产出</w:t>
            </w:r>
          </w:p>
          <w:p>
            <w:pPr>
              <w:pStyle w:val="40"/>
              <w:spacing w:line="320" w:lineRule="exact"/>
              <w:rPr>
                <w:rFonts w:ascii="宋体" w:hAnsi="宋体" w:eastAsia="宋体"/>
                <w:szCs w:val="24"/>
              </w:rPr>
            </w:pPr>
            <w:r>
              <w:rPr>
                <w:rFonts w:ascii="宋体" w:hAnsi="宋体" w:eastAsia="宋体"/>
                <w:szCs w:val="24"/>
              </w:rPr>
              <w:t>水耗</w:t>
            </w:r>
          </w:p>
          <w:p>
            <w:pPr>
              <w:pStyle w:val="40"/>
              <w:spacing w:line="320" w:lineRule="exact"/>
              <w:rPr>
                <w:rFonts w:ascii="宋体" w:hAnsi="宋体" w:eastAsia="宋体"/>
                <w:szCs w:val="24"/>
              </w:rPr>
            </w:pPr>
            <w:r>
              <w:rPr>
                <w:rFonts w:ascii="宋体" w:hAnsi="宋体" w:eastAsia="宋体"/>
                <w:szCs w:val="24"/>
              </w:rPr>
              <w:t>（m³/万元）</w:t>
            </w:r>
          </w:p>
        </w:tc>
        <w:tc>
          <w:tcPr>
            <w:tcW w:w="1017" w:type="dxa"/>
            <w:vAlign w:val="center"/>
          </w:tcPr>
          <w:p>
            <w:pPr>
              <w:pStyle w:val="40"/>
              <w:spacing w:line="320" w:lineRule="exact"/>
              <w:rPr>
                <w:rFonts w:ascii="宋体" w:hAnsi="宋体" w:eastAsia="宋体"/>
                <w:szCs w:val="24"/>
              </w:rPr>
            </w:pPr>
            <w:r>
              <w:rPr>
                <w:rFonts w:hint="eastAsia" w:ascii="宋体" w:hAnsi="宋体" w:eastAsia="宋体"/>
                <w:szCs w:val="24"/>
              </w:rPr>
              <w:t>单位</w:t>
            </w:r>
          </w:p>
          <w:p>
            <w:pPr>
              <w:pStyle w:val="40"/>
              <w:spacing w:line="320" w:lineRule="exact"/>
              <w:rPr>
                <w:rFonts w:ascii="宋体" w:hAnsi="宋体" w:eastAsia="宋体"/>
                <w:szCs w:val="24"/>
              </w:rPr>
            </w:pPr>
            <w:r>
              <w:rPr>
                <w:rFonts w:hint="eastAsia" w:ascii="宋体" w:hAnsi="宋体" w:eastAsia="宋体"/>
                <w:szCs w:val="24"/>
              </w:rPr>
              <w:t>产出</w:t>
            </w:r>
          </w:p>
          <w:p>
            <w:pPr>
              <w:pStyle w:val="40"/>
              <w:spacing w:line="320" w:lineRule="exact"/>
              <w:rPr>
                <w:rFonts w:ascii="宋体" w:hAnsi="宋体" w:eastAsia="宋体"/>
                <w:szCs w:val="24"/>
              </w:rPr>
            </w:pPr>
            <w:r>
              <w:rPr>
                <w:rFonts w:ascii="宋体" w:hAnsi="宋体" w:eastAsia="宋体"/>
                <w:szCs w:val="24"/>
              </w:rPr>
              <w:t>碳排放</w:t>
            </w:r>
            <w:bookmarkStart w:id="11" w:name="_Hlk117527054"/>
            <w:r>
              <w:rPr>
                <w:rFonts w:ascii="宋体" w:hAnsi="宋体" w:eastAsia="宋体"/>
                <w:szCs w:val="24"/>
              </w:rPr>
              <w:t>（</w:t>
            </w:r>
            <w:r>
              <w:rPr>
                <w:rFonts w:hint="eastAsia" w:ascii="宋体" w:hAnsi="宋体" w:eastAsia="宋体"/>
                <w:szCs w:val="24"/>
              </w:rPr>
              <w:t>t</w:t>
            </w:r>
            <w:r>
              <w:rPr>
                <w:rFonts w:ascii="宋体" w:hAnsi="宋体" w:eastAsia="宋体"/>
                <w:szCs w:val="24"/>
              </w:rPr>
              <w:t>CO</w:t>
            </w:r>
            <w:r>
              <w:rPr>
                <w:rFonts w:ascii="宋体" w:hAnsi="宋体" w:eastAsia="宋体"/>
                <w:szCs w:val="24"/>
                <w:vertAlign w:val="subscript"/>
              </w:rPr>
              <w:t>2</w:t>
            </w:r>
            <w:r>
              <w:rPr>
                <w:rFonts w:ascii="宋体" w:hAnsi="宋体" w:eastAsia="宋体"/>
                <w:szCs w:val="24"/>
              </w:rPr>
              <w:t>e/</w:t>
            </w:r>
          </w:p>
          <w:p>
            <w:pPr>
              <w:pStyle w:val="40"/>
              <w:spacing w:line="320" w:lineRule="exact"/>
              <w:rPr>
                <w:rFonts w:ascii="宋体" w:hAnsi="宋体" w:eastAsia="宋体"/>
                <w:szCs w:val="24"/>
              </w:rPr>
            </w:pPr>
            <w:r>
              <w:rPr>
                <w:rFonts w:ascii="宋体" w:hAnsi="宋体" w:eastAsia="宋体"/>
                <w:szCs w:val="24"/>
              </w:rPr>
              <w:t>万元）</w:t>
            </w:r>
            <w:bookmarkEnd w:id="11"/>
          </w:p>
        </w:tc>
        <w:tc>
          <w:tcPr>
            <w:tcW w:w="729" w:type="dxa"/>
            <w:vAlign w:val="center"/>
          </w:tcPr>
          <w:p>
            <w:pPr>
              <w:pStyle w:val="40"/>
              <w:spacing w:line="320" w:lineRule="exact"/>
              <w:rPr>
                <w:rFonts w:ascii="宋体" w:hAnsi="宋体" w:eastAsia="宋体"/>
                <w:szCs w:val="24"/>
              </w:rPr>
            </w:pPr>
            <w:r>
              <w:rPr>
                <w:rFonts w:ascii="宋体" w:hAnsi="宋体" w:eastAsia="宋体"/>
                <w:szCs w:val="24"/>
              </w:rPr>
              <w:t>可再生能源利用率</w:t>
            </w:r>
          </w:p>
          <w:p>
            <w:pPr>
              <w:pStyle w:val="40"/>
              <w:spacing w:line="320" w:lineRule="exact"/>
              <w:rPr>
                <w:rFonts w:ascii="宋体" w:hAnsi="宋体" w:eastAsia="宋体"/>
                <w:szCs w:val="24"/>
              </w:rPr>
            </w:pPr>
            <w:r>
              <w:rPr>
                <w:rFonts w:ascii="宋体" w:hAnsi="宋体" w:eastAsia="宋体"/>
                <w:szCs w:val="24"/>
              </w:rPr>
              <w:t>（%）</w:t>
            </w:r>
          </w:p>
        </w:tc>
        <w:tc>
          <w:tcPr>
            <w:tcW w:w="869" w:type="dxa"/>
            <w:vAlign w:val="center"/>
          </w:tcPr>
          <w:p>
            <w:pPr>
              <w:pStyle w:val="40"/>
              <w:spacing w:line="320" w:lineRule="exact"/>
              <w:rPr>
                <w:rFonts w:ascii="宋体" w:hAnsi="宋体" w:eastAsia="宋体"/>
                <w:szCs w:val="24"/>
              </w:rPr>
            </w:pPr>
            <w:r>
              <w:rPr>
                <w:rFonts w:ascii="宋体" w:hAnsi="宋体" w:eastAsia="宋体"/>
                <w:szCs w:val="24"/>
              </w:rPr>
              <w:t>非传统水源</w:t>
            </w:r>
          </w:p>
          <w:p>
            <w:pPr>
              <w:pStyle w:val="40"/>
              <w:spacing w:line="320" w:lineRule="exact"/>
              <w:rPr>
                <w:rFonts w:ascii="宋体" w:hAnsi="宋体" w:eastAsia="宋体"/>
                <w:szCs w:val="24"/>
              </w:rPr>
            </w:pPr>
            <w:r>
              <w:rPr>
                <w:rFonts w:ascii="宋体" w:hAnsi="宋体" w:eastAsia="宋体"/>
                <w:szCs w:val="24"/>
              </w:rPr>
              <w:t>利用率</w:t>
            </w:r>
          </w:p>
          <w:p>
            <w:pPr>
              <w:pStyle w:val="40"/>
              <w:spacing w:line="320" w:lineRule="exact"/>
              <w:rPr>
                <w:rFonts w:ascii="宋体" w:hAnsi="宋体" w:eastAsia="宋体"/>
                <w:szCs w:val="24"/>
              </w:rPr>
            </w:pPr>
            <w:r>
              <w:rPr>
                <w:rFonts w:ascii="宋体" w:hAnsi="宋体" w:eastAsia="宋体"/>
                <w:szCs w:val="24"/>
              </w:rPr>
              <w:t>（%）</w:t>
            </w:r>
          </w:p>
        </w:tc>
        <w:tc>
          <w:tcPr>
            <w:tcW w:w="727" w:type="dxa"/>
            <w:vAlign w:val="center"/>
          </w:tcPr>
          <w:p>
            <w:pPr>
              <w:pStyle w:val="40"/>
              <w:spacing w:line="320" w:lineRule="exact"/>
              <w:rPr>
                <w:rFonts w:ascii="宋体" w:hAnsi="宋体" w:eastAsia="宋体"/>
                <w:szCs w:val="24"/>
              </w:rPr>
            </w:pPr>
            <w:r>
              <w:rPr>
                <w:rFonts w:hint="eastAsia" w:ascii="宋体" w:hAnsi="宋体" w:eastAsia="宋体"/>
                <w:szCs w:val="24"/>
              </w:rPr>
              <w:t>绿色</w:t>
            </w:r>
          </w:p>
          <w:p>
            <w:pPr>
              <w:pStyle w:val="40"/>
              <w:spacing w:line="320" w:lineRule="exact"/>
              <w:rPr>
                <w:rFonts w:ascii="宋体" w:hAnsi="宋体" w:eastAsia="宋体"/>
                <w:szCs w:val="24"/>
              </w:rPr>
            </w:pPr>
            <w:r>
              <w:rPr>
                <w:rFonts w:hint="eastAsia" w:ascii="宋体" w:hAnsi="宋体" w:eastAsia="宋体"/>
                <w:szCs w:val="24"/>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1440" w:type="dxa"/>
            <w:gridSpan w:val="2"/>
            <w:vMerge w:val="restart"/>
            <w:vAlign w:val="center"/>
          </w:tcPr>
          <w:p>
            <w:pPr>
              <w:pStyle w:val="40"/>
              <w:spacing w:line="240" w:lineRule="auto"/>
              <w:rPr>
                <w:rFonts w:ascii="宋体" w:hAnsi="宋体" w:eastAsia="宋体"/>
                <w:szCs w:val="24"/>
              </w:rPr>
            </w:pPr>
            <w:r>
              <w:rPr>
                <w:rFonts w:ascii="宋体" w:hAnsi="宋体" w:eastAsia="宋体"/>
                <w:szCs w:val="24"/>
              </w:rPr>
              <w:t>生命健康</w:t>
            </w: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1</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医药研发</w:t>
            </w:r>
          </w:p>
        </w:tc>
        <w:tc>
          <w:tcPr>
            <w:tcW w:w="1134" w:type="dxa"/>
            <w:vAlign w:val="center"/>
          </w:tcPr>
          <w:p>
            <w:pPr>
              <w:pStyle w:val="40"/>
              <w:spacing w:line="240" w:lineRule="auto"/>
              <w:rPr>
                <w:rFonts w:ascii="Arial" w:hAnsi="Arial" w:cs="Arial"/>
                <w:color w:val="333333"/>
                <w:szCs w:val="24"/>
                <w:shd w:val="clear" w:color="auto" w:fill="FFFFFF"/>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12万元/人</w:t>
            </w:r>
          </w:p>
        </w:tc>
        <w:tc>
          <w:tcPr>
            <w:tcW w:w="851"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10</w:t>
            </w:r>
          </w:p>
        </w:tc>
        <w:tc>
          <w:tcPr>
            <w:tcW w:w="762" w:type="dxa"/>
            <w:vMerge w:val="restart"/>
            <w:vAlign w:val="center"/>
          </w:tcPr>
          <w:p>
            <w:pPr>
              <w:pStyle w:val="40"/>
              <w:spacing w:line="240" w:lineRule="auto"/>
              <w:rPr>
                <w:rFonts w:ascii="宋体" w:hAnsi="宋体" w:eastAsia="宋体"/>
                <w:szCs w:val="24"/>
              </w:rPr>
            </w:pPr>
            <w:r>
              <w:rPr>
                <w:rFonts w:hint="eastAsia" w:ascii="宋体" w:hAnsi="宋体" w:eastAsia="宋体"/>
                <w:szCs w:val="24"/>
              </w:rPr>
              <w:t>见</w:t>
            </w:r>
          </w:p>
          <w:p>
            <w:pPr>
              <w:pStyle w:val="40"/>
              <w:spacing w:line="240" w:lineRule="auto"/>
              <w:rPr>
                <w:rFonts w:ascii="宋体" w:hAnsi="宋体" w:eastAsia="宋体"/>
                <w:szCs w:val="24"/>
              </w:rPr>
            </w:pPr>
            <w:r>
              <w:rPr>
                <w:rFonts w:hint="eastAsia" w:ascii="宋体" w:hAnsi="宋体" w:eastAsia="宋体"/>
                <w:szCs w:val="24"/>
              </w:rPr>
              <w:t>备注</w:t>
            </w:r>
            <w:r>
              <w:rPr>
                <w:rFonts w:hint="eastAsia" w:ascii="宋体" w:hAnsi="宋体" w:eastAsia="宋体"/>
                <w:szCs w:val="24"/>
                <w:vertAlign w:val="superscript"/>
              </w:rPr>
              <w:t>1</w:t>
            </w:r>
          </w:p>
        </w:tc>
        <w:tc>
          <w:tcPr>
            <w:tcW w:w="101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cs="微软雅黑"/>
                <w:szCs w:val="24"/>
              </w:rPr>
              <w:t>0.08</w:t>
            </w:r>
          </w:p>
        </w:tc>
        <w:tc>
          <w:tcPr>
            <w:tcW w:w="869"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0.36</w:t>
            </w:r>
          </w:p>
        </w:tc>
        <w:tc>
          <w:tcPr>
            <w:tcW w:w="729"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20</w:t>
            </w:r>
          </w:p>
        </w:tc>
        <w:tc>
          <w:tcPr>
            <w:tcW w:w="869"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40</w:t>
            </w:r>
          </w:p>
        </w:tc>
        <w:tc>
          <w:tcPr>
            <w:tcW w:w="727" w:type="dxa"/>
            <w:vMerge w:val="restart"/>
            <w:vAlign w:val="center"/>
          </w:tcPr>
          <w:p>
            <w:pPr>
              <w:pStyle w:val="40"/>
              <w:spacing w:line="240" w:lineRule="auto"/>
              <w:rPr>
                <w:rFonts w:ascii="宋体" w:hAnsi="宋体" w:eastAsia="宋体"/>
                <w:szCs w:val="24"/>
              </w:rPr>
            </w:pPr>
            <w:r>
              <w:rPr>
                <w:rFonts w:hint="eastAsia" w:ascii="宋体" w:hAnsi="宋体" w:eastAsia="宋体"/>
                <w:szCs w:val="24"/>
              </w:rPr>
              <w:t>见</w:t>
            </w:r>
          </w:p>
          <w:p>
            <w:pPr>
              <w:pStyle w:val="40"/>
              <w:spacing w:line="240" w:lineRule="auto"/>
              <w:rPr>
                <w:rFonts w:ascii="宋体" w:hAnsi="宋体" w:eastAsia="宋体"/>
                <w:szCs w:val="24"/>
                <w:vertAlign w:val="superscript"/>
              </w:rPr>
            </w:pPr>
            <w:r>
              <w:rPr>
                <w:rFonts w:hint="eastAsia" w:ascii="宋体" w:hAnsi="宋体" w:eastAsia="宋体"/>
                <w:szCs w:val="24"/>
              </w:rPr>
              <w:t>备注</w:t>
            </w:r>
            <w:r>
              <w:rPr>
                <w:rFonts w:ascii="宋体" w:hAnsi="宋体" w:eastAsia="宋体"/>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2</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医药制造</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27000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20</w:t>
            </w:r>
            <w:r>
              <w:rPr>
                <w:rFonts w:hint="eastAsia" w:ascii="宋体" w:hAnsi="宋体" w:eastAsia="宋体" w:cs="微软雅黑"/>
                <w:szCs w:val="24"/>
              </w:rPr>
              <w:t>00万元</w:t>
            </w:r>
            <w:r>
              <w:rPr>
                <w:rFonts w:ascii="宋体" w:hAnsi="宋体" w:eastAsia="宋体" w:cs="微软雅黑"/>
                <w:szCs w:val="24"/>
              </w:rPr>
              <w:t>/公顷</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5</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0.05</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0.20</w:t>
            </w:r>
          </w:p>
        </w:tc>
        <w:tc>
          <w:tcPr>
            <w:tcW w:w="729" w:type="dxa"/>
            <w:vMerge w:val="continue"/>
            <w:vAlign w:val="center"/>
          </w:tcPr>
          <w:p>
            <w:pPr>
              <w:pStyle w:val="40"/>
              <w:spacing w:line="240" w:lineRule="auto"/>
              <w:rPr>
                <w:rFonts w:ascii="宋体" w:hAnsi="宋体" w:eastAsia="宋体" w:cs="微软雅黑"/>
                <w:szCs w:val="24"/>
              </w:rPr>
            </w:pPr>
          </w:p>
        </w:tc>
        <w:tc>
          <w:tcPr>
            <w:tcW w:w="869" w:type="dxa"/>
            <w:vMerge w:val="continue"/>
            <w:vAlign w:val="center"/>
          </w:tcPr>
          <w:p>
            <w:pPr>
              <w:pStyle w:val="40"/>
              <w:spacing w:line="240" w:lineRule="auto"/>
              <w:rPr>
                <w:rFonts w:ascii="宋体" w:hAnsi="宋体" w:eastAsia="宋体" w:cs="微软雅黑"/>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3</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医药销售</w:t>
            </w:r>
          </w:p>
        </w:tc>
        <w:tc>
          <w:tcPr>
            <w:tcW w:w="1134" w:type="dxa"/>
            <w:vAlign w:val="center"/>
          </w:tcPr>
          <w:p>
            <w:pPr>
              <w:pStyle w:val="40"/>
              <w:spacing w:line="240" w:lineRule="auto"/>
              <w:rPr>
                <w:rFonts w:ascii="宋体" w:hAnsi="宋体" w:eastAsia="宋体" w:cs="微软雅黑"/>
                <w:szCs w:val="24"/>
              </w:rPr>
            </w:pPr>
            <w:r>
              <w:rPr>
                <w:rFonts w:hint="eastAsia" w:ascii="宋体" w:hAnsi="宋体" w:eastAsia="宋体" w:cs="微软雅黑"/>
                <w:szCs w:val="24"/>
              </w:rPr>
              <w:t>——</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12000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6.7万元/平/年</w:t>
            </w:r>
          </w:p>
        </w:tc>
        <w:tc>
          <w:tcPr>
            <w:tcW w:w="851" w:type="dxa"/>
            <w:vAlign w:val="center"/>
          </w:tcPr>
          <w:p>
            <w:pPr>
              <w:pStyle w:val="40"/>
              <w:spacing w:line="240" w:lineRule="auto"/>
              <w:rPr>
                <w:rFonts w:ascii="宋体" w:hAnsi="宋体" w:eastAsia="宋体" w:cs="微软雅黑"/>
                <w:szCs w:val="24"/>
              </w:rPr>
            </w:pPr>
            <w:r>
              <w:rPr>
                <w:rFonts w:hint="eastAsia" w:ascii="宋体" w:hAnsi="宋体" w:eastAsia="宋体" w:cs="微软雅黑"/>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0.10</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0.23</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0.43</w:t>
            </w:r>
          </w:p>
        </w:tc>
        <w:tc>
          <w:tcPr>
            <w:tcW w:w="729" w:type="dxa"/>
            <w:vMerge w:val="continue"/>
            <w:vAlign w:val="center"/>
          </w:tcPr>
          <w:p>
            <w:pPr>
              <w:pStyle w:val="40"/>
              <w:spacing w:line="240" w:lineRule="auto"/>
              <w:rPr>
                <w:rFonts w:ascii="宋体" w:hAnsi="宋体" w:eastAsia="宋体" w:cs="微软雅黑"/>
                <w:szCs w:val="24"/>
              </w:rPr>
            </w:pPr>
          </w:p>
        </w:tc>
        <w:tc>
          <w:tcPr>
            <w:tcW w:w="869" w:type="dxa"/>
            <w:vMerge w:val="continue"/>
            <w:vAlign w:val="center"/>
          </w:tcPr>
          <w:p>
            <w:pPr>
              <w:pStyle w:val="40"/>
              <w:spacing w:line="240" w:lineRule="auto"/>
              <w:rPr>
                <w:rFonts w:ascii="宋体" w:hAnsi="宋体" w:eastAsia="宋体" w:cs="微软雅黑"/>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4</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医疗服务</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10000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10000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600</w:t>
            </w:r>
            <w:r>
              <w:rPr>
                <w:rFonts w:hint="eastAsia" w:ascii="宋体" w:hAnsi="宋体" w:eastAsia="宋体" w:cs="微软雅黑"/>
                <w:szCs w:val="24"/>
              </w:rPr>
              <w:t>万元</w:t>
            </w:r>
            <w:r>
              <w:rPr>
                <w:rFonts w:ascii="宋体" w:hAnsi="宋体" w:eastAsia="宋体" w:cs="微软雅黑"/>
                <w:szCs w:val="24"/>
              </w:rPr>
              <w:t>/公顷</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4</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0.05</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0.23</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0.20</w:t>
            </w:r>
          </w:p>
        </w:tc>
        <w:tc>
          <w:tcPr>
            <w:tcW w:w="729" w:type="dxa"/>
            <w:vMerge w:val="continue"/>
            <w:vAlign w:val="center"/>
          </w:tcPr>
          <w:p>
            <w:pPr>
              <w:pStyle w:val="40"/>
              <w:spacing w:line="240" w:lineRule="auto"/>
              <w:rPr>
                <w:rFonts w:ascii="宋体" w:hAnsi="宋体" w:eastAsia="宋体" w:cs="微软雅黑"/>
                <w:szCs w:val="24"/>
              </w:rPr>
            </w:pPr>
          </w:p>
        </w:tc>
        <w:tc>
          <w:tcPr>
            <w:tcW w:w="869" w:type="dxa"/>
            <w:vMerge w:val="continue"/>
            <w:vAlign w:val="center"/>
          </w:tcPr>
          <w:p>
            <w:pPr>
              <w:pStyle w:val="40"/>
              <w:spacing w:line="240" w:lineRule="auto"/>
              <w:rPr>
                <w:rFonts w:ascii="宋体" w:hAnsi="宋体" w:eastAsia="宋体" w:cs="微软雅黑"/>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1440" w:type="dxa"/>
            <w:gridSpan w:val="2"/>
            <w:vMerge w:val="restart"/>
            <w:vAlign w:val="center"/>
          </w:tcPr>
          <w:p>
            <w:pPr>
              <w:pStyle w:val="40"/>
              <w:spacing w:line="240" w:lineRule="auto"/>
              <w:rPr>
                <w:rFonts w:ascii="宋体" w:hAnsi="宋体" w:eastAsia="宋体"/>
                <w:szCs w:val="24"/>
              </w:rPr>
            </w:pPr>
            <w:r>
              <w:rPr>
                <w:rFonts w:ascii="宋体" w:hAnsi="宋体" w:eastAsia="宋体"/>
                <w:szCs w:val="24"/>
              </w:rPr>
              <w:t>新一代</w:t>
            </w:r>
          </w:p>
          <w:p>
            <w:pPr>
              <w:pStyle w:val="40"/>
              <w:spacing w:line="240" w:lineRule="auto"/>
              <w:rPr>
                <w:rFonts w:ascii="宋体" w:hAnsi="宋体" w:eastAsia="宋体"/>
                <w:szCs w:val="24"/>
              </w:rPr>
            </w:pPr>
            <w:r>
              <w:rPr>
                <w:rFonts w:ascii="宋体" w:hAnsi="宋体" w:eastAsia="宋体"/>
                <w:szCs w:val="24"/>
              </w:rPr>
              <w:t>信息技术</w:t>
            </w: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5</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互联网</w:t>
            </w:r>
          </w:p>
          <w:p>
            <w:pPr>
              <w:pStyle w:val="40"/>
              <w:spacing w:line="360" w:lineRule="exact"/>
              <w:rPr>
                <w:rFonts w:ascii="宋体" w:hAnsi="宋体" w:eastAsia="宋体" w:cs="微软雅黑"/>
                <w:szCs w:val="24"/>
              </w:rPr>
            </w:pPr>
            <w:r>
              <w:rPr>
                <w:rFonts w:hint="eastAsia" w:ascii="宋体" w:hAnsi="宋体" w:eastAsia="宋体" w:cs="微软雅黑"/>
                <w:szCs w:val="24"/>
              </w:rPr>
              <w:t>相关服务</w:t>
            </w:r>
          </w:p>
        </w:tc>
        <w:tc>
          <w:tcPr>
            <w:tcW w:w="1134"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10000</w:t>
            </w:r>
          </w:p>
        </w:tc>
        <w:tc>
          <w:tcPr>
            <w:tcW w:w="2046"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6</w:t>
            </w:r>
            <w:r>
              <w:rPr>
                <w:rFonts w:hint="eastAsia" w:ascii="宋体" w:hAnsi="宋体" w:eastAsia="宋体"/>
                <w:szCs w:val="24"/>
              </w:rPr>
              <w:t>万元</w:t>
            </w:r>
            <w:r>
              <w:rPr>
                <w:rFonts w:ascii="宋体" w:hAnsi="宋体" w:eastAsia="宋体"/>
                <w:szCs w:val="24"/>
              </w:rPr>
              <w:t>/人</w:t>
            </w:r>
          </w:p>
        </w:tc>
        <w:tc>
          <w:tcPr>
            <w:tcW w:w="851"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10</w:t>
            </w:r>
          </w:p>
        </w:tc>
        <w:tc>
          <w:tcPr>
            <w:tcW w:w="762" w:type="dxa"/>
            <w:vMerge w:val="continue"/>
            <w:vAlign w:val="center"/>
          </w:tcPr>
          <w:p>
            <w:pPr>
              <w:pStyle w:val="40"/>
              <w:spacing w:line="240" w:lineRule="auto"/>
              <w:rPr>
                <w:rFonts w:ascii="宋体" w:hAnsi="宋体" w:eastAsia="宋体"/>
                <w:szCs w:val="24"/>
              </w:rPr>
            </w:pPr>
          </w:p>
        </w:tc>
        <w:tc>
          <w:tcPr>
            <w:tcW w:w="1012"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cs="微软雅黑"/>
                <w:szCs w:val="24"/>
              </w:rPr>
              <w:t>0.01</w:t>
            </w:r>
          </w:p>
        </w:tc>
        <w:tc>
          <w:tcPr>
            <w:tcW w:w="869" w:type="dxa"/>
            <w:vMerge w:val="restart"/>
            <w:vAlign w:val="center"/>
          </w:tcPr>
          <w:p>
            <w:pPr>
              <w:pStyle w:val="40"/>
              <w:spacing w:line="240" w:lineRule="auto"/>
              <w:jc w:val="both"/>
              <w:rPr>
                <w:rFonts w:ascii="宋体" w:hAnsi="宋体" w:eastAsia="宋体"/>
                <w:szCs w:val="24"/>
              </w:rPr>
            </w:pPr>
            <w:r>
              <w:rPr>
                <w:rFonts w:ascii="Arial" w:hAnsi="Arial" w:cs="Arial"/>
                <w:color w:val="333333"/>
                <w:szCs w:val="24"/>
                <w:shd w:val="clear" w:color="auto" w:fill="FFFFFF"/>
              </w:rPr>
              <w:t>≤</w:t>
            </w:r>
            <w:r>
              <w:rPr>
                <w:rFonts w:ascii="宋体" w:hAnsi="宋体" w:eastAsia="宋体" w:cs="微软雅黑"/>
                <w:szCs w:val="24"/>
              </w:rPr>
              <w:t>0.20</w:t>
            </w:r>
          </w:p>
        </w:tc>
        <w:tc>
          <w:tcPr>
            <w:tcW w:w="1017" w:type="dxa"/>
            <w:vMerge w:val="restart"/>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0.0</w:t>
            </w:r>
            <w:r>
              <w:rPr>
                <w:rFonts w:hint="eastAsia" w:ascii="宋体" w:hAnsi="宋体" w:eastAsia="宋体"/>
                <w:szCs w:val="24"/>
              </w:rPr>
              <w:t>5</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6</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软件和</w:t>
            </w:r>
          </w:p>
          <w:p>
            <w:pPr>
              <w:pStyle w:val="40"/>
              <w:spacing w:line="360" w:lineRule="exact"/>
              <w:rPr>
                <w:rFonts w:ascii="宋体" w:hAnsi="宋体" w:eastAsia="宋体" w:cs="微软雅黑"/>
                <w:szCs w:val="24"/>
              </w:rPr>
            </w:pPr>
            <w:r>
              <w:rPr>
                <w:rFonts w:hint="eastAsia" w:ascii="宋体" w:hAnsi="宋体" w:eastAsia="宋体" w:cs="微软雅黑"/>
                <w:szCs w:val="24"/>
              </w:rPr>
              <w:t>信息技术服务</w:t>
            </w:r>
          </w:p>
        </w:tc>
        <w:tc>
          <w:tcPr>
            <w:tcW w:w="1134" w:type="dxa"/>
            <w:vMerge w:val="continue"/>
            <w:vAlign w:val="center"/>
          </w:tcPr>
          <w:p>
            <w:pPr>
              <w:pStyle w:val="40"/>
              <w:spacing w:line="240" w:lineRule="auto"/>
              <w:rPr>
                <w:rFonts w:ascii="宋体" w:hAnsi="宋体" w:eastAsia="宋体" w:cs="微软雅黑"/>
                <w:szCs w:val="24"/>
              </w:rPr>
            </w:pPr>
          </w:p>
        </w:tc>
        <w:tc>
          <w:tcPr>
            <w:tcW w:w="992" w:type="dxa"/>
            <w:vMerge w:val="continue"/>
            <w:vAlign w:val="center"/>
          </w:tcPr>
          <w:p>
            <w:pPr>
              <w:pStyle w:val="40"/>
              <w:spacing w:line="240" w:lineRule="auto"/>
              <w:rPr>
                <w:rFonts w:ascii="宋体" w:hAnsi="宋体" w:eastAsia="宋体" w:cs="微软雅黑"/>
                <w:szCs w:val="24"/>
              </w:rPr>
            </w:pPr>
          </w:p>
        </w:tc>
        <w:tc>
          <w:tcPr>
            <w:tcW w:w="2046" w:type="dxa"/>
            <w:vMerge w:val="continue"/>
            <w:vAlign w:val="center"/>
          </w:tcPr>
          <w:p>
            <w:pPr>
              <w:pStyle w:val="40"/>
              <w:spacing w:line="240" w:lineRule="auto"/>
              <w:rPr>
                <w:rFonts w:ascii="宋体" w:hAnsi="宋体" w:eastAsia="宋体" w:cs="微软雅黑"/>
                <w:szCs w:val="24"/>
              </w:rPr>
            </w:pP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8.7</w:t>
            </w:r>
          </w:p>
        </w:tc>
        <w:tc>
          <w:tcPr>
            <w:tcW w:w="762" w:type="dxa"/>
            <w:vMerge w:val="continue"/>
            <w:vAlign w:val="center"/>
          </w:tcPr>
          <w:p>
            <w:pPr>
              <w:pStyle w:val="40"/>
              <w:spacing w:line="240" w:lineRule="auto"/>
              <w:rPr>
                <w:rFonts w:ascii="宋体" w:hAnsi="宋体" w:eastAsia="宋体"/>
                <w:szCs w:val="24"/>
              </w:rPr>
            </w:pPr>
          </w:p>
        </w:tc>
        <w:tc>
          <w:tcPr>
            <w:tcW w:w="1012" w:type="dxa"/>
            <w:vMerge w:val="continue"/>
            <w:vAlign w:val="center"/>
          </w:tcPr>
          <w:p>
            <w:pPr>
              <w:pStyle w:val="40"/>
              <w:spacing w:line="240" w:lineRule="auto"/>
              <w:rPr>
                <w:rFonts w:ascii="宋体" w:hAnsi="宋体" w:eastAsia="宋体" w:cs="微软雅黑"/>
                <w:szCs w:val="24"/>
              </w:rPr>
            </w:pPr>
          </w:p>
        </w:tc>
        <w:tc>
          <w:tcPr>
            <w:tcW w:w="869" w:type="dxa"/>
            <w:vMerge w:val="continue"/>
            <w:vAlign w:val="center"/>
          </w:tcPr>
          <w:p>
            <w:pPr>
              <w:pStyle w:val="40"/>
              <w:spacing w:line="240" w:lineRule="auto"/>
              <w:rPr>
                <w:rFonts w:ascii="宋体" w:hAnsi="宋体" w:eastAsia="宋体" w:cs="微软雅黑"/>
                <w:szCs w:val="24"/>
              </w:rPr>
            </w:pPr>
          </w:p>
        </w:tc>
        <w:tc>
          <w:tcPr>
            <w:tcW w:w="1017" w:type="dxa"/>
            <w:vMerge w:val="continue"/>
            <w:vAlign w:val="center"/>
          </w:tcPr>
          <w:p>
            <w:pPr>
              <w:pStyle w:val="40"/>
              <w:spacing w:line="240" w:lineRule="auto"/>
              <w:rPr>
                <w:rFonts w:ascii="宋体" w:hAnsi="宋体" w:eastAsia="宋体"/>
                <w:szCs w:val="24"/>
              </w:rPr>
            </w:pP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7</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设备制造</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27000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20</w:t>
            </w:r>
            <w:r>
              <w:rPr>
                <w:rFonts w:hint="eastAsia" w:ascii="宋体" w:hAnsi="宋体" w:eastAsia="宋体" w:cs="微软雅黑"/>
                <w:szCs w:val="24"/>
              </w:rPr>
              <w:t>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5</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0.06</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0.27</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1440" w:type="dxa"/>
            <w:gridSpan w:val="2"/>
            <w:vMerge w:val="restart"/>
            <w:vAlign w:val="center"/>
          </w:tcPr>
          <w:p>
            <w:pPr>
              <w:pStyle w:val="40"/>
              <w:spacing w:line="240" w:lineRule="auto"/>
              <w:rPr>
                <w:rFonts w:ascii="宋体" w:hAnsi="宋体" w:eastAsia="宋体"/>
                <w:szCs w:val="24"/>
              </w:rPr>
            </w:pPr>
            <w:r>
              <w:rPr>
                <w:rFonts w:hint="eastAsia" w:ascii="宋体" w:hAnsi="宋体" w:eastAsia="宋体"/>
                <w:szCs w:val="24"/>
              </w:rPr>
              <w:t>智能装备</w:t>
            </w: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8</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智能装备研发</w:t>
            </w:r>
          </w:p>
        </w:tc>
        <w:tc>
          <w:tcPr>
            <w:tcW w:w="1134"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2046"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12万元/人</w:t>
            </w:r>
          </w:p>
        </w:tc>
        <w:tc>
          <w:tcPr>
            <w:tcW w:w="851"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cs="微软雅黑"/>
                <w:szCs w:val="24"/>
              </w:rPr>
              <w:t>0.08</w:t>
            </w:r>
          </w:p>
        </w:tc>
        <w:tc>
          <w:tcPr>
            <w:tcW w:w="869"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0.36</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9</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装备制造</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27000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20</w:t>
            </w:r>
            <w:r>
              <w:rPr>
                <w:rFonts w:hint="eastAsia" w:ascii="宋体" w:hAnsi="宋体" w:eastAsia="宋体" w:cs="微软雅黑"/>
                <w:szCs w:val="24"/>
              </w:rPr>
              <w:t>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5</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0.06</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0.80</w:t>
            </w:r>
          </w:p>
        </w:tc>
        <w:tc>
          <w:tcPr>
            <w:tcW w:w="1017"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0.27</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5" w:hRule="atLeast"/>
          <w:jc w:val="center"/>
        </w:trPr>
        <w:tc>
          <w:tcPr>
            <w:tcW w:w="1440" w:type="dxa"/>
            <w:gridSpan w:val="2"/>
            <w:vMerge w:val="restart"/>
            <w:vAlign w:val="center"/>
          </w:tcPr>
          <w:p>
            <w:pPr>
              <w:pStyle w:val="40"/>
              <w:spacing w:line="240" w:lineRule="auto"/>
              <w:rPr>
                <w:rFonts w:ascii="宋体" w:hAnsi="宋体" w:eastAsia="宋体"/>
                <w:szCs w:val="24"/>
              </w:rPr>
            </w:pPr>
            <w:r>
              <w:rPr>
                <w:rFonts w:hint="eastAsia" w:ascii="宋体" w:hAnsi="宋体" w:eastAsia="宋体"/>
                <w:szCs w:val="24"/>
              </w:rPr>
              <w:t>枢纽高端服务</w:t>
            </w: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1</w:t>
            </w:r>
            <w:r>
              <w:rPr>
                <w:rFonts w:ascii="宋体" w:hAnsi="宋体" w:eastAsia="宋体" w:cs="微软雅黑"/>
                <w:szCs w:val="24"/>
              </w:rPr>
              <w:t>0</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金融业</w:t>
            </w:r>
          </w:p>
        </w:tc>
        <w:tc>
          <w:tcPr>
            <w:tcW w:w="1134" w:type="dxa"/>
            <w:vAlign w:val="center"/>
          </w:tcPr>
          <w:p>
            <w:pPr>
              <w:pStyle w:val="40"/>
              <w:spacing w:line="240" w:lineRule="auto"/>
              <w:rPr>
                <w:rFonts w:ascii="宋体" w:hAnsi="宋体" w:eastAsia="宋体"/>
                <w:szCs w:val="24"/>
              </w:rPr>
            </w:pPr>
            <w:r>
              <w:rPr>
                <w:rFonts w:hint="eastAsia" w:ascii="宋体" w:hAnsi="宋体" w:eastAsia="宋体" w:cs="微软雅黑"/>
                <w:szCs w:val="24"/>
              </w:rPr>
              <w:t>——</w:t>
            </w:r>
          </w:p>
        </w:tc>
        <w:tc>
          <w:tcPr>
            <w:tcW w:w="99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30000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w:t>
            </w:r>
            <w:r>
              <w:rPr>
                <w:rFonts w:ascii="宋体" w:hAnsi="宋体" w:eastAsia="宋体" w:cs="微软雅黑"/>
                <w:szCs w:val="24"/>
              </w:rPr>
              <w:t>8</w:t>
            </w:r>
            <w:r>
              <w:rPr>
                <w:rFonts w:hint="eastAsia" w:ascii="宋体" w:hAnsi="宋体" w:eastAsia="宋体" w:cs="微软雅黑"/>
                <w:szCs w:val="24"/>
              </w:rPr>
              <w:t>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szCs w:val="24"/>
              </w:rPr>
            </w:pPr>
            <w:r>
              <w:rPr>
                <w:rFonts w:hint="eastAsia" w:ascii="宋体" w:hAnsi="宋体" w:eastAsia="宋体" w:cs="微软雅黑"/>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0.06</w:t>
            </w:r>
          </w:p>
        </w:tc>
        <w:tc>
          <w:tcPr>
            <w:tcW w:w="869"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0.03</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0.27</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1</w:t>
            </w:r>
            <w:r>
              <w:rPr>
                <w:rFonts w:ascii="宋体" w:hAnsi="宋体" w:eastAsia="宋体" w:cs="微软雅黑"/>
                <w:szCs w:val="24"/>
              </w:rPr>
              <w:t>1</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科技研发</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12万元/人</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0.08</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0.36</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7"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1</w:t>
            </w:r>
            <w:r>
              <w:rPr>
                <w:rFonts w:ascii="宋体" w:hAnsi="宋体" w:eastAsia="宋体" w:cs="微软雅黑"/>
                <w:szCs w:val="24"/>
              </w:rPr>
              <w:t>2</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仓储物流</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8000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24</w:t>
            </w:r>
            <w:r>
              <w:rPr>
                <w:rFonts w:ascii="宋体" w:hAnsi="宋体" w:eastAsia="宋体" w:cs="微软雅黑"/>
                <w:szCs w:val="24"/>
              </w:rPr>
              <w:t>000</w:t>
            </w:r>
          </w:p>
        </w:tc>
        <w:tc>
          <w:tcPr>
            <w:tcW w:w="2046" w:type="dxa"/>
            <w:vAlign w:val="center"/>
          </w:tcPr>
          <w:p>
            <w:pPr>
              <w:pStyle w:val="40"/>
              <w:spacing w:line="360" w:lineRule="exact"/>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w:t>
            </w:r>
            <w:r>
              <w:rPr>
                <w:rFonts w:ascii="宋体" w:hAnsi="宋体" w:eastAsia="宋体" w:cs="微软雅黑"/>
                <w:szCs w:val="24"/>
              </w:rPr>
              <w:t>50</w:t>
            </w:r>
            <w:r>
              <w:rPr>
                <w:rFonts w:hint="eastAsia" w:ascii="宋体" w:hAnsi="宋体" w:eastAsia="宋体" w:cs="微软雅黑"/>
                <w:szCs w:val="24"/>
              </w:rPr>
              <w:t>0</w:t>
            </w:r>
            <w:r>
              <w:rPr>
                <w:rFonts w:hint="eastAsia" w:ascii="宋体" w:hAnsi="宋体" w:eastAsia="宋体"/>
                <w:szCs w:val="24"/>
              </w:rPr>
              <w:t>万元/公顷</w:t>
            </w:r>
            <w:r>
              <w:rPr>
                <w:rFonts w:hint="eastAsia" w:ascii="宋体" w:hAnsi="宋体" w:eastAsia="宋体" w:cs="微软雅黑"/>
                <w:szCs w:val="24"/>
              </w:rPr>
              <w:t>（综保区内≧7</w:t>
            </w:r>
            <w:r>
              <w:rPr>
                <w:rFonts w:ascii="宋体" w:hAnsi="宋体" w:eastAsia="宋体" w:cs="微软雅黑"/>
                <w:szCs w:val="24"/>
              </w:rPr>
              <w:t>50</w:t>
            </w:r>
            <w:r>
              <w:rPr>
                <w:rFonts w:hint="eastAsia" w:ascii="宋体" w:hAnsi="宋体" w:eastAsia="宋体"/>
                <w:szCs w:val="24"/>
              </w:rPr>
              <w:t>万元/公顷</w:t>
            </w:r>
            <w:r>
              <w:rPr>
                <w:rFonts w:ascii="宋体" w:hAnsi="宋体" w:eastAsia="宋体" w:cs="微软雅黑"/>
                <w:szCs w:val="24"/>
              </w:rPr>
              <w:t>）</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0.01</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0.45</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0.0</w:t>
            </w:r>
            <w:r>
              <w:rPr>
                <w:rFonts w:hint="eastAsia" w:ascii="宋体" w:hAnsi="宋体" w:eastAsia="宋体"/>
                <w:szCs w:val="24"/>
              </w:rPr>
              <w:t>6</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szCs w:val="24"/>
              </w:rPr>
            </w:pPr>
            <w:r>
              <w:rPr>
                <w:rFonts w:hint="eastAsia" w:ascii="宋体" w:hAnsi="宋体" w:eastAsia="宋体"/>
                <w:szCs w:val="24"/>
              </w:rPr>
              <w:t>1</w:t>
            </w:r>
            <w:r>
              <w:rPr>
                <w:rFonts w:ascii="宋体" w:hAnsi="宋体" w:eastAsia="宋体"/>
                <w:szCs w:val="24"/>
              </w:rPr>
              <w:t>3</w:t>
            </w:r>
          </w:p>
        </w:tc>
        <w:tc>
          <w:tcPr>
            <w:tcW w:w="1559" w:type="dxa"/>
            <w:vAlign w:val="center"/>
          </w:tcPr>
          <w:p>
            <w:pPr>
              <w:pStyle w:val="40"/>
              <w:spacing w:line="360" w:lineRule="exact"/>
              <w:rPr>
                <w:rFonts w:ascii="宋体" w:hAnsi="宋体" w:eastAsia="宋体"/>
                <w:szCs w:val="24"/>
              </w:rPr>
            </w:pPr>
            <w:r>
              <w:rPr>
                <w:rFonts w:hint="eastAsia" w:ascii="宋体" w:hAnsi="宋体" w:eastAsia="宋体"/>
                <w:szCs w:val="24"/>
              </w:rPr>
              <w:t>商务服务业</w:t>
            </w:r>
          </w:p>
        </w:tc>
        <w:tc>
          <w:tcPr>
            <w:tcW w:w="1134" w:type="dxa"/>
            <w:vAlign w:val="center"/>
          </w:tcPr>
          <w:p>
            <w:pPr>
              <w:pStyle w:val="40"/>
              <w:spacing w:line="240" w:lineRule="auto"/>
              <w:rPr>
                <w:rFonts w:ascii="宋体" w:hAnsi="宋体" w:eastAsia="宋体"/>
                <w:szCs w:val="24"/>
              </w:rPr>
            </w:pPr>
            <w:r>
              <w:rPr>
                <w:rFonts w:hint="eastAsia" w:ascii="宋体" w:hAnsi="宋体" w:eastAsia="宋体"/>
                <w:szCs w:val="24"/>
              </w:rPr>
              <w:t>——</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1</w:t>
            </w:r>
            <w:r>
              <w:rPr>
                <w:rFonts w:ascii="宋体" w:hAnsi="宋体" w:eastAsia="宋体"/>
                <w:szCs w:val="24"/>
              </w:rPr>
              <w:t>0</w:t>
            </w:r>
            <w:r>
              <w:rPr>
                <w:rFonts w:hint="eastAsia" w:ascii="宋体" w:hAnsi="宋体" w:eastAsia="宋体"/>
                <w:szCs w:val="24"/>
              </w:rPr>
              <w:t>000</w:t>
            </w:r>
          </w:p>
        </w:tc>
        <w:tc>
          <w:tcPr>
            <w:tcW w:w="2046" w:type="dxa"/>
            <w:vAlign w:val="center"/>
          </w:tcPr>
          <w:p>
            <w:pPr>
              <w:pStyle w:val="40"/>
              <w:spacing w:line="240" w:lineRule="auto"/>
              <w:rPr>
                <w:rFonts w:ascii="宋体" w:hAnsi="宋体" w:eastAsia="宋体" w:cs="宋体"/>
                <w:szCs w:val="24"/>
              </w:rPr>
            </w:pPr>
            <w:r>
              <w:rPr>
                <w:rFonts w:ascii="Arial" w:hAnsi="Arial" w:cs="Arial"/>
                <w:color w:val="333333"/>
                <w:szCs w:val="24"/>
                <w:shd w:val="clear" w:color="auto" w:fill="FFFFFF"/>
              </w:rPr>
              <w:t>≥</w:t>
            </w:r>
            <w:r>
              <w:rPr>
                <w:rFonts w:hint="eastAsia" w:ascii="宋体" w:hAnsi="宋体" w:eastAsia="宋体"/>
                <w:color w:val="000000"/>
                <w:szCs w:val="24"/>
              </w:rPr>
              <w:t>1000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szCs w:val="24"/>
              </w:rPr>
            </w:pPr>
            <w:r>
              <w:rPr>
                <w:rFonts w:hint="eastAsia" w:ascii="宋体" w:hAnsi="宋体" w:eastAsia="宋体"/>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0.10</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0.23</w:t>
            </w:r>
          </w:p>
        </w:tc>
        <w:tc>
          <w:tcPr>
            <w:tcW w:w="1017"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0.43</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szCs w:val="24"/>
              </w:rPr>
            </w:pPr>
            <w:r>
              <w:rPr>
                <w:rFonts w:hint="eastAsia" w:ascii="宋体" w:hAnsi="宋体" w:eastAsia="宋体"/>
                <w:szCs w:val="24"/>
              </w:rPr>
              <w:t>1</w:t>
            </w:r>
            <w:r>
              <w:rPr>
                <w:rFonts w:ascii="宋体" w:hAnsi="宋体" w:eastAsia="宋体"/>
                <w:szCs w:val="24"/>
              </w:rPr>
              <w:t>4</w:t>
            </w:r>
          </w:p>
        </w:tc>
        <w:tc>
          <w:tcPr>
            <w:tcW w:w="1559" w:type="dxa"/>
            <w:vAlign w:val="center"/>
          </w:tcPr>
          <w:p>
            <w:pPr>
              <w:pStyle w:val="40"/>
              <w:spacing w:line="360" w:lineRule="exact"/>
              <w:rPr>
                <w:rFonts w:ascii="宋体" w:hAnsi="宋体" w:eastAsia="宋体"/>
                <w:szCs w:val="24"/>
              </w:rPr>
            </w:pPr>
            <w:r>
              <w:rPr>
                <w:rFonts w:hint="eastAsia" w:ascii="宋体" w:hAnsi="宋体" w:eastAsia="宋体"/>
                <w:szCs w:val="24"/>
              </w:rPr>
              <w:t>批发和零售业</w:t>
            </w:r>
          </w:p>
        </w:tc>
        <w:tc>
          <w:tcPr>
            <w:tcW w:w="1134" w:type="dxa"/>
            <w:vAlign w:val="center"/>
          </w:tcPr>
          <w:p>
            <w:pPr>
              <w:pStyle w:val="40"/>
              <w:spacing w:line="240" w:lineRule="auto"/>
              <w:rPr>
                <w:rFonts w:ascii="宋体" w:hAnsi="宋体" w:eastAsia="宋体" w:cs="微软雅黑"/>
                <w:szCs w:val="24"/>
              </w:rPr>
            </w:pPr>
            <w:r>
              <w:rPr>
                <w:rFonts w:hint="eastAsia" w:ascii="宋体" w:hAnsi="宋体" w:eastAsia="宋体"/>
                <w:szCs w:val="24"/>
              </w:rPr>
              <w:t>——</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12000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szCs w:val="24"/>
              </w:rPr>
              <w:t>6.7万元/平/年</w:t>
            </w:r>
          </w:p>
        </w:tc>
        <w:tc>
          <w:tcPr>
            <w:tcW w:w="851" w:type="dxa"/>
            <w:vAlign w:val="center"/>
          </w:tcPr>
          <w:p>
            <w:pPr>
              <w:pStyle w:val="40"/>
              <w:spacing w:line="240" w:lineRule="auto"/>
              <w:rPr>
                <w:rFonts w:ascii="宋体" w:hAnsi="宋体" w:eastAsia="宋体" w:cs="微软雅黑"/>
                <w:szCs w:val="24"/>
              </w:rPr>
            </w:pPr>
            <w:r>
              <w:rPr>
                <w:rFonts w:hint="eastAsia" w:ascii="宋体" w:hAnsi="宋体" w:eastAsia="宋体"/>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0.10</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0.23</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0.43</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1</w:t>
            </w:r>
            <w:r>
              <w:rPr>
                <w:rFonts w:ascii="宋体" w:hAnsi="宋体" w:eastAsia="宋体"/>
                <w:color w:val="000000"/>
                <w:szCs w:val="24"/>
              </w:rPr>
              <w:t>5</w:t>
            </w:r>
          </w:p>
        </w:tc>
        <w:tc>
          <w:tcPr>
            <w:tcW w:w="1559"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住宿和餐饮业</w:t>
            </w:r>
          </w:p>
        </w:tc>
        <w:tc>
          <w:tcPr>
            <w:tcW w:w="1134" w:type="dxa"/>
            <w:vAlign w:val="center"/>
          </w:tcPr>
          <w:p>
            <w:pPr>
              <w:pStyle w:val="40"/>
              <w:spacing w:line="240" w:lineRule="auto"/>
              <w:rPr>
                <w:rFonts w:ascii="宋体" w:hAnsi="宋体" w:eastAsia="宋体" w:cs="微软雅黑"/>
                <w:szCs w:val="24"/>
              </w:rPr>
            </w:pPr>
            <w:r>
              <w:rPr>
                <w:rFonts w:hint="eastAsia" w:ascii="宋体" w:hAnsi="宋体" w:eastAsia="宋体"/>
                <w:color w:val="000000"/>
                <w:szCs w:val="24"/>
              </w:rPr>
              <w:t>——</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olor w:val="000000"/>
                <w:szCs w:val="24"/>
              </w:rPr>
              <w:t>12000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olor w:val="000000"/>
                <w:szCs w:val="24"/>
              </w:rPr>
              <w:t>1000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cs="微软雅黑"/>
                <w:szCs w:val="24"/>
              </w:rPr>
            </w:pPr>
            <w:r>
              <w:rPr>
                <w:rFonts w:hint="eastAsia" w:ascii="宋体" w:hAnsi="宋体" w:eastAsia="宋体"/>
                <w:color w:val="000000"/>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color w:val="000000"/>
                <w:szCs w:val="24"/>
                <w:vertAlign w:val="superscript"/>
              </w:rPr>
            </w:pPr>
            <w:r>
              <w:rPr>
                <w:rFonts w:hint="eastAsia" w:ascii="宋体" w:hAnsi="宋体" w:eastAsia="宋体"/>
                <w:color w:val="000000"/>
                <w:szCs w:val="24"/>
              </w:rPr>
              <w:t>见备注</w:t>
            </w:r>
            <w:r>
              <w:rPr>
                <w:rFonts w:ascii="宋体" w:hAnsi="宋体" w:eastAsia="宋体"/>
                <w:color w:val="000000"/>
                <w:szCs w:val="24"/>
                <w:vertAlign w:val="superscript"/>
              </w:rPr>
              <w:t>2</w:t>
            </w:r>
          </w:p>
        </w:tc>
        <w:tc>
          <w:tcPr>
            <w:tcW w:w="869" w:type="dxa"/>
            <w:vAlign w:val="center"/>
          </w:tcPr>
          <w:p>
            <w:pPr>
              <w:pStyle w:val="40"/>
              <w:spacing w:line="240" w:lineRule="auto"/>
              <w:rPr>
                <w:rFonts w:ascii="宋体" w:hAnsi="宋体" w:eastAsia="宋体" w:cs="微软雅黑"/>
                <w:color w:val="000000"/>
                <w:szCs w:val="24"/>
              </w:rPr>
            </w:pPr>
            <w:r>
              <w:rPr>
                <w:rFonts w:ascii="Arial" w:hAnsi="Arial" w:cs="Arial"/>
                <w:color w:val="333333"/>
                <w:szCs w:val="24"/>
                <w:shd w:val="clear" w:color="auto" w:fill="FFFFFF"/>
              </w:rPr>
              <w:t>≤</w:t>
            </w:r>
            <w:r>
              <w:rPr>
                <w:rFonts w:hint="eastAsia" w:ascii="宋体" w:hAnsi="宋体" w:eastAsia="宋体"/>
                <w:color w:val="000000"/>
                <w:szCs w:val="24"/>
              </w:rPr>
              <w:t>0.23</w:t>
            </w:r>
          </w:p>
        </w:tc>
        <w:tc>
          <w:tcPr>
            <w:tcW w:w="1017" w:type="dxa"/>
            <w:vAlign w:val="center"/>
          </w:tcPr>
          <w:p>
            <w:pPr>
              <w:pStyle w:val="40"/>
              <w:spacing w:line="240" w:lineRule="auto"/>
              <w:rPr>
                <w:rFonts w:ascii="宋体" w:hAnsi="宋体" w:eastAsia="宋体"/>
                <w:color w:val="000000"/>
                <w:szCs w:val="24"/>
              </w:rPr>
            </w:pPr>
            <w:r>
              <w:rPr>
                <w:rFonts w:hint="eastAsia" w:ascii="宋体" w:hAnsi="宋体" w:eastAsia="宋体"/>
                <w:color w:val="000000"/>
                <w:szCs w:val="24"/>
              </w:rPr>
              <w:t>见备注</w:t>
            </w:r>
            <w:r>
              <w:rPr>
                <w:rFonts w:ascii="宋体" w:hAnsi="宋体" w:eastAsia="宋体"/>
                <w:color w:val="000000"/>
                <w:szCs w:val="24"/>
                <w:vertAlign w:val="superscript"/>
              </w:rPr>
              <w:t>2</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440" w:type="dxa"/>
            <w:gridSpan w:val="2"/>
            <w:vMerge w:val="restart"/>
            <w:vAlign w:val="center"/>
          </w:tcPr>
          <w:p>
            <w:pPr>
              <w:pStyle w:val="40"/>
              <w:spacing w:line="240" w:lineRule="auto"/>
              <w:rPr>
                <w:rFonts w:ascii="宋体" w:hAnsi="宋体" w:eastAsia="宋体"/>
                <w:szCs w:val="24"/>
              </w:rPr>
            </w:pPr>
            <w:r>
              <w:rPr>
                <w:rFonts w:hint="eastAsia" w:ascii="宋体" w:hAnsi="宋体" w:eastAsia="宋体"/>
                <w:szCs w:val="24"/>
              </w:rPr>
              <w:t>航空保障</w:t>
            </w:r>
          </w:p>
        </w:tc>
        <w:tc>
          <w:tcPr>
            <w:tcW w:w="350"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1</w:t>
            </w:r>
            <w:r>
              <w:rPr>
                <w:rFonts w:ascii="宋体" w:hAnsi="宋体" w:eastAsia="宋体"/>
                <w:color w:val="000000"/>
                <w:szCs w:val="24"/>
              </w:rPr>
              <w:t>6</w:t>
            </w:r>
          </w:p>
        </w:tc>
        <w:tc>
          <w:tcPr>
            <w:tcW w:w="1559"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航空产业研发</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12万元/人</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0.08</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0.36</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1</w:t>
            </w:r>
            <w:r>
              <w:rPr>
                <w:rFonts w:ascii="宋体" w:hAnsi="宋体" w:eastAsia="宋体"/>
                <w:color w:val="000000"/>
                <w:szCs w:val="24"/>
              </w:rPr>
              <w:t>7</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olor w:val="000000"/>
                <w:szCs w:val="24"/>
              </w:rPr>
              <w:t>航空维修</w:t>
            </w:r>
          </w:p>
        </w:tc>
        <w:tc>
          <w:tcPr>
            <w:tcW w:w="1134"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99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27000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20</w:t>
            </w:r>
            <w:r>
              <w:rPr>
                <w:rFonts w:hint="eastAsia" w:ascii="宋体" w:hAnsi="宋体" w:eastAsia="宋体" w:cs="微软雅黑"/>
                <w:szCs w:val="24"/>
              </w:rPr>
              <w:t>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ascii="宋体" w:hAnsi="宋体" w:eastAsia="宋体"/>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0.06</w:t>
            </w:r>
          </w:p>
        </w:tc>
        <w:tc>
          <w:tcPr>
            <w:tcW w:w="869"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szCs w:val="24"/>
              </w:rPr>
              <w:t>0.80</w:t>
            </w:r>
          </w:p>
        </w:tc>
        <w:tc>
          <w:tcPr>
            <w:tcW w:w="1017" w:type="dxa"/>
            <w:vAlign w:val="center"/>
          </w:tcPr>
          <w:p>
            <w:pPr>
              <w:pStyle w:val="40"/>
              <w:spacing w:line="240" w:lineRule="auto"/>
              <w:rPr>
                <w:rFonts w:ascii="宋体" w:hAnsi="宋体" w:eastAsia="宋体"/>
                <w:szCs w:val="24"/>
              </w:rPr>
            </w:pPr>
            <w:r>
              <w:rPr>
                <w:rFonts w:ascii="Arial" w:hAnsi="Arial" w:cs="Arial"/>
                <w:color w:val="333333"/>
                <w:szCs w:val="24"/>
                <w:shd w:val="clear" w:color="auto" w:fill="FFFFFF"/>
              </w:rPr>
              <w:t>≤</w:t>
            </w:r>
            <w:r>
              <w:rPr>
                <w:rFonts w:hint="eastAsia" w:ascii="宋体" w:hAnsi="宋体" w:eastAsia="宋体" w:cs="微软雅黑"/>
                <w:szCs w:val="24"/>
              </w:rPr>
              <w:t>0.27</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1</w:t>
            </w:r>
            <w:r>
              <w:rPr>
                <w:rFonts w:ascii="宋体" w:hAnsi="宋体" w:eastAsia="宋体" w:cs="微软雅黑"/>
                <w:szCs w:val="24"/>
              </w:rPr>
              <w:t>8</w:t>
            </w:r>
          </w:p>
        </w:tc>
        <w:tc>
          <w:tcPr>
            <w:tcW w:w="1559" w:type="dxa"/>
            <w:vAlign w:val="center"/>
          </w:tcPr>
          <w:p>
            <w:pPr>
              <w:pStyle w:val="40"/>
              <w:spacing w:line="360" w:lineRule="exact"/>
              <w:rPr>
                <w:rFonts w:ascii="宋体" w:hAnsi="宋体" w:eastAsia="宋体" w:cs="微软雅黑"/>
                <w:szCs w:val="24"/>
              </w:rPr>
            </w:pPr>
            <w:r>
              <w:rPr>
                <w:rFonts w:hint="eastAsia" w:ascii="宋体" w:hAnsi="宋体" w:eastAsia="宋体" w:cs="微软雅黑"/>
                <w:szCs w:val="24"/>
              </w:rPr>
              <w:t>航空技能培训</w:t>
            </w:r>
          </w:p>
        </w:tc>
        <w:tc>
          <w:tcPr>
            <w:tcW w:w="1134" w:type="dxa"/>
            <w:vAlign w:val="center"/>
          </w:tcPr>
          <w:p>
            <w:pPr>
              <w:pStyle w:val="40"/>
              <w:spacing w:line="240" w:lineRule="auto"/>
              <w:rPr>
                <w:rFonts w:ascii="宋体" w:hAnsi="宋体" w:eastAsia="宋体" w:cs="微软雅黑"/>
                <w:szCs w:val="24"/>
              </w:rPr>
            </w:pPr>
            <w:r>
              <w:rPr>
                <w:rFonts w:hint="eastAsia" w:ascii="宋体" w:hAnsi="宋体" w:eastAsia="宋体" w:cs="微软雅黑"/>
                <w:szCs w:val="24"/>
              </w:rPr>
              <w:t>——</w:t>
            </w:r>
          </w:p>
        </w:tc>
        <w:tc>
          <w:tcPr>
            <w:tcW w:w="992" w:type="dxa"/>
            <w:vAlign w:val="center"/>
          </w:tcPr>
          <w:p>
            <w:pPr>
              <w:pStyle w:val="40"/>
              <w:spacing w:line="240" w:lineRule="auto"/>
              <w:rPr>
                <w:rFonts w:ascii="宋体" w:hAnsi="宋体" w:eastAsia="宋体" w:cs="微软雅黑"/>
                <w:szCs w:val="24"/>
              </w:rPr>
            </w:pPr>
            <w:r>
              <w:rPr>
                <w:rFonts w:hint="eastAsia" w:ascii="宋体" w:hAnsi="宋体" w:eastAsia="宋体" w:cs="微软雅黑"/>
                <w:szCs w:val="24"/>
              </w:rPr>
              <w:t>——</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olor w:val="000000"/>
                <w:szCs w:val="24"/>
              </w:rPr>
              <w:t>1000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cs="微软雅黑"/>
                <w:szCs w:val="24"/>
              </w:rPr>
            </w:pPr>
            <w:r>
              <w:rPr>
                <w:rFonts w:hint="eastAsia" w:ascii="宋体" w:hAnsi="宋体" w:eastAsia="宋体" w:cs="微软雅黑"/>
                <w:szCs w:val="24"/>
              </w:rPr>
              <w:t>——</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s="微软雅黑"/>
                <w:szCs w:val="24"/>
              </w:rPr>
            </w:pPr>
            <w:r>
              <w:rPr>
                <w:rFonts w:hint="eastAsia" w:ascii="宋体" w:hAnsi="宋体" w:eastAsia="宋体"/>
                <w:color w:val="000000"/>
                <w:szCs w:val="24"/>
              </w:rPr>
              <w:t>见备注</w:t>
            </w:r>
            <w:r>
              <w:rPr>
                <w:rFonts w:ascii="宋体" w:hAnsi="宋体" w:eastAsia="宋体"/>
                <w:color w:val="000000"/>
                <w:szCs w:val="24"/>
                <w:vertAlign w:val="superscript"/>
              </w:rPr>
              <w:t>2</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0.80</w:t>
            </w:r>
          </w:p>
        </w:tc>
        <w:tc>
          <w:tcPr>
            <w:tcW w:w="1017" w:type="dxa"/>
            <w:vAlign w:val="center"/>
          </w:tcPr>
          <w:p>
            <w:pPr>
              <w:pStyle w:val="40"/>
              <w:spacing w:line="240" w:lineRule="auto"/>
              <w:rPr>
                <w:rFonts w:ascii="宋体" w:hAnsi="宋体" w:eastAsia="宋体"/>
                <w:szCs w:val="24"/>
              </w:rPr>
            </w:pPr>
            <w:r>
              <w:rPr>
                <w:rFonts w:hint="eastAsia" w:ascii="宋体" w:hAnsi="宋体" w:eastAsia="宋体"/>
                <w:color w:val="000000"/>
                <w:szCs w:val="24"/>
              </w:rPr>
              <w:t>见备注</w:t>
            </w:r>
            <w:r>
              <w:rPr>
                <w:rFonts w:ascii="宋体" w:hAnsi="宋体" w:eastAsia="宋体"/>
                <w:color w:val="000000"/>
                <w:szCs w:val="24"/>
                <w:vertAlign w:val="superscript"/>
              </w:rPr>
              <w:t>2</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1440" w:type="dxa"/>
            <w:gridSpan w:val="2"/>
            <w:vMerge w:val="restart"/>
            <w:vAlign w:val="center"/>
          </w:tcPr>
          <w:p>
            <w:pPr>
              <w:pStyle w:val="40"/>
              <w:spacing w:line="240" w:lineRule="auto"/>
              <w:rPr>
                <w:rFonts w:ascii="宋体" w:hAnsi="宋体" w:eastAsia="宋体"/>
                <w:szCs w:val="24"/>
              </w:rPr>
            </w:pPr>
            <w:r>
              <w:rPr>
                <w:rFonts w:hint="eastAsia" w:ascii="宋体" w:hAnsi="宋体" w:eastAsia="宋体"/>
                <w:szCs w:val="24"/>
              </w:rPr>
              <w:t>其他高精尖产业</w:t>
            </w:r>
          </w:p>
        </w:tc>
        <w:tc>
          <w:tcPr>
            <w:tcW w:w="350"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1</w:t>
            </w:r>
            <w:r>
              <w:rPr>
                <w:rFonts w:ascii="宋体" w:hAnsi="宋体" w:eastAsia="宋体"/>
                <w:color w:val="000000"/>
                <w:szCs w:val="24"/>
              </w:rPr>
              <w:t>9</w:t>
            </w:r>
          </w:p>
        </w:tc>
        <w:tc>
          <w:tcPr>
            <w:tcW w:w="1559"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科技研发</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8000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2046" w:type="dxa"/>
            <w:vAlign w:val="center"/>
          </w:tcPr>
          <w:p>
            <w:pPr>
              <w:pStyle w:val="40"/>
              <w:spacing w:line="240" w:lineRule="auto"/>
              <w:rPr>
                <w:rFonts w:ascii="宋体" w:hAnsi="宋体" w:eastAsia="宋体" w:cs="微软雅黑"/>
                <w:color w:val="000000"/>
                <w:szCs w:val="24"/>
              </w:rPr>
            </w:pPr>
            <w:r>
              <w:rPr>
                <w:rFonts w:ascii="Arial" w:hAnsi="Arial" w:cs="Arial"/>
                <w:color w:val="333333"/>
                <w:szCs w:val="24"/>
                <w:shd w:val="clear" w:color="auto" w:fill="FFFFFF"/>
              </w:rPr>
              <w:t>≥</w:t>
            </w:r>
            <w:r>
              <w:rPr>
                <w:rFonts w:hint="eastAsia" w:ascii="宋体" w:hAnsi="宋体" w:eastAsia="宋体" w:cs="微软雅黑"/>
                <w:szCs w:val="24"/>
              </w:rPr>
              <w:t>12万元/人</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olor w:val="000000"/>
                <w:szCs w:val="24"/>
              </w:rPr>
            </w:pPr>
            <w:r>
              <w:rPr>
                <w:rFonts w:ascii="Arial" w:hAnsi="Arial" w:cs="Arial"/>
                <w:color w:val="333333"/>
                <w:szCs w:val="24"/>
                <w:shd w:val="clear" w:color="auto" w:fill="FFFFFF"/>
              </w:rPr>
              <w:t>≤</w:t>
            </w:r>
            <w:r>
              <w:rPr>
                <w:rFonts w:ascii="宋体" w:hAnsi="宋体" w:eastAsia="宋体" w:cs="微软雅黑"/>
                <w:szCs w:val="24"/>
              </w:rPr>
              <w:t>0.08</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0.80</w:t>
            </w:r>
          </w:p>
        </w:tc>
        <w:tc>
          <w:tcPr>
            <w:tcW w:w="1017" w:type="dxa"/>
            <w:vAlign w:val="center"/>
          </w:tcPr>
          <w:p>
            <w:pPr>
              <w:pStyle w:val="40"/>
              <w:spacing w:line="240" w:lineRule="auto"/>
              <w:rPr>
                <w:rFonts w:ascii="宋体" w:hAnsi="宋体" w:eastAsia="宋体"/>
                <w:color w:val="000000"/>
                <w:szCs w:val="24"/>
              </w:rPr>
            </w:pPr>
            <w:r>
              <w:rPr>
                <w:rFonts w:ascii="Arial" w:hAnsi="Arial" w:cs="Arial"/>
                <w:color w:val="333333"/>
                <w:szCs w:val="24"/>
                <w:shd w:val="clear" w:color="auto" w:fill="FFFFFF"/>
              </w:rPr>
              <w:t>≤</w:t>
            </w:r>
            <w:r>
              <w:rPr>
                <w:rFonts w:hint="eastAsia" w:ascii="宋体" w:hAnsi="宋体" w:eastAsia="宋体"/>
                <w:szCs w:val="24"/>
              </w:rPr>
              <w:t>0.36</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jc w:val="center"/>
        </w:trPr>
        <w:tc>
          <w:tcPr>
            <w:tcW w:w="1440" w:type="dxa"/>
            <w:gridSpan w:val="2"/>
            <w:vMerge w:val="continue"/>
            <w:vAlign w:val="center"/>
          </w:tcPr>
          <w:p>
            <w:pPr>
              <w:pStyle w:val="40"/>
              <w:spacing w:line="240" w:lineRule="auto"/>
              <w:rPr>
                <w:rFonts w:ascii="宋体" w:hAnsi="宋体" w:eastAsia="宋体"/>
                <w:szCs w:val="24"/>
              </w:rPr>
            </w:pPr>
          </w:p>
        </w:tc>
        <w:tc>
          <w:tcPr>
            <w:tcW w:w="350"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2</w:t>
            </w:r>
            <w:r>
              <w:rPr>
                <w:rFonts w:ascii="宋体" w:hAnsi="宋体" w:eastAsia="宋体"/>
                <w:color w:val="000000"/>
                <w:szCs w:val="24"/>
              </w:rPr>
              <w:t>0</w:t>
            </w:r>
          </w:p>
        </w:tc>
        <w:tc>
          <w:tcPr>
            <w:tcW w:w="1559" w:type="dxa"/>
            <w:vAlign w:val="center"/>
          </w:tcPr>
          <w:p>
            <w:pPr>
              <w:pStyle w:val="40"/>
              <w:spacing w:line="360" w:lineRule="exact"/>
              <w:rPr>
                <w:rFonts w:ascii="宋体" w:hAnsi="宋体" w:eastAsia="宋体"/>
                <w:color w:val="000000"/>
                <w:szCs w:val="24"/>
              </w:rPr>
            </w:pPr>
            <w:r>
              <w:rPr>
                <w:rFonts w:hint="eastAsia" w:ascii="宋体" w:hAnsi="宋体" w:eastAsia="宋体"/>
                <w:color w:val="000000"/>
                <w:szCs w:val="24"/>
              </w:rPr>
              <w:t>制造业</w:t>
            </w:r>
          </w:p>
        </w:tc>
        <w:tc>
          <w:tcPr>
            <w:tcW w:w="1134"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15000</w:t>
            </w:r>
          </w:p>
        </w:tc>
        <w:tc>
          <w:tcPr>
            <w:tcW w:w="992"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cs="微软雅黑"/>
                <w:szCs w:val="24"/>
              </w:rPr>
              <w:t>27000</w:t>
            </w:r>
          </w:p>
        </w:tc>
        <w:tc>
          <w:tcPr>
            <w:tcW w:w="2046"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cs="微软雅黑"/>
                <w:szCs w:val="24"/>
              </w:rPr>
              <w:t>200</w:t>
            </w:r>
            <w:r>
              <w:rPr>
                <w:rFonts w:hint="eastAsia" w:ascii="宋体" w:hAnsi="宋体" w:eastAsia="宋体" w:cs="微软雅黑"/>
                <w:szCs w:val="24"/>
              </w:rPr>
              <w:t>0</w:t>
            </w:r>
            <w:r>
              <w:rPr>
                <w:rFonts w:hint="eastAsia" w:ascii="宋体" w:hAnsi="宋体" w:eastAsia="宋体"/>
                <w:szCs w:val="24"/>
              </w:rPr>
              <w:t>万元/公顷</w:t>
            </w:r>
          </w:p>
        </w:tc>
        <w:tc>
          <w:tcPr>
            <w:tcW w:w="851"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ascii="宋体" w:hAnsi="宋体" w:eastAsia="宋体"/>
                <w:szCs w:val="24"/>
              </w:rPr>
              <w:t>6</w:t>
            </w:r>
          </w:p>
        </w:tc>
        <w:tc>
          <w:tcPr>
            <w:tcW w:w="762" w:type="dxa"/>
            <w:vMerge w:val="continue"/>
            <w:vAlign w:val="center"/>
          </w:tcPr>
          <w:p>
            <w:pPr>
              <w:pStyle w:val="40"/>
              <w:spacing w:line="240" w:lineRule="auto"/>
              <w:rPr>
                <w:rFonts w:ascii="宋体" w:hAnsi="宋体" w:eastAsia="宋体"/>
                <w:szCs w:val="24"/>
              </w:rPr>
            </w:pPr>
          </w:p>
        </w:tc>
        <w:tc>
          <w:tcPr>
            <w:tcW w:w="1012" w:type="dxa"/>
            <w:vAlign w:val="center"/>
          </w:tcPr>
          <w:p>
            <w:pPr>
              <w:pStyle w:val="40"/>
              <w:spacing w:line="240" w:lineRule="auto"/>
              <w:rPr>
                <w:rFonts w:ascii="宋体" w:hAnsi="宋体" w:eastAsia="宋体"/>
                <w:color w:val="000000"/>
                <w:szCs w:val="24"/>
              </w:rPr>
            </w:pPr>
            <w:r>
              <w:rPr>
                <w:rFonts w:ascii="Arial" w:hAnsi="Arial" w:cs="Arial"/>
                <w:color w:val="333333"/>
                <w:szCs w:val="24"/>
                <w:shd w:val="clear" w:color="auto" w:fill="FFFFFF"/>
              </w:rPr>
              <w:t>≤</w:t>
            </w:r>
            <w:r>
              <w:rPr>
                <w:rFonts w:hint="eastAsia" w:ascii="宋体" w:hAnsi="宋体" w:eastAsia="宋体" w:cs="微软雅黑"/>
                <w:szCs w:val="24"/>
              </w:rPr>
              <w:t>0.06</w:t>
            </w:r>
          </w:p>
        </w:tc>
        <w:tc>
          <w:tcPr>
            <w:tcW w:w="869" w:type="dxa"/>
            <w:vAlign w:val="center"/>
          </w:tcPr>
          <w:p>
            <w:pPr>
              <w:pStyle w:val="40"/>
              <w:spacing w:line="240" w:lineRule="auto"/>
              <w:rPr>
                <w:rFonts w:ascii="宋体" w:hAnsi="宋体" w:eastAsia="宋体" w:cs="微软雅黑"/>
                <w:szCs w:val="24"/>
              </w:rPr>
            </w:pPr>
            <w:r>
              <w:rPr>
                <w:rFonts w:ascii="Arial" w:hAnsi="Arial" w:cs="Arial"/>
                <w:color w:val="333333"/>
                <w:szCs w:val="24"/>
                <w:shd w:val="clear" w:color="auto" w:fill="FFFFFF"/>
              </w:rPr>
              <w:t>≤</w:t>
            </w:r>
            <w:r>
              <w:rPr>
                <w:rFonts w:hint="eastAsia" w:ascii="宋体" w:hAnsi="宋体" w:eastAsia="宋体"/>
                <w:szCs w:val="24"/>
              </w:rPr>
              <w:t>0.80</w:t>
            </w:r>
          </w:p>
        </w:tc>
        <w:tc>
          <w:tcPr>
            <w:tcW w:w="1017" w:type="dxa"/>
            <w:vAlign w:val="center"/>
          </w:tcPr>
          <w:p>
            <w:pPr>
              <w:pStyle w:val="40"/>
              <w:spacing w:line="240" w:lineRule="auto"/>
              <w:rPr>
                <w:rFonts w:ascii="宋体" w:hAnsi="宋体" w:eastAsia="宋体"/>
                <w:color w:val="000000"/>
                <w:szCs w:val="24"/>
              </w:rPr>
            </w:pPr>
            <w:r>
              <w:rPr>
                <w:rFonts w:ascii="Arial" w:hAnsi="Arial" w:cs="Arial"/>
                <w:color w:val="333333"/>
                <w:szCs w:val="24"/>
                <w:shd w:val="clear" w:color="auto" w:fill="FFFFFF"/>
              </w:rPr>
              <w:t>≤</w:t>
            </w:r>
            <w:r>
              <w:rPr>
                <w:rFonts w:hint="eastAsia" w:ascii="宋体" w:hAnsi="宋体" w:eastAsia="宋体" w:cs="微软雅黑"/>
                <w:szCs w:val="24"/>
              </w:rPr>
              <w:t>0.27</w:t>
            </w:r>
          </w:p>
        </w:tc>
        <w:tc>
          <w:tcPr>
            <w:tcW w:w="729" w:type="dxa"/>
            <w:vMerge w:val="continue"/>
            <w:vAlign w:val="center"/>
          </w:tcPr>
          <w:p>
            <w:pPr>
              <w:pStyle w:val="40"/>
              <w:spacing w:line="240" w:lineRule="auto"/>
              <w:rPr>
                <w:rFonts w:ascii="宋体" w:hAnsi="宋体" w:eastAsia="宋体"/>
                <w:szCs w:val="24"/>
              </w:rPr>
            </w:pPr>
          </w:p>
        </w:tc>
        <w:tc>
          <w:tcPr>
            <w:tcW w:w="869" w:type="dxa"/>
            <w:vMerge w:val="continue"/>
            <w:vAlign w:val="center"/>
          </w:tcPr>
          <w:p>
            <w:pPr>
              <w:pStyle w:val="40"/>
              <w:spacing w:line="240" w:lineRule="auto"/>
              <w:rPr>
                <w:rFonts w:ascii="宋体" w:hAnsi="宋体" w:eastAsia="宋体"/>
                <w:szCs w:val="24"/>
              </w:rPr>
            </w:pPr>
          </w:p>
        </w:tc>
        <w:tc>
          <w:tcPr>
            <w:tcW w:w="727" w:type="dxa"/>
            <w:vMerge w:val="continue"/>
            <w:vAlign w:val="center"/>
          </w:tcPr>
          <w:p>
            <w:pPr>
              <w:pStyle w:val="40"/>
              <w:spacing w:line="240" w:lineRule="auto"/>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6" w:hRule="atLeast"/>
          <w:jc w:val="center"/>
        </w:trPr>
        <w:tc>
          <w:tcPr>
            <w:tcW w:w="1426" w:type="dxa"/>
          </w:tcPr>
          <w:p>
            <w:pPr>
              <w:pStyle w:val="40"/>
              <w:spacing w:line="360" w:lineRule="exact"/>
              <w:jc w:val="left"/>
              <w:rPr>
                <w:rFonts w:ascii="宋体" w:hAnsi="宋体" w:eastAsia="宋体"/>
                <w:b/>
                <w:bCs/>
                <w:szCs w:val="24"/>
              </w:rPr>
            </w:pPr>
          </w:p>
        </w:tc>
        <w:tc>
          <w:tcPr>
            <w:tcW w:w="12931" w:type="dxa"/>
            <w:gridSpan w:val="14"/>
            <w:vAlign w:val="center"/>
          </w:tcPr>
          <w:p>
            <w:pPr>
              <w:pStyle w:val="40"/>
              <w:spacing w:line="360" w:lineRule="exact"/>
              <w:jc w:val="both"/>
              <w:rPr>
                <w:rFonts w:ascii="宋体" w:hAnsi="宋体" w:eastAsia="宋体"/>
                <w:b/>
                <w:bCs/>
                <w:szCs w:val="24"/>
              </w:rPr>
            </w:pPr>
            <w:r>
              <w:rPr>
                <w:rFonts w:ascii="宋体" w:hAnsi="宋体" w:eastAsia="宋体"/>
                <w:b/>
                <w:bCs/>
                <w:szCs w:val="24"/>
              </w:rPr>
              <w:t>备注：</w:t>
            </w:r>
          </w:p>
          <w:p>
            <w:pPr>
              <w:pStyle w:val="40"/>
              <w:spacing w:line="240" w:lineRule="auto"/>
              <w:jc w:val="both"/>
              <w:rPr>
                <w:rFonts w:ascii="宋体" w:hAnsi="宋体" w:eastAsia="宋体"/>
                <w:szCs w:val="24"/>
              </w:rPr>
            </w:pPr>
            <w:r>
              <w:rPr>
                <w:rFonts w:ascii="宋体" w:hAnsi="宋体" w:eastAsia="宋体"/>
                <w:szCs w:val="24"/>
              </w:rPr>
              <w:t>1.</w:t>
            </w:r>
            <w:r>
              <w:rPr>
                <w:rFonts w:hint="eastAsia" w:ascii="宋体" w:hAnsi="宋体" w:eastAsia="宋体"/>
                <w:szCs w:val="24"/>
              </w:rPr>
              <w:t>航空企业关联性。北京大兴国际机场</w:t>
            </w:r>
            <w:r>
              <w:rPr>
                <w:rFonts w:ascii="宋体" w:hAnsi="宋体" w:eastAsia="宋体"/>
                <w:szCs w:val="24"/>
              </w:rPr>
              <w:t>5公里范围内企业满足以下条件：流入或流出的货物中至少有20%（数量或价值）通过空运运输；或在机场内经营业务，或年营业收入20%以上来自服务机场或航空公司；或业务收入20%以上来自海外。</w:t>
            </w:r>
          </w:p>
          <w:p>
            <w:pPr>
              <w:pStyle w:val="40"/>
              <w:spacing w:line="240" w:lineRule="auto"/>
              <w:jc w:val="both"/>
              <w:rPr>
                <w:rFonts w:ascii="宋体" w:hAnsi="宋体" w:eastAsia="宋体"/>
                <w:szCs w:val="24"/>
              </w:rPr>
            </w:pPr>
            <w:r>
              <w:rPr>
                <w:rFonts w:hint="eastAsia" w:ascii="宋体" w:hAnsi="宋体" w:eastAsia="宋体"/>
                <w:szCs w:val="24"/>
              </w:rPr>
              <w:t>2</w:t>
            </w:r>
            <w:r>
              <w:rPr>
                <w:rFonts w:ascii="宋体" w:hAnsi="宋体" w:eastAsia="宋体"/>
                <w:szCs w:val="24"/>
              </w:rPr>
              <w:t>.</w:t>
            </w:r>
            <w:r>
              <w:rPr>
                <w:rFonts w:hint="eastAsia" w:ascii="宋体" w:hAnsi="宋体" w:eastAsia="宋体"/>
                <w:szCs w:val="24"/>
              </w:rPr>
              <w:t>单位产值</w:t>
            </w:r>
            <w:r>
              <w:rPr>
                <w:rFonts w:ascii="宋体" w:hAnsi="宋体" w:eastAsia="宋体"/>
                <w:szCs w:val="24"/>
              </w:rPr>
              <w:t>能耗</w:t>
            </w:r>
            <w:r>
              <w:rPr>
                <w:rFonts w:hint="eastAsia" w:ascii="宋体" w:hAnsi="宋体" w:eastAsia="宋体"/>
                <w:szCs w:val="24"/>
              </w:rPr>
              <w:t>、单位产值碳排放。住宿和餐饮业、教育产业能耗及碳排放水平应</w:t>
            </w:r>
            <w:r>
              <w:rPr>
                <w:rFonts w:hint="eastAsia" w:ascii="宋体" w:hAnsi="宋体" w:eastAsia="宋体"/>
                <w:color w:val="000000"/>
                <w:szCs w:val="24"/>
              </w:rPr>
              <w:t>符合《北京市固定资产投资项目节能审查能耗和设备能效指南》规定的相关标准。</w:t>
            </w:r>
          </w:p>
          <w:p>
            <w:pPr>
              <w:pStyle w:val="40"/>
              <w:spacing w:line="360" w:lineRule="exact"/>
              <w:jc w:val="both"/>
              <w:rPr>
                <w:rFonts w:ascii="宋体" w:hAnsi="宋体" w:eastAsia="宋体"/>
                <w:szCs w:val="24"/>
              </w:rPr>
            </w:pPr>
            <w:r>
              <w:rPr>
                <w:rFonts w:ascii="宋体" w:hAnsi="宋体" w:eastAsia="宋体"/>
                <w:szCs w:val="24"/>
              </w:rPr>
              <w:t>3.</w:t>
            </w:r>
            <w:r>
              <w:rPr>
                <w:rFonts w:hint="eastAsia" w:ascii="宋体" w:hAnsi="宋体" w:eastAsia="宋体"/>
                <w:szCs w:val="24"/>
              </w:rPr>
              <w:t>绿色认证</w:t>
            </w:r>
            <w:r>
              <w:rPr>
                <w:rFonts w:ascii="宋体" w:hAnsi="宋体" w:eastAsia="宋体"/>
                <w:szCs w:val="24"/>
              </w:rPr>
              <w:t>。主要生产厂房和库房、辅助生产厂房应按照《绿色工业建筑评价标准》</w:t>
            </w:r>
            <w:r>
              <w:rPr>
                <w:rFonts w:hint="eastAsia" w:ascii="宋体" w:hAnsi="宋体" w:eastAsia="宋体"/>
                <w:szCs w:val="24"/>
              </w:rPr>
              <w:t>，取得一星级以上绿色工业建筑标识；建筑面积超过</w:t>
            </w:r>
            <w:r>
              <w:rPr>
                <w:rFonts w:ascii="宋体" w:hAnsi="宋体" w:eastAsia="宋体"/>
                <w:szCs w:val="24"/>
              </w:rPr>
              <w:t>5000</w:t>
            </w:r>
            <w:r>
              <w:rPr>
                <w:rFonts w:hint="eastAsia" w:ascii="宋体" w:hAnsi="宋体" w:eastAsia="宋体"/>
                <w:szCs w:val="24"/>
              </w:rPr>
              <w:t>平方米</w:t>
            </w:r>
            <w:r>
              <w:rPr>
                <w:rFonts w:ascii="宋体" w:hAnsi="宋体" w:eastAsia="宋体"/>
                <w:szCs w:val="24"/>
              </w:rPr>
              <w:t>的办公建筑单体</w:t>
            </w:r>
            <w:r>
              <w:rPr>
                <w:rFonts w:hint="eastAsia" w:ascii="宋体" w:hAnsi="宋体" w:eastAsia="宋体"/>
                <w:szCs w:val="24"/>
              </w:rPr>
              <w:t>应按照《绿色建筑评价标准》</w:t>
            </w:r>
            <w:r>
              <w:rPr>
                <w:rFonts w:ascii="宋体" w:hAnsi="宋体" w:eastAsia="宋体"/>
                <w:szCs w:val="24"/>
              </w:rPr>
              <w:t>取得二星及以上绿色建筑标识；</w:t>
            </w:r>
            <w:r>
              <w:rPr>
                <w:rFonts w:hint="eastAsia" w:ascii="宋体" w:hAnsi="宋体" w:eastAsia="宋体"/>
                <w:szCs w:val="24"/>
              </w:rPr>
              <w:t>入区项目应积极申报超低能耗、零能耗以及国际绿色认证</w:t>
            </w:r>
            <w:r>
              <w:rPr>
                <w:rFonts w:ascii="宋体" w:hAnsi="宋体" w:eastAsia="宋体"/>
                <w:szCs w:val="24"/>
              </w:rPr>
              <w:t>。</w:t>
            </w:r>
          </w:p>
          <w:p>
            <w:pPr>
              <w:pStyle w:val="40"/>
              <w:spacing w:line="360" w:lineRule="exact"/>
              <w:jc w:val="both"/>
              <w:rPr>
                <w:rFonts w:ascii="宋体" w:hAnsi="宋体" w:eastAsia="宋体"/>
                <w:szCs w:val="24"/>
              </w:rPr>
            </w:pPr>
            <w:r>
              <w:rPr>
                <w:rFonts w:ascii="宋体" w:hAnsi="宋体" w:eastAsia="宋体"/>
                <w:szCs w:val="24"/>
              </w:rPr>
              <w:t>4.其他高精尖产业是指《北京市十大高精尖产业登记指导目录（2018年版）》中提到的，未在该表中列明的其他高精尖产业类型。</w:t>
            </w:r>
          </w:p>
        </w:tc>
      </w:tr>
    </w:tbl>
    <w:p/>
    <w:p>
      <w:pPr>
        <w:rPr>
          <w:rFonts w:ascii="仿宋_GB2312"/>
          <w:szCs w:val="32"/>
        </w:rPr>
        <w:sectPr>
          <w:headerReference r:id="rId5" w:type="default"/>
          <w:footerReference r:id="rId6" w:type="default"/>
          <w:pgSz w:w="16838" w:h="11905" w:orient="landscape"/>
          <w:pgMar w:top="1587" w:right="2098" w:bottom="1474" w:left="1984" w:header="851" w:footer="1134" w:gutter="0"/>
          <w:pgNumType w:fmt="numberInDash"/>
          <w:cols w:space="0" w:num="1"/>
          <w:docGrid w:type="lines" w:linePitch="444" w:charSpace="0"/>
        </w:sectPr>
      </w:pPr>
    </w:p>
    <w:p>
      <w:pPr>
        <w:spacing w:line="560" w:lineRule="exact"/>
        <w:rPr>
          <w:rFonts w:ascii="黑体" w:hAnsi="黑体" w:eastAsia="黑体" w:cs="CESI黑体-GB2312"/>
          <w:szCs w:val="32"/>
        </w:rPr>
      </w:pPr>
      <w:r>
        <w:rPr>
          <w:rFonts w:hint="eastAsia" w:ascii="黑体" w:hAnsi="黑体" w:eastAsia="黑体" w:cs="CESI黑体-GB2312"/>
          <w:szCs w:val="32"/>
        </w:rPr>
        <w:t>附件</w:t>
      </w:r>
      <w:r>
        <w:rPr>
          <w:rFonts w:ascii="黑体" w:hAnsi="黑体" w:eastAsia="黑体" w:cs="CESI黑体-GB2312"/>
          <w:szCs w:val="32"/>
        </w:rPr>
        <w:t>2</w:t>
      </w:r>
    </w:p>
    <w:p>
      <w:pPr>
        <w:keepNext w:val="0"/>
        <w:keepLines w:val="0"/>
        <w:pageBreakBefore w:val="0"/>
        <w:widowControl w:val="0"/>
        <w:kinsoku/>
        <w:wordWrap/>
        <w:overflowPunct/>
        <w:topLinePunct w:val="0"/>
        <w:autoSpaceDE/>
        <w:autoSpaceDN/>
        <w:bidi w:val="0"/>
        <w:adjustRightInd/>
        <w:snapToGrid/>
        <w:spacing w:before="224" w:beforeLines="50" w:after="224" w:afterLines="50"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告知承诺审批事项清单</w:t>
      </w:r>
    </w:p>
    <w:tbl>
      <w:tblPr>
        <w:tblStyle w:val="1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291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序号</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业务指导部门</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事项名称</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1</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市发展改革委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城建类固定资产投资项目核准</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以出让方式供地的基于“多规合一”协同平台的社会投资类仓库和厂房（包含生产线、生产设备投资等产业化内容）的工程建设项目。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2</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市规划</w:t>
            </w:r>
          </w:p>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自然资源委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建设工程规划许可证（社会投资房屋建筑工程）</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已取得“多规合一”平台研究的会商意见且符合《北京市工程建设项目“清单制+告知承诺制”审批改革试点实施方案》规定条件的项目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3</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市住房</w:t>
            </w:r>
          </w:p>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城乡建设委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商场改造项目消防验收</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已依法取得施工许可手续的商场改造项目，其地上内部装修改造面积在5000平方米（含）以下，且不属于涉及建筑主体和承重结构变动等其他情形的，可由建设单位自主选择以告知承诺方式申请办理消防验收。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4</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工程建设涉及城市绿地树木审批（社会投资项目）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5</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林木采伐许可证核发</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林农个人申请采伐人工商品林蓄积不超过15立方米的，并愿意出具承诺书、承担相应责任的林木采伐许可实施告知承诺制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6</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pacing w:val="-11"/>
                <w:sz w:val="24"/>
                <w:szCs w:val="24"/>
              </w:rPr>
              <w:t>临时占用城市绿化用地审批</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7</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环境影响报告表审批</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符合《北京市生态环境局办公室关于做好环评审批正面清单相关工作的通知》（京环办〔2020〕43号）及《北京大兴国际机场临空经济区（北京部分）园区规划环境影响评价与建设项目环境影响评价联动场景建设工作方案（试行）》（京临管发〔20</w:t>
            </w:r>
            <w:r>
              <w:rPr>
                <w:rFonts w:ascii="宋体" w:hAnsi="宋体" w:eastAsia="宋体" w:cs="仿宋_GB2312"/>
                <w:color w:val="000000"/>
                <w:sz w:val="24"/>
                <w:szCs w:val="24"/>
              </w:rPr>
              <w:t>22</w:t>
            </w:r>
            <w:r>
              <w:rPr>
                <w:rFonts w:hint="eastAsia" w:ascii="宋体" w:hAnsi="宋体" w:eastAsia="宋体" w:cs="仿宋_GB2312"/>
                <w:color w:val="000000"/>
                <w:sz w:val="24"/>
                <w:szCs w:val="24"/>
              </w:rPr>
              <w:t>〕43号）规定条件的建设项目，可实行告知承诺审批管理。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8</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环境影响登记表备案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9</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对建设项目环境影响后评价报告进行备案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10</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市城市管理委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设置建筑垃圾消纳场所许可</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11</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水影响评价审查－土地公开交易市场取得土地开发权的企业投资项目</w:t>
            </w:r>
          </w:p>
        </w:tc>
        <w:tc>
          <w:tcPr>
            <w:tcW w:w="3157" w:type="dxa"/>
            <w:vMerge w:val="restart"/>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通过区域水影响评价审查、规划水影响评价审查，除直接准入、备案制、许可准入以外的建设项目。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12</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水影响评价审查－其他项目审批</w:t>
            </w:r>
          </w:p>
        </w:tc>
        <w:tc>
          <w:tcPr>
            <w:tcW w:w="3157" w:type="dxa"/>
            <w:vMerge w:val="continue"/>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13</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城镇污水排入排水管网许可</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排水设施由物业公司或专业公司规范管理，排水许可证有效期届满30日前，申请有效期延续的；水设施由物业公司或专业公司规范管理，在工商登记变更后30日内，申请排水许可证中与工商登记对应信息变更的。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14</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对城镇排水与污水处理设施建设工程竣工验收报告及相关资料进行备案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15</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申报人民防空工程设计方案的项目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16</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申报人民防空工程易地建设的项目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17</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申报人防工程设计方案的项目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18</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申报人防工程易地建设的项目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19</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人防工程竣工验收备案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bl>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黑体" w:hAnsi="黑体" w:eastAsia="黑体" w:cs="CESI黑体-GB2312"/>
          <w:color w:val="000000"/>
          <w:szCs w:val="21"/>
        </w:rPr>
      </w:pPr>
    </w:p>
    <w:p>
      <w:pPr>
        <w:adjustRightInd w:val="0"/>
        <w:snapToGrid w:val="0"/>
        <w:spacing w:line="560" w:lineRule="exact"/>
        <w:ind w:left="1405" w:hanging="1405" w:hangingChars="500"/>
        <w:jc w:val="center"/>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ind w:left="0" w:leftChars="0" w:firstLine="0" w:firstLineChars="0"/>
        <w:rPr>
          <w:rFonts w:ascii="仿宋_GB2312" w:hAnsi="Calibri"/>
          <w:b/>
          <w:bCs/>
          <w:snapToGrid/>
          <w:kern w:val="2"/>
          <w:sz w:val="28"/>
          <w:szCs w:val="28"/>
        </w:rPr>
      </w:pPr>
    </w:p>
    <w:p>
      <w:pPr>
        <w:pStyle w:val="2"/>
        <w:rPr>
          <w:rFonts w:ascii="仿宋_GB2312" w:hAnsi="Calibri"/>
          <w:b/>
          <w:bCs/>
          <w:snapToGrid/>
          <w:kern w:val="2"/>
          <w:sz w:val="28"/>
          <w:szCs w:val="28"/>
        </w:rPr>
      </w:pP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24" w:firstLineChars="100"/>
        <w:textAlignment w:val="auto"/>
        <w:rPr>
          <w:rFonts w:hint="eastAsia" w:ascii="仿宋_GB2312" w:hAnsi="仿宋_GB2312" w:eastAsia="仿宋_GB2312" w:cs="仿宋_GB2312"/>
          <w:szCs w:val="32"/>
          <w:lang w:val="en-US" w:eastAsia="zh-CN" w:bidi="ar"/>
        </w:rPr>
      </w:pPr>
      <w:r>
        <w:rPr>
          <w:rFonts w:hint="eastAsia" w:ascii="仿宋_GB2312" w:eastAsia="仿宋_GB2312"/>
          <w:snapToGrid w:val="0"/>
          <w:spacing w:val="-28"/>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19685</wp:posOffset>
                </wp:positionV>
                <wp:extent cx="5667375" cy="15875"/>
                <wp:effectExtent l="0" t="6350" r="9525" b="6350"/>
                <wp:wrapNone/>
                <wp:docPr id="64" name="直接连接符 64"/>
                <wp:cNvGraphicFramePr/>
                <a:graphic xmlns:a="http://schemas.openxmlformats.org/drawingml/2006/main">
                  <a:graphicData uri="http://schemas.microsoft.com/office/word/2010/wordprocessingShape">
                    <wps:wsp>
                      <wps:cNvCnPr/>
                      <wps:spPr>
                        <a:xfrm flipV="1">
                          <a:off x="1021080" y="7882255"/>
                          <a:ext cx="5667375" cy="1587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75pt;margin-top:1.55pt;height:1.25pt;width:446.25pt;z-index:251662336;mso-width-relative:page;mso-height-relative:page;" filled="f" stroked="t" coordsize="21600,21600" o:gfxdata="UEsDBAoAAAAAAIdO4kAAAAAAAAAAAAAAAAAEAAAAZHJzL1BLAwQUAAAACACHTuJAMpJa7dMAAAAF&#10;AQAADwAAAGRycy9kb3ducmV2LnhtbE2PwU7DMBBE70j8g7VI3KgTQquQxukhEjckaEGcnXibpMTr&#10;yHba9O9ZTnAczWjmTblb7CjO6MPgSEG6SkAgtc4M1Cn4/Hh5yEGEqMno0REquGKAXXV7U+rCuAvt&#10;8XyIneASCoVW0Mc4FVKGtkerw8pNSOwdnbc6svSdNF5fuNyO8jFJNtLqgXih1xPWPbbfh9kqGGSd&#10;Nl++Pr5fMc9i9rY/vc6LUvd3abIFEXGJf2H4xWd0qJipcTOZIEbWaw4qyFIQ7ObPT/ysUbDegKxK&#10;+Z+++gFQSwMEFAAAAAgAh07iQKumX6UAAgAA3AMAAA4AAABkcnMvZTJvRG9jLnhtbK1TzY7TMBC+&#10;I/EOlu80aSBtFDXdw1bLBUElfu6u4ySW/CePt2lfghdA4gYnjtx5G5bHYOyEVVkue8AHa8Yz/ma+&#10;z+PN1UkrchQepDUNXS5ySoThtpWmb+j7dzfPKkogMNMyZY1o6FkAvdo+fbIZXS0KO1jVCk8QxEA9&#10;uoYOIbg6y4APQjNYWCcMBjvrNQvo+j5rPRsRXausyPNVNlrfOm+5AMDT3RSkM6J/DKDtOsnFzvJb&#10;LUyYUL1QLCAlGKQDuk3ddp3g4U3XgQhENRSZhrRjEbQPcc+2G1b3nrlB8rkF9pgWHnDSTBoseg+1&#10;Y4GRWy//gdKSewu2CwtudTYRSYogi2X+QJu3A3MicUGpwd2LDv8Plr8+7j2RbUNXLygxTOOL3336&#10;/vPjl18/PuN+9+0rwQjKNDqoMfva7P3sgdv7yPnUeU06Jd0HnKekAvIiJ3TyYplXKPW5oeuqKoqy&#10;nAQXp0A4JpSr1fr5uqSEY8ayrNBE7GyCjNDOQ3gprCbRaKiSJurBanZ8BWFK/ZMSj429kUrhOauV&#10;ISNiFusc63OGg9rhgKCpHZIF01PCVI8/gAefIMEq2cbr8Tb4/nCtPDmyODdpzZ39lRZr7xgMU14K&#10;TQS1DPhJlNQNrS5vKxPRRRrMmUHUdVIyWgfbnpPAWfTw0ZMc84DGqbr00b78l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pJa7dMAAAAFAQAADwAAAAAAAAABACAAAAAiAAAAZHJzL2Rvd25yZXYu&#10;eG1sUEsBAhQAFAAAAAgAh07iQKumX6UAAgAA3AMAAA4AAAAAAAAAAQAgAAAAIgEAAGRycy9lMm9E&#10;b2MueG1sUEsFBgAAAAAGAAYAWQEAAJQFAAAAAA==&#10;">
                <v:fill on="f" focussize="0,0"/>
                <v:stroke weight="1pt" color="#000000" miterlimit="8" joinstyle="miter"/>
                <v:imagedata o:title=""/>
                <o:lock v:ext="edit" aspectratio="f"/>
              </v:line>
            </w:pict>
          </mc:Fallback>
        </mc:AlternateContent>
      </w:r>
      <w:r>
        <w:rPr>
          <w:rFonts w:hint="eastAsia" w:ascii="仿宋_GB2312" w:eastAsia="仿宋_GB2312"/>
          <w:snapToGrid w:val="0"/>
          <w:spacing w:val="-28"/>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385445</wp:posOffset>
                </wp:positionV>
                <wp:extent cx="5686425" cy="19050"/>
                <wp:effectExtent l="0" t="6350" r="9525" b="12700"/>
                <wp:wrapNone/>
                <wp:docPr id="65" name="直接连接符 65"/>
                <wp:cNvGraphicFramePr/>
                <a:graphic xmlns:a="http://schemas.openxmlformats.org/drawingml/2006/main">
                  <a:graphicData uri="http://schemas.microsoft.com/office/word/2010/wordprocessingShape">
                    <wps:wsp>
                      <wps:cNvCnPr/>
                      <wps:spPr>
                        <a:xfrm flipV="1">
                          <a:off x="1078230" y="8291830"/>
                          <a:ext cx="5686425" cy="1905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4pt;margin-top:30.35pt;height:1.5pt;width:447.75pt;z-index:251663360;mso-width-relative:page;mso-height-relative:page;" filled="f" stroked="t" coordsize="21600,21600" o:gfxdata="UEsDBAoAAAAAAIdO4kAAAAAAAAAAAAAAAAAEAAAAZHJzL1BLAwQUAAAACACHTuJAIjOIztMAAAAG&#10;AQAADwAAAGRycy9kb3ducmV2LnhtbE3OwU7DMAwG4DsS7xAZiRtLS6WulKY7VOKGBBsT57Tx2kLj&#10;VEm6dW+POcHR/q3fX7Vb7STO6MPoSEG6SUAgdc6M1Cs4frw8FCBC1GT05AgVXDHArr69qXRp3IX2&#10;eD7EXnAJhVIrGGKcSylDN6DVYeNmJM5OzlsdefS9NF5fuNxO8jFJcmn1SPxh0DM2A3bfh8UqGGWT&#10;tp++Ob1fschi9rb/el1Wpe7v0uQZRMQ1/h3DL5/pULOpdQuZICYF7I4K8mQLgtPiKc9AtLzItiDr&#10;Sv7n1z9QSwMEFAAAAAgAh07iQC8prLoAAgAA3AMAAA4AAABkcnMvZTJvRG9jLnhtbK1TzY7TMBC+&#10;I/EOlu80aaDdbtR0D1stFwSV+Lm7jp1Y8p883qZ9CV4AiRucOHLnbVgeg7ETVmW57IEcrBnP+Pv8&#10;fRmvr45Gk4MIoJxt6HxWUiIsd62yXUPfv7t5tqIEIrMt086Khp4E0KvN0yfrwdeicr3TrQgEQSzU&#10;g29oH6OviwJ4LwyDmfPCYlG6YFjENHRFG9iA6EYXVVkui8GF1gfHBQDubscinRDDYwCdlIqLreO3&#10;Rtg4ogahWURJ0CsPdJNvK6Xg8Y2UICLRDUWlMa9IgvE+rcVmzeouMN8rPl2BPeYKDzQZpiyS3kNt&#10;WWTkNqh/oIziwYGTccadKUYh2RFUMS8fePO2Z15kLWg1+HvT4f/B8teHXSCqbehyQYllBv/43afv&#10;Pz9++fXjM653374SrKBNg4cau6/tLkwZ+F1Imo8yGCK18h9wnrILqIscMSkvVtVztPrU0FV1OV9h&#10;nA0Xx0g4NiyWq+WLCok5dswvy0WuFyNkgvYB4kvhDElBQ7WyyQ9Ws8MriAiFrX9a0rZ1N0rrTKEt&#10;GRCzuiiRnzMcVIkDgqHxKBZsRwnTHb4AHkOGBKdVm44nIAjd/loHcmBpbvKXbo50f7Ul7i2DfuzL&#10;pVGgUREfiVYGhZ+f1jahizyYk4Lk6+hkivauPWWDi5ThT8+k04CmqTrPMT5/l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jOIztMAAAAGAQAADwAAAAAAAAABACAAAAAiAAAAZHJzL2Rvd25yZXYu&#10;eG1sUEsBAhQAFAAAAAgAh07iQC8prLoAAgAA3AMAAA4AAAAAAAAAAQAgAAAAIgEAAGRycy9lMm9E&#10;b2MueG1sUEsFBgAAAAAGAAYAWQEAAJQFAAAAAA==&#10;">
                <v:fill on="f" focussize="0,0"/>
                <v:stroke weight="1pt" color="#000000" miterlimit="8" joinstyle="miter"/>
                <v:imagedata o:title=""/>
                <o:lock v:ext="edit" aspectratio="f"/>
              </v:line>
            </w:pict>
          </mc:Fallback>
        </mc:AlternateContent>
      </w:r>
      <w:r>
        <w:rPr>
          <w:rFonts w:hint="eastAsia" w:ascii="仿宋_GB2312" w:eastAsia="仿宋_GB2312"/>
          <w:snapToGrid w:val="0"/>
          <w:spacing w:val="-28"/>
          <w:kern w:val="0"/>
          <w:sz w:val="28"/>
          <w:szCs w:val="28"/>
        </w:rPr>
        <w:t>北京大兴国际机场临空经济区（大兴</w:t>
      </w:r>
      <w:r>
        <w:rPr>
          <w:rFonts w:hint="eastAsia" w:ascii="仿宋_GB2312"/>
          <w:snapToGrid w:val="0"/>
          <w:spacing w:val="-28"/>
          <w:kern w:val="0"/>
          <w:sz w:val="28"/>
          <w:szCs w:val="28"/>
          <w:lang w:eastAsia="zh-CN"/>
        </w:rPr>
        <w:t>）</w:t>
      </w:r>
      <w:r>
        <w:rPr>
          <w:rFonts w:hint="eastAsia" w:ascii="仿宋_GB2312" w:eastAsia="仿宋_GB2312"/>
          <w:snapToGrid w:val="0"/>
          <w:spacing w:val="-28"/>
          <w:kern w:val="0"/>
          <w:sz w:val="28"/>
          <w:szCs w:val="28"/>
        </w:rPr>
        <w:t>管理委员会党政办</w:t>
      </w:r>
      <w:r>
        <w:rPr>
          <w:rFonts w:hint="eastAsia" w:ascii="仿宋_GB2312" w:hAnsi="仿宋_GB2312" w:eastAsia="仿宋_GB2312" w:cs="仿宋_GB2312"/>
          <w:snapToGrid w:val="0"/>
          <w:spacing w:val="-28"/>
          <w:kern w:val="0"/>
          <w:sz w:val="28"/>
          <w:szCs w:val="28"/>
        </w:rPr>
        <w:t>公室 202</w:t>
      </w:r>
      <w:r>
        <w:rPr>
          <w:rFonts w:hint="eastAsia" w:ascii="仿宋_GB2312" w:hAnsi="仿宋_GB2312" w:eastAsia="仿宋_GB2312" w:cs="仿宋_GB2312"/>
          <w:snapToGrid w:val="0"/>
          <w:spacing w:val="-28"/>
          <w:kern w:val="0"/>
          <w:sz w:val="28"/>
          <w:szCs w:val="28"/>
          <w:lang w:val="en-US" w:eastAsia="zh-CN"/>
        </w:rPr>
        <w:t>2</w:t>
      </w:r>
      <w:r>
        <w:rPr>
          <w:rFonts w:hint="eastAsia" w:ascii="仿宋_GB2312" w:hAnsi="仿宋_GB2312" w:eastAsia="仿宋_GB2312" w:cs="仿宋_GB2312"/>
          <w:snapToGrid w:val="0"/>
          <w:spacing w:val="-28"/>
          <w:kern w:val="0"/>
          <w:sz w:val="28"/>
          <w:szCs w:val="28"/>
        </w:rPr>
        <w:t>年</w:t>
      </w:r>
      <w:r>
        <w:rPr>
          <w:rFonts w:hint="eastAsia" w:ascii="仿宋_GB2312" w:hAnsi="仿宋_GB2312" w:eastAsia="仿宋_GB2312" w:cs="仿宋_GB2312"/>
          <w:snapToGrid w:val="0"/>
          <w:spacing w:val="-28"/>
          <w:kern w:val="0"/>
          <w:sz w:val="28"/>
          <w:szCs w:val="28"/>
          <w:lang w:val="en"/>
        </w:rPr>
        <w:t>12</w:t>
      </w:r>
      <w:r>
        <w:rPr>
          <w:rFonts w:hint="eastAsia" w:ascii="仿宋_GB2312" w:hAnsi="仿宋_GB2312" w:eastAsia="仿宋_GB2312" w:cs="仿宋_GB2312"/>
          <w:snapToGrid w:val="0"/>
          <w:spacing w:val="-28"/>
          <w:kern w:val="0"/>
          <w:sz w:val="28"/>
          <w:szCs w:val="28"/>
        </w:rPr>
        <w:t>月</w:t>
      </w:r>
      <w:r>
        <w:rPr>
          <w:rFonts w:hint="eastAsia" w:ascii="仿宋_GB2312" w:hAnsi="仿宋_GB2312" w:cs="仿宋_GB2312"/>
          <w:snapToGrid w:val="0"/>
          <w:spacing w:val="-28"/>
          <w:kern w:val="0"/>
          <w:sz w:val="28"/>
          <w:szCs w:val="28"/>
          <w:lang w:val="en-US" w:eastAsia="zh-CN"/>
        </w:rPr>
        <w:t>21</w:t>
      </w:r>
      <w:r>
        <w:rPr>
          <w:rFonts w:hint="eastAsia" w:ascii="仿宋_GB2312" w:hAnsi="仿宋_GB2312" w:eastAsia="仿宋_GB2312" w:cs="仿宋_GB2312"/>
          <w:snapToGrid w:val="0"/>
          <w:spacing w:val="-28"/>
          <w:kern w:val="0"/>
          <w:sz w:val="28"/>
          <w:szCs w:val="28"/>
        </w:rPr>
        <w:t>日印</w:t>
      </w:r>
      <w:r>
        <w:rPr>
          <w:rFonts w:hint="eastAsia" w:ascii="仿宋_GB2312" w:hAnsi="仿宋_GB2312" w:eastAsia="仿宋_GB2312" w:cs="仿宋_GB2312"/>
          <w:snapToGrid w:val="0"/>
          <w:spacing w:val="-28"/>
          <w:kern w:val="0"/>
          <w:sz w:val="28"/>
          <w:szCs w:val="28"/>
          <w:lang w:val="en-US" w:eastAsia="zh-CN"/>
        </w:rPr>
        <w:t>发</w:t>
      </w:r>
    </w:p>
    <w:p>
      <w:pPr>
        <w:pStyle w:val="2"/>
        <w:ind w:firstLine="640"/>
      </w:pPr>
    </w:p>
    <w:sectPr>
      <w:pgSz w:w="11905" w:h="16838"/>
      <w:pgMar w:top="2098" w:right="1474" w:bottom="1984" w:left="1587" w:header="851" w:footer="1134" w:gutter="0"/>
      <w:pgNumType w:fmt="numberInDash"/>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宋体"/>
        <w:sz w:val="28"/>
        <w:szCs w:val="28"/>
      </w:rPr>
    </w:pPr>
    <w:r>
      <w:rPr>
        <w:rFonts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新宋体" w:hAnsi="新宋体" w:eastAsia="新宋体" w:cs="新宋体"/>
                              <w:sz w:val="28"/>
                              <w:szCs w:val="28"/>
                            </w:rPr>
                            <w:id w:val="-1936354278"/>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新宋体" w:hAnsi="新宋体" w:eastAsia="新宋体" w:cs="新宋体"/>
                        <w:sz w:val="28"/>
                        <w:szCs w:val="28"/>
                      </w:rPr>
                      <w:id w:val="-1936354278"/>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v:textbox>
            </v:shape>
          </w:pict>
        </mc:Fallback>
      </mc:AlternateContent>
    </w:r>
  </w:p>
  <w:p>
    <w:pPr>
      <w:pStyle w:val="11"/>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新宋体" w:hAnsi="新宋体" w:eastAsia="新宋体" w:cs="新宋体"/>
                              <w:sz w:val="28"/>
                              <w:szCs w:val="28"/>
                            </w:rPr>
                            <w:id w:val="-809397589"/>
                          </w:sdtPr>
                          <w:sdtEndPr>
                            <w:rPr>
                              <w:rFonts w:hint="eastAsia" w:ascii="新宋体" w:hAnsi="新宋体" w:eastAsia="新宋体" w:cs="新宋体"/>
                              <w:sz w:val="28"/>
                              <w:szCs w:val="28"/>
                            </w:rPr>
                          </w:sdtEndPr>
                          <w:sdtContent>
                            <w:p>
                              <w:pPr>
                                <w:pStyle w:val="11"/>
                                <w:jc w:val="center"/>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PAGE   \* MERGEFORMAT</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val="zh-CN"/>
                                </w:rPr>
                                <w:t>2</w:t>
                              </w:r>
                              <w:r>
                                <w:rPr>
                                  <w:rFonts w:hint="eastAsia" w:ascii="新宋体" w:hAnsi="新宋体" w:eastAsia="新宋体" w:cs="新宋体"/>
                                  <w:sz w:val="28"/>
                                  <w:szCs w:val="28"/>
                                </w:rPr>
                                <w:fldChar w:fldCharType="end"/>
                              </w:r>
                            </w:p>
                          </w:sdtContent>
                        </w:sdt>
                        <w:p>
                          <w:pPr>
                            <w:pStyle w:val="2"/>
                            <w:ind w:firstLine="640"/>
                            <w:rPr>
                              <w:rFonts w:hint="eastAsia" w:ascii="新宋体" w:hAnsi="新宋体" w:eastAsia="新宋体" w:cs="新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新宋体" w:hAnsi="新宋体" w:eastAsia="新宋体" w:cs="新宋体"/>
                        <w:sz w:val="28"/>
                        <w:szCs w:val="28"/>
                      </w:rPr>
                      <w:id w:val="-809397589"/>
                    </w:sdtPr>
                    <w:sdtEndPr>
                      <w:rPr>
                        <w:rFonts w:hint="eastAsia" w:ascii="新宋体" w:hAnsi="新宋体" w:eastAsia="新宋体" w:cs="新宋体"/>
                        <w:sz w:val="28"/>
                        <w:szCs w:val="28"/>
                      </w:rPr>
                    </w:sdtEndPr>
                    <w:sdtContent>
                      <w:p>
                        <w:pPr>
                          <w:pStyle w:val="11"/>
                          <w:jc w:val="center"/>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PAGE   \* MERGEFORMAT</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val="zh-CN"/>
                          </w:rPr>
                          <w:t>2</w:t>
                        </w:r>
                        <w:r>
                          <w:rPr>
                            <w:rFonts w:hint="eastAsia" w:ascii="新宋体" w:hAnsi="新宋体" w:eastAsia="新宋体" w:cs="新宋体"/>
                            <w:sz w:val="28"/>
                            <w:szCs w:val="28"/>
                          </w:rPr>
                          <w:fldChar w:fldCharType="end"/>
                        </w:r>
                      </w:p>
                    </w:sdtContent>
                  </w:sdt>
                  <w:p>
                    <w:pPr>
                      <w:pStyle w:val="2"/>
                      <w:ind w:firstLine="640"/>
                      <w:rPr>
                        <w:rFonts w:hint="eastAsia" w:ascii="新宋体" w:hAnsi="新宋体" w:eastAsia="新宋体" w:cs="新宋体"/>
                        <w:sz w:val="28"/>
                        <w:szCs w:val="28"/>
                      </w:rPr>
                    </w:pP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新宋体" w:hAnsi="新宋体" w:eastAsia="新宋体" w:cs="新宋体"/>
                              <w:sz w:val="28"/>
                              <w:szCs w:val="28"/>
                            </w:rPr>
                            <w:id w:val="1447198106"/>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新宋体" w:hAnsi="新宋体" w:eastAsia="新宋体" w:cs="新宋体"/>
                        <w:sz w:val="28"/>
                        <w:szCs w:val="28"/>
                      </w:rPr>
                      <w:id w:val="1447198106"/>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v:textbox>
            </v:shape>
          </w:pict>
        </mc:Fallback>
      </mc:AlternateContent>
    </w:r>
  </w:p>
  <w:p>
    <w:pPr>
      <w:tabs>
        <w:tab w:val="center" w:pos="4153"/>
        <w:tab w:val="right" w:pos="8306"/>
      </w:tabs>
      <w:snapToGrid w:val="0"/>
      <w:jc w:val="right"/>
      <w:rPr>
        <w:rFonts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60"/>
  <w:drawingGridVerticalSpacing w:val="22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5NGRlY2I5OWY3MTliYTg4NWUxOTUyY2QyMjI3YzcifQ=="/>
  </w:docVars>
  <w:rsids>
    <w:rsidRoot w:val="00D520E2"/>
    <w:rsid w:val="00002756"/>
    <w:rsid w:val="000049DA"/>
    <w:rsid w:val="00032958"/>
    <w:rsid w:val="0003301F"/>
    <w:rsid w:val="00035B3D"/>
    <w:rsid w:val="00035C24"/>
    <w:rsid w:val="00044697"/>
    <w:rsid w:val="00045ECD"/>
    <w:rsid w:val="0005096E"/>
    <w:rsid w:val="000560E3"/>
    <w:rsid w:val="00061E39"/>
    <w:rsid w:val="000634F8"/>
    <w:rsid w:val="00063C4A"/>
    <w:rsid w:val="00070B2C"/>
    <w:rsid w:val="00071784"/>
    <w:rsid w:val="00097F8D"/>
    <w:rsid w:val="000B5B8A"/>
    <w:rsid w:val="000B68DA"/>
    <w:rsid w:val="000C21A2"/>
    <w:rsid w:val="000E6586"/>
    <w:rsid w:val="00102B5C"/>
    <w:rsid w:val="00102FFB"/>
    <w:rsid w:val="00103568"/>
    <w:rsid w:val="00111F7A"/>
    <w:rsid w:val="001736E9"/>
    <w:rsid w:val="00181996"/>
    <w:rsid w:val="00184516"/>
    <w:rsid w:val="001857DF"/>
    <w:rsid w:val="00186E2D"/>
    <w:rsid w:val="001A7287"/>
    <w:rsid w:val="001B26A6"/>
    <w:rsid w:val="001B7030"/>
    <w:rsid w:val="001C018A"/>
    <w:rsid w:val="001C5057"/>
    <w:rsid w:val="001E0CCD"/>
    <w:rsid w:val="001F5655"/>
    <w:rsid w:val="00202B20"/>
    <w:rsid w:val="00207816"/>
    <w:rsid w:val="0022594F"/>
    <w:rsid w:val="002263D0"/>
    <w:rsid w:val="0023248E"/>
    <w:rsid w:val="002338AC"/>
    <w:rsid w:val="00263139"/>
    <w:rsid w:val="0026676F"/>
    <w:rsid w:val="00271555"/>
    <w:rsid w:val="002732AC"/>
    <w:rsid w:val="0028002D"/>
    <w:rsid w:val="002863F3"/>
    <w:rsid w:val="0029233B"/>
    <w:rsid w:val="0029568B"/>
    <w:rsid w:val="00297460"/>
    <w:rsid w:val="002B2111"/>
    <w:rsid w:val="002B4088"/>
    <w:rsid w:val="002B74BF"/>
    <w:rsid w:val="002D18B5"/>
    <w:rsid w:val="002E3C7E"/>
    <w:rsid w:val="003045FE"/>
    <w:rsid w:val="003055A7"/>
    <w:rsid w:val="003238CE"/>
    <w:rsid w:val="00335CFF"/>
    <w:rsid w:val="0034651D"/>
    <w:rsid w:val="00347629"/>
    <w:rsid w:val="00357210"/>
    <w:rsid w:val="0036360D"/>
    <w:rsid w:val="003645A4"/>
    <w:rsid w:val="00364C6F"/>
    <w:rsid w:val="003707A3"/>
    <w:rsid w:val="00373431"/>
    <w:rsid w:val="00380FCA"/>
    <w:rsid w:val="00392B00"/>
    <w:rsid w:val="003A1E1C"/>
    <w:rsid w:val="003B114F"/>
    <w:rsid w:val="003B2203"/>
    <w:rsid w:val="003B2AD8"/>
    <w:rsid w:val="003B607B"/>
    <w:rsid w:val="003E097E"/>
    <w:rsid w:val="003E73CF"/>
    <w:rsid w:val="003F1246"/>
    <w:rsid w:val="003F6F79"/>
    <w:rsid w:val="00407683"/>
    <w:rsid w:val="004315BA"/>
    <w:rsid w:val="004324CD"/>
    <w:rsid w:val="0044106C"/>
    <w:rsid w:val="004535AA"/>
    <w:rsid w:val="00463FF8"/>
    <w:rsid w:val="00477944"/>
    <w:rsid w:val="00491013"/>
    <w:rsid w:val="004918C6"/>
    <w:rsid w:val="00492DDE"/>
    <w:rsid w:val="004A62E7"/>
    <w:rsid w:val="004A6DC1"/>
    <w:rsid w:val="004A710A"/>
    <w:rsid w:val="004C45AF"/>
    <w:rsid w:val="004D715A"/>
    <w:rsid w:val="004E0292"/>
    <w:rsid w:val="004E6617"/>
    <w:rsid w:val="004F0B8A"/>
    <w:rsid w:val="00516D0F"/>
    <w:rsid w:val="00531DD1"/>
    <w:rsid w:val="00534B86"/>
    <w:rsid w:val="005418CC"/>
    <w:rsid w:val="0054646F"/>
    <w:rsid w:val="00550910"/>
    <w:rsid w:val="005549CA"/>
    <w:rsid w:val="0057240D"/>
    <w:rsid w:val="0057249C"/>
    <w:rsid w:val="0059754F"/>
    <w:rsid w:val="005B3016"/>
    <w:rsid w:val="005B43C4"/>
    <w:rsid w:val="005C2632"/>
    <w:rsid w:val="005C3BB5"/>
    <w:rsid w:val="005D280A"/>
    <w:rsid w:val="005E23B8"/>
    <w:rsid w:val="005F400D"/>
    <w:rsid w:val="005F79F4"/>
    <w:rsid w:val="005F7B56"/>
    <w:rsid w:val="00611C38"/>
    <w:rsid w:val="00612504"/>
    <w:rsid w:val="0061526E"/>
    <w:rsid w:val="00621945"/>
    <w:rsid w:val="00622F67"/>
    <w:rsid w:val="00627C16"/>
    <w:rsid w:val="006339C2"/>
    <w:rsid w:val="00637133"/>
    <w:rsid w:val="006375CC"/>
    <w:rsid w:val="00655BF3"/>
    <w:rsid w:val="00661269"/>
    <w:rsid w:val="0067181A"/>
    <w:rsid w:val="00681190"/>
    <w:rsid w:val="0068516F"/>
    <w:rsid w:val="00693D2F"/>
    <w:rsid w:val="006A3889"/>
    <w:rsid w:val="006A6F0D"/>
    <w:rsid w:val="006B0B91"/>
    <w:rsid w:val="006B44CF"/>
    <w:rsid w:val="006B58AE"/>
    <w:rsid w:val="006C07EB"/>
    <w:rsid w:val="006C474A"/>
    <w:rsid w:val="006C7594"/>
    <w:rsid w:val="006E7D23"/>
    <w:rsid w:val="007156F0"/>
    <w:rsid w:val="00731C29"/>
    <w:rsid w:val="00732E33"/>
    <w:rsid w:val="007363B2"/>
    <w:rsid w:val="00750A7D"/>
    <w:rsid w:val="007615A5"/>
    <w:rsid w:val="00770577"/>
    <w:rsid w:val="00775232"/>
    <w:rsid w:val="007812EA"/>
    <w:rsid w:val="00782907"/>
    <w:rsid w:val="00792C01"/>
    <w:rsid w:val="007A6D1E"/>
    <w:rsid w:val="007B0AAF"/>
    <w:rsid w:val="007B5307"/>
    <w:rsid w:val="007B7F42"/>
    <w:rsid w:val="007C776C"/>
    <w:rsid w:val="007F2D29"/>
    <w:rsid w:val="0080299A"/>
    <w:rsid w:val="008171FA"/>
    <w:rsid w:val="008260F3"/>
    <w:rsid w:val="008307FC"/>
    <w:rsid w:val="00831CB0"/>
    <w:rsid w:val="008338C0"/>
    <w:rsid w:val="00833D15"/>
    <w:rsid w:val="008343D3"/>
    <w:rsid w:val="00840235"/>
    <w:rsid w:val="00842AD0"/>
    <w:rsid w:val="00847669"/>
    <w:rsid w:val="00854BDB"/>
    <w:rsid w:val="008617CB"/>
    <w:rsid w:val="00863ED0"/>
    <w:rsid w:val="00863F8A"/>
    <w:rsid w:val="0087631C"/>
    <w:rsid w:val="00877113"/>
    <w:rsid w:val="008816A8"/>
    <w:rsid w:val="008848BD"/>
    <w:rsid w:val="008849DB"/>
    <w:rsid w:val="008944CA"/>
    <w:rsid w:val="008C5915"/>
    <w:rsid w:val="008D2BAC"/>
    <w:rsid w:val="008D6E4B"/>
    <w:rsid w:val="008F2FDF"/>
    <w:rsid w:val="008F579E"/>
    <w:rsid w:val="008F5B1E"/>
    <w:rsid w:val="00901CCB"/>
    <w:rsid w:val="0090251C"/>
    <w:rsid w:val="00910291"/>
    <w:rsid w:val="009242C0"/>
    <w:rsid w:val="00932CDD"/>
    <w:rsid w:val="00933E42"/>
    <w:rsid w:val="00937AF3"/>
    <w:rsid w:val="00940933"/>
    <w:rsid w:val="00950E5C"/>
    <w:rsid w:val="00953D0A"/>
    <w:rsid w:val="00955550"/>
    <w:rsid w:val="00956333"/>
    <w:rsid w:val="009A029F"/>
    <w:rsid w:val="009A2C4F"/>
    <w:rsid w:val="009A6C8A"/>
    <w:rsid w:val="009B2519"/>
    <w:rsid w:val="009B54AA"/>
    <w:rsid w:val="009B6E86"/>
    <w:rsid w:val="009C2D01"/>
    <w:rsid w:val="009C36A4"/>
    <w:rsid w:val="009D5E99"/>
    <w:rsid w:val="009E280D"/>
    <w:rsid w:val="009E7D6D"/>
    <w:rsid w:val="009F0C2A"/>
    <w:rsid w:val="009F6661"/>
    <w:rsid w:val="009F78A7"/>
    <w:rsid w:val="00A1172C"/>
    <w:rsid w:val="00A46978"/>
    <w:rsid w:val="00A519D9"/>
    <w:rsid w:val="00A5205E"/>
    <w:rsid w:val="00A606D2"/>
    <w:rsid w:val="00A72535"/>
    <w:rsid w:val="00A770C6"/>
    <w:rsid w:val="00A8036D"/>
    <w:rsid w:val="00A81CE9"/>
    <w:rsid w:val="00A958F2"/>
    <w:rsid w:val="00AB5BE0"/>
    <w:rsid w:val="00AC2DFF"/>
    <w:rsid w:val="00AD776E"/>
    <w:rsid w:val="00AE53A8"/>
    <w:rsid w:val="00AE6330"/>
    <w:rsid w:val="00B06083"/>
    <w:rsid w:val="00B27517"/>
    <w:rsid w:val="00B30CD0"/>
    <w:rsid w:val="00B5652A"/>
    <w:rsid w:val="00B8798F"/>
    <w:rsid w:val="00B92D77"/>
    <w:rsid w:val="00B95F14"/>
    <w:rsid w:val="00BB7906"/>
    <w:rsid w:val="00BC1494"/>
    <w:rsid w:val="00BF2309"/>
    <w:rsid w:val="00BF5437"/>
    <w:rsid w:val="00C06A2E"/>
    <w:rsid w:val="00C11982"/>
    <w:rsid w:val="00C24F6B"/>
    <w:rsid w:val="00C272FC"/>
    <w:rsid w:val="00C3706C"/>
    <w:rsid w:val="00C4277B"/>
    <w:rsid w:val="00C44223"/>
    <w:rsid w:val="00C461BC"/>
    <w:rsid w:val="00C51D09"/>
    <w:rsid w:val="00C54105"/>
    <w:rsid w:val="00C541BE"/>
    <w:rsid w:val="00C649D1"/>
    <w:rsid w:val="00C70948"/>
    <w:rsid w:val="00C72751"/>
    <w:rsid w:val="00C72C61"/>
    <w:rsid w:val="00C76288"/>
    <w:rsid w:val="00C86D42"/>
    <w:rsid w:val="00C92640"/>
    <w:rsid w:val="00CB1186"/>
    <w:rsid w:val="00CC2B53"/>
    <w:rsid w:val="00CC6319"/>
    <w:rsid w:val="00CD039B"/>
    <w:rsid w:val="00CD1B94"/>
    <w:rsid w:val="00CF4882"/>
    <w:rsid w:val="00D0072F"/>
    <w:rsid w:val="00D10B8B"/>
    <w:rsid w:val="00D14A22"/>
    <w:rsid w:val="00D15719"/>
    <w:rsid w:val="00D22BA7"/>
    <w:rsid w:val="00D42E72"/>
    <w:rsid w:val="00D46767"/>
    <w:rsid w:val="00D508D4"/>
    <w:rsid w:val="00D520E2"/>
    <w:rsid w:val="00D7234C"/>
    <w:rsid w:val="00D72C76"/>
    <w:rsid w:val="00D73FC4"/>
    <w:rsid w:val="00D80C42"/>
    <w:rsid w:val="00D81232"/>
    <w:rsid w:val="00D87B43"/>
    <w:rsid w:val="00D925DD"/>
    <w:rsid w:val="00D97C5C"/>
    <w:rsid w:val="00DA424C"/>
    <w:rsid w:val="00DA4B64"/>
    <w:rsid w:val="00DA6D1F"/>
    <w:rsid w:val="00DB401D"/>
    <w:rsid w:val="00DB6F77"/>
    <w:rsid w:val="00DC5AEC"/>
    <w:rsid w:val="00DC5CC9"/>
    <w:rsid w:val="00DE0BDE"/>
    <w:rsid w:val="00DE22CB"/>
    <w:rsid w:val="00DE2808"/>
    <w:rsid w:val="00DE6D76"/>
    <w:rsid w:val="00DE7A96"/>
    <w:rsid w:val="00DF5881"/>
    <w:rsid w:val="00E256CC"/>
    <w:rsid w:val="00E31B9A"/>
    <w:rsid w:val="00E33041"/>
    <w:rsid w:val="00E41499"/>
    <w:rsid w:val="00E42784"/>
    <w:rsid w:val="00E43FA1"/>
    <w:rsid w:val="00E44036"/>
    <w:rsid w:val="00E442E6"/>
    <w:rsid w:val="00E44B94"/>
    <w:rsid w:val="00E45D88"/>
    <w:rsid w:val="00E46ACB"/>
    <w:rsid w:val="00E502CC"/>
    <w:rsid w:val="00E73DE4"/>
    <w:rsid w:val="00E87CAC"/>
    <w:rsid w:val="00E946D1"/>
    <w:rsid w:val="00EA6F77"/>
    <w:rsid w:val="00EB51EF"/>
    <w:rsid w:val="00ED58A4"/>
    <w:rsid w:val="00EE2E13"/>
    <w:rsid w:val="00EE6F0C"/>
    <w:rsid w:val="00EF2B1A"/>
    <w:rsid w:val="00F0075C"/>
    <w:rsid w:val="00F041CC"/>
    <w:rsid w:val="00F1497F"/>
    <w:rsid w:val="00F25BB0"/>
    <w:rsid w:val="00F25F60"/>
    <w:rsid w:val="00F26AF1"/>
    <w:rsid w:val="00F34C4E"/>
    <w:rsid w:val="00F40409"/>
    <w:rsid w:val="00F41AC4"/>
    <w:rsid w:val="00F43BD1"/>
    <w:rsid w:val="00F46C09"/>
    <w:rsid w:val="00F50FE8"/>
    <w:rsid w:val="00F70680"/>
    <w:rsid w:val="00F8732F"/>
    <w:rsid w:val="00F976BF"/>
    <w:rsid w:val="00FB6A31"/>
    <w:rsid w:val="00FB7BF0"/>
    <w:rsid w:val="00FC54AB"/>
    <w:rsid w:val="00FD3A58"/>
    <w:rsid w:val="00FE58E7"/>
    <w:rsid w:val="00FF0D94"/>
    <w:rsid w:val="01A20D08"/>
    <w:rsid w:val="035E2B6B"/>
    <w:rsid w:val="03A61FB7"/>
    <w:rsid w:val="03F048CE"/>
    <w:rsid w:val="042F7FE4"/>
    <w:rsid w:val="047A7CAC"/>
    <w:rsid w:val="04C838F1"/>
    <w:rsid w:val="054C7369"/>
    <w:rsid w:val="06AF7F33"/>
    <w:rsid w:val="073B3DDE"/>
    <w:rsid w:val="073C3D7C"/>
    <w:rsid w:val="07553582"/>
    <w:rsid w:val="07BF03FE"/>
    <w:rsid w:val="07C54C87"/>
    <w:rsid w:val="07CA6913"/>
    <w:rsid w:val="087B1EA4"/>
    <w:rsid w:val="088C6A10"/>
    <w:rsid w:val="09E34AFA"/>
    <w:rsid w:val="09F9519C"/>
    <w:rsid w:val="0A2A7254"/>
    <w:rsid w:val="0A4111E8"/>
    <w:rsid w:val="0A750739"/>
    <w:rsid w:val="0B275F39"/>
    <w:rsid w:val="0B437A90"/>
    <w:rsid w:val="0BCB5921"/>
    <w:rsid w:val="0C4C22B2"/>
    <w:rsid w:val="0CF51CBF"/>
    <w:rsid w:val="0D200078"/>
    <w:rsid w:val="0D4C32E0"/>
    <w:rsid w:val="0D544AED"/>
    <w:rsid w:val="0E1D2A3F"/>
    <w:rsid w:val="0E6051D2"/>
    <w:rsid w:val="0ED168E7"/>
    <w:rsid w:val="0F697138"/>
    <w:rsid w:val="0FC129C3"/>
    <w:rsid w:val="0FCE5CBB"/>
    <w:rsid w:val="101F78F4"/>
    <w:rsid w:val="10BB75B3"/>
    <w:rsid w:val="10C61FE7"/>
    <w:rsid w:val="10CB4D5C"/>
    <w:rsid w:val="10DE1F76"/>
    <w:rsid w:val="117E65E0"/>
    <w:rsid w:val="122854B1"/>
    <w:rsid w:val="127C63A7"/>
    <w:rsid w:val="128E3D25"/>
    <w:rsid w:val="13357098"/>
    <w:rsid w:val="1339776A"/>
    <w:rsid w:val="143636AC"/>
    <w:rsid w:val="15A16DF4"/>
    <w:rsid w:val="161E6795"/>
    <w:rsid w:val="16D16E4F"/>
    <w:rsid w:val="17262E12"/>
    <w:rsid w:val="174D35FA"/>
    <w:rsid w:val="174D6BF0"/>
    <w:rsid w:val="184D5B69"/>
    <w:rsid w:val="18681FD0"/>
    <w:rsid w:val="186B68BE"/>
    <w:rsid w:val="18BB7419"/>
    <w:rsid w:val="18D753E0"/>
    <w:rsid w:val="1A4E69C0"/>
    <w:rsid w:val="1ACE5C7B"/>
    <w:rsid w:val="1B626870"/>
    <w:rsid w:val="1BB90E2F"/>
    <w:rsid w:val="1BDF8694"/>
    <w:rsid w:val="1C2F6E4B"/>
    <w:rsid w:val="1C4701E9"/>
    <w:rsid w:val="1CB124C6"/>
    <w:rsid w:val="1D8E3BF5"/>
    <w:rsid w:val="1DEB7541"/>
    <w:rsid w:val="1E4068CA"/>
    <w:rsid w:val="1EF0191D"/>
    <w:rsid w:val="1F5744B0"/>
    <w:rsid w:val="1F8806A9"/>
    <w:rsid w:val="1FA353DF"/>
    <w:rsid w:val="20A16631"/>
    <w:rsid w:val="20F67384"/>
    <w:rsid w:val="21C467EA"/>
    <w:rsid w:val="21CE650A"/>
    <w:rsid w:val="22136545"/>
    <w:rsid w:val="222A4668"/>
    <w:rsid w:val="226C45BA"/>
    <w:rsid w:val="235A62C6"/>
    <w:rsid w:val="24211365"/>
    <w:rsid w:val="24945F95"/>
    <w:rsid w:val="24C21AC5"/>
    <w:rsid w:val="257B169F"/>
    <w:rsid w:val="26025032"/>
    <w:rsid w:val="26174BE3"/>
    <w:rsid w:val="26485289"/>
    <w:rsid w:val="26776848"/>
    <w:rsid w:val="26FF6D91"/>
    <w:rsid w:val="272A0E33"/>
    <w:rsid w:val="278C6990"/>
    <w:rsid w:val="27935988"/>
    <w:rsid w:val="2807698A"/>
    <w:rsid w:val="289763B0"/>
    <w:rsid w:val="28A8200F"/>
    <w:rsid w:val="28C46D94"/>
    <w:rsid w:val="294E18B8"/>
    <w:rsid w:val="297F0DFE"/>
    <w:rsid w:val="299F0823"/>
    <w:rsid w:val="29A14C26"/>
    <w:rsid w:val="2A166BB6"/>
    <w:rsid w:val="2B047C6B"/>
    <w:rsid w:val="2B0F7993"/>
    <w:rsid w:val="2B4416A1"/>
    <w:rsid w:val="2B9126D6"/>
    <w:rsid w:val="2B9351F9"/>
    <w:rsid w:val="2BA36D02"/>
    <w:rsid w:val="2C1C329B"/>
    <w:rsid w:val="2C6D612C"/>
    <w:rsid w:val="2C736DB2"/>
    <w:rsid w:val="2CC2042C"/>
    <w:rsid w:val="2D1A278F"/>
    <w:rsid w:val="2D4F1217"/>
    <w:rsid w:val="2DE979D9"/>
    <w:rsid w:val="2E0F1070"/>
    <w:rsid w:val="2E486F82"/>
    <w:rsid w:val="2E644734"/>
    <w:rsid w:val="2E984F24"/>
    <w:rsid w:val="2FE8179D"/>
    <w:rsid w:val="2FFC3526"/>
    <w:rsid w:val="2FFF8F9D"/>
    <w:rsid w:val="30180DEF"/>
    <w:rsid w:val="306F60F1"/>
    <w:rsid w:val="30AB035F"/>
    <w:rsid w:val="30BF439A"/>
    <w:rsid w:val="313E3759"/>
    <w:rsid w:val="31973861"/>
    <w:rsid w:val="31B26800"/>
    <w:rsid w:val="31CC69B1"/>
    <w:rsid w:val="31EE13DB"/>
    <w:rsid w:val="320D41BC"/>
    <w:rsid w:val="320F607C"/>
    <w:rsid w:val="3214225A"/>
    <w:rsid w:val="324871FD"/>
    <w:rsid w:val="3296309C"/>
    <w:rsid w:val="33B71CA0"/>
    <w:rsid w:val="33E83863"/>
    <w:rsid w:val="343F65FA"/>
    <w:rsid w:val="347A79C5"/>
    <w:rsid w:val="34A56ABE"/>
    <w:rsid w:val="34D33B21"/>
    <w:rsid w:val="35172FAF"/>
    <w:rsid w:val="35510097"/>
    <w:rsid w:val="355C3D79"/>
    <w:rsid w:val="357240D1"/>
    <w:rsid w:val="35815A1F"/>
    <w:rsid w:val="35B80378"/>
    <w:rsid w:val="368228DB"/>
    <w:rsid w:val="369E7FE3"/>
    <w:rsid w:val="369F0480"/>
    <w:rsid w:val="36E9070D"/>
    <w:rsid w:val="37887E9F"/>
    <w:rsid w:val="37F81370"/>
    <w:rsid w:val="389E342F"/>
    <w:rsid w:val="390F5ACA"/>
    <w:rsid w:val="395F028C"/>
    <w:rsid w:val="39DE5463"/>
    <w:rsid w:val="3A05520B"/>
    <w:rsid w:val="3A1E4827"/>
    <w:rsid w:val="3A3A0C6C"/>
    <w:rsid w:val="3AAF0A3B"/>
    <w:rsid w:val="3B15204A"/>
    <w:rsid w:val="3C0C63DA"/>
    <w:rsid w:val="3C1F6635"/>
    <w:rsid w:val="3C471DDE"/>
    <w:rsid w:val="3C850F66"/>
    <w:rsid w:val="3CD967E3"/>
    <w:rsid w:val="3CE422CD"/>
    <w:rsid w:val="3D061298"/>
    <w:rsid w:val="3D0D3A73"/>
    <w:rsid w:val="3DB37DF3"/>
    <w:rsid w:val="3DBD055D"/>
    <w:rsid w:val="3DE6508E"/>
    <w:rsid w:val="3E803645"/>
    <w:rsid w:val="3EBFDF7A"/>
    <w:rsid w:val="3F9A5C9B"/>
    <w:rsid w:val="3FC30E72"/>
    <w:rsid w:val="3FC610C5"/>
    <w:rsid w:val="3FDF9036"/>
    <w:rsid w:val="3FED20A1"/>
    <w:rsid w:val="3FFFF99E"/>
    <w:rsid w:val="40A7234E"/>
    <w:rsid w:val="40E119AF"/>
    <w:rsid w:val="41364871"/>
    <w:rsid w:val="4147776D"/>
    <w:rsid w:val="42075F8D"/>
    <w:rsid w:val="425B0947"/>
    <w:rsid w:val="42E04428"/>
    <w:rsid w:val="43C27FD1"/>
    <w:rsid w:val="44660FA6"/>
    <w:rsid w:val="452260E0"/>
    <w:rsid w:val="460A2F5D"/>
    <w:rsid w:val="465C1FA0"/>
    <w:rsid w:val="46613CC5"/>
    <w:rsid w:val="46AD0E83"/>
    <w:rsid w:val="46CF6FC1"/>
    <w:rsid w:val="47412F0D"/>
    <w:rsid w:val="476F3BFA"/>
    <w:rsid w:val="47757FDE"/>
    <w:rsid w:val="483E2405"/>
    <w:rsid w:val="48585697"/>
    <w:rsid w:val="488035FE"/>
    <w:rsid w:val="48F826E7"/>
    <w:rsid w:val="49BC4CC1"/>
    <w:rsid w:val="49EB1248"/>
    <w:rsid w:val="4AFFB8CF"/>
    <w:rsid w:val="4B343C6E"/>
    <w:rsid w:val="4B621089"/>
    <w:rsid w:val="4BAA6525"/>
    <w:rsid w:val="4C8434EB"/>
    <w:rsid w:val="4D0C7AFF"/>
    <w:rsid w:val="4D5A5F05"/>
    <w:rsid w:val="4E4D1489"/>
    <w:rsid w:val="4E5C2CCA"/>
    <w:rsid w:val="4E6A1F5D"/>
    <w:rsid w:val="4EE979C4"/>
    <w:rsid w:val="4FE70564"/>
    <w:rsid w:val="4FE847EE"/>
    <w:rsid w:val="501834C8"/>
    <w:rsid w:val="514C4FBA"/>
    <w:rsid w:val="5166236E"/>
    <w:rsid w:val="519010D8"/>
    <w:rsid w:val="51B121A6"/>
    <w:rsid w:val="52971F3B"/>
    <w:rsid w:val="536C04C0"/>
    <w:rsid w:val="537452A1"/>
    <w:rsid w:val="537F7BD3"/>
    <w:rsid w:val="53EE6BC1"/>
    <w:rsid w:val="542140F1"/>
    <w:rsid w:val="545028F8"/>
    <w:rsid w:val="54797F78"/>
    <w:rsid w:val="548060EE"/>
    <w:rsid w:val="548E5AA8"/>
    <w:rsid w:val="54B77BD0"/>
    <w:rsid w:val="55643213"/>
    <w:rsid w:val="55CB41D3"/>
    <w:rsid w:val="56A319F5"/>
    <w:rsid w:val="56B26546"/>
    <w:rsid w:val="57587F96"/>
    <w:rsid w:val="57D053BF"/>
    <w:rsid w:val="57D2645E"/>
    <w:rsid w:val="582D373C"/>
    <w:rsid w:val="5887291E"/>
    <w:rsid w:val="590D421A"/>
    <w:rsid w:val="59865E4C"/>
    <w:rsid w:val="5A6372E4"/>
    <w:rsid w:val="5ACA2F6B"/>
    <w:rsid w:val="5B203077"/>
    <w:rsid w:val="5B4A27A9"/>
    <w:rsid w:val="5B4D248A"/>
    <w:rsid w:val="5B953DC6"/>
    <w:rsid w:val="5B9B2AB0"/>
    <w:rsid w:val="5C257E64"/>
    <w:rsid w:val="5CD05CB0"/>
    <w:rsid w:val="5CD61566"/>
    <w:rsid w:val="5D4706AB"/>
    <w:rsid w:val="5D942587"/>
    <w:rsid w:val="5DCD8DBD"/>
    <w:rsid w:val="5DEFC2CC"/>
    <w:rsid w:val="5E550425"/>
    <w:rsid w:val="5E9F45FC"/>
    <w:rsid w:val="5EAA7949"/>
    <w:rsid w:val="5ECF45DD"/>
    <w:rsid w:val="5F5EB5A0"/>
    <w:rsid w:val="5FEB730D"/>
    <w:rsid w:val="5FEE6740"/>
    <w:rsid w:val="5FF96FBA"/>
    <w:rsid w:val="603D68BF"/>
    <w:rsid w:val="606636B2"/>
    <w:rsid w:val="60F8056E"/>
    <w:rsid w:val="61504DA0"/>
    <w:rsid w:val="616B1A3E"/>
    <w:rsid w:val="61F14E9B"/>
    <w:rsid w:val="621524F9"/>
    <w:rsid w:val="62561FBB"/>
    <w:rsid w:val="6262139F"/>
    <w:rsid w:val="62724E61"/>
    <w:rsid w:val="63172A9D"/>
    <w:rsid w:val="63490D7A"/>
    <w:rsid w:val="639C2FFC"/>
    <w:rsid w:val="63D45703"/>
    <w:rsid w:val="63F82662"/>
    <w:rsid w:val="64102E9A"/>
    <w:rsid w:val="643527A6"/>
    <w:rsid w:val="64460353"/>
    <w:rsid w:val="644D69F3"/>
    <w:rsid w:val="64556790"/>
    <w:rsid w:val="65E03316"/>
    <w:rsid w:val="663A7A43"/>
    <w:rsid w:val="66A86398"/>
    <w:rsid w:val="66C93BC4"/>
    <w:rsid w:val="66F828BB"/>
    <w:rsid w:val="67032E42"/>
    <w:rsid w:val="67044AD0"/>
    <w:rsid w:val="67401799"/>
    <w:rsid w:val="67463C58"/>
    <w:rsid w:val="67512147"/>
    <w:rsid w:val="67A07475"/>
    <w:rsid w:val="67AA26BC"/>
    <w:rsid w:val="67F841FC"/>
    <w:rsid w:val="67FE0CD3"/>
    <w:rsid w:val="68114252"/>
    <w:rsid w:val="68564607"/>
    <w:rsid w:val="68E36170"/>
    <w:rsid w:val="69B83AE9"/>
    <w:rsid w:val="6A5EE2B2"/>
    <w:rsid w:val="6AFE64CE"/>
    <w:rsid w:val="6B2256F0"/>
    <w:rsid w:val="6B6A4886"/>
    <w:rsid w:val="6BD055E9"/>
    <w:rsid w:val="6C5162EE"/>
    <w:rsid w:val="6C571330"/>
    <w:rsid w:val="6CD606E4"/>
    <w:rsid w:val="6DAC56CB"/>
    <w:rsid w:val="6E337B9A"/>
    <w:rsid w:val="6E474C01"/>
    <w:rsid w:val="6EA53722"/>
    <w:rsid w:val="6EB79A26"/>
    <w:rsid w:val="6EF61836"/>
    <w:rsid w:val="6EFB77F4"/>
    <w:rsid w:val="6FB62A25"/>
    <w:rsid w:val="706F1447"/>
    <w:rsid w:val="71AC19D1"/>
    <w:rsid w:val="71FC4BC8"/>
    <w:rsid w:val="726712D4"/>
    <w:rsid w:val="72C02DAB"/>
    <w:rsid w:val="735D4963"/>
    <w:rsid w:val="737B2A10"/>
    <w:rsid w:val="73A05019"/>
    <w:rsid w:val="73AF6468"/>
    <w:rsid w:val="73B76B77"/>
    <w:rsid w:val="744D15B4"/>
    <w:rsid w:val="74702036"/>
    <w:rsid w:val="749D77B4"/>
    <w:rsid w:val="74C4478D"/>
    <w:rsid w:val="75621F0C"/>
    <w:rsid w:val="75FF6BE3"/>
    <w:rsid w:val="76643C78"/>
    <w:rsid w:val="76712CC7"/>
    <w:rsid w:val="767F3764"/>
    <w:rsid w:val="76BC480D"/>
    <w:rsid w:val="76FA1A37"/>
    <w:rsid w:val="7708069C"/>
    <w:rsid w:val="77321C6A"/>
    <w:rsid w:val="773A0A2A"/>
    <w:rsid w:val="77FC3E39"/>
    <w:rsid w:val="77FF0A92"/>
    <w:rsid w:val="7856247A"/>
    <w:rsid w:val="788E3505"/>
    <w:rsid w:val="78D94594"/>
    <w:rsid w:val="79957CDD"/>
    <w:rsid w:val="79CA77C7"/>
    <w:rsid w:val="79F21A44"/>
    <w:rsid w:val="7A7625E8"/>
    <w:rsid w:val="7B372F54"/>
    <w:rsid w:val="7B4421D0"/>
    <w:rsid w:val="7BFA42D6"/>
    <w:rsid w:val="7BFE705F"/>
    <w:rsid w:val="7CA656F0"/>
    <w:rsid w:val="7D0D247C"/>
    <w:rsid w:val="7D5D468A"/>
    <w:rsid w:val="7DB43917"/>
    <w:rsid w:val="7DF8CE1D"/>
    <w:rsid w:val="7E3F44F9"/>
    <w:rsid w:val="7EDF4CD4"/>
    <w:rsid w:val="7EEE4DCE"/>
    <w:rsid w:val="7EFED3D6"/>
    <w:rsid w:val="7F6DD9D6"/>
    <w:rsid w:val="7F7BFB89"/>
    <w:rsid w:val="7F8E4C30"/>
    <w:rsid w:val="7FD91515"/>
    <w:rsid w:val="7FE00A8C"/>
    <w:rsid w:val="7FEF0A3B"/>
    <w:rsid w:val="7FF34860"/>
    <w:rsid w:val="7FFFC7FB"/>
    <w:rsid w:val="8DF290A6"/>
    <w:rsid w:val="97E70EBA"/>
    <w:rsid w:val="9FAE6436"/>
    <w:rsid w:val="9FF77A3B"/>
    <w:rsid w:val="AB7F41D8"/>
    <w:rsid w:val="BDED3721"/>
    <w:rsid w:val="BEEFF6C3"/>
    <w:rsid w:val="BEFF3A15"/>
    <w:rsid w:val="BF7E2088"/>
    <w:rsid w:val="BFBB9D8C"/>
    <w:rsid w:val="CD7FB96E"/>
    <w:rsid w:val="CFBDE440"/>
    <w:rsid w:val="D7D011C9"/>
    <w:rsid w:val="E2EF1866"/>
    <w:rsid w:val="EB7B1EDB"/>
    <w:rsid w:val="EBDDDFA6"/>
    <w:rsid w:val="EECFFF06"/>
    <w:rsid w:val="EF7F0CF7"/>
    <w:rsid w:val="EFD573CE"/>
    <w:rsid w:val="EFD9C111"/>
    <w:rsid w:val="F2FFF8C7"/>
    <w:rsid w:val="F61F88AD"/>
    <w:rsid w:val="F6BF87D7"/>
    <w:rsid w:val="F6ED930D"/>
    <w:rsid w:val="F71F5970"/>
    <w:rsid w:val="F7F70D47"/>
    <w:rsid w:val="F93F971D"/>
    <w:rsid w:val="F9EFBDFB"/>
    <w:rsid w:val="FAFEB014"/>
    <w:rsid w:val="FBBD8119"/>
    <w:rsid w:val="FCD94501"/>
    <w:rsid w:val="FDF7D919"/>
    <w:rsid w:val="FEFF5CE6"/>
    <w:rsid w:val="FF761811"/>
    <w:rsid w:val="FFAB6143"/>
    <w:rsid w:val="FFBEEDA9"/>
    <w:rsid w:val="FFEF453D"/>
    <w:rsid w:val="FFFBC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黑体"/>
      <w:snapToGrid w:val="0"/>
      <w:sz w:val="32"/>
      <w:szCs w:val="22"/>
      <w:lang w:val="en-US" w:eastAsia="zh-CN" w:bidi="ar-SA"/>
    </w:rPr>
  </w:style>
  <w:style w:type="paragraph" w:styleId="3">
    <w:name w:val="heading 1"/>
    <w:basedOn w:val="1"/>
    <w:next w:val="1"/>
    <w:link w:val="38"/>
    <w:qFormat/>
    <w:uiPriority w:val="9"/>
    <w:pPr>
      <w:keepNext/>
      <w:keepLines/>
      <w:spacing w:before="340" w:after="330" w:line="576" w:lineRule="auto"/>
      <w:outlineLvl w:val="0"/>
    </w:pPr>
    <w:rPr>
      <w:b/>
      <w:kern w:val="44"/>
      <w:sz w:val="44"/>
    </w:rPr>
  </w:style>
  <w:style w:type="paragraph" w:styleId="4">
    <w:name w:val="heading 2"/>
    <w:basedOn w:val="1"/>
    <w:next w:val="1"/>
    <w:link w:val="37"/>
    <w:unhideWhenUsed/>
    <w:qFormat/>
    <w:uiPriority w:val="9"/>
    <w:pPr>
      <w:keepNext/>
      <w:keepLines/>
      <w:spacing w:before="260" w:after="260" w:line="413" w:lineRule="auto"/>
      <w:outlineLvl w:val="1"/>
    </w:pPr>
    <w:rPr>
      <w:rFonts w:ascii="Arial" w:hAnsi="Arial" w:eastAsia="黑体"/>
      <w:b/>
    </w:rPr>
  </w:style>
  <w:style w:type="paragraph" w:styleId="5">
    <w:name w:val="heading 3"/>
    <w:basedOn w:val="1"/>
    <w:next w:val="1"/>
    <w:link w:val="39"/>
    <w:unhideWhenUsed/>
    <w:qFormat/>
    <w:uiPriority w:val="9"/>
    <w:pPr>
      <w:keepNext/>
      <w:keepLines/>
      <w:spacing w:before="260" w:after="260" w:line="416" w:lineRule="auto"/>
      <w:outlineLvl w:val="2"/>
    </w:pPr>
    <w:rPr>
      <w:b/>
      <w:bCs/>
      <w:szCs w:val="32"/>
    </w:rPr>
  </w:style>
  <w:style w:type="paragraph" w:styleId="6">
    <w:name w:val="heading 4"/>
    <w:basedOn w:val="1"/>
    <w:next w:val="1"/>
    <w:link w:val="36"/>
    <w:unhideWhenUsed/>
    <w:qFormat/>
    <w:uiPriority w:val="9"/>
    <w:pPr>
      <w:keepNext/>
      <w:keepLines/>
      <w:spacing w:line="360" w:lineRule="auto"/>
      <w:ind w:firstLine="200" w:firstLineChars="200"/>
      <w:jc w:val="left"/>
      <w:outlineLvl w:val="3"/>
    </w:pPr>
    <w:rPr>
      <w:rFonts w:eastAsia="仿宋" w:asciiTheme="majorHAnsi" w:hAnsiTheme="majorHAnsi" w:cstheme="majorBidi"/>
      <w:b/>
      <w:bCs/>
      <w:snapToGrid/>
      <w:kern w:val="2"/>
      <w:szCs w:val="28"/>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7">
    <w:name w:val="annotation text"/>
    <w:basedOn w:val="1"/>
    <w:link w:val="31"/>
    <w:unhideWhenUsed/>
    <w:qFormat/>
    <w:uiPriority w:val="99"/>
    <w:pPr>
      <w:jc w:val="left"/>
    </w:pPr>
  </w:style>
  <w:style w:type="paragraph" w:styleId="8">
    <w:name w:val="Body Text Indent"/>
    <w:basedOn w:val="1"/>
    <w:qFormat/>
    <w:uiPriority w:val="99"/>
    <w:pPr>
      <w:spacing w:after="120"/>
      <w:ind w:left="420" w:leftChars="200"/>
    </w:pPr>
  </w:style>
  <w:style w:type="paragraph" w:styleId="9">
    <w:name w:val="Date"/>
    <w:basedOn w:val="1"/>
    <w:next w:val="1"/>
    <w:link w:val="25"/>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snapToGrid/>
      <w:color w:val="000000"/>
      <w:sz w:val="24"/>
      <w:szCs w:val="24"/>
    </w:rPr>
  </w:style>
  <w:style w:type="paragraph" w:styleId="14">
    <w:name w:val="annotation subject"/>
    <w:basedOn w:val="7"/>
    <w:next w:val="7"/>
    <w:link w:val="35"/>
    <w:unhideWhenUsed/>
    <w:qFormat/>
    <w:uiPriority w:val="99"/>
    <w:rPr>
      <w:b/>
      <w:bCs/>
    </w:rPr>
  </w:style>
  <w:style w:type="paragraph" w:styleId="15">
    <w:name w:val="Body Text First Indent 2"/>
    <w:basedOn w:val="8"/>
    <w:qFormat/>
    <w:uiPriority w:val="0"/>
    <w:pPr>
      <w:spacing w:after="0"/>
      <w:ind w:left="0" w:leftChars="0"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Theme"/>
    <w:basedOn w:val="16"/>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annotation reference"/>
    <w:basedOn w:val="19"/>
    <w:unhideWhenUsed/>
    <w:qFormat/>
    <w:uiPriority w:val="99"/>
    <w:rPr>
      <w:sz w:val="21"/>
      <w:szCs w:val="21"/>
    </w:rPr>
  </w:style>
  <w:style w:type="character" w:customStyle="1" w:styleId="22">
    <w:name w:val="批注框文本 字符"/>
    <w:basedOn w:val="19"/>
    <w:link w:val="10"/>
    <w:semiHidden/>
    <w:qFormat/>
    <w:uiPriority w:val="99"/>
    <w:rPr>
      <w:rFonts w:eastAsia="仿宋_GB2312"/>
      <w:snapToGrid w:val="0"/>
      <w:kern w:val="0"/>
      <w:sz w:val="18"/>
      <w:szCs w:val="18"/>
    </w:rPr>
  </w:style>
  <w:style w:type="character" w:customStyle="1" w:styleId="23">
    <w:name w:val="页眉 字符"/>
    <w:basedOn w:val="19"/>
    <w:link w:val="12"/>
    <w:qFormat/>
    <w:uiPriority w:val="99"/>
    <w:rPr>
      <w:rFonts w:eastAsia="仿宋_GB2312"/>
      <w:snapToGrid w:val="0"/>
      <w:kern w:val="0"/>
      <w:sz w:val="18"/>
      <w:szCs w:val="18"/>
    </w:rPr>
  </w:style>
  <w:style w:type="character" w:customStyle="1" w:styleId="24">
    <w:name w:val="页脚 字符"/>
    <w:basedOn w:val="19"/>
    <w:link w:val="11"/>
    <w:qFormat/>
    <w:uiPriority w:val="99"/>
    <w:rPr>
      <w:rFonts w:eastAsia="仿宋_GB2312"/>
      <w:snapToGrid w:val="0"/>
      <w:kern w:val="0"/>
      <w:sz w:val="18"/>
      <w:szCs w:val="18"/>
    </w:rPr>
  </w:style>
  <w:style w:type="character" w:customStyle="1" w:styleId="25">
    <w:name w:val="日期 字符"/>
    <w:basedOn w:val="19"/>
    <w:link w:val="9"/>
    <w:semiHidden/>
    <w:qFormat/>
    <w:uiPriority w:val="99"/>
    <w:rPr>
      <w:rFonts w:eastAsia="仿宋_GB2312"/>
      <w:snapToGrid w:val="0"/>
      <w:kern w:val="0"/>
      <w:sz w:val="32"/>
    </w:rPr>
  </w:style>
  <w:style w:type="paragraph" w:customStyle="1" w:styleId="2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paragraph" w:customStyle="1" w:styleId="27">
    <w:name w:val="列出段落1"/>
    <w:basedOn w:val="1"/>
    <w:qFormat/>
    <w:uiPriority w:val="34"/>
    <w:pPr>
      <w:ind w:firstLine="420" w:firstLineChars="200"/>
    </w:pPr>
    <w:rPr>
      <w:rFonts w:asciiTheme="minorHAnsi" w:hAnsiTheme="minorHAnsi" w:eastAsiaTheme="minorEastAsia" w:cstheme="minorBidi"/>
    </w:rPr>
  </w:style>
  <w:style w:type="paragraph" w:customStyle="1" w:styleId="28">
    <w:name w:val="列表段落1"/>
    <w:basedOn w:val="1"/>
    <w:qFormat/>
    <w:uiPriority w:val="34"/>
    <w:pPr>
      <w:ind w:firstLine="420" w:firstLineChars="200"/>
    </w:pPr>
  </w:style>
  <w:style w:type="paragraph" w:customStyle="1" w:styleId="29">
    <w:name w:val="列表段落2"/>
    <w:qFormat/>
    <w:uiPriority w:val="34"/>
    <w:pPr>
      <w:framePr w:wrap="around" w:vAnchor="margin" w:hAnchor="text" w:y="1"/>
      <w:widowControl w:val="0"/>
      <w:ind w:firstLine="420"/>
      <w:jc w:val="both"/>
    </w:pPr>
    <w:rPr>
      <w:rFonts w:ascii="等线" w:hAnsi="等线" w:eastAsia="等线" w:cs="等线"/>
      <w:color w:val="000000"/>
      <w:kern w:val="2"/>
      <w:sz w:val="21"/>
      <w:szCs w:val="21"/>
      <w:u w:color="000000"/>
      <w:lang w:val="en-US" w:eastAsia="zh-CN" w:bidi="ar-SA"/>
    </w:rPr>
  </w:style>
  <w:style w:type="character" w:customStyle="1" w:styleId="30">
    <w:name w:val="font21"/>
    <w:basedOn w:val="19"/>
    <w:qFormat/>
    <w:uiPriority w:val="0"/>
    <w:rPr>
      <w:rFonts w:hint="eastAsia" w:ascii="微软雅黑" w:hAnsi="微软雅黑" w:eastAsia="微软雅黑" w:cs="微软雅黑"/>
      <w:color w:val="000000"/>
      <w:sz w:val="22"/>
      <w:szCs w:val="22"/>
      <w:u w:val="none"/>
    </w:rPr>
  </w:style>
  <w:style w:type="character" w:customStyle="1" w:styleId="31">
    <w:name w:val="批注文字 字符"/>
    <w:link w:val="7"/>
    <w:qFormat/>
    <w:uiPriority w:val="99"/>
    <w:rPr>
      <w:rFonts w:ascii="等线" w:hAnsi="等线" w:eastAsia="仿宋_GB2312" w:cs="黑体"/>
      <w:snapToGrid w:val="0"/>
      <w:sz w:val="32"/>
      <w:szCs w:val="22"/>
    </w:rPr>
  </w:style>
  <w:style w:type="character" w:customStyle="1" w:styleId="32">
    <w:name w:val="段标题 Char"/>
    <w:link w:val="33"/>
    <w:qFormat/>
    <w:uiPriority w:val="0"/>
    <w:rPr>
      <w:rFonts w:ascii="黑体" w:hAnsi="黑体" w:eastAsia="黑体" w:cs="黑体"/>
      <w:sz w:val="32"/>
      <w:szCs w:val="32"/>
    </w:rPr>
  </w:style>
  <w:style w:type="paragraph" w:customStyle="1" w:styleId="33">
    <w:name w:val="段标题"/>
    <w:basedOn w:val="1"/>
    <w:link w:val="32"/>
    <w:qFormat/>
    <w:uiPriority w:val="0"/>
    <w:pPr>
      <w:spacing w:line="560" w:lineRule="exact"/>
      <w:ind w:firstLine="640" w:firstLineChars="200"/>
    </w:pPr>
    <w:rPr>
      <w:rFonts w:hint="eastAsia" w:ascii="黑体" w:hAnsi="黑体" w:eastAsia="黑体"/>
      <w:snapToGrid/>
      <w:szCs w:val="32"/>
    </w:rPr>
  </w:style>
  <w:style w:type="paragraph" w:customStyle="1" w:styleId="34">
    <w:name w:val="修订1"/>
    <w:hidden/>
    <w:semiHidden/>
    <w:qFormat/>
    <w:uiPriority w:val="99"/>
    <w:rPr>
      <w:rFonts w:ascii="等线" w:hAnsi="等线" w:eastAsia="仿宋_GB2312" w:cs="黑体"/>
      <w:snapToGrid w:val="0"/>
      <w:sz w:val="32"/>
      <w:szCs w:val="22"/>
      <w:lang w:val="en-US" w:eastAsia="zh-CN" w:bidi="ar-SA"/>
    </w:rPr>
  </w:style>
  <w:style w:type="character" w:customStyle="1" w:styleId="35">
    <w:name w:val="批注主题 字符"/>
    <w:basedOn w:val="31"/>
    <w:link w:val="14"/>
    <w:semiHidden/>
    <w:qFormat/>
    <w:uiPriority w:val="99"/>
    <w:rPr>
      <w:rFonts w:ascii="等线" w:hAnsi="等线" w:eastAsia="仿宋_GB2312" w:cs="黑体"/>
      <w:b/>
      <w:bCs/>
      <w:snapToGrid w:val="0"/>
      <w:sz w:val="32"/>
      <w:szCs w:val="22"/>
    </w:rPr>
  </w:style>
  <w:style w:type="character" w:customStyle="1" w:styleId="36">
    <w:name w:val="标题 4 字符"/>
    <w:basedOn w:val="19"/>
    <w:link w:val="6"/>
    <w:qFormat/>
    <w:uiPriority w:val="9"/>
    <w:rPr>
      <w:rFonts w:eastAsia="仿宋" w:asciiTheme="majorHAnsi" w:hAnsiTheme="majorHAnsi" w:cstheme="majorBidi"/>
      <w:b/>
      <w:bCs/>
      <w:kern w:val="2"/>
      <w:sz w:val="32"/>
      <w:szCs w:val="28"/>
    </w:rPr>
  </w:style>
  <w:style w:type="character" w:customStyle="1" w:styleId="37">
    <w:name w:val="标题 2 字符"/>
    <w:basedOn w:val="19"/>
    <w:link w:val="4"/>
    <w:qFormat/>
    <w:uiPriority w:val="9"/>
    <w:rPr>
      <w:rFonts w:ascii="Arial" w:hAnsi="Arial" w:eastAsia="黑体" w:cs="黑体"/>
      <w:b/>
      <w:snapToGrid w:val="0"/>
      <w:sz w:val="32"/>
      <w:szCs w:val="22"/>
    </w:rPr>
  </w:style>
  <w:style w:type="character" w:customStyle="1" w:styleId="38">
    <w:name w:val="标题 1 字符"/>
    <w:basedOn w:val="19"/>
    <w:link w:val="3"/>
    <w:qFormat/>
    <w:uiPriority w:val="9"/>
    <w:rPr>
      <w:rFonts w:ascii="等线" w:hAnsi="等线" w:eastAsia="仿宋_GB2312" w:cs="黑体"/>
      <w:b/>
      <w:snapToGrid w:val="0"/>
      <w:kern w:val="44"/>
      <w:sz w:val="44"/>
      <w:szCs w:val="22"/>
    </w:rPr>
  </w:style>
  <w:style w:type="character" w:customStyle="1" w:styleId="39">
    <w:name w:val="标题 3 字符"/>
    <w:basedOn w:val="19"/>
    <w:link w:val="5"/>
    <w:qFormat/>
    <w:uiPriority w:val="9"/>
    <w:rPr>
      <w:rFonts w:ascii="等线" w:hAnsi="等线" w:eastAsia="仿宋_GB2312" w:cs="黑体"/>
      <w:b/>
      <w:bCs/>
      <w:snapToGrid w:val="0"/>
      <w:sz w:val="32"/>
      <w:szCs w:val="32"/>
    </w:rPr>
  </w:style>
  <w:style w:type="paragraph" w:customStyle="1" w:styleId="40">
    <w:name w:val="表格"/>
    <w:basedOn w:val="1"/>
    <w:qFormat/>
    <w:uiPriority w:val="0"/>
    <w:pPr>
      <w:spacing w:line="360" w:lineRule="auto"/>
      <w:jc w:val="center"/>
    </w:pPr>
    <w:rPr>
      <w:rFonts w:ascii="Times New Roman" w:hAnsi="Times New Roman" w:cs="Times New Roman"/>
      <w:snapToGrid/>
      <w:kern w:val="2"/>
      <w:sz w:val="24"/>
      <w:szCs w:val="32"/>
    </w:rPr>
  </w:style>
  <w:style w:type="paragraph" w:customStyle="1" w:styleId="41">
    <w:name w:val="修订2"/>
    <w:hidden/>
    <w:semiHidden/>
    <w:qFormat/>
    <w:uiPriority w:val="99"/>
    <w:rPr>
      <w:rFonts w:ascii="等线" w:hAnsi="等线" w:eastAsia="仿宋_GB2312" w:cs="黑体"/>
      <w:snapToGrid w:val="0"/>
      <w:sz w:val="32"/>
      <w:szCs w:val="22"/>
      <w:lang w:val="en-US" w:eastAsia="zh-CN" w:bidi="ar-SA"/>
    </w:rPr>
  </w:style>
  <w:style w:type="paragraph" w:customStyle="1" w:styleId="42">
    <w:name w:val="修订3"/>
    <w:hidden/>
    <w:semiHidden/>
    <w:qFormat/>
    <w:uiPriority w:val="99"/>
    <w:rPr>
      <w:rFonts w:ascii="等线" w:hAnsi="等线" w:eastAsia="仿宋_GB2312" w:cs="黑体"/>
      <w:snapToGrid w:val="0"/>
      <w:sz w:val="32"/>
      <w:szCs w:val="22"/>
      <w:lang w:val="en-US" w:eastAsia="zh-CN" w:bidi="ar-SA"/>
    </w:rPr>
  </w:style>
  <w:style w:type="paragraph" w:customStyle="1" w:styleId="43">
    <w:name w:val="Revision"/>
    <w:hidden/>
    <w:semiHidden/>
    <w:qFormat/>
    <w:uiPriority w:val="99"/>
    <w:rPr>
      <w:rFonts w:ascii="等线" w:hAnsi="等线" w:eastAsia="仿宋_GB2312" w:cs="黑体"/>
      <w:snapToGrid w:val="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10492</Words>
  <Characters>11134</Characters>
  <Lines>89</Lines>
  <Paragraphs>25</Paragraphs>
  <TotalTime>6</TotalTime>
  <ScaleCrop>false</ScaleCrop>
  <LinksUpToDate>false</LinksUpToDate>
  <CharactersWithSpaces>11197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2022-11-22T15:48:00Z</dcterms:created>
  <dc:creator>王也</dc:creator>
  <cp:lastModifiedBy>临空区管委会公文</cp:lastModifiedBy>
  <cp:lastPrinted>2021-12-02T16:47:00Z</cp:lastPrinted>
  <dcterms:modified xsi:type="dcterms:W3CDTF">2022-12-21T01:40:20Z</dcterms:modified>
  <dc:title>北京大兴国际机场临空经济区（大兴）管理委员会党政办公室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2F0D781C43DA4C379EED540851D601BA</vt:lpwstr>
  </property>
</Properties>
</file>