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0" w:leftChars="0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bookmarkStart w:id="0" w:name="_Toc31400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bookmarkEnd w:id="0"/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4</w:t>
      </w:r>
    </w:p>
    <w:p>
      <w:pPr>
        <w:pStyle w:val="3"/>
        <w:spacing w:before="120"/>
        <w:ind w:firstLine="640"/>
        <w:rPr>
          <w:rFonts w:hint="eastAsia"/>
          <w:color w:val="auto"/>
        </w:rPr>
      </w:pPr>
      <w:bookmarkStart w:id="1" w:name="_Toc24185"/>
      <w:r>
        <w:rPr>
          <w:rFonts w:hint="eastAsia"/>
          <w:color w:val="auto"/>
          <w:lang w:val="en-US" w:eastAsia="zh-CN"/>
        </w:rPr>
        <w:t>Ⅰ级响应重点任务清单</w:t>
      </w:r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39"/>
        <w:gridCol w:w="1518"/>
        <w:gridCol w:w="6005"/>
        <w:gridCol w:w="219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02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序号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02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响应阶段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02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工作任务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02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主要内容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责任单位或工作组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02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初期响应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震情速报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报告地震参数（三要素）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区地震局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灾情速报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主动和市地震局会商，进行仪器烈度速报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</w:t>
            </w: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第一报， 持续修正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收集、汇总早期灾情信息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震情跟踪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余震监测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给出震情趋势快速判定意见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应急启动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宣布全区或局部区域进入震后应急期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震后第一时间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提出应急处置工作建议，指挥协调处置工作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向市抗震救灾指挥机构报告震情、灾情信息和应对情况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视情向市抗震救灾指挥机构申请部队、专业救援队、外围管控、救援物资等支援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新闻发布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积极配合市抗震救灾指挥机构启动电视广播直播，向社会正式发布震情、灾情及抗震救灾进展信息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宣传和涉外组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eastAsia="zh-CN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人员搜救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启动突发事件“第一响应人”机制，第一时间组织开展自救互救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震后第一时间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制定队伍调配出队方案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救援抢险组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派出第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批救援队伍，紧急赴现场实施人员搜救工作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处置实施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医疗救治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派出医疗队伍，开展伤员现场救治和转移救治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救护和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防疫组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小时内启动， 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视情建立战地医院或医疗点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人员搜救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调派救援队伍和设备，赴现场实施人员搜救工作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救援抢险组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派出专业队伍进入通信中断区域进行灾情探查，通报情况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次生、衍生灾害防范处置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开展危险化学品泄漏、核设施事故、火灾、电梯人员被困、圈养野生动物逃脱等进行隐患排查和应急救援工作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救援抢险组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即时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群众转移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启动应急避难场所，组织群众疏散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根据需要设置紧急疏散场所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筹集、发放救灾物资和救助资金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社会秩序维护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维护社会治安，确保社会面平稳和重点部位安全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社会治安组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维护抢险救灾现场秩序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视情开展必要的交通管制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视情开展必要的人员流动管控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电力保障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组织实施应急电力保障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重要基础设施保障组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抢修受损设施，根据需要派出移动供电设备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通信保障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组织实施应急通信保障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抢修受损设施，根据需要派出移动通信设备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交通保障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组织交通抢通工作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交通保障组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根据道路受损和交通管制情况，制定、发布、更新通行方案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建筑物安全性鉴定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组织开展建筑物安全性鉴定（调查）工作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群众安置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根据建筑物安全性鉴定结果，组织群众居家安置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启动全区救灾储备物资支援机制，调运救灾物资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物资保障组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对全区救灾物资采取管控措施，统一管理调配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开展过渡性安置、跨区转移安置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组织群众跨区域转移安置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38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设立失散人员信息平台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39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医疗与防疫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组织防疫洗消，加强食水和药品安全管控，做好环境卫生工作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救护和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防疫组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</w:t>
            </w: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启动，持续开展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开展灾区心理咨询、抚慰等心理危机干预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每日报告重大传染病和突发卫生事件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对全区医药物资采取管控措施，统一管理调配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遇难者遗体处置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新闻发布和舆情跟踪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向社会发布震情灾情及抗震救灾进展信息，积极配合市抗震救灾指挥机构召开新闻发布会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宣传和涉外组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做好媒体和记者服务管理工作，组织安排采访报道，开展抗震救灾及自救互救等宣传报道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加强舆情收集分析，正确引导舆论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监测预警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余震监测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48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震情会商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49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及时、定期开展气象会商和灾区气象预警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开展环境污染监测预警工作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涉外事务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开展外籍人员和港澳台人员的应急疏散安置工作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宣传和涉外组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小时内启动， 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收集、统计外籍人员和港澳台人员伤亡、失踪和被困情况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配合安排外国专家、救灾人员到现场救灾事宜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即时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志愿服务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启动本区志愿服务协调机制，设立志愿服务工作站及志愿服务热线，开展登记工作，统一分配志愿服务工作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小时内启动， 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接待外地来兴志愿服务人员及团体，提出志愿服务指导建议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56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社会动员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组织地震应急社会动员，配合开展自救互救、群众疏散安置、后勤保障和社会秩序维护等工作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小时内启动，持续开展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57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00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根据抗震救灾工作需要开展募捐，接收管理捐助物资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区红十字会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58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市场秩序维护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维护市场秩序，查处囤积居奇、售卖假冒伪劣产品等违法行为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物资保障组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</w:t>
            </w: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启动， 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59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资金保障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紧急拨付救灾应急资金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区财政局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即时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0</w:t>
            </w: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灾害损失评定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组织开展地震灾害损失评估工作，提出灾害损失报告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适时启动，应急响应结束后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月内完成报告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响应结束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响应结束</w:t>
            </w:r>
          </w:p>
        </w:tc>
        <w:tc>
          <w:tcPr>
            <w:tcW w:w="6005" w:type="dxa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宣布应急响应结束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45B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2023-12-29T09:25:55Z</dcterms:created>
  <dc:creator>HRX</dc:creator>
  <cp:lastModifiedBy>米露</cp:lastModifiedBy>
  <dcterms:modified xsi:type="dcterms:W3CDTF">2023-12-29T09:26:22Z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4247F3AB6E0340CC85F072A3EBD70872_12</vt:lpwstr>
  </property>
</Properties>
</file>