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autoSpaceDE w:val="0"/>
        <w:autoSpaceDN w:val="0"/>
        <w:adjustRightInd w:val="0"/>
        <w:spacing w:before="0" w:beforeLines="0" w:line="240" w:lineRule="auto"/>
        <w:ind w:left="148" w:firstLine="0" w:firstLineChars="0"/>
        <w:jc w:val="left"/>
        <w:rPr>
          <w:rFonts w:hint="eastAsia" w:ascii="黑体" w:hAnsi="黑体" w:eastAsia="黑体"/>
          <w:color w:val="auto"/>
          <w:sz w:val="32"/>
          <w:szCs w:val="24"/>
          <w:lang w:eastAsia="zh-CN"/>
        </w:rPr>
      </w:pPr>
      <w:bookmarkStart w:id="0" w:name="_Toc10362"/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bookmarkEnd w:id="0"/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5</w:t>
      </w:r>
    </w:p>
    <w:p>
      <w:pPr>
        <w:pStyle w:val="3"/>
        <w:spacing w:before="120"/>
        <w:ind w:firstLine="640"/>
        <w:rPr>
          <w:rFonts w:hint="eastAsia"/>
          <w:color w:val="auto"/>
          <w:lang w:val="en-US" w:eastAsia="zh-CN"/>
        </w:rPr>
      </w:pPr>
      <w:bookmarkStart w:id="1" w:name="_Toc9818"/>
      <w:r>
        <w:rPr>
          <w:rFonts w:hint="eastAsia"/>
          <w:color w:val="auto"/>
        </w:rPr>
        <w:t>Ⅱ级响应重点任务清单</w:t>
      </w:r>
      <w:bookmarkEnd w:id="1"/>
    </w:p>
    <w:tbl>
      <w:tblPr>
        <w:tblStyle w:val="5"/>
        <w:tblW w:w="0" w:type="auto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671"/>
        <w:gridCol w:w="1635"/>
        <w:gridCol w:w="6374"/>
        <w:gridCol w:w="1921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ind w:firstLine="0" w:firstLineChars="0"/>
              <w:jc w:val="center"/>
              <w:rPr>
                <w:rFonts w:ascii="宋体" w:hAnsi="宋体" w:eastAsia="宋体"/>
                <w:b/>
                <w:color w:val="auto"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1"/>
              </w:rPr>
              <w:t>序号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ind w:firstLine="0" w:firstLineChars="0"/>
              <w:jc w:val="center"/>
              <w:rPr>
                <w:rFonts w:ascii="宋体" w:hAnsi="宋体" w:eastAsia="宋体"/>
                <w:b/>
                <w:color w:val="auto"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1"/>
              </w:rPr>
              <w:t>响应阶段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ind w:firstLine="0" w:firstLineChars="0"/>
              <w:jc w:val="center"/>
              <w:rPr>
                <w:rFonts w:ascii="宋体" w:hAnsi="宋体" w:eastAsia="宋体"/>
                <w:b/>
                <w:color w:val="auto"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1"/>
              </w:rPr>
              <w:t>工作任务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ind w:firstLine="0" w:firstLineChars="0"/>
              <w:jc w:val="center"/>
              <w:rPr>
                <w:rFonts w:ascii="宋体" w:hAnsi="宋体" w:eastAsia="宋体"/>
                <w:b/>
                <w:color w:val="auto"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1"/>
              </w:rPr>
              <w:t>主要内容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ind w:firstLine="0" w:firstLineChars="0"/>
              <w:jc w:val="center"/>
              <w:rPr>
                <w:rFonts w:ascii="宋体" w:hAnsi="宋体" w:eastAsia="宋体"/>
                <w:b/>
                <w:color w:val="auto"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1"/>
              </w:rPr>
              <w:t>责任单位或工作组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ind w:firstLine="0" w:firstLineChars="0"/>
              <w:jc w:val="center"/>
              <w:rPr>
                <w:rFonts w:ascii="宋体" w:hAnsi="宋体" w:eastAsia="宋体"/>
                <w:b/>
                <w:color w:val="auto"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  <w:sz w:val="21"/>
              </w:rPr>
              <w:t>时间要求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初期响应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震情速报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报告地震参数（三要素）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区地震局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10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分钟左右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灾情速报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主动和市地震局会商，进行仪器烈度速报</w:t>
            </w:r>
          </w:p>
        </w:tc>
        <w:tc>
          <w:tcPr>
            <w:tcW w:w="1921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综合组</w:t>
            </w:r>
          </w:p>
        </w:tc>
        <w:tc>
          <w:tcPr>
            <w:tcW w:w="2243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30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分钟第一报， 持续修正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3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收集、汇总早期灾情信息</w:t>
            </w: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243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4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震情跟踪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余震监测</w:t>
            </w:r>
          </w:p>
        </w:tc>
        <w:tc>
          <w:tcPr>
            <w:tcW w:w="1921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综合组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5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给出震情趋势快速判定意见</w:t>
            </w: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30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6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应急启动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提出应急处置工作建议，指挥协调处置工作</w:t>
            </w:r>
          </w:p>
        </w:tc>
        <w:tc>
          <w:tcPr>
            <w:tcW w:w="1921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综合组</w:t>
            </w:r>
          </w:p>
        </w:tc>
        <w:tc>
          <w:tcPr>
            <w:tcW w:w="2243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震后第一时间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7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向市抗震救灾指挥机构报告震情、灾情信息和应对情况</w:t>
            </w: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243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8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新闻发布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积极配合市抗震救灾指挥机构启动电视广播插播，向社会正式发布震情、灾情及抗震救灾进展信息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宣传组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30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9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处置实施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医疗防疫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派出医疗队伍，开展伤员现场救治和转移救治</w:t>
            </w:r>
          </w:p>
        </w:tc>
        <w:tc>
          <w:tcPr>
            <w:tcW w:w="1921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医疗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救护和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防疫组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2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小时内启动， 持续开展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10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视情启动重大传染病和突发卫生事件每日报告制度</w:t>
            </w: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11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人员搜救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视情调派救援队伍和设备，赴现场实施人员搜救工作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救援抢险组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12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次生、衍生灾害防范处置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开展危险化学品泄漏等进行隐患排查工作，视情开展应急救援工作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救援抢险组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即时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13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群众安置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组织群众疏散，开展过渡性安置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群众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自救和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安置组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14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电力保障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抢修受损设施，根据需要派出移动供电设备</w:t>
            </w:r>
          </w:p>
        </w:tc>
        <w:tc>
          <w:tcPr>
            <w:tcW w:w="1921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生命线工程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及重要目标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保障组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15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通信保障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抢修受损设施，根据需要派出移动通信设备</w:t>
            </w: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16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交通保障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根据道路受损和交通管制情况，制定、发布、更新通行方案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交通保障组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17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社会秩序维护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维护社会治安，确保社会面平稳和重点部位安全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社会治安组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18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新闻发布和舆情跟踪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向社会发布震情灾情及抗震救灾进展信息，积极配合市抗震救灾指挥机构召开新闻发布会</w:t>
            </w:r>
          </w:p>
        </w:tc>
        <w:tc>
          <w:tcPr>
            <w:tcW w:w="1921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宣传组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19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加强舆情收集分析，正确引导舆论</w:t>
            </w: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20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建筑物安全性鉴定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视情组织开展建筑物安全性鉴定（调查）工作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群众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自救和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安置组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震后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24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小时内启动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21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监测预警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余震监测</w:t>
            </w:r>
          </w:p>
        </w:tc>
        <w:tc>
          <w:tcPr>
            <w:tcW w:w="1921" w:type="dxa"/>
            <w:vMerge w:val="restart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综合组</w:t>
            </w:r>
          </w:p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22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震情会商</w:t>
            </w: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23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开展气象监测和灾区气象预警</w:t>
            </w: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24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开展环境污染监测预警工作</w:t>
            </w: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25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灾害损失评定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组织开展地震灾害损失评估工作，提出灾害损失报告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综合组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适时启动，应急响应结束后 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2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周内完成报告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26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响应结束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响应结束</w:t>
            </w:r>
          </w:p>
        </w:tc>
        <w:tc>
          <w:tcPr>
            <w:tcW w:w="6374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宣布应急响应结束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综合组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7"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适时</w:t>
            </w:r>
          </w:p>
        </w:tc>
      </w:tr>
    </w:tbl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Y0ZGFiMjk1MmY2MWQyMTFkNjRkZDM5NWMwNWQifQ=="/>
  </w:docVars>
  <w:rsids>
    <w:rsidRoot w:val="00000000"/>
    <w:rsid w:val="3E87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outlineLvl w:val="1"/>
    </w:pPr>
    <w:rPr>
      <w:rFonts w:ascii="Cambria" w:hAnsi="Cambria" w:eastAsia="楷体_GB2312" w:cs="宋体"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4">
    <w:name w:val="Body Text"/>
    <w:basedOn w:val="1"/>
    <w:qFormat/>
    <w:uiPriority w:val="99"/>
    <w:pPr>
      <w:spacing w:line="600" w:lineRule="exact"/>
      <w:jc w:val="center"/>
    </w:pPr>
    <w:rPr>
      <w:rFonts w:ascii="方正小标宋简体" w:hAnsi="宋体" w:eastAsia="方正小标宋简体"/>
      <w:kern w:val="0"/>
      <w:sz w:val="44"/>
      <w:szCs w:val="20"/>
    </w:r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2023-12-29T09:26:25Z</dcterms:created>
  <dc:creator>HRX</dc:creator>
  <cp:lastModifiedBy>米露</cp:lastModifiedBy>
  <dcterms:modified xsi:type="dcterms:W3CDTF">2023-12-29T09:26:42Z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D1BAD589E3F541CBB1E0F9BE4518FBB0_12</vt:lpwstr>
  </property>
</Properties>
</file>