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adjustRightInd w:val="0"/>
        <w:spacing w:before="0" w:beforeLines="0" w:line="240" w:lineRule="auto"/>
        <w:ind w:left="148" w:firstLine="0" w:firstLineChars="0"/>
        <w:jc w:val="left"/>
        <w:rPr>
          <w:rFonts w:hint="eastAsia" w:ascii="黑体" w:hAnsi="黑体" w:eastAsia="黑体"/>
          <w:color w:val="auto"/>
          <w:sz w:val="32"/>
          <w:szCs w:val="24"/>
          <w:lang w:eastAsia="zh-CN"/>
        </w:rPr>
      </w:pPr>
      <w:bookmarkStart w:id="0" w:name="_Toc13887"/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bookmarkEnd w:id="0"/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6</w:t>
      </w:r>
    </w:p>
    <w:p>
      <w:pPr>
        <w:pStyle w:val="3"/>
        <w:spacing w:before="120"/>
        <w:ind w:left="0" w:leftChars="0" w:firstLine="0" w:firstLineChars="0"/>
        <w:rPr>
          <w:rFonts w:hint="eastAsia"/>
          <w:color w:val="auto"/>
          <w:lang w:val="en-US" w:eastAsia="zh-CN"/>
        </w:rPr>
      </w:pPr>
      <w:bookmarkStart w:id="1" w:name="_Toc27600"/>
      <w:r>
        <w:rPr>
          <w:rFonts w:hint="eastAsia"/>
          <w:color w:val="auto"/>
          <w:lang w:val="en-US" w:eastAsia="zh-CN"/>
        </w:rPr>
        <w:t>有感地震响应重点任务清单</w:t>
      </w:r>
      <w:bookmarkEnd w:id="1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782"/>
        <w:gridCol w:w="6840"/>
        <w:gridCol w:w="2400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widowControl/>
              <w:spacing w:before="120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/>
              <w:spacing w:before="120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工作任务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widowControl/>
              <w:spacing w:before="120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主要内容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before="120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责任单位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widowControl/>
              <w:spacing w:before="120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时间要求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1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震情速报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报告地震参数（三要素）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区地震局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10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分钟左右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2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应急启动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启动有感地震响应程序，通知区委宣传部、区委网信办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区应急局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震后第一时间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3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社情灾情收集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收集、汇总社情、灾情信息和震感范围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区应急局、区地震局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4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震情跟踪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主动和市地震局会商，进行余震监测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区地震局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5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主动和市地震局会商，给出震后趋势快速判定意见</w:t>
            </w: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30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6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信息报送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向区委、区政府、市抗震救灾指挥机构报告震情、社情信息和处置措施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区应急局牵头，区地震局配合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震后 30 分钟第一报，持续更新续报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7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现场工作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视情派出现场工作组，赴震中区域指导、协调应急处置工作，开展地震现场调查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区应急局、区地震局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8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隐患排查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指导有感地震所在</w:t>
            </w:r>
            <w:r>
              <w:rPr>
                <w:rFonts w:hint="eastAsia" w:ascii="宋体" w:hAnsi="宋体" w:eastAsia="宋体"/>
                <w:color w:val="auto"/>
                <w:sz w:val="21"/>
                <w:lang w:eastAsia="zh-CN"/>
              </w:rPr>
              <w:t>地区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开展地质灾害、交通、供水、供电、供气等相关隐患排查工作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各行业部门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9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信息发布、舆论引导、舆情应对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向社会发布震情、社情信息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区委宣传部牵头，区委网信办、区应急局和区地震局配合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震后 30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10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视情向社会发布应急处置工作信息</w:t>
            </w: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11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加强舆情收集分析，正确引导舆论</w:t>
            </w: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12</w:t>
            </w: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开展防震减灾科普宣传</w:t>
            </w: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13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响应结束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当地震影响基本消除，各参与处置单位自主结束应急响应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各参与处置单位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</w:tbl>
    <w:p>
      <w:pPr>
        <w:ind w:left="0" w:leftChars="0" w:firstLine="0" w:firstLineChars="0"/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11DAEE-EC33-4F6F-96B9-5FF23C601F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18C3FA-6D97-42CF-8994-F4ABB013F75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00000000"/>
    <w:rsid w:val="7819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Cambria" w:hAnsi="Cambria" w:eastAsia="楷体_GB2312" w:cs="宋体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4">
    <w:name w:val="Body Text"/>
    <w:basedOn w:val="1"/>
    <w:qFormat/>
    <w:uiPriority w:val="99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20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2023-12-29T09:26:45Z</dcterms:created>
  <dc:creator>HRX</dc:creator>
  <cp:lastModifiedBy>米露</cp:lastModifiedBy>
  <dcterms:modified xsi:type="dcterms:W3CDTF">2023-12-29T09:27:57Z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B074EEC5E6CE4A9BA099405F74B08D46_12</vt:lpwstr>
  </property>
</Properties>
</file>