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adjustRightInd w:val="0"/>
        <w:spacing w:before="0" w:beforeLines="0" w:line="240" w:lineRule="auto"/>
        <w:ind w:left="0" w:leftChars="0" w:firstLine="0" w:firstLineChars="0"/>
        <w:jc w:val="left"/>
        <w:rPr>
          <w:rFonts w:hint="eastAsia" w:ascii="黑体" w:hAnsi="黑体" w:eastAsia="黑体"/>
          <w:color w:val="auto"/>
          <w:sz w:val="32"/>
          <w:szCs w:val="24"/>
          <w:lang w:eastAsia="zh-CN"/>
        </w:rPr>
      </w:pPr>
      <w:bookmarkStart w:id="0" w:name="_Toc18801"/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bookmarkEnd w:id="0"/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7</w:t>
      </w:r>
    </w:p>
    <w:p>
      <w:pPr>
        <w:pStyle w:val="3"/>
        <w:spacing w:before="156"/>
        <w:ind w:firstLine="640"/>
        <w:jc w:val="center"/>
        <w:rPr>
          <w:rFonts w:hint="eastAsia"/>
          <w:lang w:val="en-US" w:eastAsia="zh-CN"/>
        </w:rPr>
      </w:pPr>
      <w:bookmarkStart w:id="1" w:name="_Toc6609"/>
      <w:r>
        <w:rPr>
          <w:rFonts w:hint="eastAsia"/>
          <w:color w:val="auto"/>
          <w:lang w:val="en-US" w:eastAsia="zh-CN"/>
        </w:rPr>
        <w:t>大兴区地震事件应对相关预案一览表</w:t>
      </w:r>
      <w:bookmarkEnd w:id="1"/>
    </w:p>
    <w:tbl>
      <w:tblPr>
        <w:tblStyle w:val="5"/>
        <w:tblW w:w="0" w:type="auto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414"/>
        <w:gridCol w:w="2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left="218"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序号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left="218"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预案名称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left="218"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主责部门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区级专项预案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指挥部工作组方案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综合组工作方案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区应急局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区地震局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2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群众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自救和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安置组工作方案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区应急局、</w:t>
            </w:r>
            <w:r>
              <w:rPr>
                <w:rFonts w:hint="default" w:ascii="宋体" w:hAnsi="宋体" w:eastAsia="宋体"/>
                <w:bCs/>
                <w:color w:val="auto"/>
                <w:kern w:val="0"/>
              </w:rPr>
              <w:t>区委社工委区民政局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3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生命线工程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及重要目标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保障组工作方案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4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社会治安组工作方案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5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交通保障组工作方案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6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物资保障组（应急物资保障组）工作方案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7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救援抢险组工作方案（涵盖电梯困人事故处置）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8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医疗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救护和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防疫组工作方案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9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宣传和涉外组（宣传组）工作方案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地震相关预案或方案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1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大兴区地震灾害社会动员预案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color w:val="auto"/>
                <w:kern w:val="0"/>
              </w:rPr>
            </w:pPr>
            <w:r>
              <w:rPr>
                <w:rFonts w:hint="default" w:ascii="宋体" w:hAnsi="宋体" w:eastAsia="宋体"/>
                <w:bCs/>
                <w:color w:val="auto"/>
                <w:kern w:val="0"/>
              </w:rPr>
              <w:t>区委社工委区民政局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2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大兴区建筑物地震应急调查评估预案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区住房城乡建设委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3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大兴区城市供水突发事件应急预案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4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大兴区城市排水突发事件应急预案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5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大兴区地震灾害电力应急预案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6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大兴区地震引发燃气事故应急预案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7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大兴区地震引发热力事故应急预案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区城市管理委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8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大兴区地震灾害通信应急预案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区经济和信息化局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9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大兴区交通行业地震综合应急预案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10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大兴区地震灾害社会治安应对预案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区公安分局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11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大兴区生活必需品市场供应应急预案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12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大兴区地震应急救援预案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13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大兴区地震引发水利工程安全应急预案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14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大兴区地震引发火灾事件应急预案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15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大兴区突发环境事件应急预案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16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大兴区危险化学品事故应急预案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17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大兴区地震引发圈养野生动物逃脱事故应急预案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区园林绿化局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18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大兴区地震灾害医疗救援预案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19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大兴区地震引发人员疫病防控预案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区卫生健康委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0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大兴区地震引发动物疫情防控预案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大兴区地震灾害新闻发布预案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2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大兴区地震灾害涉外及港澳台事务应对预案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区政府外办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区台办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3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大兴区教育系统地震应急预案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区教委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24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大兴区旅游景区地震应急预案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区文化和旅游局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25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大兴区文博保护地震应急预案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ascii="宋体" w:hAnsi="宋体" w:eastAsia="宋体"/>
                <w:bCs/>
                <w:color w:val="auto"/>
                <w:kern w:val="0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大兴区体育场馆地震应急预案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7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大兴区地下空间(人防工程)地震应急预案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区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  <w:t>国动办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3373" w:firstLineChars="1400"/>
              <w:jc w:val="both"/>
              <w:rPr>
                <w:rFonts w:hint="eastAsia" w:ascii="宋体" w:hAnsi="宋体" w:eastAsia="宋体"/>
                <w:b/>
                <w:color w:val="auto"/>
                <w:kern w:val="0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3373" w:firstLineChars="1400"/>
              <w:jc w:val="both"/>
              <w:rPr>
                <w:rFonts w:ascii="宋体" w:hAnsi="宋体" w:eastAsia="宋体"/>
                <w:b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各</w:t>
            </w:r>
            <w:r>
              <w:rPr>
                <w:rFonts w:hint="eastAsia" w:ascii="宋体" w:hAnsi="宋体" w:eastAsia="宋体"/>
                <w:b/>
                <w:color w:val="auto"/>
                <w:kern w:val="0"/>
                <w:lang w:eastAsia="zh-CN"/>
              </w:rPr>
              <w:t>属地单位</w:t>
            </w:r>
            <w:r>
              <w:rPr>
                <w:rFonts w:hint="eastAsia" w:ascii="宋体" w:hAnsi="宋体" w:eastAsia="宋体"/>
                <w:b/>
                <w:color w:val="auto"/>
                <w:kern w:val="0"/>
              </w:rPr>
              <w:t>预案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1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ascii="宋体" w:hAnsi="宋体" w:eastAsia="宋体"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  <w:t>属地单位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地震应急预案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default" w:ascii="宋体" w:hAnsi="宋体" w:eastAsia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</w:rPr>
              <w:t>各</w:t>
            </w: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属地单位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  <w:t>各村（社区）地震应急处置方案或预案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89" w:line="240" w:lineRule="auto"/>
              <w:ind w:firstLine="0" w:firstLineChars="0"/>
              <w:jc w:val="center"/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0"/>
                <w:lang w:eastAsia="zh-CN"/>
              </w:rPr>
              <w:t>各村（社区）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6F10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Cambria" w:hAnsi="Cambria" w:eastAsia="楷体_GB2312" w:cs="宋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4">
    <w:name w:val="Body Text"/>
    <w:basedOn w:val="1"/>
    <w:qFormat/>
    <w:uiPriority w:val="99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20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2023-12-29T09:28:10Z</dcterms:created>
  <dc:creator>HRX</dc:creator>
  <cp:lastModifiedBy>米露</cp:lastModifiedBy>
  <dcterms:modified xsi:type="dcterms:W3CDTF">2023-12-29T09:28:19Z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F5A4338767284F69BB128F8AA8169D9F_12</vt:lpwstr>
  </property>
</Properties>
</file>