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widowControl w:val="0"/>
        <w:suppressAutoHyphens/>
        <w:wordWrap/>
        <w:overflowPunct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北京市大兴区新型农业经营主体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生产设施条件改善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项目实施方案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hint="default" w:ascii="Noto Sans Adlam" w:hAnsi="Noto Sans Adlam" w:cs="Noto Sans Adlam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rightChars="0" w:firstLine="640"/>
        <w:jc w:val="both"/>
        <w:textAlignment w:val="auto"/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</w:pP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为贯彻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落实北京市农业农村局《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2023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年北京市新型农业经营主体生产设施条件改善项目实施方案》要求，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改善生产设施条件，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提高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设施农业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发展水平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特制订本实施方案。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支持对象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及方向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支持本区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从事蔬菜</w:t>
      </w: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/>
        </w:rPr>
        <w:t>（含草莓、西甜瓜）生产的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区级及以上农民合作社示范社和示范家庭农场。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Noto Sans Adlam" w:hAnsi="Noto Sans Adlam" w:eastAsia="仿宋_GB2312" w:cs="Noto Sans Adlam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项目资金主要用于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蔬菜</w:t>
      </w: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/>
        </w:rPr>
        <w:t>（含草莓、西甜瓜）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生产设施条件改善，具体包括：</w:t>
      </w:r>
      <w:r>
        <w:rPr>
          <w:rFonts w:hint="default" w:ascii="Noto Sans Adlam" w:hAnsi="Noto Sans Adlam" w:eastAsia="仿宋_GB2312" w:cs="Noto Sans Adlam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支持老旧设施改造，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支持主体结构加固修缮、设施宜机化改造、机械化和智能化设备配套，以及直接用于生产的水电气暖基础设施改造提升等，推进老旧设施性能恢复和闲置设施盘活利用，提升设施生产能力；</w:t>
      </w:r>
      <w:r>
        <w:rPr>
          <w:rFonts w:hint="default" w:ascii="Noto Sans Adlam" w:hAnsi="Noto Sans Adlam" w:eastAsia="仿宋_GB2312" w:cs="Noto Sans Adlam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支持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新建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</w:rPr>
        <w:t>装配式日光温室（全钢架日光温室）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</w:rPr>
        <w:t>大跨度外保温塑料大棚、钢架塑料大棚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</w:rPr>
        <w:t>连栋塑料大棚</w:t>
      </w:r>
      <w:r>
        <w:rPr>
          <w:rFonts w:hint="default" w:ascii="Noto Sans Adlam" w:hAnsi="Noto Sans Adlam" w:eastAsia="仿宋_GB2312" w:cs="Noto Sans Adlam"/>
          <w:b w:val="0"/>
          <w:bCs w:val="0"/>
          <w:color w:val="000000"/>
          <w:sz w:val="32"/>
          <w:szCs w:val="32"/>
          <w:lang w:eastAsia="zh-CN"/>
        </w:rPr>
        <w:t>，以及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产后初加工、包装设备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default" w:ascii="Noto Sans Adlam" w:hAnsi="Noto Sans Adlam" w:eastAsia="仿宋_GB2312" w:cs="Noto Sans Adlam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不支持</w:t>
      </w:r>
      <w:r>
        <w:rPr>
          <w:rFonts w:hint="default" w:ascii="Noto Sans Adlam" w:hAnsi="Noto Sans Adlam" w:eastAsia="仿宋_GB2312" w:cs="Noto Sans Adlam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冷藏保鲜设施建设。</w:t>
      </w:r>
      <w:r>
        <w:rPr>
          <w:rFonts w:hint="eastAsia" w:ascii="Noto Sans Adlam" w:hAnsi="Noto Sans Adlam" w:eastAsia="仿宋_GB2312" w:cs="Noto Sans Adlam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涉及新建或改扩建生产设施的应符合相关用地政策要求。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中央补贴资金农民合作社支持标准不高于65万元，支持数量不少于1个；家庭农场支持标准不高于35万元，支持数量不少于1个。中央补贴资金比例不超过30%，且不与中央其他补贴资金重复享受；市级相关补助资金可以作为中央资金的配套，且中央和市区补助资金最高不超过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通过项目建设，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从事蔬菜</w:t>
      </w: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/>
        </w:rPr>
        <w:t>（含草莓、西甜瓜）生产的</w:t>
      </w: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农民合作社和家庭农场生产设施条件得到改善,应用先进适用技术，提高生产经营发展水平,提升联农带农服务能力。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各镇政府按照市区两级部署，结合实际，组织辖区内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区级及以上农民合作社示范社和示范家庭农场中规模化程度高、蔬菜设施基础条件好、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联农带农能力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生产经营主体开展项目申报工作，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经镇级初审后将推荐主体的项目申报书（一式两份）盖章后报区农业农村局。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（二）项目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highlight w:val="none"/>
          <w:lang w:val="en-US" w:eastAsia="zh-CN"/>
        </w:rPr>
        <w:t>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区农业农村局牵头组织对各镇申报的项目进行审核，审核通过的纳入区级项目清单，并向社会进行公示，公示期7天。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（三）项目实施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各镇建立项目进度台账，严把项目质量，督促项目申报主体按照规定时间完工投产。项目建设内容等发生微调的，各镇及时报区级审定批准；项目无法实施需整体变更的，各镇应第一时间报告区级部门。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  <w:t>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区农业农村局牵头定期调度项目执行，视情况对项目实施情况开展督导检查。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（五）竣工验收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项目建设完工后，由各镇向区农业农村局申请竣工验收，区农业农村局、区农业服务中心组织各镇开展验收工作。各镇组织做好项目绩效跟踪自评，整理归档项目相关资料，并加强项目投产后的监管。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  <w:t>六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shd w:val="clear" w:color="auto" w:fill="auto"/>
          <w:lang w:eastAsia="zh-CN"/>
        </w:rPr>
        <w:t>资金拨付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分批拨付奖补资金：项目开工后，拨付补助资金，不高于补助资金总额的70%；项目建设完工且区级验收合格后，按照结算审计结果，拨付剩余补助资金。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楷体_GB2312" w:cs="仿宋_GB2312"/>
          <w:kern w:val="2"/>
          <w:sz w:val="32"/>
          <w:szCs w:val="32"/>
          <w:lang w:val="en-US" w:eastAsia="zh-CN" w:bidi="ar-SA"/>
        </w:rPr>
        <w:t>区农业农村局。</w:t>
      </w: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负责牵头制定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区级实施方案，统筹协调各单位、镇政府开展工作。组织开展项目申报、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区级审核、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监管、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项目验收等工作，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并按要求向市级报送项目材料。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（二）区农业服务中心。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负责配合区农业农村局对各镇申报的项目进行验收及技术指导工作。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（三）各镇政府。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负责组织符合条件的生产经营主体进行项目申报，严格开展遴选、初审、推荐，对项目建设主体的情况认真核实，确保无误。负责对项目建设和实施进行全程监督，落实安全管理责任，严防安全事故发生。项目通过验收后，开展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资金结算审计。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（四）生产经营主体。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严格落实实施主体责任，严格履行承诺，如实提供项目申报材料，不虚报、谎报。接受相关部门的督导、检查、验收、审计、绩效等工作。按照有关规定提供项目材料，保证各项手续齐全有效。确保项目按标准如期建设完成，安全运行投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left"/>
        <w:textAlignment w:val="auto"/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做好</w:t>
      </w: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  <w:t>调度督导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Noto Sans Adlam" w:hAnsi="Noto Sans Adlam" w:eastAsia="楷体_GB2312" w:cs="Noto Sans Adlam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区农业农村局协调有关部门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按照相关资金管理办法要求，做好支持对象、资金安排等信息公开公示工作，广泛接受社会监督。</w:t>
      </w: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各镇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要建立项目执行定期调度督导机制，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监督项目实施进度，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动态掌握项目实施进展和资金使用情况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，积极妥善解决项目执行过程中出现的新情况、新问题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确保于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年12月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</w:rPr>
        <w:t>前完成项目建设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。每月向</w:t>
      </w: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农业农村局报送项目实施和资金执行情况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 w:firstLine="640" w:firstLineChars="200"/>
        <w:textAlignment w:val="auto"/>
        <w:rPr>
          <w:rFonts w:hint="default" w:ascii="Noto Sans Adlam" w:hAnsi="Noto Sans Adlam" w:eastAsia="楷体_GB2312" w:cs="Noto Sans Adlam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oto Sans Adlam" w:hAnsi="Noto Sans Adlam" w:eastAsia="楷体_GB2312" w:cs="Noto Sans Adlam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Noto Sans Adlam" w:hAnsi="Noto Sans Adlam" w:eastAsia="楷体_GB2312" w:cs="Noto Sans Adlam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Noto Sans Adlam" w:hAnsi="Noto Sans Adlam" w:eastAsia="楷体_GB2312" w:cs="Noto Sans Adlam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）严格资金使用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Noto Sans Adlam" w:hAnsi="Noto Sans Adlam" w:eastAsia="仿宋_GB2312" w:cs="Noto Sans Adlam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严格按照项目支出方向和预算资金额度执行，不得跨转移支付项目整合资金，不得超出任务范围安排资金，不得将中央财政转移支付资金直接切块用于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其他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lang w:eastAsia="zh-CN"/>
        </w:rPr>
        <w:t>政策任务。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各镇要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监督</w:t>
      </w:r>
      <w:r>
        <w:rPr>
          <w:rFonts w:hint="eastAsia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项目建设</w:t>
      </w:r>
      <w:r>
        <w:rPr>
          <w:rFonts w:hint="default" w:ascii="Noto Sans Adlam" w:hAnsi="Noto Sans Adlam" w:eastAsia="仿宋_GB2312" w:cs="Noto Sans Adlam"/>
          <w:color w:val="auto"/>
          <w:kern w:val="0"/>
          <w:sz w:val="32"/>
          <w:szCs w:val="32"/>
          <w:highlight w:val="none"/>
          <w:lang w:eastAsia="zh-CN"/>
        </w:rPr>
        <w:t>主体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严格按照市农业农村局印发的《北京市老旧设施改造（更新）技术指南》、《北京市设施建设技术指南》进行老旧设施改造和设施建设，参照指南指导价格细化资金使用方向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保障资金安全和资金使用效益。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项目管理相关经费参照《北京市设施农业发展以奖代补项目实施办法》（京政农函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〔2022〕66号</w:t>
      </w:r>
      <w:r>
        <w:rPr>
          <w:rFonts w:hint="default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）执行</w:t>
      </w:r>
      <w:r>
        <w:rPr>
          <w:rFonts w:hint="eastAsia" w:ascii="Noto Sans Adlam" w:hAnsi="Noto Sans Adlam" w:eastAsia="仿宋_GB2312" w:cs="Noto Sans Adlam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default" w:ascii="Noto Sans Adlam" w:hAnsi="Noto Sans Adlam" w:eastAsia="楷体_GB2312" w:cs="Noto Sans Adlam"/>
          <w:bCs/>
          <w:color w:val="auto"/>
          <w:sz w:val="32"/>
          <w:szCs w:val="32"/>
          <w:highlight w:val="none"/>
        </w:rPr>
        <w:t>项目总结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/>
        <w:textAlignment w:val="auto"/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</w:pP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各</w:t>
      </w: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要做好项目总结，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项目完成后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全面分析项目执行情况、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绩效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目标实现情况、任务清单完成情况、资金使用管理情况以及项目效益情况，总结经验做法、剖析存在问题并提出有关建议，于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前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将项目总结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报送</w:t>
      </w:r>
      <w:r>
        <w:rPr>
          <w:rFonts w:hint="eastAsia" w:ascii="Noto Sans Adlam" w:hAnsi="Noto Sans Adlam" w:eastAsia="仿宋_GB2312" w:cs="Noto Sans Adlam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Noto Sans Adlam" w:hAnsi="Noto Sans Adlam" w:eastAsia="仿宋_GB2312" w:cs="Noto Sans Adlam"/>
          <w:color w:val="auto"/>
          <w:sz w:val="32"/>
          <w:szCs w:val="32"/>
          <w:highlight w:val="none"/>
        </w:rPr>
        <w:t>农业农村局。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598" w:leftChars="304" w:hanging="960" w:hangingChars="300"/>
        <w:textAlignment w:val="auto"/>
        <w:rPr>
          <w:rFonts w:hint="default" w:ascii="Noto Sans Adlam" w:hAnsi="Noto Sans Adlam" w:eastAsia="仿宋_GB2312" w:cs="Noto Sans Adlam"/>
          <w:color w:val="0000FF"/>
          <w:kern w:val="0"/>
          <w:sz w:val="32"/>
          <w:szCs w:val="32"/>
        </w:rPr>
      </w:pP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</w:t>
      </w:r>
      <w:r>
        <w:rPr>
          <w:rFonts w:hint="eastAsia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大兴区</w:t>
      </w:r>
      <w:r>
        <w:rPr>
          <w:rFonts w:hint="default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新型农业经营主体生产设施条件改善项目</w:t>
      </w:r>
      <w:r>
        <w:rPr>
          <w:rFonts w:hint="eastAsia" w:ascii="Noto Sans Adlam" w:hAnsi="Noto Sans Adlam" w:eastAsia="仿宋_GB2312" w:cs="Noto Sans Adlam"/>
          <w:color w:val="auto"/>
          <w:kern w:val="2"/>
          <w:sz w:val="32"/>
          <w:szCs w:val="32"/>
          <w:highlight w:val="none"/>
          <w:lang w:val="en-US" w:eastAsia="zh-CN" w:bidi="ar-SA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2023年大兴区新型农业经营主体生产设施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条件改善项目申报书</w:t>
      </w: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980" w:lineRule="exact"/>
        <w:rPr>
          <w:rFonts w:hint="eastAsia" w:ascii="黑体" w:hAnsi="黑体" w:cs="黑体"/>
          <w:b/>
          <w:color w:val="000000"/>
          <w:sz w:val="52"/>
          <w:szCs w:val="52"/>
        </w:rPr>
      </w:pP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3"/>
        <w:tabs>
          <w:tab w:val="left" w:pos="820"/>
        </w:tabs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</w:pPr>
    </w:p>
    <w:p>
      <w:pPr>
        <w:pStyle w:val="3"/>
        <w:tabs>
          <w:tab w:val="left" w:pos="820"/>
        </w:tabs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所在镇</w:t>
      </w:r>
      <w:r>
        <w:rPr>
          <w:rFonts w:hint="eastAsia" w:eastAsia="仿宋_GB2312" w:cs="仿宋_GB2312"/>
          <w:bCs/>
          <w:color w:val="000000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3"/>
        <w:tabs>
          <w:tab w:val="left" w:pos="820"/>
        </w:tabs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3"/>
        <w:tabs>
          <w:tab w:val="left" w:pos="820"/>
        </w:tabs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申报日期：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2023年大兴区新型农业经营主体生产设施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条件改善项目申报书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一、项目实施主体情况介绍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说明申报主体名称、位置、注册成立时间，经营内容及范围，规模，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近两年利益分配情况等。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说明项目拟建设具体内容(确保2023年12月前完成)。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三、项目资金预算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说明项目所需资金及明细。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效果预估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说明项目完成后，预计产生的经济、社会、生态效益等，特别是在改善生产设施条件,应用先进适用技术，提高生产经营发展水平,提升联农带农服务能力等方面的效果。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CECE3D-E87A-48E5-9FC2-8A1ADEFFB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6A3027-D21C-46A6-87F7-EFF0A5C28E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97EF70-3C50-4E1D-84EC-08E8D0BE8573}"/>
  </w:font>
  <w:font w:name="Noto Sans Adlam">
    <w:altName w:val="Yu Gothic UI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677F4E2-51F1-4ED6-9704-1C555C55F75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F3E6867-1449-4E79-B321-88B77552B0A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D6930DC9-25CD-4892-BAA5-AD121DC765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16DDF"/>
    <w:multiLevelType w:val="singleLevel"/>
    <w:tmpl w:val="B7F16D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EE20EB"/>
    <w:multiLevelType w:val="singleLevel"/>
    <w:tmpl w:val="FDEE20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37E63F"/>
    <w:multiLevelType w:val="singleLevel"/>
    <w:tmpl w:val="6237E63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9341030"/>
    <w:rsid w:val="5934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Times New Roman"/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2024-01-23T05:34:00Z</dcterms:created>
  <dc:creator>米露露</dc:creator>
  <cp:lastModifiedBy>米露露</cp:lastModifiedBy>
  <dcterms:modified xsi:type="dcterms:W3CDTF">2024-01-23T05:35:13Z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8B3E3F03CCBF4D90871F3C01343B680E_11</vt:lpwstr>
  </property>
</Properties>
</file>