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before="156" w:beforeLines="50" w:line="1600" w:lineRule="exact"/>
        <w:ind w:right="223" w:rightChars="106"/>
        <w:jc w:val="center"/>
        <w:textAlignment w:val="auto"/>
        <w:rPr>
          <w:rFonts w:hint="eastAsia" w:ascii="方正小标宋简体" w:hAnsi="宋体" w:eastAsia="方正小标宋简体" w:cs="Times New Roman"/>
          <w:b w:val="0"/>
          <w:bCs w:val="0"/>
          <w:color w:val="FF0000"/>
          <w:kern w:val="0"/>
          <w:sz w:val="32"/>
          <w:szCs w:val="32"/>
          <w:lang w:eastAsia="zh-CN"/>
        </w:rPr>
      </w:pPr>
      <w:bookmarkStart w:id="0" w:name="_GoBack"/>
      <w:bookmarkEnd w:id="0"/>
      <w:r>
        <w:rPr>
          <w:sz w:val="21"/>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-187960</wp:posOffset>
                </wp:positionV>
                <wp:extent cx="5615940" cy="12014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1201420"/>
                        </a:xfrm>
                        <a:prstGeom prst="rect">
                          <a:avLst/>
                        </a:prstGeom>
                        <a:noFill/>
                        <a:ln w="6350">
                          <a:noFill/>
                        </a:ln>
                      </wps:spPr>
                      <wps:txbx>
                        <w:txbxContent>
                          <w:p>
                            <w:pPr>
                              <w:keepNext w:val="0"/>
                              <w:keepLines w:val="0"/>
                              <w:pageBreakBefore w:val="0"/>
                              <w:widowControl w:val="0"/>
                              <w:kinsoku/>
                              <w:wordWrap/>
                              <w:overflowPunct/>
                              <w:topLinePunct w:val="0"/>
                              <w:bidi w:val="0"/>
                              <w:adjustRightInd/>
                              <w:snapToGrid/>
                              <w:spacing w:before="156" w:beforeLines="50" w:line="1600" w:lineRule="exact"/>
                              <w:ind w:right="223" w:rightChars="106"/>
                              <w:jc w:val="center"/>
                              <w:textAlignment w:val="auto"/>
                              <w:rPr>
                                <w:rFonts w:hint="eastAsia" w:ascii="方正小标宋简体" w:hAnsi="宋体" w:eastAsia="方正小标宋简体"/>
                                <w:b w:val="0"/>
                                <w:bCs w:val="0"/>
                                <w:color w:val="FF0000"/>
                                <w:w w:val="90"/>
                                <w:sz w:val="96"/>
                                <w:szCs w:val="96"/>
                              </w:rPr>
                            </w:pPr>
                            <w:r>
                              <w:rPr>
                                <w:rFonts w:hint="eastAsia" w:ascii="方正小标宋简体" w:hAnsi="宋体" w:eastAsia="方正小标宋简体"/>
                                <w:b w:val="0"/>
                                <w:bCs w:val="0"/>
                                <w:color w:val="FF0000"/>
                                <w:spacing w:val="1"/>
                                <w:w w:val="55"/>
                                <w:kern w:val="0"/>
                                <w:sz w:val="96"/>
                                <w:szCs w:val="96"/>
                                <w:fitText w:val="8517" w:id="914045556"/>
                              </w:rPr>
                              <w:t>北京市大兴区政务服务</w:t>
                            </w:r>
                            <w:r>
                              <w:rPr>
                                <w:rFonts w:hint="eastAsia" w:ascii="方正小标宋简体" w:hAnsi="宋体" w:eastAsia="方正小标宋简体"/>
                                <w:b w:val="0"/>
                                <w:bCs w:val="0"/>
                                <w:color w:val="FF0000"/>
                                <w:spacing w:val="1"/>
                                <w:w w:val="55"/>
                                <w:kern w:val="0"/>
                                <w:sz w:val="96"/>
                                <w:szCs w:val="96"/>
                                <w:fitText w:val="8517" w:id="914045556"/>
                                <w:lang w:val="en-US" w:eastAsia="zh-CN"/>
                              </w:rPr>
                              <w:t>和数据</w:t>
                            </w:r>
                            <w:r>
                              <w:rPr>
                                <w:rFonts w:hint="eastAsia" w:ascii="方正小标宋简体" w:hAnsi="宋体" w:eastAsia="方正小标宋简体"/>
                                <w:b w:val="0"/>
                                <w:bCs w:val="0"/>
                                <w:color w:val="FF0000"/>
                                <w:spacing w:val="1"/>
                                <w:w w:val="55"/>
                                <w:kern w:val="0"/>
                                <w:sz w:val="96"/>
                                <w:szCs w:val="96"/>
                                <w:fitText w:val="8517" w:id="914045556"/>
                              </w:rPr>
                              <w:t>管理</w:t>
                            </w:r>
                            <w:r>
                              <w:rPr>
                                <w:rFonts w:hint="eastAsia" w:ascii="方正小标宋简体" w:hAnsi="宋体" w:eastAsia="方正小标宋简体"/>
                                <w:b w:val="0"/>
                                <w:bCs w:val="0"/>
                                <w:color w:val="FF0000"/>
                                <w:spacing w:val="44"/>
                                <w:w w:val="55"/>
                                <w:kern w:val="0"/>
                                <w:sz w:val="96"/>
                                <w:szCs w:val="96"/>
                                <w:fitText w:val="8517" w:id="914045556"/>
                                <w:lang w:eastAsia="zh-CN"/>
                              </w:rPr>
                              <w:t>局</w:t>
                            </w: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txbxContent>
                      </wps:txbx>
                      <wps:bodyPr upright="0"/>
                    </wps:wsp>
                  </a:graphicData>
                </a:graphic>
              </wp:anchor>
            </w:drawing>
          </mc:Choice>
          <mc:Fallback>
            <w:pict>
              <v:shape id="_x0000_s1026" o:spid="_x0000_s1026" o:spt="202" type="#_x0000_t202" style="position:absolute;left:0pt;margin-left:-0.1pt;margin-top:-14.8pt;height:94.6pt;width:442.2pt;z-index:251662336;mso-width-relative:page;mso-height-relative:page;" filled="f" stroked="f" coordsize="21600,21600" o:gfxdata="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gegBZ2QAAAAkBAAAPAAAAAAAAAAEAIAAAACIA&#10;AABkcnMvZG93bnJldi54bWxQSwECFAAUAAAACACHTuJAGHQnrpYBAAAKAwAADgAAAAAAAAABACAA&#10;AAAoAQAAZHJzL2Uyb0RvYy54bWxQSwUGAAAAAAYABgBZAQAAMAU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before="156" w:beforeLines="50" w:line="1600" w:lineRule="exact"/>
                        <w:ind w:right="223" w:rightChars="106"/>
                        <w:jc w:val="center"/>
                        <w:textAlignment w:val="auto"/>
                        <w:rPr>
                          <w:rFonts w:hint="eastAsia" w:ascii="方正小标宋简体" w:hAnsi="宋体" w:eastAsia="方正小标宋简体"/>
                          <w:b w:val="0"/>
                          <w:bCs w:val="0"/>
                          <w:color w:val="FF0000"/>
                          <w:w w:val="90"/>
                          <w:sz w:val="96"/>
                          <w:szCs w:val="96"/>
                        </w:rPr>
                      </w:pPr>
                      <w:r>
                        <w:rPr>
                          <w:rFonts w:hint="eastAsia" w:ascii="方正小标宋简体" w:hAnsi="宋体" w:eastAsia="方正小标宋简体"/>
                          <w:b w:val="0"/>
                          <w:bCs w:val="0"/>
                          <w:color w:val="FF0000"/>
                          <w:spacing w:val="1"/>
                          <w:w w:val="55"/>
                          <w:kern w:val="0"/>
                          <w:sz w:val="96"/>
                          <w:szCs w:val="96"/>
                          <w:fitText w:val="8517" w:id="914045556"/>
                        </w:rPr>
                        <w:t>北京市大兴区政务服务</w:t>
                      </w:r>
                      <w:r>
                        <w:rPr>
                          <w:rFonts w:hint="eastAsia" w:ascii="方正小标宋简体" w:hAnsi="宋体" w:eastAsia="方正小标宋简体"/>
                          <w:b w:val="0"/>
                          <w:bCs w:val="0"/>
                          <w:color w:val="FF0000"/>
                          <w:spacing w:val="1"/>
                          <w:w w:val="55"/>
                          <w:kern w:val="0"/>
                          <w:sz w:val="96"/>
                          <w:szCs w:val="96"/>
                          <w:fitText w:val="8517" w:id="914045556"/>
                          <w:lang w:val="en-US" w:eastAsia="zh-CN"/>
                        </w:rPr>
                        <w:t>和数据</w:t>
                      </w:r>
                      <w:r>
                        <w:rPr>
                          <w:rFonts w:hint="eastAsia" w:ascii="方正小标宋简体" w:hAnsi="宋体" w:eastAsia="方正小标宋简体"/>
                          <w:b w:val="0"/>
                          <w:bCs w:val="0"/>
                          <w:color w:val="FF0000"/>
                          <w:spacing w:val="1"/>
                          <w:w w:val="55"/>
                          <w:kern w:val="0"/>
                          <w:sz w:val="96"/>
                          <w:szCs w:val="96"/>
                          <w:fitText w:val="8517" w:id="914045556"/>
                        </w:rPr>
                        <w:t>管理</w:t>
                      </w:r>
                      <w:r>
                        <w:rPr>
                          <w:rFonts w:hint="eastAsia" w:ascii="方正小标宋简体" w:hAnsi="宋体" w:eastAsia="方正小标宋简体"/>
                          <w:b w:val="0"/>
                          <w:bCs w:val="0"/>
                          <w:color w:val="FF0000"/>
                          <w:spacing w:val="44"/>
                          <w:w w:val="55"/>
                          <w:kern w:val="0"/>
                          <w:sz w:val="96"/>
                          <w:szCs w:val="96"/>
                          <w:fitText w:val="8517" w:id="914045556"/>
                          <w:lang w:eastAsia="zh-CN"/>
                        </w:rPr>
                        <w:t>局</w:t>
                      </w: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p>
                      <w:pPr>
                        <w:keepNext w:val="0"/>
                        <w:keepLines w:val="0"/>
                        <w:pageBreakBefore w:val="0"/>
                        <w:widowControl w:val="0"/>
                        <w:kinsoku/>
                        <w:wordWrap/>
                        <w:overflowPunct/>
                        <w:topLinePunct w:val="0"/>
                        <w:bidi w:val="0"/>
                        <w:adjustRightInd/>
                        <w:snapToGrid/>
                        <w:spacing w:line="1600" w:lineRule="exact"/>
                        <w:textAlignment w:val="auto"/>
                        <w:rPr>
                          <w:rFonts w:hint="eastAsia" w:eastAsia="宋体"/>
                          <w:b/>
                          <w:bCs/>
                          <w:color w:val="000000"/>
                          <w:sz w:val="72"/>
                          <w:szCs w:val="72"/>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baseline"/>
        <w:rPr>
          <w:rFonts w:hint="eastAsia" w:ascii="仿宋_GB2312" w:eastAsia="仿宋_GB2312" w:cs="黑体"/>
          <w:sz w:val="32"/>
          <w:szCs w:val="32"/>
        </w:rPr>
      </w:pPr>
      <w:r>
        <w:rPr>
          <w:rFonts w:hint="eastAsia" w:ascii="仿宋_GB2312" w:eastAsia="仿宋_GB2312" w:cs="黑体"/>
          <w:sz w:val="32"/>
          <w:szCs w:val="32"/>
        </w:rPr>
        <w:t>京兴政</w:t>
      </w:r>
      <w:r>
        <w:rPr>
          <w:rFonts w:hint="eastAsia" w:ascii="仿宋_GB2312" w:eastAsia="仿宋_GB2312" w:cs="黑体"/>
          <w:sz w:val="32"/>
          <w:szCs w:val="32"/>
          <w:lang w:eastAsia="zh-CN"/>
        </w:rPr>
        <w:t>数发</w:t>
      </w:r>
      <w:r>
        <w:rPr>
          <w:rFonts w:hint="eastAsia" w:ascii="仿宋_GB2312" w:eastAsia="仿宋_GB2312" w:cs="黑体"/>
          <w:sz w:val="32"/>
          <w:szCs w:val="32"/>
        </w:rPr>
        <w:t>〔202</w:t>
      </w:r>
      <w:r>
        <w:rPr>
          <w:rFonts w:hint="eastAsia" w:ascii="仿宋_GB2312" w:eastAsia="仿宋_GB2312" w:cs="黑体"/>
          <w:sz w:val="32"/>
          <w:szCs w:val="32"/>
          <w:lang w:val="en-US" w:eastAsia="zh-CN"/>
        </w:rPr>
        <w:t>4</w:t>
      </w:r>
      <w:r>
        <w:rPr>
          <w:rFonts w:hint="eastAsia" w:ascii="仿宋_GB2312" w:eastAsia="仿宋_GB2312" w:cs="黑体"/>
          <w:sz w:val="32"/>
          <w:szCs w:val="32"/>
        </w:rPr>
        <w:t>〕</w:t>
      </w:r>
      <w:r>
        <w:rPr>
          <w:rFonts w:hint="eastAsia" w:ascii="仿宋_GB2312" w:eastAsia="仿宋_GB2312" w:cs="黑体"/>
          <w:sz w:val="32"/>
          <w:szCs w:val="32"/>
          <w:lang w:val="en-US" w:eastAsia="zh-CN"/>
        </w:rPr>
        <w:t>1</w:t>
      </w:r>
      <w:r>
        <w:rPr>
          <w:rFonts w:hint="eastAsia" w:ascii="仿宋_GB2312" w:eastAsia="仿宋_GB2312" w:cs="黑体"/>
          <w:sz w:val="32"/>
          <w:szCs w:val="32"/>
        </w:rPr>
        <w:t>号</w:t>
      </w:r>
    </w:p>
    <w:p>
      <w:pPr>
        <w:spacing w:line="600" w:lineRule="exact"/>
        <w:jc w:val="both"/>
        <w:rPr>
          <w:rFonts w:eastAsia="宋体" w:cs="黑体"/>
        </w:rPr>
      </w:pPr>
      <w:r>
        <w:rPr>
          <w:rFonts w:eastAsia="宋体" w:cs="黑体"/>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61595</wp:posOffset>
                </wp:positionV>
                <wp:extent cx="5486400" cy="0"/>
                <wp:effectExtent l="0" t="13970" r="0" b="24130"/>
                <wp:wrapNone/>
                <wp:docPr id="2" name="直接连接符 2"/>
                <wp:cNvGraphicFramePr/>
                <a:graphic xmlns:a="http://schemas.openxmlformats.org/drawingml/2006/main">
                  <a:graphicData uri="http://schemas.microsoft.com/office/word/2010/wordprocessingShape">
                    <wps:wsp>
                      <wps:cNvCnPr/>
                      <wps:spPr>
                        <a:xfrm flipV="1">
                          <a:off x="0" y="0"/>
                          <a:ext cx="5486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75pt;margin-top:4.85pt;height:0pt;width:432pt;z-index:251658240;mso-width-relative:page;mso-height-relative:page;" filled="f" stroked="t" coordsize="21600,21600" o:gfxdata="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QatDXV&#10;AAAABQEAAA8AAAAAAAAAAQAgAAAAIgAAAGRycy9kb3ducmV2LnhtbFBLAQIUABQAAAAIAIdO4kCu&#10;WPOH6gEAAK8DAAAOAAAAAAAAAAEAIAAAACQ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文星标宋" w:eastAsia="方正小标宋简体" w:cs="Times New Roman"/>
          <w:color w:val="FF0000"/>
          <w:spacing w:val="-4"/>
          <w:w w:val="65"/>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北京市大兴区政务</w:t>
      </w:r>
      <w:r>
        <w:rPr>
          <w:rFonts w:hint="eastAsia" w:ascii="方正小标宋简体" w:hAnsi="方正小标宋简体" w:eastAsia="方正小标宋简体" w:cs="方正小标宋简体"/>
          <w:color w:val="000000"/>
          <w:sz w:val="44"/>
          <w:szCs w:val="44"/>
          <w:lang w:eastAsia="zh-CN"/>
        </w:rPr>
        <w:t>服务和数据管理局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lang w:eastAsia="zh-CN"/>
        </w:rPr>
        <w:t>关于印发《大兴区</w:t>
      </w:r>
      <w:r>
        <w:rPr>
          <w:rFonts w:hint="eastAsia" w:ascii="方正小标宋简体" w:hAnsi="华文中宋" w:eastAsia="方正小标宋简体"/>
          <w:color w:val="000000"/>
          <w:sz w:val="44"/>
          <w:szCs w:val="44"/>
          <w:lang w:val="en-US" w:eastAsia="zh-CN"/>
        </w:rPr>
        <w:t>2024年政民互动工作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总体方案</w:t>
      </w:r>
      <w:r>
        <w:rPr>
          <w:rFonts w:hint="eastAsia" w:ascii="方正小标宋简体" w:hAnsi="华文中宋" w:eastAsia="方正小标宋简体"/>
          <w:color w:val="000000"/>
          <w:sz w:val="44"/>
          <w:szCs w:val="44"/>
          <w:lang w:eastAsia="zh-CN"/>
        </w:rPr>
        <w:t>》的</w:t>
      </w:r>
      <w:r>
        <w:rPr>
          <w:rFonts w:hint="eastAsia" w:ascii="方正小标宋简体" w:hAnsi="华文中宋" w:eastAsia="方正小标宋简体"/>
          <w:color w:val="000000"/>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区政务公开各单位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rPr>
          <w:rFonts w:hint="eastAsia" w:ascii="仿宋_GB2312" w:hAnsi="微软雅黑" w:eastAsia="仿宋_GB2312" w:cs="Times New Roman"/>
          <w:sz w:val="32"/>
          <w:szCs w:val="32"/>
          <w:lang w:val="en-US" w:eastAsia="zh-CN"/>
        </w:rPr>
      </w:pP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报送的</w:t>
      </w:r>
      <w:r>
        <w:rPr>
          <w:rFonts w:hint="eastAsia" w:ascii="仿宋_GB2312" w:hAnsi="仿宋_GB2312" w:eastAsia="仿宋_GB2312" w:cs="仿宋_GB2312"/>
          <w:sz w:val="32"/>
          <w:szCs w:val="32"/>
        </w:rPr>
        <w:t>“政务开放日”“政策公开讲”活动方案，</w:t>
      </w:r>
      <w:r>
        <w:rPr>
          <w:rFonts w:hint="eastAsia" w:ascii="仿宋_GB2312" w:hAnsi="仿宋_GB2312" w:eastAsia="仿宋_GB2312" w:cs="仿宋_GB2312"/>
          <w:sz w:val="32"/>
          <w:szCs w:val="32"/>
          <w:lang w:eastAsia="zh-CN"/>
        </w:rPr>
        <w:t>我们制定</w:t>
      </w:r>
      <w:r>
        <w:rPr>
          <w:rFonts w:hint="eastAsia" w:ascii="仿宋_GB2312" w:hAnsi="仿宋_GB2312" w:eastAsia="仿宋_GB2312" w:cs="仿宋_GB2312"/>
          <w:sz w:val="32"/>
          <w:szCs w:val="32"/>
        </w:rPr>
        <w:t>了《大兴区202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年政民互动工作总体方案》，</w:t>
      </w:r>
      <w:r>
        <w:rPr>
          <w:rFonts w:hint="eastAsia" w:ascii="仿宋_GB2312" w:hAnsi="微软雅黑" w:eastAsia="仿宋_GB2312" w:cs="Times New Roman"/>
          <w:sz w:val="32"/>
          <w:szCs w:val="32"/>
          <w:lang w:val="en-US" w:eastAsia="zh-CN"/>
        </w:rPr>
        <w:t>现印发给你们，请认真贯彻执行。</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附件：《大兴区202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年政民互动工作总体方案》</w:t>
      </w: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大兴区政务</w:t>
      </w:r>
      <w:r>
        <w:rPr>
          <w:rFonts w:hint="eastAsia" w:ascii="仿宋_GB2312" w:hAnsi="仿宋_GB2312" w:eastAsia="仿宋_GB2312" w:cs="仿宋_GB2312"/>
          <w:sz w:val="32"/>
          <w:szCs w:val="32"/>
          <w:lang w:eastAsia="zh-CN"/>
        </w:rPr>
        <w:t>服务和数据管理局</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480" w:firstLineChars="1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6月14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pStyle w:val="2"/>
        <w:rPr>
          <w:rFonts w:hint="eastAsia" w:ascii="仿宋_GB2312" w:hAnsi="仿宋_GB2312" w:eastAsia="仿宋_GB2312" w:cs="仿宋_GB2312"/>
          <w:sz w:val="32"/>
          <w:szCs w:val="32"/>
          <w:lang w:val="en-US" w:eastAsia="zh-CN"/>
        </w:rPr>
      </w:pP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lang w:val="en-US" w:eastAsia="zh-CN"/>
        </w:rPr>
        <w:t>2024年政民互动</w:t>
      </w:r>
      <w:r>
        <w:rPr>
          <w:rFonts w:hint="eastAsia" w:ascii="方正小标宋简体" w:hAnsi="方正小标宋简体" w:eastAsia="方正小标宋简体" w:cs="方正小标宋简体"/>
          <w:sz w:val="44"/>
          <w:szCs w:val="44"/>
        </w:rPr>
        <w:t>工作总体方案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全面贯彻落实党的二十大、二十届二中全会和市委十三届四次全会精神，切实推进阳光、透明、开放、服务型政府建设，加强政府与群众之间的沟通</w:t>
      </w: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，提高群众满意度，增强群众对政府工作的认同感、获得感，根据《</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年政务公开工作要点》安排，特制定本方案。</w:t>
      </w:r>
    </w:p>
    <w:p>
      <w:pPr>
        <w:keepNext w:val="0"/>
        <w:keepLines w:val="0"/>
        <w:pageBreakBefore w:val="0"/>
        <w:widowControl w:val="0"/>
        <w:tabs>
          <w:tab w:val="left" w:pos="7521"/>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一、工作目标</w:t>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坚持以“民意连接”和“民声回应”为导向，</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区委、区政府中心工作，聚焦公众关切和民生重点事项，组织全区各政府信息公开主体着眼优化营商环境、便民</w:t>
      </w:r>
      <w:r>
        <w:rPr>
          <w:rFonts w:hint="eastAsia" w:ascii="仿宋_GB2312" w:hAnsi="仿宋_GB2312" w:eastAsia="仿宋_GB2312" w:cs="仿宋_GB2312"/>
          <w:sz w:val="32"/>
          <w:szCs w:val="32"/>
          <w:lang w:eastAsia="zh-CN"/>
        </w:rPr>
        <w:t>惠民</w:t>
      </w:r>
      <w:r>
        <w:rPr>
          <w:rFonts w:hint="eastAsia" w:ascii="仿宋_GB2312" w:hAnsi="仿宋_GB2312" w:eastAsia="仿宋_GB2312" w:cs="仿宋_GB2312"/>
          <w:sz w:val="32"/>
          <w:szCs w:val="32"/>
        </w:rPr>
        <w:t>服务、保障改善民生、</w:t>
      </w:r>
      <w:r>
        <w:rPr>
          <w:rFonts w:hint="eastAsia" w:ascii="仿宋_GB2312" w:hAnsi="仿宋_GB2312" w:eastAsia="仿宋_GB2312" w:cs="仿宋_GB2312"/>
          <w:sz w:val="32"/>
          <w:szCs w:val="32"/>
          <w:lang w:eastAsia="zh-CN"/>
        </w:rPr>
        <w:t>创建文明城区、</w:t>
      </w:r>
      <w:r>
        <w:rPr>
          <w:rFonts w:hint="eastAsia" w:ascii="仿宋_GB2312" w:hAnsi="仿宋_GB2312" w:eastAsia="仿宋_GB2312" w:cs="仿宋_GB2312"/>
          <w:sz w:val="32"/>
          <w:szCs w:val="32"/>
        </w:rPr>
        <w:t>政策专属“礼包”等专题，认真开展20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活动，宣传政府在优化营商环境、提升公共服务、保障改善民生等方面的工作进展和成效。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坚持“请群众看”和“听群众说”并</w:t>
      </w:r>
      <w:r>
        <w:rPr>
          <w:rFonts w:hint="eastAsia" w:ascii="仿宋_GB2312" w:hAnsi="仿宋_GB2312" w:eastAsia="仿宋_GB2312" w:cs="仿宋_GB2312"/>
          <w:sz w:val="32"/>
          <w:szCs w:val="32"/>
          <w:lang w:eastAsia="zh-CN"/>
        </w:rPr>
        <w:t>举，“现场参观”和“亲身体验”并行，</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eastAsia="zh-CN"/>
        </w:rPr>
        <w:t>直播“和”</w:t>
      </w:r>
      <w:r>
        <w:rPr>
          <w:rFonts w:hint="eastAsia" w:ascii="仿宋_GB2312" w:hAnsi="仿宋_GB2312" w:eastAsia="仿宋_GB2312" w:cs="仿宋_GB2312"/>
          <w:sz w:val="32"/>
          <w:szCs w:val="32"/>
        </w:rPr>
        <w:t>线下宣传”</w:t>
      </w:r>
      <w:r>
        <w:rPr>
          <w:rFonts w:hint="eastAsia" w:ascii="仿宋_GB2312" w:hAnsi="仿宋_GB2312" w:eastAsia="仿宋_GB2312" w:cs="仿宋_GB2312"/>
          <w:sz w:val="32"/>
          <w:szCs w:val="32"/>
          <w:lang w:eastAsia="zh-CN"/>
        </w:rPr>
        <w:t>并联，“大事看进度”和“小事看效果”并重，通过形式多样、内容丰富的互动活动，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公众汇报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解读政策文件内容，收集</w:t>
      </w:r>
      <w:r>
        <w:rPr>
          <w:rFonts w:hint="eastAsia" w:ascii="仿宋_GB2312" w:hAnsi="仿宋_GB2312" w:eastAsia="仿宋_GB2312" w:cs="仿宋_GB2312"/>
          <w:sz w:val="32"/>
          <w:szCs w:val="32"/>
        </w:rPr>
        <w:t>群众需求</w:t>
      </w:r>
      <w:r>
        <w:rPr>
          <w:rFonts w:hint="eastAsia" w:ascii="仿宋_GB2312" w:hAnsi="仿宋_GB2312" w:eastAsia="仿宋_GB2312" w:cs="仿宋_GB2312"/>
          <w:sz w:val="32"/>
          <w:szCs w:val="32"/>
          <w:lang w:eastAsia="zh-CN"/>
        </w:rPr>
        <w:t>，听取群众</w:t>
      </w:r>
      <w:r>
        <w:rPr>
          <w:rFonts w:hint="eastAsia" w:ascii="仿宋_GB2312" w:hAnsi="仿宋_GB2312" w:eastAsia="仿宋_GB2312" w:cs="仿宋_GB2312"/>
          <w:sz w:val="32"/>
          <w:szCs w:val="32"/>
        </w:rPr>
        <w:t>意见，密切政府与群众关系，促进公众对政府工作的理解和支持，树立勤政务实、公开透明的政府形象，构建共商共建共治共享的良好社会氛围。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工作内容和安排</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（一）“政务开放日”活动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“优化营商环境”专题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放点1、2（政务服务体验）：邀请群众“零距离”参观政务服务大厅，面对面交流，解答群众对政务服务工作的疑问，通过看、听、体验，拓宽联系群众渠道，营造良好的营商环境。（主责单位：观音寺街道、林校路街道）</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政务服务体验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通过设立“</w:t>
      </w:r>
      <w:r>
        <w:rPr>
          <w:rFonts w:hint="eastAsia" w:ascii="仿宋_GB2312" w:hAnsi="仿宋_GB2312" w:eastAsia="仿宋_GB2312" w:cs="仿宋_GB2312"/>
          <w:sz w:val="32"/>
          <w:szCs w:val="32"/>
        </w:rPr>
        <w:t>办不成事”</w:t>
      </w:r>
      <w:r>
        <w:rPr>
          <w:rFonts w:hint="eastAsia" w:ascii="仿宋_GB2312" w:hAnsi="仿宋_GB2312" w:eastAsia="仿宋_GB2312" w:cs="仿宋_GB2312"/>
          <w:sz w:val="32"/>
          <w:szCs w:val="32"/>
          <w:lang w:eastAsia="zh-CN"/>
        </w:rPr>
        <w:t>窗口，</w:t>
      </w:r>
      <w:r>
        <w:rPr>
          <w:rFonts w:hint="eastAsia" w:ascii="仿宋_GB2312" w:hAnsi="仿宋_GB2312" w:eastAsia="仿宋_GB2312" w:cs="仿宋_GB2312"/>
          <w:sz w:val="32"/>
          <w:szCs w:val="32"/>
        </w:rPr>
        <w:t>推进问题的“未诉先办”</w:t>
      </w:r>
      <w:r>
        <w:rPr>
          <w:rFonts w:hint="eastAsia" w:ascii="仿宋_GB2312" w:hAnsi="仿宋_GB2312" w:eastAsia="仿宋_GB2312" w:cs="仿宋_GB2312"/>
          <w:sz w:val="32"/>
          <w:szCs w:val="32"/>
          <w:lang w:eastAsia="zh-CN"/>
        </w:rPr>
        <w:t>，以“我为群众办实事”的主题活动，提供“管家式”“一对一”免费帮办代办服务，最大限度减少企业和群众跑腿次数。</w:t>
      </w:r>
      <w:r>
        <w:rPr>
          <w:rFonts w:hint="eastAsia" w:ascii="仿宋_GB2312" w:hAnsi="仿宋_GB2312" w:eastAsia="仿宋_GB2312" w:cs="仿宋_GB2312"/>
          <w:sz w:val="32"/>
          <w:szCs w:val="32"/>
        </w:rPr>
        <w:t>（主责单位：天宫院街道、高米店街道）</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（政务服务体验）：全方位介绍</w:t>
      </w:r>
      <w:r>
        <w:rPr>
          <w:rFonts w:hint="eastAsia" w:ascii="仿宋_GB2312" w:hAnsi="仿宋_GB2312" w:eastAsia="仿宋_GB2312" w:cs="仿宋_GB2312"/>
          <w:sz w:val="32"/>
          <w:szCs w:val="32"/>
          <w:lang w:eastAsia="zh-CN"/>
        </w:rPr>
        <w:t>政务晓屋</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功</w:t>
      </w:r>
      <w:r>
        <w:rPr>
          <w:rFonts w:hint="eastAsia" w:ascii="仿宋_GB2312" w:hAnsi="仿宋_GB2312" w:eastAsia="仿宋_GB2312" w:cs="仿宋_GB2312"/>
          <w:sz w:val="32"/>
          <w:szCs w:val="32"/>
        </w:rPr>
        <w:t>能、办事流程、特色亮点、服务举措和创新成果等，让更多的居民主动到家门口办理事项，让群众少跑路，办事更便捷，进一步凝聚共识，提升政</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水平</w:t>
      </w:r>
      <w:r>
        <w:rPr>
          <w:rFonts w:hint="eastAsia" w:ascii="仿宋_GB2312" w:hAnsi="仿宋_GB2312" w:eastAsia="仿宋_GB2312" w:cs="仿宋_GB2312"/>
          <w:sz w:val="32"/>
          <w:szCs w:val="32"/>
        </w:rPr>
        <w:t>。（主责单位：</w:t>
      </w:r>
      <w:r>
        <w:rPr>
          <w:rFonts w:hint="eastAsia" w:ascii="仿宋_GB2312" w:hAnsi="仿宋_GB2312" w:eastAsia="仿宋_GB2312" w:cs="仿宋_GB2312"/>
          <w:sz w:val="32"/>
          <w:szCs w:val="32"/>
          <w:lang w:eastAsia="zh-CN"/>
        </w:rPr>
        <w:t>政务和数据局</w:t>
      </w:r>
      <w:r>
        <w:rPr>
          <w:rFonts w:hint="eastAsia" w:ascii="仿宋_GB2312" w:hAnsi="仿宋_GB2312" w:eastAsia="仿宋_GB2312" w:cs="仿宋_GB2312"/>
          <w:sz w:val="32"/>
          <w:szCs w:val="32"/>
        </w:rPr>
        <w:t>）</w:t>
      </w:r>
    </w:p>
    <w:p>
      <w:pPr>
        <w:pStyle w:val="3"/>
        <w:adjustRightInd w:val="0"/>
        <w:snapToGrid w:val="0"/>
        <w:spacing w:after="0" w:line="56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“便民惠民服务”专题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开放点6（社银合作）：通过宣传社保中心与银行合作业务，让广大市民更多了解社保相关内容，方便群众办理社保业务，解决“最后一公里”问题。（主责单位：人保局）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（2）开放点7（采购服务）：通过参观“政府采购中心”，加强部门与群众间的沟通，畅通群众了解和监督政府采购渠道，提高政府工作透明度、开放度。（主责单位：国资委）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“保障改善民生”专题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（镇长面对面）：通过与社区居民面对面拉家常的形式，集中探讨社区治理难点，促进政府、社区、物业和居民高效互动，营造共建共治共享的社区环境。（主责单位：采育镇）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（儿童早期发展）</w:t>
      </w:r>
      <w:r>
        <w:rPr>
          <w:rFonts w:hint="eastAsia" w:ascii="仿宋_GB2312" w:hAnsi="仿宋_GB2312" w:eastAsia="仿宋_GB2312" w:cs="仿宋_GB2312"/>
          <w:sz w:val="32"/>
          <w:szCs w:val="32"/>
          <w:lang w:val="en-US" w:eastAsia="zh-CN"/>
        </w:rPr>
        <w:t>通过“共情润心 温暖同行”政务开放日活动，详细介绍儿童早期综合发展中心建设理念、服务对象、康复训练等开展情况，听取参会代表的意见建议，群策群力，共谋发展。</w:t>
      </w:r>
      <w:r>
        <w:rPr>
          <w:rFonts w:hint="eastAsia" w:ascii="仿宋_GB2312" w:hAnsi="仿宋_GB2312" w:eastAsia="仿宋_GB2312" w:cs="仿宋_GB2312"/>
          <w:sz w:val="32"/>
          <w:szCs w:val="32"/>
          <w:lang w:eastAsia="zh-CN"/>
        </w:rPr>
        <w:t>（主责单位：采育镇）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4.“创建文明城区”专题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（1）开放点10（服务创城）点靓新城，走进环卫</w:t>
      </w:r>
      <w:r>
        <w:rPr>
          <w:rFonts w:hint="eastAsia" w:ascii="仿宋_GB2312" w:hAnsi="仿宋_GB2312" w:eastAsia="仿宋_GB2312" w:cs="仿宋_GB2312"/>
          <w:sz w:val="32"/>
          <w:szCs w:val="32"/>
          <w:highlight w:val="none"/>
          <w:lang w:eastAsia="zh-CN"/>
        </w:rPr>
        <w:t>，通过近距离听讲解、参加座谈会，详细了解环卫中心工作内容，</w:t>
      </w:r>
      <w:r>
        <w:rPr>
          <w:rFonts w:hint="eastAsia" w:ascii="仿宋_GB2312" w:hAnsi="仿宋_GB2312" w:eastAsia="仿宋_GB2312" w:cs="仿宋_GB2312"/>
          <w:sz w:val="32"/>
          <w:szCs w:val="32"/>
          <w:highlight w:val="none"/>
          <w:lang w:val="en-US" w:eastAsia="zh-CN"/>
        </w:rPr>
        <w:t>让居民群众切身体会到创城工作中环卫工作的成效。</w:t>
      </w:r>
      <w:r>
        <w:rPr>
          <w:rFonts w:hint="eastAsia" w:ascii="仿宋_GB2312" w:hAnsi="仿宋_GB2312" w:eastAsia="仿宋_GB2312" w:cs="仿宋_GB2312"/>
          <w:sz w:val="32"/>
          <w:szCs w:val="32"/>
          <w:highlight w:val="none"/>
          <w:lang w:eastAsia="zh-CN"/>
        </w:rPr>
        <w:t>（主责单位：环卫中心）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）开放点</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eastAsia="zh-CN"/>
        </w:rPr>
        <w:t>（接诉即办）邀请群众代表参观区城指中心指挥大厅，听取接诉即办工作讲解汇报，观看接诉基本工作宣传片及指挥平台功能演示，与座席员沟通，了解群众诉求及网格问题办理流程，充分展现政府在重大民生实事领域的工作成果。（主责单位：城指中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）开放点</w:t>
      </w:r>
      <w:r>
        <w:rPr>
          <w:rFonts w:hint="eastAsia" w:ascii="仿宋_GB2312" w:hAnsi="仿宋_GB2312" w:eastAsia="仿宋_GB2312" w:cs="仿宋_GB2312"/>
          <w:sz w:val="32"/>
          <w:szCs w:val="32"/>
          <w:highlight w:val="none"/>
          <w:lang w:val="en-US" w:eastAsia="zh-CN"/>
        </w:rPr>
        <w:t>12（文明游园）在游园过程中，通过相关知识讲解，提升游园文明意识，规范游客行为，维护公园环境卫生和秩序；增强游园安全意识，保障游客安全，减少安全事故发生；注重游园环境保护，倡导绿色出行理念，促进城市可持续发展。（主责单位：城管执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right="0" w:rightChars="0"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“政策专属礼包”专题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（1）开放点13（计量服务</w:t>
      </w:r>
      <w:r>
        <w:rPr>
          <w:rFonts w:hint="eastAsia" w:ascii="仿宋_GB2312" w:hAnsi="仿宋_GB2312" w:eastAsia="仿宋_GB2312" w:cs="仿宋_GB2312"/>
          <w:sz w:val="32"/>
          <w:szCs w:val="32"/>
          <w:lang w:val="en-US" w:eastAsia="zh-CN"/>
        </w:rPr>
        <w:t>）把深奥的计量知识浅显化，寓宣传于服务之中，让参观者近距离感受试验室工作人员精益求精的专业化追求和锱铢必较的科学态度，对计量知识有更深层次的了解。加深对计量工作的认识，充分了解计量在日常工作、生活中的重要性。（主责单位：市场监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放点14（托育服务）邀请人大代表、政协委员、家长和群众代表通过观摩体验、座谈交流和意见反馈，就我区托育机构的托育时间、教学课程进行充分沟通，充分发挥人大代表、政协委员的依法监督和民主监督作用。（主责单位：教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（3）开放点15（人防教育）邀请群众代表走进人防工程现场，对相关法律法规进行宣传，让大家初步了解人防工程使用有关要求。（主责单位：国动办）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b w:val="0"/>
          <w:bCs w:val="0"/>
          <w:sz w:val="32"/>
          <w:szCs w:val="32"/>
          <w:lang w:val="en-US" w:eastAsia="zh-CN"/>
        </w:rPr>
        <w:t>政策公开讲活动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1.政企连心桥宣讲</w:t>
      </w:r>
      <w:r>
        <w:rPr>
          <w:rFonts w:hint="eastAsia" w:ascii="仿宋_GB2312" w:hAnsi="仿宋_GB2312" w:eastAsia="仿宋_GB2312" w:cs="仿宋_GB2312"/>
          <w:sz w:val="32"/>
          <w:szCs w:val="32"/>
          <w:lang w:val="en-US" w:eastAsia="zh-CN"/>
        </w:rPr>
        <w:t>。为优化营商环境，打通服务企业“最后一公里”，深入镇街、社区，</w:t>
      </w:r>
      <w:r>
        <w:rPr>
          <w:rFonts w:hint="default"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val="en-US" w:eastAsia="zh-CN"/>
        </w:rPr>
        <w:t>招商引资，为企业群众讲解答疑热点政策，将政策和改革措施的内容和优势进行解读和互动，助力更好落实政策和改革措施。</w:t>
      </w:r>
      <w:r>
        <w:rPr>
          <w:rFonts w:hint="default" w:ascii="仿宋_GB2312" w:hAnsi="仿宋_GB2312" w:eastAsia="仿宋_GB2312" w:cs="仿宋_GB2312"/>
          <w:sz w:val="32"/>
          <w:szCs w:val="32"/>
          <w:lang w:val="en-US" w:eastAsia="zh-CN"/>
        </w:rPr>
        <w:t>（主责单位：</w:t>
      </w:r>
      <w:r>
        <w:rPr>
          <w:rFonts w:hint="eastAsia" w:ascii="仿宋_GB2312" w:hAnsi="仿宋_GB2312" w:eastAsia="仿宋_GB2312" w:cs="仿宋_GB2312"/>
          <w:sz w:val="32"/>
          <w:szCs w:val="32"/>
          <w:lang w:val="en-US" w:eastAsia="zh-CN"/>
        </w:rPr>
        <w:t>政务和数据局、天宫院街道、高米店街道</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2.中介机构奖励办法宣讲。邀请相关属地及中介机构，由区投促中心详细解读《大兴区招商引资中介机构奖励办法》、线上申报流程和注意事项，并就政策及申报问题进行现场交流。</w:t>
      </w:r>
      <w:r>
        <w:rPr>
          <w:rFonts w:hint="eastAsia" w:ascii="仿宋_GB2312" w:hAnsi="仿宋_GB2312" w:eastAsia="仿宋_GB2312" w:cs="仿宋_GB2312"/>
          <w:sz w:val="32"/>
          <w:szCs w:val="32"/>
          <w:lang w:val="en-US" w:eastAsia="zh-CN"/>
        </w:rPr>
        <w:t>（主责单位：投促中心）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土地承包纠纷法律宣讲。通过学习《中华人民共和国农村土地承包经营纠纷调节仲裁法》，从农村土地承包经营纠纷、申请调节仲裁的条件、仲裁委员会的受理范围、仲裁庭的组成、开庭和裁决等方面，做系统讲解，为化解全区农村土地承包经营纠纷奠定基础。（主责单位：经管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4.人社普法知识系列宣讲</w:t>
      </w:r>
      <w:r>
        <w:rPr>
          <w:rFonts w:hint="eastAsia" w:ascii="仿宋_GB2312" w:hAnsi="仿宋_GB2312" w:eastAsia="仿宋_GB2312" w:cs="仿宋_GB2312"/>
          <w:sz w:val="32"/>
          <w:szCs w:val="32"/>
          <w:lang w:val="en-US" w:eastAsia="zh-CN"/>
        </w:rPr>
        <w:t>。通过线下串讲、线上直播</w:t>
      </w:r>
      <w:r>
        <w:rPr>
          <w:rFonts w:hint="default"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en-US" w:eastAsia="zh-CN"/>
        </w:rPr>
        <w:t>系列宣讲活动，为企业、群众讲解数字经济发展、高技能人才相关政策、企业用工风险防范与应对措施、劳动关系领域法律知识，为企业和群众送上满满的“干货”。</w:t>
      </w:r>
      <w:r>
        <w:rPr>
          <w:rFonts w:hint="default" w:ascii="仿宋_GB2312" w:hAnsi="仿宋_GB2312" w:eastAsia="仿宋_GB2312" w:cs="仿宋_GB2312"/>
          <w:sz w:val="32"/>
          <w:szCs w:val="32"/>
          <w:lang w:val="en-US" w:eastAsia="zh-CN"/>
        </w:rPr>
        <w:t>（主责单位：</w:t>
      </w:r>
      <w:r>
        <w:rPr>
          <w:rFonts w:hint="eastAsia" w:ascii="仿宋_GB2312" w:hAnsi="仿宋_GB2312" w:eastAsia="仿宋_GB2312" w:cs="仿宋_GB2312"/>
          <w:sz w:val="32"/>
          <w:szCs w:val="32"/>
          <w:lang w:val="en-US" w:eastAsia="zh-CN"/>
        </w:rPr>
        <w:t>人保局</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政民互动形式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“政务开放日”“政策公开讲”活动可以采取政务新媒体平台视频直播、邀请社会公众代表现场参与，或者线上线下结合的形式进行。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其中，“线上直播”应于活动开展前至少</w:t>
      </w:r>
      <w:r>
        <w:rPr>
          <w:rFonts w:hint="eastAsia" w:ascii="仿宋_GB2312" w:hAnsi="仿宋_GB2312" w:eastAsia="仿宋_GB2312" w:cs="仿宋_GB2312"/>
          <w:sz w:val="32"/>
          <w:szCs w:val="32"/>
          <w:lang w:val="en-US" w:eastAsia="zh-CN"/>
        </w:rPr>
        <w:t>3个工作日通过区政府网站、政务新媒体发布活动公告，公告内容至少包括活动时间、活动时长、活动大体流程安排、网民参与方式、主办单位等；“线下宣传”需要邀请公众代表参加，</w:t>
      </w:r>
      <w:r>
        <w:rPr>
          <w:rFonts w:hint="eastAsia" w:ascii="仿宋_GB2312" w:hAnsi="仿宋_GB2312" w:eastAsia="仿宋_GB2312" w:cs="仿宋_GB2312"/>
          <w:sz w:val="32"/>
          <w:szCs w:val="32"/>
        </w:rPr>
        <w:t>参加人员规模由各主责单位根据</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等情况确定，</w:t>
      </w:r>
      <w:r>
        <w:rPr>
          <w:rFonts w:hint="eastAsia" w:ascii="仿宋_GB2312" w:hAnsi="仿宋_GB2312" w:eastAsia="仿宋_GB2312" w:cs="仿宋_GB2312"/>
          <w:sz w:val="32"/>
          <w:szCs w:val="32"/>
          <w:lang w:eastAsia="zh-CN"/>
        </w:rPr>
        <w:t>人员选取应有一定代表性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选取人员可采取公开遴选、定向邀请的方式进行。通过公开遴选的，应通过区政府网站、政务新媒体发布遴选公告，并最晚于活动开始前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将活动内容通知到所选取人员。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各单位要提高</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工作重要</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的认识，把</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作为“连民心、集众智、促共识、树形象”的重要平台，</w:t>
      </w:r>
      <w:r>
        <w:rPr>
          <w:rFonts w:hint="eastAsia" w:ascii="仿宋_GB2312" w:hAnsi="仿宋_GB2312" w:eastAsia="仿宋_GB2312" w:cs="仿宋_GB2312"/>
          <w:sz w:val="32"/>
          <w:szCs w:val="32"/>
          <w:lang w:eastAsia="zh-CN"/>
        </w:rPr>
        <w:t>完善有关工作</w:t>
      </w:r>
      <w:r>
        <w:rPr>
          <w:rFonts w:hint="eastAsia" w:ascii="仿宋_GB2312" w:hAnsi="仿宋_GB2312" w:eastAsia="仿宋_GB2312" w:cs="仿宋_GB2312"/>
          <w:sz w:val="32"/>
          <w:szCs w:val="32"/>
        </w:rPr>
        <w:t>机制，持续创新加以推进。各主责单位要向群众介绍</w:t>
      </w:r>
      <w:r>
        <w:rPr>
          <w:rFonts w:hint="eastAsia" w:ascii="仿宋_GB2312" w:hAnsi="仿宋_GB2312" w:eastAsia="仿宋_GB2312" w:cs="仿宋_GB2312"/>
          <w:sz w:val="32"/>
          <w:szCs w:val="32"/>
          <w:lang w:eastAsia="zh-CN"/>
        </w:rPr>
        <w:t>政策文件、</w:t>
      </w:r>
      <w:r>
        <w:rPr>
          <w:rFonts w:hint="eastAsia" w:ascii="仿宋_GB2312" w:hAnsi="仿宋_GB2312" w:eastAsia="仿宋_GB2312" w:cs="仿宋_GB2312"/>
          <w:sz w:val="32"/>
          <w:szCs w:val="32"/>
        </w:rPr>
        <w:t>工作情况，听取群众需求和意见建议，并向群众反馈意见建议采纳情况</w:t>
      </w:r>
      <w:r>
        <w:rPr>
          <w:rFonts w:hint="eastAsia" w:ascii="仿宋_GB2312" w:hAnsi="仿宋_GB2312" w:eastAsia="仿宋_GB2312" w:cs="仿宋_GB2312"/>
          <w:sz w:val="32"/>
          <w:szCs w:val="32"/>
          <w:lang w:eastAsia="zh-CN"/>
        </w:rPr>
        <w:t>，要为主要</w:t>
      </w:r>
      <w:r>
        <w:rPr>
          <w:rFonts w:hint="eastAsia" w:ascii="仿宋_GB2312" w:hAnsi="仿宋_GB2312" w:eastAsia="仿宋_GB2312" w:cs="仿宋_GB2312"/>
          <w:sz w:val="32"/>
          <w:szCs w:val="32"/>
        </w:rPr>
        <w:t>负责同志参与</w:t>
      </w:r>
      <w:r>
        <w:rPr>
          <w:rFonts w:hint="eastAsia" w:ascii="仿宋_GB2312" w:hAnsi="仿宋_GB2312" w:eastAsia="仿宋_GB2312" w:cs="仿宋_GB2312"/>
          <w:sz w:val="32"/>
          <w:szCs w:val="32"/>
          <w:lang w:eastAsia="zh-CN"/>
        </w:rPr>
        <w:t>互动活动创造条件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入选</w:t>
      </w:r>
      <w:r>
        <w:rPr>
          <w:rFonts w:hint="eastAsia" w:ascii="仿宋_GB2312" w:hAnsi="仿宋_GB2312" w:eastAsia="仿宋_GB2312" w:cs="仿宋_GB2312"/>
          <w:sz w:val="32"/>
          <w:szCs w:val="32"/>
        </w:rPr>
        <w:t>区级层面</w:t>
      </w:r>
      <w:r>
        <w:rPr>
          <w:rFonts w:hint="eastAsia" w:ascii="仿宋_GB2312" w:hAnsi="仿宋_GB2312" w:eastAsia="仿宋_GB2312" w:cs="仿宋_GB2312"/>
          <w:sz w:val="32"/>
          <w:szCs w:val="32"/>
          <w:lang w:eastAsia="zh-CN"/>
        </w:rPr>
        <w:t>政民互动的单位要按照工作计划举办相关活动，如遇特殊情况可自行调整并同时向区政务服务和数据管理局报备。其他单位</w:t>
      </w:r>
      <w:r>
        <w:rPr>
          <w:rFonts w:hint="eastAsia" w:ascii="仿宋_GB2312" w:hAnsi="仿宋_GB2312" w:eastAsia="仿宋_GB2312" w:cs="仿宋_GB2312"/>
          <w:sz w:val="32"/>
          <w:szCs w:val="32"/>
        </w:rPr>
        <w:t>要落实政民互动“常态化”开展要求，根据自身实际开展</w:t>
      </w:r>
      <w:r>
        <w:rPr>
          <w:rFonts w:hint="eastAsia" w:ascii="仿宋_GB2312" w:hAnsi="仿宋_GB2312" w:eastAsia="仿宋_GB2312" w:cs="仿宋_GB2312"/>
          <w:sz w:val="32"/>
          <w:szCs w:val="32"/>
          <w:lang w:eastAsia="zh-CN"/>
        </w:rPr>
        <w:t>互动</w:t>
      </w:r>
      <w:r>
        <w:rPr>
          <w:rFonts w:hint="eastAsia" w:ascii="仿宋_GB2312" w:hAnsi="仿宋_GB2312" w:eastAsia="仿宋_GB2312" w:cs="仿宋_GB2312"/>
          <w:sz w:val="32"/>
          <w:szCs w:val="32"/>
        </w:rPr>
        <w:t>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sz w:val="32"/>
          <w:szCs w:val="32"/>
        </w:rPr>
        <w:t>（二）精心筹划安排。</w:t>
      </w:r>
      <w:r>
        <w:rPr>
          <w:rFonts w:hint="eastAsia" w:ascii="仿宋_GB2312" w:hAnsi="仿宋_GB2312" w:eastAsia="仿宋_GB2312" w:cs="仿宋_GB2312"/>
          <w:sz w:val="32"/>
          <w:szCs w:val="32"/>
        </w:rPr>
        <w:t>各主责单位要围绕</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主题精心设置内容和环节，</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准备，突出可看性、体验性和互动性，体现政务开放的真诚态度和真实内容，增强市民的获得感。在</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工作开展后5个工作日内，各主责单位要将本单位</w:t>
      </w:r>
      <w:r>
        <w:rPr>
          <w:rFonts w:hint="eastAsia" w:ascii="仿宋_GB2312" w:hAnsi="仿宋_GB2312" w:eastAsia="仿宋_GB2312" w:cs="仿宋_GB2312"/>
          <w:sz w:val="32"/>
          <w:szCs w:val="32"/>
          <w:lang w:eastAsia="zh-CN"/>
        </w:rPr>
        <w:t>相关工作材料</w:t>
      </w:r>
      <w:r>
        <w:rPr>
          <w:rFonts w:hint="eastAsia" w:ascii="仿宋_GB2312" w:hAnsi="仿宋_GB2312" w:eastAsia="仿宋_GB2312" w:cs="仿宋_GB2312"/>
          <w:sz w:val="32"/>
          <w:szCs w:val="32"/>
        </w:rPr>
        <w:t>在区政府网站“政务开放日”</w:t>
      </w:r>
      <w:r>
        <w:rPr>
          <w:rFonts w:hint="eastAsia" w:ascii="仿宋_GB2312" w:hAnsi="仿宋_GB2312" w:eastAsia="仿宋_GB2312" w:cs="仿宋_GB2312"/>
          <w:sz w:val="32"/>
          <w:szCs w:val="32"/>
          <w:lang w:eastAsia="zh-CN"/>
        </w:rPr>
        <w:t>“政策公开讲”</w:t>
      </w:r>
      <w:r>
        <w:rPr>
          <w:rFonts w:hint="eastAsia" w:ascii="仿宋_GB2312" w:hAnsi="仿宋_GB2312" w:eastAsia="仿宋_GB2312" w:cs="仿宋_GB2312"/>
          <w:sz w:val="32"/>
          <w:szCs w:val="32"/>
        </w:rPr>
        <w:t>栏目公开。</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其中“政策公开讲”要</w:t>
      </w:r>
      <w:r>
        <w:rPr>
          <w:rFonts w:hint="eastAsia" w:ascii="仿宋_GB2312" w:hAnsi="仿宋_GB2312" w:eastAsia="仿宋_GB2312" w:cs="仿宋_GB2312"/>
          <w:color w:val="000000" w:themeColor="text1"/>
          <w:sz w:val="32"/>
          <w:szCs w:val="32"/>
          <w14:textFill>
            <w14:solidFill>
              <w14:schemeClr w14:val="tx1"/>
            </w14:solidFill>
          </w14:textFill>
        </w:rPr>
        <w:t>同步制作讲解视频进行专栏推送，</w:t>
      </w:r>
      <w:r>
        <w:rPr>
          <w:rFonts w:hint="eastAsia" w:ascii="仿宋_GB2312" w:hAnsi="仿宋_GB2312" w:eastAsia="仿宋_GB2312" w:cs="仿宋_GB2312"/>
          <w:color w:val="000000" w:themeColor="text1"/>
          <w:sz w:val="32"/>
          <w:szCs w:val="32"/>
          <w:lang w:eastAsia="zh-CN"/>
          <w14:textFill>
            <w14:solidFill>
              <w14:schemeClr w14:val="tx1"/>
            </w14:solidFill>
          </w14:textFill>
        </w:rPr>
        <w:t>供公众随时下载查看。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（三）做好宣传报道。</w:t>
      </w:r>
      <w:r>
        <w:rPr>
          <w:rFonts w:hint="eastAsia" w:ascii="仿宋_GB2312" w:hAnsi="仿宋_GB2312" w:eastAsia="仿宋_GB2312" w:cs="仿宋_GB2312"/>
          <w:sz w:val="32"/>
          <w:szCs w:val="32"/>
        </w:rPr>
        <w:t>各主责单位要充分利用新媒体平台，做好各自</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的宣传报道，积极向媒体提供</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宣传报道材料，为媒体采访提供便利；以</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为契机，着力宣传报道政府为民服务的具体举措和主要成效，突出群众参与的广泛性、互动性，营造良好氛围。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pPr>
      <w:r>
        <w:rPr>
          <w:rFonts w:hint="eastAsia" w:ascii="楷体_GB2312" w:hAnsi="楷体_GB2312" w:eastAsia="楷体_GB2312" w:cs="楷体_GB2312"/>
          <w:sz w:val="32"/>
          <w:szCs w:val="32"/>
        </w:rPr>
        <w:t>（四）严格督查考核。</w:t>
      </w:r>
      <w:r>
        <w:rPr>
          <w:rFonts w:hint="eastAsia" w:ascii="仿宋_GB2312" w:hAnsi="仿宋_GB2312" w:eastAsia="仿宋_GB2312" w:cs="仿宋_GB2312"/>
          <w:sz w:val="32"/>
          <w:szCs w:val="32"/>
        </w:rPr>
        <w:t>各主责单位要进一步细化本单位活动实施方案，做好应急保障措施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活动安全有序开展。</w:t>
      </w:r>
      <w:r>
        <w:rPr>
          <w:rFonts w:hint="eastAsia" w:ascii="仿宋_GB2312" w:hAnsi="仿宋_GB2312" w:eastAsia="仿宋_GB2312" w:cs="仿宋_GB2312"/>
          <w:sz w:val="32"/>
          <w:szCs w:val="32"/>
          <w:lang w:eastAsia="zh-CN"/>
        </w:rPr>
        <w:t>本年度政民互动</w:t>
      </w:r>
      <w:r>
        <w:rPr>
          <w:rFonts w:hint="eastAsia" w:ascii="仿宋_GB2312" w:hAnsi="仿宋_GB2312" w:eastAsia="仿宋_GB2312" w:cs="仿宋_GB2312"/>
          <w:sz w:val="32"/>
          <w:szCs w:val="32"/>
        </w:rPr>
        <w:t>活动组织情况纳入</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公开绩效考核</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w:t>
      </w:r>
    </w:p>
    <w:sectPr>
      <w:footerReference r:id="rId3" w:type="default"/>
      <w:pgSz w:w="11906" w:h="16838"/>
      <w:pgMar w:top="2098" w:right="1474" w:bottom="1984" w:left="1587"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Arial Unicode MS"/>
    <w:panose1 w:val="0201060900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5168265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406.95pt;margin-top:0pt;height:144pt;width:144pt;mso-position-horizontal-relative:margin;mso-wrap-style:none;z-index:251658240;mso-width-relative:page;mso-height-relative:page;" filled="f" stroked="f" coordsize="21600,21600" o:gfxdata="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MER6tQAAAAJ&#10;AQAADwAAAAAAAAABACAAAAAiAAAAZHJzL2Rvd25yZXYueG1sUEsBAhQAFAAAAAgAh07iQPFn5OWu&#10;AQAASwMAAA4AAAAAAAAAAQAgAAAAIwEAAGRycy9lMm9Eb2MueG1sUEsFBgAAAAAGAAYAWQEAAEMF&#10;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AF1DF"/>
    <w:multiLevelType w:val="singleLevel"/>
    <w:tmpl w:val="B7EAF1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3044"/>
    <w:rsid w:val="00F648F6"/>
    <w:rsid w:val="01BA6F2A"/>
    <w:rsid w:val="05167938"/>
    <w:rsid w:val="092430A6"/>
    <w:rsid w:val="092D0EFE"/>
    <w:rsid w:val="095D4A5E"/>
    <w:rsid w:val="09795C84"/>
    <w:rsid w:val="0A8A151D"/>
    <w:rsid w:val="0A9E3297"/>
    <w:rsid w:val="0BD26549"/>
    <w:rsid w:val="0C7242AA"/>
    <w:rsid w:val="0C974266"/>
    <w:rsid w:val="0CF42D83"/>
    <w:rsid w:val="0DAE7EA9"/>
    <w:rsid w:val="0E12046E"/>
    <w:rsid w:val="0E165540"/>
    <w:rsid w:val="0E412973"/>
    <w:rsid w:val="0E8862AE"/>
    <w:rsid w:val="0EE65904"/>
    <w:rsid w:val="0FBE3600"/>
    <w:rsid w:val="122536EC"/>
    <w:rsid w:val="130B1E93"/>
    <w:rsid w:val="13757519"/>
    <w:rsid w:val="140C0094"/>
    <w:rsid w:val="15C61478"/>
    <w:rsid w:val="16447C7E"/>
    <w:rsid w:val="186674D8"/>
    <w:rsid w:val="18E52C4D"/>
    <w:rsid w:val="1A85199D"/>
    <w:rsid w:val="1AA530E0"/>
    <w:rsid w:val="1AA6156B"/>
    <w:rsid w:val="1ABD48FC"/>
    <w:rsid w:val="1AD8495A"/>
    <w:rsid w:val="1B33221D"/>
    <w:rsid w:val="1B4B75F9"/>
    <w:rsid w:val="1BC14048"/>
    <w:rsid w:val="1C5545C9"/>
    <w:rsid w:val="1DCC409C"/>
    <w:rsid w:val="1EA47FB1"/>
    <w:rsid w:val="1ED41CA1"/>
    <w:rsid w:val="20A54427"/>
    <w:rsid w:val="217C26BE"/>
    <w:rsid w:val="219A2226"/>
    <w:rsid w:val="21B95D32"/>
    <w:rsid w:val="21E642A0"/>
    <w:rsid w:val="22644134"/>
    <w:rsid w:val="25064F39"/>
    <w:rsid w:val="265976E6"/>
    <w:rsid w:val="26CC0951"/>
    <w:rsid w:val="26E74EE4"/>
    <w:rsid w:val="272B60B0"/>
    <w:rsid w:val="27F031A0"/>
    <w:rsid w:val="2930432F"/>
    <w:rsid w:val="296B5BCE"/>
    <w:rsid w:val="29DC1A00"/>
    <w:rsid w:val="2A8456F5"/>
    <w:rsid w:val="2AA74F95"/>
    <w:rsid w:val="2B8A3BC8"/>
    <w:rsid w:val="2C080C9D"/>
    <w:rsid w:val="2D4F3288"/>
    <w:rsid w:val="2D940DC3"/>
    <w:rsid w:val="2DBB57DC"/>
    <w:rsid w:val="2EA31F20"/>
    <w:rsid w:val="2FB7525F"/>
    <w:rsid w:val="31134366"/>
    <w:rsid w:val="31856563"/>
    <w:rsid w:val="318917E2"/>
    <w:rsid w:val="325E569E"/>
    <w:rsid w:val="33DD3F43"/>
    <w:rsid w:val="34931A9F"/>
    <w:rsid w:val="34F014EC"/>
    <w:rsid w:val="35555148"/>
    <w:rsid w:val="35882954"/>
    <w:rsid w:val="36071B42"/>
    <w:rsid w:val="36D00656"/>
    <w:rsid w:val="372D341F"/>
    <w:rsid w:val="37511C27"/>
    <w:rsid w:val="37C97599"/>
    <w:rsid w:val="39442F33"/>
    <w:rsid w:val="39E0307D"/>
    <w:rsid w:val="3AC81436"/>
    <w:rsid w:val="3AE71A07"/>
    <w:rsid w:val="3B5D235A"/>
    <w:rsid w:val="3C035352"/>
    <w:rsid w:val="3CAF5CAF"/>
    <w:rsid w:val="3D4663DA"/>
    <w:rsid w:val="3D6211A4"/>
    <w:rsid w:val="40072A64"/>
    <w:rsid w:val="407F3A4E"/>
    <w:rsid w:val="434A792E"/>
    <w:rsid w:val="43B77A9A"/>
    <w:rsid w:val="43EA0CA9"/>
    <w:rsid w:val="44AC745D"/>
    <w:rsid w:val="45663EF0"/>
    <w:rsid w:val="45EA6890"/>
    <w:rsid w:val="46E25976"/>
    <w:rsid w:val="472F6D7D"/>
    <w:rsid w:val="47550D99"/>
    <w:rsid w:val="476A343A"/>
    <w:rsid w:val="47C83429"/>
    <w:rsid w:val="481A1637"/>
    <w:rsid w:val="484F5DDB"/>
    <w:rsid w:val="48E52BB2"/>
    <w:rsid w:val="49850256"/>
    <w:rsid w:val="49FF6B91"/>
    <w:rsid w:val="4ABB19C4"/>
    <w:rsid w:val="4B0722B0"/>
    <w:rsid w:val="4B15440A"/>
    <w:rsid w:val="4C7D325B"/>
    <w:rsid w:val="4D575951"/>
    <w:rsid w:val="4FAB1FC4"/>
    <w:rsid w:val="514F72ED"/>
    <w:rsid w:val="51673298"/>
    <w:rsid w:val="51D15F1E"/>
    <w:rsid w:val="520315D3"/>
    <w:rsid w:val="52190B0F"/>
    <w:rsid w:val="535566A8"/>
    <w:rsid w:val="549C00FB"/>
    <w:rsid w:val="559D026A"/>
    <w:rsid w:val="564662DA"/>
    <w:rsid w:val="56E93C9C"/>
    <w:rsid w:val="56F20FF7"/>
    <w:rsid w:val="58A51C13"/>
    <w:rsid w:val="597D3924"/>
    <w:rsid w:val="59D43B02"/>
    <w:rsid w:val="5BB54820"/>
    <w:rsid w:val="5C9566AF"/>
    <w:rsid w:val="5CA140CC"/>
    <w:rsid w:val="5D254B4E"/>
    <w:rsid w:val="5D2B019E"/>
    <w:rsid w:val="5D3031F8"/>
    <w:rsid w:val="5ECE2FF3"/>
    <w:rsid w:val="5ED33063"/>
    <w:rsid w:val="5EED5A85"/>
    <w:rsid w:val="5F037E80"/>
    <w:rsid w:val="5F332177"/>
    <w:rsid w:val="5FA057A9"/>
    <w:rsid w:val="60D40875"/>
    <w:rsid w:val="610B1578"/>
    <w:rsid w:val="616474D3"/>
    <w:rsid w:val="64A223D4"/>
    <w:rsid w:val="65586823"/>
    <w:rsid w:val="65E823F4"/>
    <w:rsid w:val="65FB2149"/>
    <w:rsid w:val="6615739E"/>
    <w:rsid w:val="661F4B07"/>
    <w:rsid w:val="667C485E"/>
    <w:rsid w:val="66E762BD"/>
    <w:rsid w:val="69BA0CCB"/>
    <w:rsid w:val="6A203BED"/>
    <w:rsid w:val="6A85002B"/>
    <w:rsid w:val="6DCA28E3"/>
    <w:rsid w:val="6F3268B1"/>
    <w:rsid w:val="70253B7E"/>
    <w:rsid w:val="71B414A5"/>
    <w:rsid w:val="73143314"/>
    <w:rsid w:val="73CD5D24"/>
    <w:rsid w:val="73F72EA4"/>
    <w:rsid w:val="74860B1F"/>
    <w:rsid w:val="748C6382"/>
    <w:rsid w:val="75BB1118"/>
    <w:rsid w:val="75CC364C"/>
    <w:rsid w:val="75F428C1"/>
    <w:rsid w:val="767503EF"/>
    <w:rsid w:val="782E2BC1"/>
    <w:rsid w:val="787C5A18"/>
    <w:rsid w:val="793E6241"/>
    <w:rsid w:val="799A295A"/>
    <w:rsid w:val="7A4A453A"/>
    <w:rsid w:val="7AD70A2D"/>
    <w:rsid w:val="7BC215E2"/>
    <w:rsid w:val="7BCC61EC"/>
    <w:rsid w:val="7CAC336A"/>
    <w:rsid w:val="7DF40FEE"/>
    <w:rsid w:val="7EA83F01"/>
    <w:rsid w:val="7F4C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rPr>
  </w:style>
  <w:style w:type="paragraph" w:styleId="3">
    <w:name w:val="Body Text"/>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dc:creator>
  <cp:lastModifiedBy>信息公开科</cp:lastModifiedBy>
  <cp:lastPrinted>2023-07-28T06:40:00Z</cp:lastPrinted>
  <dcterms:modified xsi:type="dcterms:W3CDTF">2024-06-13T09:05:30Z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