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880" w:hanging="880" w:hangingChars="2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大兴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区关于组织开展202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年北京市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专精特新</w:t>
      </w:r>
    </w:p>
    <w:p>
      <w:pPr>
        <w:spacing w:line="560" w:lineRule="exact"/>
        <w:ind w:left="880" w:hanging="880" w:hangingChars="200"/>
        <w:jc w:val="center"/>
        <w:rPr>
          <w:rStyle w:val="16"/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中小企业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资质申报及相关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工作的通知</w:t>
      </w:r>
    </w:p>
    <w:p>
      <w:pPr>
        <w:wordWrap w:val="0"/>
        <w:topLinePunct/>
        <w:snapToGrid w:val="0"/>
        <w:spacing w:line="560" w:lineRule="exact"/>
        <w:rPr>
          <w:rStyle w:val="16"/>
          <w:rFonts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color="auto" w:fill="FFFFFF"/>
        </w:rPr>
      </w:pPr>
    </w:p>
    <w:p>
      <w:pPr>
        <w:wordWrap w:val="0"/>
        <w:topLinePunct/>
        <w:snapToGrid w:val="0"/>
        <w:spacing w:line="560" w:lineRule="exact"/>
        <w:rPr>
          <w:rStyle w:val="16"/>
          <w:rFonts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color="auto" w:fill="FFFFFF"/>
        </w:rPr>
      </w:pPr>
      <w:r>
        <w:rPr>
          <w:rStyle w:val="16"/>
          <w:rFonts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color="auto" w:fill="FFFFFF"/>
        </w:rPr>
        <w:t>各</w:t>
      </w:r>
      <w:r>
        <w:rPr>
          <w:rStyle w:val="16"/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none"/>
          <w:shd w:val="clear" w:color="auto" w:fill="FFFFFF"/>
        </w:rPr>
        <w:t>有关企业：</w:t>
      </w:r>
    </w:p>
    <w:p>
      <w:pPr>
        <w:wordWrap w:val="0"/>
        <w:topLinePunct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shd w:val="clear" w:color="auto" w:fill="FFFFFF"/>
        </w:rPr>
      </w:pPr>
      <w:r>
        <w:rPr>
          <w:rStyle w:val="25"/>
          <w:rFonts w:hint="eastAsia" w:ascii="仿宋_GB2312" w:eastAsia="仿宋_GB2312"/>
          <w:color w:val="auto"/>
          <w:kern w:val="0"/>
          <w:sz w:val="32"/>
          <w:szCs w:val="32"/>
          <w:u w:val="none"/>
          <w:shd w:val="clear" w:color="auto" w:fill="FFFFFF"/>
        </w:rPr>
        <w:t>根据《北京市优质中小企业梯度管理实施细则》（以下简称“实施细则”）要求，</w:t>
      </w:r>
      <w:r>
        <w:rPr>
          <w:rFonts w:hint="eastAsia" w:ascii="仿宋_GB2312" w:eastAsia="仿宋_GB2312"/>
          <w:kern w:val="0"/>
          <w:sz w:val="32"/>
          <w:szCs w:val="32"/>
        </w:rPr>
        <w:t>为引导北京市中小企业向专业化、精细化、特色化、新颖化方向高质量发展，提升中小企业创新能力和专业化水平，现</w:t>
      </w:r>
      <w:r>
        <w:rPr>
          <w:rStyle w:val="25"/>
          <w:rFonts w:hint="eastAsia" w:ascii="仿宋_GB2312" w:eastAsia="仿宋_GB2312"/>
          <w:color w:val="auto"/>
          <w:kern w:val="0"/>
          <w:sz w:val="32"/>
          <w:szCs w:val="32"/>
          <w:u w:val="none"/>
          <w:shd w:val="clear" w:color="auto" w:fill="FFFFFF"/>
        </w:rPr>
        <w:t>组织开展202</w:t>
      </w:r>
      <w:r>
        <w:rPr>
          <w:rStyle w:val="25"/>
          <w:rFonts w:hint="eastAsia" w:ascii="仿宋_GB2312" w:eastAsia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Style w:val="25"/>
          <w:rFonts w:hint="eastAsia" w:ascii="仿宋_GB2312" w:eastAsia="仿宋_GB2312"/>
          <w:color w:val="auto"/>
          <w:kern w:val="0"/>
          <w:sz w:val="32"/>
          <w:szCs w:val="32"/>
          <w:u w:val="none"/>
          <w:shd w:val="clear" w:color="auto" w:fill="FFFFFF"/>
        </w:rPr>
        <w:t>年专精特新中小企业</w:t>
      </w:r>
      <w:r>
        <w:rPr>
          <w:rStyle w:val="25"/>
          <w:rFonts w:hint="eastAsia" w:ascii="仿宋_GB2312" w:eastAsia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资质申报</w:t>
      </w:r>
      <w:r>
        <w:rPr>
          <w:rStyle w:val="25"/>
          <w:rFonts w:hint="eastAsia" w:ascii="仿宋_GB2312" w:eastAsia="仿宋_GB2312"/>
          <w:color w:val="auto"/>
          <w:kern w:val="0"/>
          <w:sz w:val="32"/>
          <w:szCs w:val="32"/>
          <w:u w:val="none"/>
          <w:shd w:val="clear" w:color="auto" w:fill="FFFFFF"/>
        </w:rPr>
        <w:t>工作。相关事项通知如下：</w:t>
      </w:r>
    </w:p>
    <w:p>
      <w:pPr>
        <w:pStyle w:val="4"/>
        <w:spacing w:before="0" w:after="0" w:line="560" w:lineRule="exact"/>
        <w:rPr>
          <w:rFonts w:hint="default" w:ascii="黑体" w:hAnsi="黑体" w:eastAsia="黑体"/>
          <w:shd w:val="clear" w:color="auto" w:fill="FFFFFF"/>
          <w:lang w:val="en-US" w:eastAsia="zh-CN"/>
        </w:rPr>
      </w:pPr>
      <w:r>
        <w:rPr>
          <w:rFonts w:hint="eastAsia" w:ascii="黑体" w:hAnsi="黑体"/>
          <w:shd w:val="clear" w:color="auto" w:fill="FFFFFF"/>
        </w:rPr>
        <w:t>一、</w:t>
      </w:r>
      <w:r>
        <w:rPr>
          <w:rFonts w:hint="eastAsia" w:ascii="黑体" w:hAnsi="黑体"/>
          <w:shd w:val="clear" w:color="auto" w:fill="FFFFFF"/>
          <w:lang w:val="en-US" w:eastAsia="zh-CN"/>
        </w:rPr>
        <w:t>申报流程</w:t>
      </w:r>
    </w:p>
    <w:p>
      <w:pPr>
        <w:wordWrap w:val="0"/>
        <w:topLinePunct/>
        <w:snapToGrid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1.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北京市专精特新中小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企业评价和认定，采取企业自愿申报、系统</w:t>
      </w: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全年敞口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主管部门季度</w:t>
      </w: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评价的方式，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每季度首日0:00-末日24:00为一个申报周期。经公告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的创新型中小企业按工商注册属地原则自愿登录培育平台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参照北京市专精特新中小企业认定标准（附件1）和资料清单模板（附件2），</w:t>
      </w:r>
      <w:r>
        <w:rPr>
          <w:rFonts w:ascii="仿宋_GB2312" w:hAnsi="仿宋_GB2312" w:eastAsia="仿宋_GB2312" w:cs="仿宋_GB2312"/>
          <w:sz w:val="32"/>
          <w:szCs w:val="32"/>
        </w:rPr>
        <w:t>如实</w:t>
      </w:r>
      <w:r>
        <w:rPr>
          <w:rFonts w:hint="eastAsia" w:ascii="仿宋_GB2312" w:hAnsi="仿宋_GB2312" w:eastAsia="仿宋_GB2312" w:cs="仿宋_GB2312"/>
          <w:sz w:val="32"/>
          <w:szCs w:val="32"/>
        </w:rPr>
        <w:t>填</w:t>
      </w:r>
      <w:r>
        <w:rPr>
          <w:rFonts w:ascii="仿宋_GB2312" w:hAnsi="仿宋_GB2312" w:eastAsia="仿宋_GB2312" w:cs="仿宋_GB2312"/>
          <w:sz w:val="32"/>
          <w:szCs w:val="32"/>
        </w:rPr>
        <w:t>报并提交企业相关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信息、上传</w:t>
      </w:r>
      <w:r>
        <w:rPr>
          <w:rFonts w:ascii="仿宋_GB2312" w:hAnsi="仿宋_GB2312" w:eastAsia="仿宋_GB2312" w:cs="仿宋_GB2312"/>
          <w:sz w:val="32"/>
          <w:szCs w:val="32"/>
        </w:rPr>
        <w:t>对应</w:t>
      </w:r>
      <w:r>
        <w:rPr>
          <w:rFonts w:hint="eastAsia" w:ascii="仿宋_GB2312" w:hAnsi="仿宋_GB2312" w:eastAsia="仿宋_GB2312" w:cs="仿宋_GB2312"/>
          <w:sz w:val="32"/>
          <w:szCs w:val="32"/>
        </w:rPr>
        <w:t>佐证材料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ordWrap w:val="0"/>
        <w:topLinePunct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大兴区经信局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负责组织申报、评审、推荐工作，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并对推荐企业进行一定比例的实地抽查，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于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季度首月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的十个工作日内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，向市经济和信息化局提交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推荐函、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评审结论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符合认定标准的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推荐企业名单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。市经济和信息化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对推荐企业进行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核验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、公示、公告后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认定为专精特新中小企业。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公示期内，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大兴区经信局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对本区企业的申诉信息进行答疑。</w:t>
      </w:r>
    </w:p>
    <w:p>
      <w:pPr>
        <w:pStyle w:val="4"/>
        <w:spacing w:before="0" w:after="0" w:line="560" w:lineRule="exact"/>
        <w:ind w:firstLine="321" w:firstLineChars="100"/>
        <w:rPr>
          <w:rFonts w:ascii="Calibri" w:hAnsi="Calibri" w:eastAsia="宋体" w:cs="Times New Roman"/>
          <w:kern w:val="2"/>
          <w:sz w:val="21"/>
          <w:szCs w:val="21"/>
        </w:rPr>
      </w:pPr>
      <w:r>
        <w:rPr>
          <w:rFonts w:hint="eastAsia" w:ascii="黑体" w:hAnsi="黑体"/>
          <w:shd w:val="clear" w:color="auto" w:fill="FFFFFF"/>
        </w:rPr>
        <w:t>二、评价及认定标准</w:t>
      </w:r>
    </w:p>
    <w:p>
      <w:pPr>
        <w:wordWrap w:val="0"/>
        <w:topLinePunct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应在北京市工商注册登记、具有独立法人资格；</w:t>
      </w:r>
    </w:p>
    <w:p>
      <w:pPr>
        <w:wordWrap w:val="0"/>
        <w:topLinePunct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符合《中小企业划型标准规定》（工信部联企业〔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2011〕300号）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>
      <w:pPr>
        <w:wordWrap w:val="0"/>
        <w:topLinePunct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未被列入经营异常名录或严重失信主体名单，提供的产品（服务）不属于国家和北京市禁止、限制或淘汰类，同时近三年未发生重大安全（含网络安全、数据安全）、质量、环境污染等事故以及偷漏税等违法违规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</w:p>
    <w:p>
      <w:pPr>
        <w:wordWrap w:val="0"/>
        <w:topLinePunct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满足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专精特新中小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评价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认定标准（附件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、附件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2022年、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和2024年三个会计年度的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财务审计报告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均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应在财政部“注册会计师行业统一监管平台”完成备案，审计报告应赋予验证码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研发费用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highlight w:val="none"/>
        </w:rPr>
        <w:t>直通车条件认定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。《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规定，企业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近两年研发费用总额均值在1000万元以上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可作为专精特新中小企业认定直通车的条件之一。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通过此项直通车条件申报专精特新的创新型中小企业，需提供两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个会计年度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2023年-2024年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</w:rPr>
        <w:t>的财务审计报告（含资产负债表、利润及利润分配表、现金流量表、附注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）。现将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lang w:val="en-US" w:eastAsia="zh-CN"/>
        </w:rPr>
        <w:t>中介机构条件、研发费用内容等认定标准做进一步明确要求如下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（1）中介机构条件。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出具财务审计报告或研发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专项审计报告</w:t>
      </w:r>
      <w:r>
        <w:rPr>
          <w:rFonts w:hint="eastAsia" w:ascii="Times New Roman" w:hAnsi="Times New Roman" w:eastAsia="仿宋_GB2312" w:cs="Times New Roman"/>
          <w:spacing w:val="0"/>
          <w:sz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中介机构</w:t>
      </w: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应同时符合以下条件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22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22"/>
        </w:rPr>
        <w:instrText xml:space="preserve"> = 1 \* GB3 \* MERGEFORMAT </w:instrTex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22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2"/>
        </w:rPr>
        <w:t>①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22"/>
        </w:rPr>
        <w:fldChar w:fldCharType="end"/>
      </w:r>
      <w:r>
        <w:rPr>
          <w:rFonts w:hint="eastAsia" w:ascii="Times New Roman" w:hAnsi="Times New Roman" w:eastAsia="仿宋_GB2312" w:cs="Times New Roman"/>
          <w:spacing w:val="0"/>
          <w:sz w:val="32"/>
        </w:rPr>
        <w:t>具备独立执业资格，成立</w:t>
      </w: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年以上，近</w:t>
      </w: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年内无不良记录</w:t>
      </w:r>
      <w:r>
        <w:rPr>
          <w:rFonts w:hint="eastAsia" w:cs="Times New Roman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22"/>
        </w:rPr>
        <w:fldChar w:fldCharType="begin"/>
      </w:r>
      <w:r>
        <w:rPr>
          <w:rFonts w:hint="eastAsia" w:ascii="Times New Roman" w:hAnsi="Times New Roman" w:eastAsia="仿宋_GB2312" w:cs="Times New Roman"/>
          <w:spacing w:val="0"/>
          <w:sz w:val="32"/>
          <w:szCs w:val="22"/>
        </w:rPr>
        <w:instrText xml:space="preserve"> = 2 \* GB3 \* MERGEFORMAT </w:instrText>
      </w:r>
      <w:r>
        <w:rPr>
          <w:rFonts w:hint="eastAsia" w:ascii="Times New Roman" w:hAnsi="Times New Roman" w:eastAsia="仿宋_GB2312" w:cs="Times New Roman"/>
          <w:spacing w:val="0"/>
          <w:sz w:val="32"/>
          <w:szCs w:val="22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22"/>
        </w:rPr>
        <w:t>②</w:t>
      </w:r>
      <w:r>
        <w:rPr>
          <w:rFonts w:hint="eastAsia" w:ascii="Times New Roman" w:hAnsi="Times New Roman" w:eastAsia="仿宋_GB2312" w:cs="Times New Roman"/>
          <w:spacing w:val="0"/>
          <w:sz w:val="32"/>
          <w:szCs w:val="22"/>
        </w:rPr>
        <w:fldChar w:fldCharType="end"/>
      </w:r>
      <w:r>
        <w:rPr>
          <w:rFonts w:hint="eastAsia" w:ascii="Times New Roman" w:hAnsi="Times New Roman" w:eastAsia="仿宋_GB2312" w:cs="Times New Roman"/>
          <w:spacing w:val="0"/>
          <w:sz w:val="32"/>
        </w:rPr>
        <w:t>承担认定工作当年</w:t>
      </w: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注册会计师</w:t>
      </w: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或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税务师人</w:t>
      </w: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数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占职工全年月平均人数的比例不低于</w:t>
      </w:r>
      <w:r>
        <w:rPr>
          <w:rFonts w:hint="eastAsia" w:ascii="仿宋_GB2312" w:hAnsi="仿宋_GB2312" w:eastAsia="仿宋_GB2312" w:cs="仿宋_GB2312"/>
          <w:spacing w:val="0"/>
          <w:sz w:val="32"/>
        </w:rPr>
        <w:t>30%</w:t>
      </w:r>
      <w:r>
        <w:rPr>
          <w:rFonts w:hint="eastAsia" w:ascii="Times New Roman" w:hAnsi="Times New Roman" w:eastAsia="仿宋_GB2312" w:cs="Times New Roman"/>
          <w:spacing w:val="0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全年月平均在职职工人数在</w:t>
      </w:r>
      <w:r>
        <w:rPr>
          <w:rFonts w:hint="eastAsia" w:ascii="仿宋_GB2312" w:hAnsi="仿宋_GB2312" w:eastAsia="仿宋_GB2312" w:cs="仿宋_GB2312"/>
          <w:spacing w:val="0"/>
          <w:sz w:val="32"/>
        </w:rPr>
        <w:t>20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人以上</w:t>
      </w:r>
      <w:r>
        <w:rPr>
          <w:rFonts w:hint="eastAsia" w:ascii="Times New Roman" w:hAnsi="Times New Roman" w:eastAsia="仿宋_GB2312" w:cs="Times New Roman"/>
          <w:spacing w:val="0"/>
          <w:sz w:val="32"/>
          <w:lang w:eastAsia="zh-CN"/>
        </w:rPr>
        <w:t>。</w:t>
      </w:r>
    </w:p>
    <w:p>
      <w:pPr>
        <w:pStyle w:val="3"/>
        <w:spacing w:before="0" w:beforeLines="0" w:after="0" w:afterLines="0" w:line="560" w:lineRule="exact"/>
        <w:ind w:firstLine="640" w:firstLineChars="200"/>
        <w:jc w:val="left"/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 w:bidi="ar"/>
        </w:rPr>
        <w:instrText xml:space="preserve"> = 3 \* GB3 \* MERGEFORMAT </w:instrTex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bidi="ar"/>
        </w:rPr>
        <w:t>③</w:t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 w:bidi="ar"/>
        </w:rPr>
        <w:fldChar w:fldCharType="end"/>
      </w:r>
      <w:r>
        <w:rPr>
          <w:rFonts w:hint="eastAsia" w:ascii="仿宋_GB2312" w:hAnsi="Calibri" w:eastAsia="仿宋_GB2312" w:cs="Times New Roman"/>
          <w:b w:val="0"/>
          <w:bCs w:val="0"/>
          <w:sz w:val="32"/>
          <w:szCs w:val="32"/>
          <w:lang w:val="en-US" w:eastAsia="zh-CN" w:bidi="ar"/>
        </w:rPr>
        <w:t>中介机构负有诚信及合规义务，</w:t>
      </w:r>
      <w:r>
        <w:rPr>
          <w:rFonts w:hint="eastAsia" w:ascii="仿宋_GB2312" w:hAnsi="Calibri" w:eastAsia="仿宋_GB2312" w:cs="Times New Roman"/>
          <w:b w:val="0"/>
          <w:bCs w:val="0"/>
          <w:sz w:val="32"/>
          <w:lang w:bidi="ar"/>
        </w:rPr>
        <w:t>在审核过程发现中介机构存在为被审计企业编造或伪造事由，出具虚假或不实的审计报告等违法违规情形的，将把问题线索</w:t>
      </w:r>
      <w:r>
        <w:rPr>
          <w:rFonts w:hint="eastAsia" w:ascii="仿宋_GB2312" w:hAnsi="Calibri" w:eastAsia="仿宋_GB2312" w:cs="Times New Roman"/>
          <w:b w:val="0"/>
          <w:bCs w:val="0"/>
          <w:sz w:val="32"/>
          <w:lang w:val="en-US" w:eastAsia="zh-CN" w:bidi="ar"/>
        </w:rPr>
        <w:t>移送相关监管部门依法处理。</w:t>
      </w:r>
    </w:p>
    <w:p>
      <w:pPr>
        <w:numPr>
          <w:ilvl w:val="0"/>
          <w:numId w:val="0"/>
        </w:numPr>
        <w:spacing w:beforeLines="0" w:after="0" w:afterLines="0" w:line="560" w:lineRule="exact"/>
        <w:ind w:firstLine="643" w:firstLineChars="200"/>
        <w:rPr>
          <w:rFonts w:hint="eastAsia" w:ascii="黑体" w:hAnsi="黑体" w:cs="黑体"/>
          <w:b w:val="0"/>
          <w:bCs w:val="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val="en-US" w:eastAsia="zh-CN"/>
        </w:rPr>
        <w:t>研发费用内容。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经具有</w:t>
      </w: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上述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资质的中介机构鉴证的企业财务</w:t>
      </w: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审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计报告</w:t>
      </w: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中列示研发费用的，须提供相应会计年</w:t>
      </w:r>
      <w:r>
        <w:rPr>
          <w:rFonts w:hint="eastAsia" w:ascii="Times New Roman" w:hAnsi="Times New Roman" w:eastAsia="仿宋_GB2312" w:cs="Times New Roman"/>
          <w:spacing w:val="0"/>
          <w:sz w:val="32"/>
          <w:highlight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32"/>
          <w:highlight w:val="none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spacing w:val="0"/>
          <w:sz w:val="32"/>
          <w:highlight w:val="none"/>
          <w:lang w:val="en-US" w:eastAsia="zh-CN"/>
        </w:rPr>
        <w:t>年和</w:t>
      </w:r>
      <w:r>
        <w:rPr>
          <w:rFonts w:hint="eastAsia" w:ascii="仿宋_GB2312" w:hAnsi="仿宋_GB2312" w:eastAsia="仿宋_GB2312" w:cs="仿宋_GB2312"/>
          <w:spacing w:val="0"/>
          <w:sz w:val="32"/>
          <w:highlight w:val="none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pacing w:val="0"/>
          <w:sz w:val="32"/>
          <w:highlight w:val="none"/>
          <w:lang w:val="en-US" w:eastAsia="zh-CN"/>
        </w:rPr>
        <w:t>年）的财务审计报告；未列示研发费用的，须提供经具</w:t>
      </w: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有上述资质的中介机构出具的研发费用专项审计报告，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"/>
        </w:rPr>
        <w:t>包括以下几类：研发费用加计扣除专项审计报告，用于国家高新技术企业认定的研发费用专项审计报告，或依照《高新技术企业认定管理工作指引》（国科发火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"/>
        </w:rPr>
        <w:t>〔2016〕195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"/>
        </w:rPr>
        <w:t>号）中研发费用有关要求制定的、用于专精特新申报的专项审计报告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2023年、2024年度用于专精特新申报的专项审计报告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“注册会计师行业统一监管平台”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赋予验证码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"/>
        </w:rPr>
        <w:t>；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财务</w:t>
      </w: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审</w:t>
      </w:r>
      <w:r>
        <w:rPr>
          <w:rFonts w:hint="eastAsia" w:ascii="Times New Roman" w:hAnsi="Times New Roman" w:eastAsia="仿宋_GB2312" w:cs="Times New Roman"/>
          <w:spacing w:val="0"/>
          <w:sz w:val="32"/>
        </w:rPr>
        <w:t>计报告</w:t>
      </w:r>
      <w:r>
        <w:rPr>
          <w:rFonts w:hint="eastAsia" w:ascii="Times New Roman" w:hAnsi="Times New Roman" w:eastAsia="仿宋_GB2312" w:cs="Times New Roman"/>
          <w:spacing w:val="0"/>
          <w:sz w:val="32"/>
          <w:lang w:val="en-US" w:eastAsia="zh-CN"/>
        </w:rPr>
        <w:t>中已列示研发费用，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"/>
        </w:rPr>
        <w:t>但另提供上述研发费用专项审计报告的，可优先采用上述专项审计报告。</w:t>
      </w:r>
      <w:r>
        <w:rPr>
          <w:rFonts w:hint="eastAsia" w:ascii="黑体" w:hAnsi="黑体" w:cs="黑体"/>
          <w:b w:val="0"/>
          <w:bCs w:val="0"/>
          <w:shd w:val="clear" w:color="auto" w:fill="FFFFFF"/>
        </w:rPr>
        <w:t xml:space="preserve"> </w:t>
      </w:r>
    </w:p>
    <w:p>
      <w:pPr>
        <w:pStyle w:val="2"/>
      </w:pPr>
    </w:p>
    <w:p>
      <w:pPr>
        <w:pStyle w:val="3"/>
      </w:pPr>
    </w:p>
    <w:p/>
    <w:p>
      <w:pPr>
        <w:keepNext/>
        <w:keepLines/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Times New Roman"/>
          <w:kern w:val="44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  <w:shd w:val="clear" w:color="auto" w:fill="FFFFFF"/>
        </w:rPr>
        <w:t xml:space="preserve">三、证书、牌匾申领    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经认定的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</w:rPr>
        <w:t>北京市创新型中小企业、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</w:rPr>
        <w:t>专精特新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中小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和国家专精特新“小巨人”企业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市经济和信息化局发布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认定结果公告之日起20个工作日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</w:rPr>
        <w:t>登录“北京通企服版A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PP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</w:rPr>
        <w:t>-首页-北京市专精特新梯队企业资质查询系统-梯度培育企业电子证书申领入口”或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</w:rPr>
        <w:t>PC端访问“北京市专精特新梯队企业资质查询系统（https://tdpy.smebj.cn）-梯度培育企业电子证书申领入口”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申领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</w:rPr>
        <w:t>电子证书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和牌匾，并可对企业所获得的专精特新梯队企业资质进行查询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</w:rPr>
        <w:t>。</w:t>
      </w:r>
    </w:p>
    <w:p>
      <w:pPr>
        <w:wordWrap w:val="0"/>
        <w:topLinePunct/>
        <w:spacing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shd w:val="clear" w:color="auto" w:fill="FFFFFF"/>
          <w:lang w:val="en-US" w:eastAsia="zh-CN"/>
        </w:rPr>
        <w:t>四、年度信息更新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有效期内的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创新型中小企业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专精特新中小企业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和国家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专精特新“小巨人”企业，应于每年4月30日前通过培育平台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http://zjtx.miit.gov.cn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企业信息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</w:rPr>
        <w:t>更新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企业同时具有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三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类资质中两个及以上的，按照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最高层级进行信息更新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auto"/>
        </w:rPr>
        <w:t>并对信息的真实性和准确性负责，未按规定时间及时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更新企业信息的，取消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资质到期后的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复核资格。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具体要求另行通知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44"/>
          <w:shd w:val="clear" w:color="auto" w:fill="FFFFFF"/>
          <w:lang w:val="en-US" w:eastAsia="zh-CN"/>
        </w:rPr>
        <w:t>五、</w:t>
      </w:r>
      <w:r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shd w:val="clear" w:color="auto" w:fill="FFFFFF"/>
          <w:lang w:val="en-US" w:eastAsia="zh-CN"/>
        </w:rPr>
        <w:t>资质到期复核</w:t>
      </w:r>
    </w:p>
    <w:p>
      <w:pPr>
        <w:wordWrap w:val="0"/>
        <w:topLinePunct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</w:rPr>
        <w:t>经认定的北京市创新型中小企业、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</w:rPr>
        <w:t>专精特新中小企业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  <w:lang w:val="en-US" w:eastAsia="zh-CN"/>
        </w:rPr>
        <w:t>和国家专精特新“小巨人”企业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</w:rPr>
        <w:t>有效期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</w:rPr>
        <w:t>年，到期后进行复核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  <w:lang w:val="en-US" w:eastAsia="zh-CN"/>
        </w:rPr>
        <w:t>复核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有效期延长三年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同时具备创新型中小企业、专精特新中小企业资质的，仅参加专精特新中小企业到期复核；同时具备国家专精特新“小巨人”企业和专精特新中小企业资质的，须同时参加工业和信息化部组织的专精特新“小巨人”企业到期复核、北京市专精特新中小企业到期复核。</w:t>
      </w:r>
    </w:p>
    <w:p>
      <w:pPr>
        <w:wordWrap w:val="0"/>
        <w:topLinePunct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市经济和信息化局拟于2025年度7月，组织开展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2022年认定的北京市创新型中小企业、北京市专精特新中小企业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（含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同时具有国家专精特新“小巨人”称号或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北京市专精特新“小巨人”称号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的专精特新中小企业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auto"/>
          <w:lang w:val="en-US" w:eastAsia="zh-CN"/>
        </w:rPr>
        <w:t>资质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到期复核工作，具体要求另行通知。2022年认定的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</w:rPr>
        <w:t>国家专精特新“小巨人”企业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也需另外参加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</w:rPr>
        <w:t>由工业和信息化部组织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的到期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</w:rPr>
        <w:t>复核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为加强政策衔接，在工业和信息化部、市经济和信息化局正式公告复核通过的企业名单前，原2022年度认定的国家专精特新“小巨人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”企业、北京市专精特新中小企业和北京市创新型中小企业称号依然有效；名单公告后，原2022年度认定的国家专精特新“小巨人”企业、北京市专精特新中小企业和北京市创新型中小企业自动失效，以公告名单内企业为准。</w:t>
      </w:r>
    </w:p>
    <w:p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hint="default" w:ascii="黑体" w:hAnsi="黑体" w:eastAsia="黑体" w:cs="黑体"/>
          <w:color w:val="auto"/>
          <w:kern w:val="44"/>
          <w:sz w:val="32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44"/>
          <w:highlight w:val="none"/>
          <w:shd w:val="clear" w:color="auto" w:fill="FFFFFF"/>
          <w:lang w:val="en-US" w:eastAsia="zh-CN"/>
        </w:rPr>
        <w:t>六、</w:t>
      </w:r>
      <w:r>
        <w:rPr>
          <w:rFonts w:hint="default" w:ascii="黑体" w:hAnsi="黑体" w:eastAsia="黑体" w:cs="黑体"/>
          <w:kern w:val="44"/>
          <w:sz w:val="32"/>
          <w:szCs w:val="44"/>
          <w:highlight w:val="none"/>
          <w:shd w:val="clear" w:color="auto" w:fill="FFFFFF"/>
          <w:lang w:val="en-US" w:eastAsia="zh-CN"/>
        </w:rPr>
        <w:t>动态监测</w:t>
      </w:r>
      <w:r>
        <w:rPr>
          <w:rFonts w:hint="eastAsia" w:ascii="黑体" w:hAnsi="黑体" w:eastAsia="黑体" w:cs="黑体"/>
          <w:kern w:val="44"/>
          <w:sz w:val="32"/>
          <w:szCs w:val="44"/>
          <w:highlight w:val="none"/>
          <w:shd w:val="clear" w:color="auto" w:fill="FFFFFF"/>
          <w:lang w:val="en-US" w:eastAsia="zh-CN"/>
        </w:rPr>
        <w:t>和</w:t>
      </w:r>
      <w:r>
        <w:rPr>
          <w:rFonts w:hint="default" w:ascii="黑体" w:hAnsi="黑体" w:eastAsia="黑体" w:cs="黑体"/>
          <w:kern w:val="44"/>
          <w:sz w:val="32"/>
          <w:szCs w:val="44"/>
          <w:highlight w:val="none"/>
          <w:shd w:val="clear" w:color="auto" w:fill="FFFFFF"/>
          <w:lang w:val="en-US" w:eastAsia="zh-CN"/>
        </w:rPr>
        <w:t>管理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有效期内的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创新型中小企业、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专精特新中小企业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专精特新“小巨人”企业，如发生更名、合并、重组、跨省迁移、设立境外分支机构等与评价认定条件有关的重大变化，应在发生变化后的3个月内登录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培育平台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http://zjtx.miit.gov.cn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，填写重大变化情况报告表。经市经济和信息化局审核，继续符合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创新型中小企业和专精特新中小企业评价和认定标准的，其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称号及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有效期不变；不符合评价和认定标准的，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核实后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取消认定。经核实，对于不再符合认定标准的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专精特新“小巨人”企业，由工业和信息化部取消认定。对于未在3个月内报告重大变化情况的，取消复核资格，或直接取消认定。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</w:rPr>
        <w:t>对有效期内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highlight w:val="none"/>
          <w:shd w:val="clear" w:color="auto" w:fill="FFFFFF"/>
        </w:rPr>
        <w:t>的北京市</w:t>
      </w: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创新型中小企业、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北京市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</w:rPr>
        <w:t>专精特新中小企业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专精特新“小巨人”企业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</w:rPr>
        <w:t>开展动态监测和管理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企业如发生停止经营、跨省迁移等不符合认定标准的情形，直接取消认定；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如发生重大安全（含网络安全、数据安全）、质量、环境污染等事故，或严重失信、偷漏税等违法违规行为，或被发现存在数据造假等情形，直接取消认定，且至少三年内不得再次申报。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其中，国家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专精特新“小巨人”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企业涉及上述情形的，将报工业和信息化部审定。</w:t>
      </w:r>
    </w:p>
    <w:p>
      <w:pPr>
        <w:pStyle w:val="2"/>
        <w:wordWrap w:val="0"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  <w:t>每季度对上述各类情形进行核查，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并与</w:t>
      </w:r>
      <w:r>
        <w:rPr>
          <w:rStyle w:val="16"/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各</w:t>
      </w:r>
      <w:r>
        <w:rPr>
          <w:rStyle w:val="16"/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区中小企业主管部门定期组织</w:t>
      </w:r>
      <w:r>
        <w:rPr>
          <w:rStyle w:val="16"/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开展</w:t>
      </w:r>
      <w:r>
        <w:rPr>
          <w:rStyle w:val="16"/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实地抽查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  <w:t>。对不符合相关规定取消认定称号的企业，经市、区两级中小企业主管部门核实后，将在北京市专精特新梯队企业资质查询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系统（https://tdpy.smebj.cn）对取消称号的企业名单进行发布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>
      <w:pPr>
        <w:pStyle w:val="12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.关于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北京市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创新型中小企业、北京市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专精特新中小企业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国家专精特新“小巨人”企业申请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均不收取任何费用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审核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过程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坚持公平公正，未委托任何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中介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机构开展培训，不需要也不建议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通过任何中介机构辅助申请。企业只需如实填报，并提供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资料即可。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如在申报过程中发现不法中介机构，请及时向大兴区经济和信息化局举报。</w:t>
      </w:r>
    </w:p>
    <w:p>
      <w:pPr>
        <w:pStyle w:val="12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联系电话：89295030;邮箱：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jxjzxqy@bjdx.gov.cn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附件：1.北京市专精特新中小企业认定标准</w:t>
      </w:r>
    </w:p>
    <w:p>
      <w:pPr>
        <w:pStyle w:val="2"/>
        <w:numPr>
          <w:ilvl w:val="0"/>
          <w:numId w:val="0"/>
        </w:numPr>
        <w:ind w:left="1600" w:leftChars="0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2.北京市专精特新中小企业申报资料清单</w:t>
      </w:r>
    </w:p>
    <w:p>
      <w:pPr>
        <w:pStyle w:val="3"/>
        <w:numPr>
          <w:ilvl w:val="0"/>
          <w:numId w:val="0"/>
        </w:numPr>
        <w:ind w:left="1600" w:leftChars="0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  <w:lang w:eastAsia="zh-CN"/>
        </w:rPr>
        <w:t>北京市大兴区经济和信息化局</w:t>
      </w:r>
    </w:p>
    <w:p>
      <w:pPr>
        <w:pStyle w:val="1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02C59C-C32F-4074-A30C-29A0338623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A7C055-EE23-4791-AB62-F41F76D0B14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80CD115-8311-444E-B4AC-A1B0A4EDE3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9833066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MzhjY2Y0ZmU5NWM0Y2RlZTFkNGY5ZGFjYTI2MDEifQ=="/>
  </w:docVars>
  <w:rsids>
    <w:rsidRoot w:val="00AF5BAF"/>
    <w:rsid w:val="00000138"/>
    <w:rsid w:val="00060C2D"/>
    <w:rsid w:val="000F7897"/>
    <w:rsid w:val="001041BE"/>
    <w:rsid w:val="0012111C"/>
    <w:rsid w:val="00140AA1"/>
    <w:rsid w:val="00161D3D"/>
    <w:rsid w:val="001827BD"/>
    <w:rsid w:val="00194726"/>
    <w:rsid w:val="001A17F7"/>
    <w:rsid w:val="00213BFA"/>
    <w:rsid w:val="00297740"/>
    <w:rsid w:val="002C1292"/>
    <w:rsid w:val="002C3511"/>
    <w:rsid w:val="002D033B"/>
    <w:rsid w:val="002E4DB4"/>
    <w:rsid w:val="002F3033"/>
    <w:rsid w:val="0030533B"/>
    <w:rsid w:val="0031707C"/>
    <w:rsid w:val="00321A95"/>
    <w:rsid w:val="00347F96"/>
    <w:rsid w:val="00360EED"/>
    <w:rsid w:val="00364CF0"/>
    <w:rsid w:val="00375710"/>
    <w:rsid w:val="00385399"/>
    <w:rsid w:val="00393C51"/>
    <w:rsid w:val="003C3E7D"/>
    <w:rsid w:val="003F7DE0"/>
    <w:rsid w:val="00405E36"/>
    <w:rsid w:val="00447785"/>
    <w:rsid w:val="004A178F"/>
    <w:rsid w:val="004D43ED"/>
    <w:rsid w:val="004D708C"/>
    <w:rsid w:val="004D775D"/>
    <w:rsid w:val="00516ED1"/>
    <w:rsid w:val="00542554"/>
    <w:rsid w:val="00565454"/>
    <w:rsid w:val="005F7357"/>
    <w:rsid w:val="00607DA3"/>
    <w:rsid w:val="006246FD"/>
    <w:rsid w:val="006431D1"/>
    <w:rsid w:val="00657CBF"/>
    <w:rsid w:val="00663A79"/>
    <w:rsid w:val="006A2E11"/>
    <w:rsid w:val="006C62FE"/>
    <w:rsid w:val="006D04D1"/>
    <w:rsid w:val="006D07BE"/>
    <w:rsid w:val="006E068F"/>
    <w:rsid w:val="006E24EF"/>
    <w:rsid w:val="006E3300"/>
    <w:rsid w:val="007065C6"/>
    <w:rsid w:val="00707EE6"/>
    <w:rsid w:val="00712284"/>
    <w:rsid w:val="00721BFE"/>
    <w:rsid w:val="00721C6C"/>
    <w:rsid w:val="00730381"/>
    <w:rsid w:val="00761CDD"/>
    <w:rsid w:val="007A7365"/>
    <w:rsid w:val="007B29E5"/>
    <w:rsid w:val="007D2EEA"/>
    <w:rsid w:val="00806F1E"/>
    <w:rsid w:val="00853A60"/>
    <w:rsid w:val="00875469"/>
    <w:rsid w:val="0089274E"/>
    <w:rsid w:val="008B4066"/>
    <w:rsid w:val="008C5AD2"/>
    <w:rsid w:val="008D1BF4"/>
    <w:rsid w:val="008F66D5"/>
    <w:rsid w:val="00905E7C"/>
    <w:rsid w:val="00984D2A"/>
    <w:rsid w:val="009A2AF4"/>
    <w:rsid w:val="009B740B"/>
    <w:rsid w:val="00A1544C"/>
    <w:rsid w:val="00A92C90"/>
    <w:rsid w:val="00AA2F2F"/>
    <w:rsid w:val="00AD2DE8"/>
    <w:rsid w:val="00AF5BAF"/>
    <w:rsid w:val="00B240A8"/>
    <w:rsid w:val="00B420E8"/>
    <w:rsid w:val="00C4610A"/>
    <w:rsid w:val="00C8754B"/>
    <w:rsid w:val="00D221D5"/>
    <w:rsid w:val="00D33F2B"/>
    <w:rsid w:val="00D5279A"/>
    <w:rsid w:val="00D800C1"/>
    <w:rsid w:val="00D91345"/>
    <w:rsid w:val="00DA2999"/>
    <w:rsid w:val="00DA4361"/>
    <w:rsid w:val="00DB3634"/>
    <w:rsid w:val="00DD11A7"/>
    <w:rsid w:val="00DD4B87"/>
    <w:rsid w:val="00DD7CD3"/>
    <w:rsid w:val="00E81163"/>
    <w:rsid w:val="00EA01AB"/>
    <w:rsid w:val="00EA567D"/>
    <w:rsid w:val="00EB4F32"/>
    <w:rsid w:val="00EC74B0"/>
    <w:rsid w:val="00ED70BB"/>
    <w:rsid w:val="00F0051D"/>
    <w:rsid w:val="00F0123B"/>
    <w:rsid w:val="00F23B3F"/>
    <w:rsid w:val="00F55ABA"/>
    <w:rsid w:val="00F8208E"/>
    <w:rsid w:val="00F84448"/>
    <w:rsid w:val="00FA3FF4"/>
    <w:rsid w:val="00FC2F01"/>
    <w:rsid w:val="00FF0F21"/>
    <w:rsid w:val="00FF138D"/>
    <w:rsid w:val="082C3238"/>
    <w:rsid w:val="098C0AB9"/>
    <w:rsid w:val="10711CF6"/>
    <w:rsid w:val="114D3928"/>
    <w:rsid w:val="12EF75D8"/>
    <w:rsid w:val="17366778"/>
    <w:rsid w:val="17F413B1"/>
    <w:rsid w:val="18B040A6"/>
    <w:rsid w:val="1A301E84"/>
    <w:rsid w:val="1A3E4A06"/>
    <w:rsid w:val="1B721C95"/>
    <w:rsid w:val="1B8D410D"/>
    <w:rsid w:val="1BB796A9"/>
    <w:rsid w:val="1DA174E6"/>
    <w:rsid w:val="1FD20BBF"/>
    <w:rsid w:val="200121BA"/>
    <w:rsid w:val="22E73498"/>
    <w:rsid w:val="237939F7"/>
    <w:rsid w:val="2551963B"/>
    <w:rsid w:val="2B833FC7"/>
    <w:rsid w:val="2C1C7741"/>
    <w:rsid w:val="2EA71C16"/>
    <w:rsid w:val="30743B03"/>
    <w:rsid w:val="323610F2"/>
    <w:rsid w:val="35B015BF"/>
    <w:rsid w:val="3A786571"/>
    <w:rsid w:val="3B220B81"/>
    <w:rsid w:val="3BFD0FF2"/>
    <w:rsid w:val="3E0874AF"/>
    <w:rsid w:val="3FF62E3B"/>
    <w:rsid w:val="42A51ABD"/>
    <w:rsid w:val="43683A03"/>
    <w:rsid w:val="47FE05D7"/>
    <w:rsid w:val="48C97956"/>
    <w:rsid w:val="4B1C19A1"/>
    <w:rsid w:val="4E2F6731"/>
    <w:rsid w:val="55416EFF"/>
    <w:rsid w:val="58084EFC"/>
    <w:rsid w:val="5966750B"/>
    <w:rsid w:val="598B7D01"/>
    <w:rsid w:val="5A425A0A"/>
    <w:rsid w:val="5B6420C4"/>
    <w:rsid w:val="5F451C22"/>
    <w:rsid w:val="5F8228F6"/>
    <w:rsid w:val="600558C5"/>
    <w:rsid w:val="612F6730"/>
    <w:rsid w:val="62B00B82"/>
    <w:rsid w:val="63270B31"/>
    <w:rsid w:val="638115A5"/>
    <w:rsid w:val="6631762B"/>
    <w:rsid w:val="68017B3B"/>
    <w:rsid w:val="69A00505"/>
    <w:rsid w:val="6A946C96"/>
    <w:rsid w:val="6A9A589E"/>
    <w:rsid w:val="6BFFDFA7"/>
    <w:rsid w:val="6EB3B5C7"/>
    <w:rsid w:val="6EF532D0"/>
    <w:rsid w:val="71BC1B6B"/>
    <w:rsid w:val="73B54E6D"/>
    <w:rsid w:val="761A0D4D"/>
    <w:rsid w:val="78C00DAC"/>
    <w:rsid w:val="7C1E52DE"/>
    <w:rsid w:val="7EF20AC3"/>
    <w:rsid w:val="7F7FA6BD"/>
    <w:rsid w:val="7FD15DED"/>
    <w:rsid w:val="9DFBDE2C"/>
    <w:rsid w:val="A0DE4FAB"/>
    <w:rsid w:val="BACB832D"/>
    <w:rsid w:val="BFDFE7FA"/>
    <w:rsid w:val="DFE935FB"/>
    <w:rsid w:val="DFFA3BF5"/>
    <w:rsid w:val="EF72CE77"/>
    <w:rsid w:val="F7FBE6B6"/>
    <w:rsid w:val="F97F9FE2"/>
    <w:rsid w:val="FA8BE1A4"/>
    <w:rsid w:val="FFA3CE2A"/>
    <w:rsid w:val="FFCFCD25"/>
    <w:rsid w:val="FFFE8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9"/>
    <w:pPr>
      <w:keepNext/>
      <w:keepLines/>
      <w:adjustRightInd w:val="0"/>
      <w:snapToGrid w:val="0"/>
      <w:spacing w:before="340" w:after="330" w:line="600" w:lineRule="exact"/>
      <w:ind w:firstLine="643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7">
    <w:name w:val="Date"/>
    <w:basedOn w:val="1"/>
    <w:next w:val="1"/>
    <w:link w:val="19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2"/>
    <w:autoRedefine/>
    <w:qFormat/>
    <w:uiPriority w:val="0"/>
    <w:pPr>
      <w:snapToGrid w:val="0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autoRedefine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8">
    <w:name w:val="标题 1 字符"/>
    <w:basedOn w:val="14"/>
    <w:link w:val="4"/>
    <w:autoRedefine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9">
    <w:name w:val="日期 字符"/>
    <w:basedOn w:val="14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页眉 字符"/>
    <w:basedOn w:val="14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4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脚注文本 字符"/>
    <w:link w:val="11"/>
    <w:autoRedefine/>
    <w:qFormat/>
    <w:uiPriority w:val="0"/>
    <w:rPr>
      <w:sz w:val="18"/>
    </w:rPr>
  </w:style>
  <w:style w:type="character" w:customStyle="1" w:styleId="23">
    <w:name w:val="脚注文本 字符1"/>
    <w:basedOn w:val="1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14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15"/>
    <w:basedOn w:val="14"/>
    <w:autoRedefine/>
    <w:qFormat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273</Words>
  <Characters>1559</Characters>
  <Lines>12</Lines>
  <Paragraphs>3</Paragraphs>
  <TotalTime>3</TotalTime>
  <ScaleCrop>false</ScaleCrop>
  <LinksUpToDate>false</LinksUpToDate>
  <CharactersWithSpaces>1829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2021-12-26T03:40:00Z</dcterms:created>
  <dc:creator>赵冬岩</dc:creator>
  <cp:lastModifiedBy>暖阳</cp:lastModifiedBy>
  <cp:lastPrinted>2025-03-28T02:52:42Z</cp:lastPrinted>
  <dcterms:modified xsi:type="dcterms:W3CDTF">2025-03-28T02:52:45Z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6338D9B58FD64D57A58C4CECDEEE3D83</vt:lpwstr>
  </property>
</Properties>
</file>