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r>
        <w:rPr>
          <w:rFonts w:hint="eastAsia" w:ascii="黑体" w:hAnsi="黑体" w:eastAsia="黑体" w:cs="黑体"/>
          <w:sz w:val="32"/>
          <w:szCs w:val="32"/>
        </w:rPr>
        <w:t>附件</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重点任务部门分工</w:t>
      </w:r>
    </w:p>
    <w:tbl>
      <w:tblPr>
        <w:tblStyle w:val="6"/>
        <w:tblW w:w="14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354"/>
        <w:gridCol w:w="5884"/>
        <w:gridCol w:w="1953"/>
        <w:gridCol w:w="3150"/>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7"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1354"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重点任务</w:t>
            </w:r>
          </w:p>
        </w:tc>
        <w:tc>
          <w:tcPr>
            <w:tcW w:w="5884"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工作措施</w:t>
            </w:r>
          </w:p>
        </w:tc>
        <w:tc>
          <w:tcPr>
            <w:tcW w:w="1953"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牵头部门</w:t>
            </w:r>
          </w:p>
        </w:tc>
        <w:tc>
          <w:tcPr>
            <w:tcW w:w="3150"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协办部门</w:t>
            </w:r>
          </w:p>
        </w:tc>
        <w:tc>
          <w:tcPr>
            <w:tcW w:w="1386"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54" w:type="dxa"/>
            <w:noWrap w:val="0"/>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科学制定流域水生态保护修复规划</w:t>
            </w:r>
          </w:p>
        </w:tc>
        <w:tc>
          <w:tcPr>
            <w:tcW w:w="5884" w:type="dxa"/>
            <w:noWrap w:val="0"/>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基于水生态功能分区，立足山水林田湖草沙一体化保护修复，充分考虑河湖水生态系统保护修复与流域各生态要素的关系，以流域为单位，以问题为导向，配合市水务局科学编制永定河、北运河流域水生态保护修复规划。</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54" w:type="dxa"/>
            <w:vMerge w:val="restart"/>
            <w:noWrap w:val="0"/>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统筹流域水陆系统治理</w:t>
            </w:r>
          </w:p>
        </w:tc>
        <w:tc>
          <w:tcPr>
            <w:tcW w:w="5884" w:type="dxa"/>
            <w:noWrap w:val="0"/>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坚持以水定林、以水定绿，科学开展造林绿化。鼓励种植抗逆性强、根系发达、防护功能强的本土树种，提高水土保持和水源涵养能力。加强造林绿化施工管理，注重保护原生灌草植被，禁止毁坏表土、全垦整地。发展林下经济，要最大限度减少对地表的扰动，减少化肥农药用量，加强节水保墒，控制林下水土流失和面源污染。</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区城市管理委</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区园林服务中心</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354" w:type="dxa"/>
            <w:vMerge w:val="continue"/>
            <w:noWrap w:val="0"/>
            <w:vAlign w:val="center"/>
          </w:tcPr>
          <w:p>
            <w:pPr>
              <w:spacing w:line="400" w:lineRule="exact"/>
              <w:jc w:val="center"/>
              <w:rPr>
                <w:rFonts w:ascii="仿宋_GB2312" w:hAnsi="仿宋_GB2312" w:eastAsia="仿宋_GB2312" w:cs="仿宋_GB2312"/>
                <w:sz w:val="24"/>
                <w:szCs w:val="24"/>
              </w:rPr>
            </w:pPr>
          </w:p>
        </w:tc>
        <w:tc>
          <w:tcPr>
            <w:tcW w:w="5884" w:type="dxa"/>
            <w:noWrap w:val="0"/>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加强农田面源污染防治。加大测土配方、合理替代、精准施肥等精准化氮磷养分管理技术和病虫害绿色防控技术推广应用力度，发展绿色农业，加强化肥农药源头控制。科学推进土地复垦和综合整治。严格畜禽养殖污染防治监管，推进养殖业粪污、种植业废弃物的综合整治和资源化利用。因地制宜加强农田缓冲过滤带、生态沟渠、堰塘湿地等生态设施建设，通过源头减量、过程阻断、末端治理，防控农业面源污染入河湖。</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区农业服务中心</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bl>
    <w:p>
      <w:pPr>
        <w:spacing w:line="560" w:lineRule="exact"/>
        <w:jc w:val="center"/>
        <w:rPr>
          <w:rFonts w:hint="eastAsia" w:ascii="仿宋_GB2312" w:hAnsi="仿宋_GB2312" w:eastAsia="仿宋_GB2312" w:cs="仿宋_GB2312"/>
          <w:sz w:val="24"/>
          <w:szCs w:val="24"/>
        </w:rPr>
        <w:sectPr>
          <w:headerReference r:id="rId3" w:type="default"/>
          <w:footerReference r:id="rId4" w:type="default"/>
          <w:pgSz w:w="16838" w:h="11906" w:orient="landscape"/>
          <w:pgMar w:top="1587" w:right="2098" w:bottom="1474" w:left="1984" w:header="851" w:footer="992" w:gutter="0"/>
          <w:pgNumType w:fmt="numberInDash" w:start="15"/>
          <w:cols w:space="720" w:num="1"/>
          <w:docGrid w:type="lines" w:linePitch="312" w:charSpace="0"/>
        </w:sectPr>
      </w:pPr>
    </w:p>
    <w:tbl>
      <w:tblPr>
        <w:tblStyle w:val="6"/>
        <w:tblW w:w="14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354"/>
        <w:gridCol w:w="5884"/>
        <w:gridCol w:w="1953"/>
        <w:gridCol w:w="3150"/>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354" w:type="dxa"/>
            <w:noWrap w:val="0"/>
            <w:vAlign w:val="center"/>
          </w:tcPr>
          <w:p>
            <w:pPr>
              <w:spacing w:line="400" w:lineRule="exact"/>
              <w:jc w:val="center"/>
              <w:rPr>
                <w:rFonts w:ascii="仿宋_GB2312" w:hAnsi="仿宋_GB2312" w:eastAsia="仿宋_GB2312" w:cs="仿宋_GB2312"/>
                <w:sz w:val="24"/>
                <w:szCs w:val="24"/>
              </w:rPr>
            </w:pPr>
          </w:p>
        </w:tc>
        <w:tc>
          <w:tcPr>
            <w:tcW w:w="5884" w:type="dxa"/>
            <w:noWrap w:val="0"/>
            <w:vAlign w:val="center"/>
          </w:tcPr>
          <w:p>
            <w:pPr>
              <w:spacing w:line="2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加大城乡生活垃圾和污水收集处理力度，推进生活垃圾和处理后的污泥资源化利用。大力推进海绵城市、海绵家园建设，统筹城镇公共空间与海绵设施的布局融合，最大限度削减城市初期雨水面源污染。强化合流制管网降雨溢流污染治理工程体系和排水智慧管理体系建设，全面提升溢流污染控制水平。加强协同联动，防范垃圾通过道路进入雨水口。持续开展“清管行动”，减少汛期初期雨水及垃圾渣土污染物入河。完善“厂网河一体化”调度运行机制，以河湖水质达标倒逼排水管网和污水处理厂运营管理水平提升。</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区城市管理委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区公路分局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区环境卫生服务中心</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区园林服务中心</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354" w:type="dxa"/>
            <w:noWrap w:val="0"/>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加强河湖水生态保护修复</w:t>
            </w:r>
          </w:p>
        </w:tc>
        <w:tc>
          <w:tcPr>
            <w:tcW w:w="5884" w:type="dxa"/>
            <w:noWrap w:val="0"/>
            <w:vAlign w:val="center"/>
          </w:tcPr>
          <w:p>
            <w:pPr>
              <w:spacing w:line="2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综合考虑水文节律、连通性、生境多样性、生物多样性等关键生态要素，实施河湖水系水生态的系统保护修复。大力推动改善河湖水系连通性，切实提升河湖栖息地生境多样性，不断增强城市河湖滨水空间生态服务功能。</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区财政局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区城市管理委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区园林服务中心</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354" w:type="dxa"/>
            <w:noWrap w:val="0"/>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加强空间管控和监测评价</w:t>
            </w:r>
          </w:p>
        </w:tc>
        <w:tc>
          <w:tcPr>
            <w:tcW w:w="5884" w:type="dxa"/>
            <w:noWrap w:val="0"/>
            <w:vAlign w:val="center"/>
          </w:tcPr>
          <w:p>
            <w:pPr>
              <w:spacing w:line="2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探索建立水流自然资源（含水资源、水生态空间）三维登记模式，通过确权登记，明确水流的范围边界、面积等自然状况，所有权主体、所有权代表行使主体、所有权代理行使主体以及权利内容等权属状况，并关联公共管理要求，推进水生态空间管控责任和要求落地落实。</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2025年</w:t>
            </w:r>
          </w:p>
        </w:tc>
      </w:tr>
    </w:tbl>
    <w:p>
      <w:pPr>
        <w:spacing w:line="560" w:lineRule="exact"/>
        <w:jc w:val="center"/>
        <w:rPr>
          <w:rFonts w:hint="eastAsia" w:ascii="仿宋_GB2312" w:hAnsi="仿宋_GB2312" w:eastAsia="仿宋_GB2312" w:cs="仿宋_GB2312"/>
          <w:sz w:val="24"/>
          <w:szCs w:val="24"/>
        </w:rPr>
        <w:sectPr>
          <w:headerReference r:id="rId5" w:type="default"/>
          <w:footerReference r:id="rId6" w:type="default"/>
          <w:pgSz w:w="16838" w:h="11906" w:orient="landscape"/>
          <w:pgMar w:top="1587" w:right="2098" w:bottom="1474" w:left="1984" w:header="1417" w:footer="1417" w:gutter="0"/>
          <w:pgNumType w:fmt="numberInDash" w:start="16"/>
          <w:cols w:space="720" w:num="1"/>
          <w:docGrid w:type="lines" w:linePitch="312" w:charSpace="0"/>
        </w:sectPr>
      </w:pPr>
    </w:p>
    <w:tbl>
      <w:tblPr>
        <w:tblStyle w:val="6"/>
        <w:tblW w:w="14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354"/>
        <w:gridCol w:w="5884"/>
        <w:gridCol w:w="1953"/>
        <w:gridCol w:w="3150"/>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354" w:type="dxa"/>
            <w:vMerge w:val="restart"/>
            <w:noWrap w:val="0"/>
            <w:vAlign w:val="center"/>
          </w:tcPr>
          <w:p>
            <w:pPr>
              <w:spacing w:line="400" w:lineRule="exact"/>
              <w:jc w:val="center"/>
              <w:rPr>
                <w:rFonts w:ascii="仿宋_GB2312" w:hAnsi="仿宋_GB2312" w:eastAsia="仿宋_GB2312" w:cs="仿宋_GB2312"/>
                <w:sz w:val="24"/>
                <w:szCs w:val="24"/>
              </w:rPr>
            </w:pPr>
          </w:p>
        </w:tc>
        <w:tc>
          <w:tcPr>
            <w:tcW w:w="5884" w:type="dxa"/>
            <w:noWrap w:val="0"/>
            <w:vAlign w:val="center"/>
          </w:tcPr>
          <w:p>
            <w:pPr>
              <w:spacing w:line="2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强化水生态空间管控。严格落实生态保护红线管控规定，本着尊重自然、尊重历史的原则，分区分段明确水生态空间差异化管控要求，研究建立负面清单制度。分类处理不符合水生态空间管控要求的存量建设，加快推进河道、湖泊管理范围内基本农田和河道内林地的优化调整。大力推进“智慧水务”建设，提升水生态空间监管水平。</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区公安分局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区城市管理委</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354" w:type="dxa"/>
            <w:vMerge w:val="continue"/>
            <w:noWrap w:val="0"/>
            <w:vAlign w:val="center"/>
          </w:tcPr>
          <w:p>
            <w:pPr>
              <w:spacing w:line="400" w:lineRule="exact"/>
              <w:jc w:val="center"/>
              <w:rPr>
                <w:rFonts w:ascii="仿宋_GB2312" w:hAnsi="仿宋_GB2312" w:eastAsia="仿宋_GB2312" w:cs="仿宋_GB2312"/>
                <w:sz w:val="24"/>
                <w:szCs w:val="24"/>
              </w:rPr>
            </w:pPr>
          </w:p>
        </w:tc>
        <w:tc>
          <w:tcPr>
            <w:tcW w:w="5884" w:type="dxa"/>
            <w:noWrap w:val="0"/>
            <w:vAlign w:val="center"/>
          </w:tcPr>
          <w:p>
            <w:pPr>
              <w:spacing w:line="2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禁止在饮用水水源一级保护区内新建、改建、扩建与供水设施和保护水源无关的建设项目。强化入河排口监管。</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354" w:type="dxa"/>
            <w:vMerge w:val="continue"/>
            <w:noWrap w:val="0"/>
            <w:vAlign w:val="center"/>
          </w:tcPr>
          <w:p>
            <w:pPr>
              <w:spacing w:line="400" w:lineRule="exact"/>
              <w:jc w:val="center"/>
              <w:rPr>
                <w:rFonts w:ascii="仿宋_GB2312" w:hAnsi="仿宋_GB2312" w:eastAsia="仿宋_GB2312" w:cs="仿宋_GB2312"/>
                <w:sz w:val="24"/>
                <w:szCs w:val="24"/>
              </w:rPr>
            </w:pPr>
          </w:p>
        </w:tc>
        <w:tc>
          <w:tcPr>
            <w:tcW w:w="5884" w:type="dxa"/>
            <w:noWrap w:val="0"/>
            <w:vAlign w:val="center"/>
          </w:tcPr>
          <w:p>
            <w:pPr>
              <w:spacing w:line="2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研究推进重点河湖（河段）五年全面禁渔。</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354" w:type="dxa"/>
            <w:vMerge w:val="continue"/>
            <w:noWrap w:val="0"/>
            <w:vAlign w:val="center"/>
          </w:tcPr>
          <w:p>
            <w:pPr>
              <w:spacing w:line="400" w:lineRule="exact"/>
              <w:jc w:val="center"/>
              <w:rPr>
                <w:rFonts w:ascii="仿宋_GB2312" w:hAnsi="仿宋_GB2312" w:eastAsia="仿宋_GB2312" w:cs="仿宋_GB2312"/>
                <w:sz w:val="24"/>
                <w:szCs w:val="24"/>
              </w:rPr>
            </w:pPr>
          </w:p>
        </w:tc>
        <w:tc>
          <w:tcPr>
            <w:tcW w:w="5884" w:type="dxa"/>
            <w:noWrap w:val="0"/>
            <w:vAlign w:val="center"/>
          </w:tcPr>
          <w:p>
            <w:pPr>
              <w:spacing w:line="2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开展水生态健康评价，及时向社会公开河湖水生态健康信息。加强新技术应用，开展重点河湖主要污染物溯源解析，系统推进水生态系统胁迫因子分析。加强水生生物外来有害入侵物种监测评估。</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354" w:type="dxa"/>
            <w:noWrap w:val="0"/>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完善政策机制</w:t>
            </w:r>
          </w:p>
        </w:tc>
        <w:tc>
          <w:tcPr>
            <w:tcW w:w="5884" w:type="dxa"/>
            <w:noWrap w:val="0"/>
            <w:vAlign w:val="center"/>
          </w:tcPr>
          <w:p>
            <w:pPr>
              <w:spacing w:line="3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建立规划联合编制和项目联合审查工作机制，配合市级部门编制永定河、北运河流域和跨区重要支流流域水生态保护修复规划，组织编制区内其他重要支流流域水生态保护修复方案</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2025年</w:t>
            </w:r>
          </w:p>
        </w:tc>
      </w:tr>
    </w:tbl>
    <w:p>
      <w:pPr>
        <w:spacing w:line="560" w:lineRule="exact"/>
        <w:jc w:val="center"/>
        <w:rPr>
          <w:rFonts w:hint="eastAsia" w:ascii="仿宋_GB2312" w:hAnsi="仿宋_GB2312" w:eastAsia="仿宋_GB2312" w:cs="仿宋_GB2312"/>
          <w:sz w:val="24"/>
          <w:szCs w:val="24"/>
        </w:rPr>
        <w:sectPr>
          <w:headerReference r:id="rId7" w:type="default"/>
          <w:footerReference r:id="rId8" w:type="default"/>
          <w:pgSz w:w="16838" w:h="11906" w:orient="landscape"/>
          <w:pgMar w:top="1587" w:right="2098" w:bottom="1474" w:left="1984" w:header="851" w:footer="992" w:gutter="0"/>
          <w:pgNumType w:fmt="numberInDash" w:start="17"/>
          <w:cols w:space="720" w:num="1"/>
          <w:docGrid w:type="lines" w:linePitch="312" w:charSpace="0"/>
        </w:sectPr>
      </w:pPr>
    </w:p>
    <w:tbl>
      <w:tblPr>
        <w:tblStyle w:val="6"/>
        <w:tblW w:w="14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354"/>
        <w:gridCol w:w="5884"/>
        <w:gridCol w:w="1953"/>
        <w:gridCol w:w="3150"/>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354" w:type="dxa"/>
            <w:noWrap w:val="0"/>
            <w:vAlign w:val="center"/>
          </w:tcPr>
          <w:p>
            <w:pPr>
              <w:spacing w:line="400" w:lineRule="exact"/>
              <w:jc w:val="center"/>
              <w:rPr>
                <w:rFonts w:ascii="仿宋_GB2312" w:hAnsi="仿宋_GB2312" w:eastAsia="仿宋_GB2312" w:cs="仿宋_GB2312"/>
                <w:sz w:val="24"/>
                <w:szCs w:val="24"/>
              </w:rPr>
            </w:pPr>
          </w:p>
        </w:tc>
        <w:tc>
          <w:tcPr>
            <w:tcW w:w="5884" w:type="dxa"/>
            <w:noWrap w:val="0"/>
            <w:vAlign w:val="center"/>
          </w:tcPr>
          <w:p>
            <w:pPr>
              <w:spacing w:line="3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建立以跨部门跨区域专责机构（或镇、村）为主体的项目实施运行机制，强化部门和区域联动，统筹陆域和水域，增强流域水生态保护修复的系统性及与区域发展的协同性、集约性。</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354" w:type="dxa"/>
            <w:noWrap w:val="0"/>
            <w:vAlign w:val="center"/>
          </w:tcPr>
          <w:p>
            <w:pPr>
              <w:spacing w:line="400" w:lineRule="exact"/>
              <w:jc w:val="center"/>
            </w:pPr>
          </w:p>
          <w:p>
            <w:pPr>
              <w:pStyle w:val="2"/>
            </w:pPr>
          </w:p>
          <w:p>
            <w:pPr>
              <w:pStyle w:val="2"/>
            </w:pPr>
          </w:p>
        </w:tc>
        <w:tc>
          <w:tcPr>
            <w:tcW w:w="5884" w:type="dxa"/>
            <w:noWrap w:val="0"/>
            <w:vAlign w:val="center"/>
          </w:tcPr>
          <w:p>
            <w:pPr>
              <w:spacing w:line="3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配合市级部门创新项目资金投入政策和支持模式，探索打破分行业确定投资内容的传统做法，实行山水林田湖草沙一体化保护修复综合支持政策。</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区财政局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1354" w:type="dxa"/>
            <w:vMerge w:val="restart"/>
            <w:noWrap w:val="0"/>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组织保障</w:t>
            </w:r>
          </w:p>
        </w:tc>
        <w:tc>
          <w:tcPr>
            <w:tcW w:w="5884" w:type="dxa"/>
            <w:noWrap w:val="0"/>
            <w:vAlign w:val="center"/>
          </w:tcPr>
          <w:p>
            <w:pPr>
              <w:spacing w:line="3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以河长制、林长制、田长制为基础，以落实河长制为抓手，共同推动本流域重点任务落实，增强流域水生态保护修复的系统性和整体性。</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区河长办</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区林长办</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区田长办</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354" w:type="dxa"/>
            <w:vMerge w:val="continue"/>
            <w:noWrap w:val="0"/>
            <w:vAlign w:val="center"/>
          </w:tcPr>
          <w:p>
            <w:pPr>
              <w:spacing w:line="400" w:lineRule="exact"/>
              <w:jc w:val="center"/>
              <w:rPr>
                <w:rFonts w:ascii="仿宋_GB2312" w:hAnsi="仿宋_GB2312" w:eastAsia="仿宋_GB2312" w:cs="仿宋_GB2312"/>
                <w:sz w:val="28"/>
                <w:szCs w:val="28"/>
              </w:rPr>
            </w:pPr>
          </w:p>
        </w:tc>
        <w:tc>
          <w:tcPr>
            <w:tcW w:w="5884" w:type="dxa"/>
            <w:noWrap w:val="0"/>
            <w:vAlign w:val="center"/>
          </w:tcPr>
          <w:p>
            <w:pPr>
              <w:spacing w:line="3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探索开展流域水生态保护修复科学实验、机制创新和工程示范，推动形成可推广的治理模式和管理经验。加强新材料、新技术、新设备推广应用，积极参与国内外交流与合作，吸收借鉴国内外先进理念与技术。</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区科委</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1354" w:type="dxa"/>
            <w:vMerge w:val="continue"/>
            <w:noWrap w:val="0"/>
            <w:vAlign w:val="center"/>
          </w:tcPr>
          <w:p>
            <w:pPr>
              <w:spacing w:line="400" w:lineRule="exact"/>
              <w:jc w:val="center"/>
              <w:rPr>
                <w:rFonts w:ascii="仿宋_GB2312" w:hAnsi="仿宋_GB2312" w:eastAsia="仿宋_GB2312" w:cs="仿宋_GB2312"/>
                <w:sz w:val="28"/>
                <w:szCs w:val="28"/>
              </w:rPr>
            </w:pPr>
          </w:p>
        </w:tc>
        <w:tc>
          <w:tcPr>
            <w:tcW w:w="5884" w:type="dxa"/>
            <w:noWrap w:val="0"/>
            <w:vAlign w:val="center"/>
          </w:tcPr>
          <w:p>
            <w:pPr>
              <w:spacing w:line="3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将水生态保护修复任务目标和相关工作纳入河长制、林长制、田长制考核体系。</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区河长办</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区林长办</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区田长办</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bl>
    <w:p>
      <w:pPr>
        <w:spacing w:line="560" w:lineRule="exact"/>
        <w:jc w:val="center"/>
        <w:rPr>
          <w:rFonts w:hint="eastAsia" w:ascii="仿宋_GB2312" w:hAnsi="仿宋_GB2312" w:eastAsia="仿宋_GB2312" w:cs="仿宋_GB2312"/>
          <w:sz w:val="24"/>
          <w:szCs w:val="24"/>
        </w:rPr>
        <w:sectPr>
          <w:headerReference r:id="rId9" w:type="default"/>
          <w:footerReference r:id="rId10" w:type="default"/>
          <w:pgSz w:w="16838" w:h="11906" w:orient="landscape"/>
          <w:pgMar w:top="1587" w:right="2098" w:bottom="1474" w:left="1984" w:header="1417" w:footer="992" w:gutter="0"/>
          <w:pgNumType w:fmt="numberInDash" w:start="18"/>
          <w:cols w:space="720" w:num="1"/>
          <w:docGrid w:type="lines" w:linePitch="312" w:charSpace="0"/>
        </w:sectPr>
      </w:pPr>
    </w:p>
    <w:tbl>
      <w:tblPr>
        <w:tblStyle w:val="6"/>
        <w:tblW w:w="14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354"/>
        <w:gridCol w:w="5884"/>
        <w:gridCol w:w="1953"/>
        <w:gridCol w:w="3150"/>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1354" w:type="dxa"/>
            <w:noWrap w:val="0"/>
            <w:vAlign w:val="center"/>
          </w:tcPr>
          <w:p>
            <w:pPr>
              <w:spacing w:line="400" w:lineRule="exact"/>
              <w:jc w:val="center"/>
              <w:rPr>
                <w:rFonts w:ascii="仿宋_GB2312" w:hAnsi="仿宋_GB2312" w:eastAsia="仿宋_GB2312" w:cs="仿宋_GB2312"/>
                <w:sz w:val="28"/>
                <w:szCs w:val="28"/>
              </w:rPr>
            </w:pPr>
          </w:p>
        </w:tc>
        <w:tc>
          <w:tcPr>
            <w:tcW w:w="5884" w:type="dxa"/>
            <w:noWrap w:val="0"/>
            <w:vAlign w:val="center"/>
          </w:tcPr>
          <w:p>
            <w:pPr>
              <w:spacing w:line="3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加强宣传培训，传播生态文明理念，建设水生态教育实践基地，不断增加全民水生态保护修复的法治意识，不断提升全民生态文明素养，努力营造共建共治共享格局和人与自然和谐共生的良好社会氛围。</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0A73EB7-D71F-43CC-A202-5498FCFCD025}"/>
  </w:font>
  <w:font w:name="方正小标宋简体">
    <w:panose1 w:val="02000000000000000000"/>
    <w:charset w:val="86"/>
    <w:family w:val="script"/>
    <w:pitch w:val="default"/>
    <w:sig w:usb0="00000001" w:usb1="08000000" w:usb2="00000000" w:usb3="00000000" w:csb0="00040000" w:csb1="00000000"/>
    <w:embedRegular r:id="rId2" w:fontKey="{564CB444-C1D8-43C7-95DD-01457082F093}"/>
  </w:font>
  <w:font w:name="仿宋_GB2312">
    <w:altName w:val="仿宋"/>
    <w:panose1 w:val="02010609030101010101"/>
    <w:charset w:val="86"/>
    <w:family w:val="modern"/>
    <w:pitch w:val="default"/>
    <w:sig w:usb0="00000000" w:usb1="00000000" w:usb2="00000000" w:usb3="00000000" w:csb0="00040000" w:csb1="00000000"/>
    <w:embedRegular r:id="rId3" w:fontKey="{F6A031DF-8F30-4F8E-B999-FA6B99A70854}"/>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posOffset>-469900</wp:posOffset>
              </wp:positionH>
              <wp:positionV relativeFrom="paragraph">
                <wp:posOffset>-320675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wps:txbx>
                    <wps:bodyPr vert="eaVert" wrap="none" lIns="0" tIns="0" rIns="0" bIns="0" upright="1">
                      <a:spAutoFit/>
                    </wps:bodyPr>
                  </wps:wsp>
                </a:graphicData>
              </a:graphic>
            </wp:anchor>
          </w:drawing>
        </mc:Choice>
        <mc:Fallback>
          <w:pict>
            <v:shape id="_x0000_s1026" o:spid="_x0000_s1026" o:spt="202" type="#_x0000_t202" style="position:absolute;left:0pt;margin-left:-37pt;margin-top:-25.25pt;height:144pt;width:144pt;mso-position-horizontal-relative:margin;mso-wrap-style:none;z-index:251659264;mso-width-relative:page;mso-height-relative:page;" filled="f" stroked="f" coordsize="21600,21600" o:gfxdata="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Zu1yDaAAAACwEAAA8AAAAAAAAA&#10;AQAgAAAAIgAAAGRycy9kb3ducmV2LnhtbFBLAQIUABQAAAAIAIdO4kAZ3TRL1gEAALUDAAAOAAAA&#10;AAAAAAEAIAAAACkBAABkcnMvZTJvRG9jLnhtbFBLBQYAAAAABgAGAFkBAABxBQAAAAA=&#10;">
              <v:path/>
              <v:fill on="f" focussize="0,0"/>
              <v:stroke on="f"/>
              <v:imagedata o:title=""/>
              <o:lock v:ext="edit" aspectratio="f"/>
              <v:textbox inset="0mm,0mm,0mm,0mm" style="layout-flow:vertical-ideographic;mso-fit-shape-to-text:t;">
                <w:txbxContent>
                  <w:p>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63360" behindDoc="0" locked="0" layoutInCell="1" allowOverlap="1">
              <wp:simplePos x="0" y="0"/>
              <wp:positionH relativeFrom="margin">
                <wp:posOffset>-490220</wp:posOffset>
              </wp:positionH>
              <wp:positionV relativeFrom="paragraph">
                <wp:posOffset>-447040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wps:txbx>
                    <wps:bodyPr vert="eaVert" wrap="none" lIns="0" tIns="0" rIns="0" bIns="0" upright="1">
                      <a:spAutoFit/>
                    </wps:bodyPr>
                  </wps:wsp>
                </a:graphicData>
              </a:graphic>
            </wp:anchor>
          </w:drawing>
        </mc:Choice>
        <mc:Fallback>
          <w:pict>
            <v:shape id="_x0000_s1026" o:spid="_x0000_s1026" o:spt="202" type="#_x0000_t202" style="position:absolute;left:0pt;margin-left:-38.6pt;margin-top:-35.2pt;height:144pt;width:144pt;mso-position-horizontal-relative:margin;mso-wrap-style:none;z-index:251663360;mso-width-relative:page;mso-height-relative:page;" filled="f" stroked="f" coordsize="21600,21600" o:gfxdata="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vSX5k2AAAAAsBAAAPAAAAAAAAAAEA&#10;IAAAACIAAABkcnMvZG93bnJldi54bWxQSwECFAAUAAAACACHTuJAQ9AHm9YBAAC3AwAADgAAAAAA&#10;AAABACAAAAAnAQAAZHJzL2Uyb0RvYy54bWxQSwUGAAAAAAYABgBZAQAAbwUAAAAA&#10;">
              <v:path/>
              <v:fill on="f" focussize="0,0"/>
              <v:stroke on="f"/>
              <v:imagedata o:title=""/>
              <o:lock v:ext="edit" aspectratio="f"/>
              <v:textbox inset="0mm,0mm,0mm,0mm" style="layout-flow:vertical-ideographic;mso-fit-shape-to-text:t;">
                <w:txbxContent>
                  <w:p>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path/>
              <v:fill on="f" focussize="0,0"/>
              <v:stroke on="f" weight="0.5pt"/>
              <v:imagedata o:title=""/>
              <o:lock v:ext="edit" aspectratio="f"/>
              <v:textbox inset="0mm,0mm,0mm,0mm" style="mso-fit-shape-to-text:t;">
                <w:txbxContent>
                  <w:p>
                    <w:pPr>
                      <w:pStyle w:val="4"/>
                      <w:rPr>
                        <w:rFonts w:hint="eastAsia" w:eastAsia="宋体"/>
                        <w:lang w:eastAsia="zh-CN"/>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posOffset>-1649095</wp:posOffset>
              </wp:positionH>
              <wp:positionV relativeFrom="paragraph">
                <wp:posOffset>-381000</wp:posOffset>
              </wp:positionV>
              <wp:extent cx="1466850" cy="17208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466850" cy="172085"/>
                      </a:xfrm>
                      <a:prstGeom prst="rect">
                        <a:avLst/>
                      </a:prstGeom>
                      <a:noFill/>
                      <a:ln w="6350">
                        <a:noFill/>
                      </a:ln>
                      <a:effectLst/>
                    </wps:spPr>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wps:txbx>
                    <wps:bodyPr rot="0" spcFirstLastPara="0" vertOverflow="overflow" horzOverflow="overflow" vert="eaVert"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29.85pt;margin-top:-30pt;height:13.55pt;width:115.5pt;mso-position-horizontal-relative:margin;mso-wrap-style:none;z-index:251662336;mso-width-relative:page;mso-height-relative:page;" filled="f" stroked="f" coordsize="21600,21600" o:gfxdata="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gZRm79wAAAAMAQAADwAAAAAAAAABACAAAAAi&#10;AAAAZHJzL2Rvd25yZXYueG1sUEsBAhQAFAAAAAgAh07iQLH4BKA/AgAAcgQAAA4AAAAAAAAAAQAg&#10;AAAAKwEAAGRycy9lMm9Eb2MueG1sUEsFBgAAAAAGAAYAWQEAANwFAAAAAA==&#10;">
              <v:path/>
              <v:fill on="f" focussize="0,0"/>
              <v:stroke on="f" weight="0.5pt"/>
              <v:imagedata o:title=""/>
              <o:lock v:ext="edit" aspectratio="f"/>
              <v:textbox inset="0mm,0mm,0mm,0mm" style="layout-flow:vertical-ideographic;">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path/>
              <v:fill on="f" focussize="0,0"/>
              <v:stroke on="f" weight="0.5pt"/>
              <v:imagedata o:title=""/>
              <o:lock v:ext="edit" aspectratio="f"/>
              <v:textbox inset="0mm,0mm,0mm,0mm" style="mso-fit-shape-to-text:t;">
                <w:txbxContent>
                  <w:p>
                    <w:pPr>
                      <w:pStyle w:val="4"/>
                      <w:rPr>
                        <w:rFonts w:hint="eastAsia" w:eastAsia="宋体"/>
                        <w:lang w:eastAsia="zh-CN"/>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path/>
              <v:fill on="f" focussize="0,0"/>
              <v:stroke on="f" weight="0.5pt"/>
              <v:imagedata o:title=""/>
              <o:lock v:ext="edit" aspectratio="f"/>
              <v:textbox inset="0mm,0mm,0mm,0mm" style="mso-fit-shape-to-text:t;">
                <w:txbxContent>
                  <w:p>
                    <w:pPr>
                      <w:pStyle w:val="4"/>
                      <w:rPr>
                        <w:rFonts w:hint="eastAsia" w:eastAsia="宋体"/>
                        <w:lang w:eastAsia="zh-CN"/>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6432" behindDoc="0" locked="0" layoutInCell="1" allowOverlap="1">
              <wp:simplePos x="0" y="0"/>
              <wp:positionH relativeFrom="margin">
                <wp:posOffset>-1680845</wp:posOffset>
              </wp:positionH>
              <wp:positionV relativeFrom="paragraph">
                <wp:posOffset>-319405</wp:posOffset>
              </wp:positionV>
              <wp:extent cx="1466850" cy="17208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466850" cy="172085"/>
                      </a:xfrm>
                      <a:prstGeom prst="rect">
                        <a:avLst/>
                      </a:prstGeom>
                      <a:noFill/>
                      <a:ln w="6350">
                        <a:noFill/>
                      </a:ln>
                      <a:effectLst/>
                    </wps:spPr>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wps:txbx>
                    <wps:bodyPr rot="0" spcFirstLastPara="0" vertOverflow="overflow" horzOverflow="overflow" vert="eaVert"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32.35pt;margin-top:-25.15pt;height:13.55pt;width:115.5pt;mso-position-horizontal-relative:margin;mso-wrap-style:none;z-index:251666432;mso-width-relative:page;mso-height-relative:page;" filled="f" stroked="f" coordsize="21600,21600" o:gfxdata="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Wm3at2wAAAAwBAAAPAAAAAAAAAAEAIAAAACIA&#10;AABkcnMvZG93bnJldi54bWxQSwECFAAUAAAACACHTuJAGhWkaj8CAAByBAAADgAAAAAAAAABACAA&#10;AAAqAQAAZHJzL2Uyb0RvYy54bWxQSwUGAAAAAAYABgBZAQAA2wUAAAAA&#10;">
              <v:path/>
              <v:fill on="f" focussize="0,0"/>
              <v:stroke on="f" weight="0.5pt"/>
              <v:imagedata o:title=""/>
              <o:lock v:ext="edit" aspectratio="f"/>
              <v:textbox inset="0mm,0mm,0mm,0mm" style="layout-flow:vertical-ideographic;">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path/>
              <v:fill on="f" focussize="0,0"/>
              <v:stroke on="f" weight="0.5pt"/>
              <v:imagedata o:title=""/>
              <o:lock v:ext="edit" aspectratio="f"/>
              <v:textbox inset="0mm,0mm,0mm,0mm" style="mso-fit-shape-to-text:t;">
                <w:txbxContent>
                  <w:p>
                    <w:pPr>
                      <w:pStyle w:val="4"/>
                      <w:rPr>
                        <w:rFonts w:hint="eastAsia" w:eastAsia="宋体"/>
                        <w:lang w:eastAsia="zh-CN"/>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11ED1FDD"/>
    <w:rsid w:val="11ED1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00" w:lineRule="atLeast"/>
      <w:jc w:val="center"/>
    </w:pPr>
    <w:rPr>
      <w:color w:val="000000"/>
      <w:sz w:val="44"/>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2024-01-08T02:34:00Z</dcterms:created>
  <dc:creator>米露露</dc:creator>
  <cp:lastModifiedBy>米露露</cp:lastModifiedBy>
  <dcterms:modified xsi:type="dcterms:W3CDTF">2024-01-08T02:34:29Z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4F71990F6D034DF698631972B5F86F9E_11</vt:lpwstr>
  </property>
</Properties>
</file>