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outlineLvl w:val="0"/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</w:rPr>
        <w:t>生态保护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行动计划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6179"/>
        <w:gridCol w:w="1542"/>
        <w:gridCol w:w="322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工作措施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完成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时限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一、生态环境质量状况目标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目标任务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 w:cs="仿宋_GB2312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生态环境质量状况指数（EI）力争同比提高。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</w:rPr>
              <w:t>二、强化生物多样性保护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全面加强物种保护</w:t>
            </w:r>
          </w:p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配合市级开展外来入侵物种普查，严格外来物种引入管理，强化农业等重点领域和森林、草地、湿地、河湖水系等重点区域外来入侵物种治理。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配合市级加强水生野生动物保护，重点拯救细鳞鲑、多鳞白甲鱼、瓦氏雅罗鱼、中华多刺鱼等珍稀濒危野生动物。严格种质资源管理。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加强陆生野生动植物资源和湿地的监督管理，加强濒危、珍稀、特有物种人工繁育和救护，加强候鸟栖息地保护。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加强自然</w:t>
            </w:r>
            <w:r>
              <w:rPr>
                <w:rFonts w:hint="eastAsia" w:ascii="仿宋_GB2312" w:eastAsia="仿宋_GB2312" w:cs="仿宋_GB2312"/>
                <w:spacing w:val="-28"/>
                <w:kern w:val="0"/>
                <w:sz w:val="28"/>
                <w:szCs w:val="28"/>
                <w:highlight w:val="none"/>
                <w:lang w:val="en-US" w:eastAsia="zh-CN"/>
              </w:rPr>
              <w:t>保护地监管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积极配合市级自然保护区总体规划编制工作，进一步加强自然保护地监督管理，保护重要生态空间。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配合开展本底调查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配合市级开展全市生物多样性本底调查工作。完成2022年鸟类、鱼类、大型真菌等生物多样性调查，探索开展指示物种观测工作。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三、稳步推进生态修复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配合实施生态修复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配合市园林绿化局将2021年移交的达标生态林，全额纳入财政养护或管护政策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覆盖，实施后续管理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区财政局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16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eastAsia="黑体"/>
                <w:sz w:val="28"/>
                <w:szCs w:val="28"/>
              </w:rPr>
              <w:t>、深化生态环境质量评价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配合开展综合评价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配合市级开展生态环境质量评价，客观反映生态环境质量状况及变化趋势。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配合市级探索开展建成区评价、生态保护红线评价、生</w:t>
            </w:r>
            <w:r>
              <w:rPr>
                <w:rFonts w:hint="eastAsia" w:ascii="仿宋_GB2312" w:eastAsia="仿宋_GB2312" w:cs="仿宋_GB2312"/>
                <w:spacing w:val="-28"/>
                <w:kern w:val="0"/>
                <w:sz w:val="28"/>
                <w:szCs w:val="28"/>
                <w:lang w:val="en-US" w:eastAsia="zh-CN"/>
              </w:rPr>
              <w:t>态修复评价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探索开展：（1）建成区生态环境质量评价，指导城市生态品质提升；（2）生态保护红线生态环境质量评价，客观反映生态保护效果、存在问题，助力提升自然生态系统健康性和稳定性；（3）平原造林、河流等重点生态修复工程的生态环境质量评价，引导高质量的生态修复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  <w:szCs w:val="28"/>
              </w:rPr>
              <w:t>、加强生态建设与示范创建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加强生态建设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严格落实林长制，坚决维护“绿线”严肃性，加强森林资源保护。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开展森林城市创建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配合市级落实《北京森林城市发展规划（2018年-2035年）》，积极推动创建“国家森林城市”。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区园林绿化局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各产业园区管委会各</w:t>
            </w:r>
            <w:r>
              <w:rPr>
                <w:rFonts w:hint="eastAsia" w:ascii="仿宋_GB2312" w:eastAsia="仿宋_GB2312" w:cs="仿宋_GB2312"/>
                <w:spacing w:val="-20"/>
                <w:kern w:val="0"/>
                <w:sz w:val="28"/>
                <w:szCs w:val="28"/>
                <w:lang w:eastAsia="zh-CN"/>
              </w:rPr>
              <w:t>相关单位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161D"/>
    <w:rsid w:val="198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2022-04-19T07:08:00Z</dcterms:created>
  <dc:creator>米露露</dc:creator>
  <cp:lastModifiedBy>米露露</cp:lastModifiedBy>
  <dcterms:modified xsi:type="dcterms:W3CDTF">2022-04-19T07:08:34Z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703C2AE30EED4C968AB0F1562E40A236</vt:lpwstr>
  </property>
</Properties>
</file>