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方正小标宋简体" w:hAnsi="黑体" w:eastAsia="方正小标宋简体" w:cs="方正小标宋简体"/>
          <w:sz w:val="44"/>
          <w:szCs w:val="44"/>
          <w:lang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jc w:val="center"/>
        <w:textAlignment w:val="auto"/>
        <w:outlineLvl w:val="0"/>
        <w:rPr>
          <w:rFonts w:hint="eastAsia" w:ascii="方正小标宋简体" w:hAnsi="黑体" w:eastAsia="方正小标宋简体" w:cs="方正小标宋简体"/>
          <w:sz w:val="44"/>
          <w:szCs w:val="44"/>
          <w:lang w:eastAsia="zh-CN"/>
        </w:rPr>
      </w:pPr>
      <w:bookmarkStart w:id="0" w:name="_GoBack"/>
      <w:r>
        <w:rPr>
          <w:rFonts w:hint="eastAsia" w:ascii="方正小标宋简体" w:hAnsi="黑体" w:eastAsia="方正小标宋简体" w:cs="方正小标宋简体"/>
          <w:sz w:val="44"/>
          <w:szCs w:val="44"/>
          <w:lang w:eastAsia="zh-CN"/>
        </w:rPr>
        <w:t>大兴区土壤污染防治2022年行动计划</w:t>
      </w:r>
      <w:bookmarkEnd w:id="0"/>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99"/>
        <w:gridCol w:w="5735"/>
        <w:gridCol w:w="1600"/>
        <w:gridCol w:w="3980"/>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812" w:type="dxa"/>
            <w:tcBorders>
              <w:tl2br w:val="nil"/>
              <w:tr2bl w:val="nil"/>
            </w:tcBorders>
            <w:noWrap w:val="0"/>
            <w:vAlign w:val="center"/>
          </w:tcPr>
          <w:p>
            <w:pPr>
              <w:snapToGrid w:val="0"/>
              <w:jc w:val="center"/>
              <w:rPr>
                <w:rFonts w:ascii="黑体" w:hAnsi="黑体" w:eastAsia="黑体"/>
                <w:kern w:val="0"/>
                <w:sz w:val="28"/>
                <w:szCs w:val="28"/>
                <w:highlight w:val="none"/>
              </w:rPr>
            </w:pPr>
            <w:r>
              <w:rPr>
                <w:rFonts w:hint="eastAsia" w:ascii="黑体" w:hAnsi="黑体" w:eastAsia="黑体"/>
                <w:kern w:val="0"/>
                <w:sz w:val="28"/>
                <w:szCs w:val="28"/>
                <w:highlight w:val="none"/>
              </w:rPr>
              <w:t>序号</w:t>
            </w:r>
          </w:p>
        </w:tc>
        <w:tc>
          <w:tcPr>
            <w:tcW w:w="1399" w:type="dxa"/>
            <w:tcBorders>
              <w:tl2br w:val="nil"/>
              <w:tr2bl w:val="nil"/>
            </w:tcBorders>
            <w:noWrap w:val="0"/>
            <w:vAlign w:val="center"/>
          </w:tcPr>
          <w:p>
            <w:pPr>
              <w:snapToGrid w:val="0"/>
              <w:jc w:val="center"/>
              <w:rPr>
                <w:rFonts w:ascii="黑体" w:hAnsi="黑体" w:eastAsia="黑体"/>
                <w:kern w:val="0"/>
                <w:sz w:val="28"/>
                <w:szCs w:val="28"/>
                <w:highlight w:val="none"/>
              </w:rPr>
            </w:pPr>
            <w:r>
              <w:rPr>
                <w:rFonts w:hint="eastAsia" w:ascii="黑体" w:hAnsi="黑体" w:eastAsia="黑体"/>
                <w:kern w:val="0"/>
                <w:sz w:val="28"/>
                <w:szCs w:val="28"/>
                <w:highlight w:val="none"/>
              </w:rPr>
              <w:t>重点任务</w:t>
            </w:r>
          </w:p>
        </w:tc>
        <w:tc>
          <w:tcPr>
            <w:tcW w:w="5735" w:type="dxa"/>
            <w:tcBorders>
              <w:tl2br w:val="nil"/>
              <w:tr2bl w:val="nil"/>
            </w:tcBorders>
            <w:noWrap w:val="0"/>
            <w:vAlign w:val="center"/>
          </w:tcPr>
          <w:p>
            <w:pPr>
              <w:snapToGrid w:val="0"/>
              <w:jc w:val="center"/>
              <w:rPr>
                <w:rFonts w:ascii="黑体" w:hAnsi="黑体" w:eastAsia="黑体"/>
                <w:kern w:val="0"/>
                <w:sz w:val="28"/>
                <w:szCs w:val="28"/>
                <w:highlight w:val="none"/>
              </w:rPr>
            </w:pPr>
            <w:r>
              <w:rPr>
                <w:rFonts w:hint="eastAsia" w:ascii="黑体" w:hAnsi="黑体" w:eastAsia="黑体"/>
                <w:kern w:val="0"/>
                <w:sz w:val="28"/>
                <w:szCs w:val="28"/>
                <w:highlight w:val="none"/>
              </w:rPr>
              <w:t>工作措施</w:t>
            </w:r>
          </w:p>
        </w:tc>
        <w:tc>
          <w:tcPr>
            <w:tcW w:w="1600" w:type="dxa"/>
            <w:tcBorders>
              <w:tl2br w:val="nil"/>
              <w:tr2bl w:val="nil"/>
            </w:tcBorders>
            <w:noWrap w:val="0"/>
            <w:tcMar>
              <w:left w:w="57" w:type="dxa"/>
              <w:right w:w="57" w:type="dxa"/>
            </w:tcMar>
            <w:vAlign w:val="center"/>
          </w:tcPr>
          <w:p>
            <w:pPr>
              <w:snapToGrid w:val="0"/>
              <w:jc w:val="center"/>
              <w:rPr>
                <w:rFonts w:hint="eastAsia" w:ascii="黑体" w:hAnsi="黑体" w:eastAsia="黑体"/>
                <w:kern w:val="0"/>
                <w:sz w:val="28"/>
                <w:szCs w:val="28"/>
                <w:highlight w:val="none"/>
              </w:rPr>
            </w:pPr>
            <w:r>
              <w:rPr>
                <w:rFonts w:hint="eastAsia" w:ascii="黑体" w:hAnsi="黑体" w:eastAsia="黑体"/>
                <w:kern w:val="0"/>
                <w:sz w:val="28"/>
                <w:szCs w:val="28"/>
                <w:highlight w:val="none"/>
              </w:rPr>
              <w:t>完成</w:t>
            </w:r>
          </w:p>
          <w:p>
            <w:pPr>
              <w:snapToGrid w:val="0"/>
              <w:jc w:val="center"/>
              <w:rPr>
                <w:rFonts w:ascii="黑体" w:hAnsi="黑体" w:eastAsia="黑体"/>
                <w:kern w:val="0"/>
                <w:sz w:val="28"/>
                <w:szCs w:val="28"/>
                <w:highlight w:val="none"/>
              </w:rPr>
            </w:pPr>
            <w:r>
              <w:rPr>
                <w:rFonts w:hint="eastAsia" w:ascii="黑体" w:hAnsi="黑体" w:eastAsia="黑体"/>
                <w:kern w:val="0"/>
                <w:sz w:val="28"/>
                <w:szCs w:val="28"/>
                <w:highlight w:val="none"/>
              </w:rPr>
              <w:t>时限</w:t>
            </w:r>
          </w:p>
        </w:tc>
        <w:tc>
          <w:tcPr>
            <w:tcW w:w="3980" w:type="dxa"/>
            <w:tcBorders>
              <w:tl2br w:val="nil"/>
              <w:tr2bl w:val="nil"/>
            </w:tcBorders>
            <w:noWrap w:val="0"/>
            <w:vAlign w:val="center"/>
          </w:tcPr>
          <w:p>
            <w:pPr>
              <w:snapToGrid w:val="0"/>
              <w:jc w:val="center"/>
              <w:rPr>
                <w:rFonts w:ascii="黑体" w:hAnsi="黑体" w:eastAsia="黑体"/>
                <w:kern w:val="0"/>
                <w:sz w:val="28"/>
                <w:szCs w:val="28"/>
                <w:highlight w:val="none"/>
              </w:rPr>
            </w:pPr>
            <w:r>
              <w:rPr>
                <w:rFonts w:hint="eastAsia" w:ascii="黑体" w:hAnsi="黑体" w:eastAsia="黑体"/>
                <w:kern w:val="0"/>
                <w:sz w:val="28"/>
                <w:szCs w:val="28"/>
                <w:highlight w:val="none"/>
              </w:rPr>
              <w:t>牵头单位</w:t>
            </w:r>
          </w:p>
        </w:tc>
        <w:tc>
          <w:tcPr>
            <w:tcW w:w="2707" w:type="dxa"/>
            <w:tcBorders>
              <w:tl2br w:val="nil"/>
              <w:tr2bl w:val="nil"/>
            </w:tcBorders>
            <w:noWrap w:val="0"/>
            <w:vAlign w:val="center"/>
          </w:tcPr>
          <w:p>
            <w:pPr>
              <w:snapToGrid w:val="0"/>
              <w:jc w:val="center"/>
              <w:rPr>
                <w:rFonts w:ascii="黑体" w:hAnsi="黑体" w:eastAsia="黑体"/>
                <w:kern w:val="0"/>
                <w:sz w:val="28"/>
                <w:szCs w:val="28"/>
                <w:highlight w:val="none"/>
              </w:rPr>
            </w:pPr>
            <w:r>
              <w:rPr>
                <w:rFonts w:hint="eastAsia" w:ascii="黑体" w:hAnsi="黑体" w:eastAsia="黑体"/>
                <w:kern w:val="0"/>
                <w:sz w:val="28"/>
                <w:szCs w:val="28"/>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233" w:type="dxa"/>
            <w:gridSpan w:val="6"/>
            <w:tcBorders>
              <w:tl2br w:val="nil"/>
              <w:tr2bl w:val="nil"/>
            </w:tcBorders>
            <w:noWrap w:val="0"/>
            <w:vAlign w:val="center"/>
          </w:tcPr>
          <w:p>
            <w:pPr>
              <w:keepNext w:val="0"/>
              <w:keepLines w:val="0"/>
              <w:widowControl/>
              <w:suppressLineNumbers w:val="0"/>
              <w:jc w:val="center"/>
              <w:textAlignment w:val="center"/>
              <w:rPr>
                <w:rFonts w:ascii="仿宋_GB2312" w:eastAsia="仿宋_GB2312"/>
                <w:b/>
                <w:kern w:val="0"/>
                <w:sz w:val="28"/>
                <w:szCs w:val="28"/>
                <w:highlight w:val="none"/>
              </w:rPr>
            </w:pPr>
            <w:r>
              <w:rPr>
                <w:rFonts w:hint="eastAsia" w:ascii="黑体" w:hAnsi="宋体" w:eastAsia="黑体" w:cs="黑体"/>
                <w:i w:val="0"/>
                <w:iCs w:val="0"/>
                <w:color w:val="000000"/>
                <w:sz w:val="28"/>
                <w:szCs w:val="28"/>
                <w:highlight w:val="none"/>
                <w:u w:val="none"/>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12" w:type="dxa"/>
            <w:vMerge w:val="restart"/>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w:t>
            </w:r>
          </w:p>
        </w:tc>
        <w:tc>
          <w:tcPr>
            <w:tcW w:w="1399" w:type="dxa"/>
            <w:vMerge w:val="restart"/>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目标任务</w:t>
            </w:r>
          </w:p>
        </w:tc>
        <w:tc>
          <w:tcPr>
            <w:tcW w:w="5735" w:type="dxa"/>
            <w:tcBorders>
              <w:tl2br w:val="nil"/>
              <w:tr2bl w:val="nil"/>
            </w:tcBorders>
            <w:noWrap w:val="0"/>
            <w:vAlign w:val="center"/>
          </w:tcPr>
          <w:p>
            <w:pPr>
              <w:spacing w:line="320" w:lineRule="exact"/>
              <w:jc w:val="both"/>
              <w:rPr>
                <w:rFonts w:hint="default" w:ascii="仿宋_GB2312" w:eastAsia="仿宋_GB2312" w:cs="仿宋_GB2312"/>
                <w:kern w:val="0"/>
                <w:sz w:val="28"/>
                <w:szCs w:val="28"/>
                <w:highlight w:val="none"/>
                <w:lang w:val="en" w:eastAsia="zh-CN"/>
              </w:rPr>
            </w:pPr>
            <w:r>
              <w:rPr>
                <w:rFonts w:hint="eastAsia" w:ascii="仿宋_GB2312" w:eastAsia="仿宋_GB2312" w:cs="仿宋_GB2312"/>
                <w:kern w:val="0"/>
                <w:sz w:val="28"/>
                <w:szCs w:val="28"/>
                <w:highlight w:val="none"/>
                <w:lang w:val="en-US" w:eastAsia="zh-CN"/>
              </w:rPr>
              <w:t>全区</w:t>
            </w:r>
            <w:r>
              <w:rPr>
                <w:rFonts w:hint="eastAsia" w:ascii="仿宋_GB2312" w:eastAsia="仿宋_GB2312"/>
                <w:sz w:val="28"/>
                <w:szCs w:val="28"/>
                <w:highlight w:val="none"/>
              </w:rPr>
              <w:t>重点建设用地安全利用得到有效保障，污染地块安全利用率达到93%以上。</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市规划自然资源委大兴分局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各镇人民政府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各街道办事处</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各产业园区管委会</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区发展改革委</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812" w:type="dxa"/>
            <w:vMerge w:val="continue"/>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p>
        </w:tc>
        <w:tc>
          <w:tcPr>
            <w:tcW w:w="1399" w:type="dxa"/>
            <w:vMerge w:val="continue"/>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全区农用地安全利用得到有效保障，受污染耕地安全利用率达到93%以上。</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区农业农村局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市规划自然资源委大兴分局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相关镇人民政府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相关街道办事处</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相关产业园区管委会</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区发展改革委</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区园林绿化局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区生态环境局</w:t>
            </w:r>
          </w:p>
          <w:p>
            <w:pPr>
              <w:spacing w:line="320" w:lineRule="exact"/>
              <w:jc w:val="center"/>
              <w:rPr>
                <w:rFonts w:hint="eastAsia"/>
                <w:lang w:val="en-US" w:eastAsia="zh-CN"/>
              </w:rPr>
            </w:pPr>
            <w:r>
              <w:rPr>
                <w:rFonts w:hint="eastAsia" w:ascii="仿宋_GB2312" w:eastAsia="仿宋_GB2312" w:cs="仿宋_GB2312"/>
                <w:kern w:val="0"/>
                <w:sz w:val="28"/>
                <w:szCs w:val="28"/>
                <w:highlight w:val="none"/>
                <w:lang w:val="en-US"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6233" w:type="dxa"/>
            <w:gridSpan w:val="6"/>
            <w:tcBorders>
              <w:tl2br w:val="nil"/>
              <w:tr2bl w:val="nil"/>
            </w:tcBorders>
            <w:noWrap w:val="0"/>
            <w:vAlign w:val="center"/>
          </w:tcPr>
          <w:p>
            <w:pPr>
              <w:keepNext w:val="0"/>
              <w:keepLines w:val="0"/>
              <w:widowControl/>
              <w:suppressLineNumbers w:val="0"/>
              <w:jc w:val="center"/>
              <w:textAlignment w:val="center"/>
              <w:rPr>
                <w:rFonts w:hint="eastAsia" w:ascii="仿宋_GB2312" w:eastAsia="仿宋_GB2312" w:cs="仿宋_GB2312"/>
                <w:kern w:val="0"/>
                <w:sz w:val="28"/>
                <w:szCs w:val="28"/>
                <w:highlight w:val="none"/>
                <w:lang w:val="en-US" w:eastAsia="zh-CN"/>
              </w:rPr>
            </w:pPr>
            <w:r>
              <w:rPr>
                <w:rFonts w:hint="eastAsia" w:ascii="黑体" w:hAnsi="宋体" w:eastAsia="黑体" w:cs="黑体"/>
                <w:i w:val="0"/>
                <w:iCs w:val="0"/>
                <w:color w:val="000000"/>
                <w:sz w:val="28"/>
                <w:szCs w:val="28"/>
                <w:highlight w:val="none"/>
                <w:u w:val="none"/>
              </w:rPr>
              <w:t>二、持续强化建设用地风险防控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12" w:type="dxa"/>
            <w:vMerge w:val="restart"/>
            <w:tcBorders>
              <w:tl2br w:val="nil"/>
              <w:tr2bl w:val="nil"/>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2</w:t>
            </w:r>
          </w:p>
        </w:tc>
        <w:tc>
          <w:tcPr>
            <w:tcW w:w="1399" w:type="dxa"/>
            <w:vMerge w:val="restart"/>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严格源头管控</w:t>
            </w: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sz w:val="28"/>
                <w:szCs w:val="28"/>
                <w:highlight w:val="none"/>
              </w:rPr>
              <w:t>严管重点监管单位。更新名录并公开，</w:t>
            </w:r>
            <w:r>
              <w:rPr>
                <w:rFonts w:hint="eastAsia" w:ascii="仿宋_GB2312" w:eastAsia="仿宋_GB2312"/>
                <w:sz w:val="28"/>
                <w:szCs w:val="28"/>
                <w:highlight w:val="none"/>
                <w:lang w:eastAsia="zh-CN"/>
              </w:rPr>
              <w:t>督促重点监管单位</w:t>
            </w:r>
            <w:r>
              <w:rPr>
                <w:rFonts w:hint="eastAsia" w:ascii="仿宋_GB2312" w:eastAsia="仿宋_GB2312"/>
                <w:sz w:val="28"/>
                <w:szCs w:val="28"/>
                <w:highlight w:val="none"/>
                <w:lang w:val="en-US" w:eastAsia="zh-CN"/>
              </w:rPr>
              <w:t>6月底前开展隐患排查，10月底前开展自行监测。</w:t>
            </w:r>
            <w:r>
              <w:rPr>
                <w:rFonts w:hint="eastAsia" w:ascii="仿宋_GB2312" w:eastAsia="仿宋_GB2312"/>
                <w:sz w:val="28"/>
                <w:szCs w:val="28"/>
                <w:highlight w:val="none"/>
              </w:rPr>
              <w:t>在其排污许可证中注明土壤污染防治要求。</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区经济和信息化局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相关镇人民政府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相关街道办事处</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spacing w:val="-6"/>
                <w:kern w:val="0"/>
                <w:sz w:val="28"/>
                <w:szCs w:val="28"/>
                <w:highlight w:val="none"/>
                <w:lang w:val="en-US" w:eastAsia="zh-CN"/>
              </w:rPr>
              <w:t>相关产业园区管委会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12" w:type="dxa"/>
            <w:vMerge w:val="continue"/>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p>
        </w:tc>
        <w:tc>
          <w:tcPr>
            <w:tcW w:w="1399" w:type="dxa"/>
            <w:vMerge w:val="continue"/>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严查高、中风险企业。6月底前，完成2021年隐患排查及整改措施落实情况的监督检查;12月底前，督促各企业完成重点场所、重点设施设备的新一轮隐患再排查。</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相关街道办事处</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spacing w:val="-6"/>
                <w:kern w:val="0"/>
                <w:sz w:val="28"/>
                <w:szCs w:val="28"/>
                <w:highlight w:val="none"/>
                <w:lang w:val="en-US" w:eastAsia="zh-CN"/>
              </w:rPr>
              <w:t>相关产业园区管委会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12" w:type="dxa"/>
            <w:vMerge w:val="continue"/>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p>
        </w:tc>
        <w:tc>
          <w:tcPr>
            <w:tcW w:w="1399" w:type="dxa"/>
            <w:vMerge w:val="continue"/>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严控重金属污染，持续开展涉镉等重金属重点行业企业排查，发现问题及时整治。</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各街道办事处</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各产业园区管委会</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12" w:type="dxa"/>
            <w:vMerge w:val="restart"/>
            <w:tcBorders>
              <w:tl2br w:val="nil"/>
              <w:tr2bl w:val="nil"/>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3</w:t>
            </w:r>
          </w:p>
        </w:tc>
        <w:tc>
          <w:tcPr>
            <w:tcW w:w="1399" w:type="dxa"/>
            <w:vMerge w:val="restart"/>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强化规划统筹</w:t>
            </w: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sz w:val="28"/>
                <w:szCs w:val="28"/>
                <w:highlight w:val="none"/>
                <w:lang w:eastAsia="zh-CN"/>
              </w:rPr>
              <w:t>严格筛查</w:t>
            </w:r>
            <w:r>
              <w:rPr>
                <w:rFonts w:hint="eastAsia" w:ascii="仿宋_GB2312" w:eastAsia="仿宋_GB2312"/>
                <w:sz w:val="28"/>
                <w:szCs w:val="28"/>
                <w:highlight w:val="none"/>
              </w:rPr>
              <w:t>企业用地。完成2021年关停企业原址用地筛查，纳入管理台账，掌握高风险地块的空间信息。</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各街道办事处</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各产业园区管委会</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12" w:type="dxa"/>
            <w:vMerge w:val="continue"/>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p>
        </w:tc>
        <w:tc>
          <w:tcPr>
            <w:tcW w:w="1399" w:type="dxa"/>
            <w:vMerge w:val="continue"/>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合理规划用途。生态环境部门将管理过程中发现的可能存在土壤污染风险的地块信息共享给规划自然资源部门，规划自然资源部门根据国家要求，将上述地块信息纳入“一张图”管理并适时更新，尽量避免将上述地块规划为住宅、公共管理与公共服务用地。</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持续推进</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市规划自然资源委大兴分局</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各街道办事处</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各产业园区管委会</w:t>
            </w:r>
          </w:p>
          <w:p>
            <w:pPr>
              <w:spacing w:line="320" w:lineRule="exact"/>
              <w:jc w:val="center"/>
              <w:rPr>
                <w:rFonts w:hint="eastAsia" w:ascii="仿宋_GB2312" w:eastAsia="仿宋_GB2312" w:cs="仿宋_GB2312"/>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12" w:type="dxa"/>
            <w:vMerge w:val="restart"/>
            <w:tcBorders>
              <w:tl2br w:val="nil"/>
              <w:tr2bl w:val="nil"/>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4</w:t>
            </w:r>
          </w:p>
        </w:tc>
        <w:tc>
          <w:tcPr>
            <w:tcW w:w="1399" w:type="dxa"/>
            <w:vMerge w:val="restart"/>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开展污染状况调查</w:t>
            </w: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sz w:val="28"/>
                <w:szCs w:val="28"/>
                <w:highlight w:val="none"/>
              </w:rPr>
              <w:t>对超过土壤风险筛选值的地块，依法组织开展土壤污染状况调查。因主体设施设备未拆除等不具备调查条件的，督促制定风险管控方案、采取风险管控措施。</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相关街道办事处</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相关产业园区管委会</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12" w:type="dxa"/>
            <w:vMerge w:val="continue"/>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p>
        </w:tc>
        <w:tc>
          <w:tcPr>
            <w:tcW w:w="1399" w:type="dxa"/>
            <w:vMerge w:val="continue"/>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eastAsia="zh-CN"/>
              </w:rPr>
              <w:t>鼓励提前</w:t>
            </w:r>
            <w:r>
              <w:rPr>
                <w:rFonts w:hint="eastAsia" w:ascii="仿宋_GB2312" w:eastAsia="仿宋_GB2312" w:cs="仿宋_GB2312"/>
                <w:kern w:val="0"/>
                <w:sz w:val="28"/>
                <w:szCs w:val="28"/>
                <w:highlight w:val="none"/>
              </w:rPr>
              <w:t>开展土壤污染状况调查</w:t>
            </w:r>
            <w:r>
              <w:rPr>
                <w:rFonts w:hint="eastAsia" w:ascii="仿宋_GB2312" w:hAnsi="Times New Roman" w:eastAsia="仿宋_GB2312" w:cs="仿宋_GB2312"/>
                <w:bCs w:val="0"/>
                <w:kern w:val="0"/>
                <w:sz w:val="28"/>
                <w:szCs w:val="28"/>
                <w:highlight w:val="none"/>
                <w:lang w:eastAsia="zh-CN"/>
              </w:rPr>
              <w:t>。</w:t>
            </w:r>
            <w:r>
              <w:rPr>
                <w:rFonts w:hint="eastAsia" w:ascii="仿宋_GB2312" w:eastAsia="仿宋_GB2312" w:cs="仿宋_GB2312"/>
                <w:kern w:val="0"/>
                <w:sz w:val="28"/>
                <w:szCs w:val="28"/>
                <w:highlight w:val="none"/>
                <w:lang w:val="en-US" w:eastAsia="zh-CN"/>
              </w:rPr>
              <w:t>拆除腾退地块应在土地使用权收回前完成土壤污染状况调查。</w:t>
            </w:r>
            <w:r>
              <w:rPr>
                <w:rFonts w:hint="eastAsia" w:ascii="仿宋_GB2312" w:eastAsia="仿宋_GB2312" w:cs="仿宋_GB2312"/>
                <w:kern w:val="0"/>
                <w:sz w:val="28"/>
                <w:szCs w:val="28"/>
                <w:highlight w:val="none"/>
              </w:rPr>
              <w:t>土地使用权已收回但尚未完成调查的，应当在供地前完成</w:t>
            </w:r>
            <w:r>
              <w:rPr>
                <w:rFonts w:hint="eastAsia" w:ascii="仿宋_GB2312" w:eastAsia="仿宋_GB2312" w:cs="仿宋_GB2312"/>
                <w:kern w:val="0"/>
                <w:sz w:val="28"/>
                <w:szCs w:val="28"/>
                <w:highlight w:val="none"/>
                <w:lang w:eastAsia="zh-CN"/>
              </w:rPr>
              <w:t>。</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长期实施</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市规划自然资源委大兴分局</w:t>
            </w:r>
          </w:p>
          <w:p>
            <w:pPr>
              <w:spacing w:line="320" w:lineRule="exact"/>
              <w:jc w:val="center"/>
              <w:rPr>
                <w:rFonts w:hint="eastAsia" w:ascii="仿宋_GB2312" w:eastAsia="仿宋_GB2312" w:cs="仿宋_GB2312"/>
                <w:spacing w:val="-6"/>
                <w:kern w:val="0"/>
                <w:sz w:val="28"/>
                <w:szCs w:val="28"/>
                <w:highlight w:val="none"/>
                <w:lang w:val="en-US" w:eastAsia="zh-CN"/>
              </w:rPr>
            </w:pPr>
            <w:r>
              <w:rPr>
                <w:rFonts w:hint="eastAsia" w:ascii="仿宋_GB2312" w:eastAsia="仿宋_GB2312" w:cs="仿宋_GB2312"/>
                <w:spacing w:val="-6"/>
                <w:kern w:val="0"/>
                <w:sz w:val="28"/>
                <w:szCs w:val="28"/>
                <w:highlight w:val="none"/>
                <w:lang w:val="en-US" w:eastAsia="zh-CN"/>
              </w:rPr>
              <w:t>区农村集体土地交易服务中心</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各街道办事处</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各产业园区管委会</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12" w:type="dxa"/>
            <w:tcBorders>
              <w:tl2br w:val="nil"/>
              <w:tr2bl w:val="nil"/>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4</w:t>
            </w:r>
          </w:p>
        </w:tc>
        <w:tc>
          <w:tcPr>
            <w:tcW w:w="1399"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开展污染状况调查</w:t>
            </w: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用途拟变更为住宅、公共管理与公共服务用地的，在核发用地规划条件时，告知相关责任人开展土壤污染状况调查，并以“多规合一”等方式，将原土地用途、拟规划用途等信息及时共享给生态环境部门。</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长期实施</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市规划自然资源委大兴分局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12" w:type="dxa"/>
            <w:vMerge w:val="restart"/>
            <w:tcBorders>
              <w:tl2br w:val="nil"/>
              <w:tr2bl w:val="nil"/>
            </w:tcBorders>
            <w:noWrap w:val="0"/>
            <w:vAlign w:val="center"/>
          </w:tcPr>
          <w:p>
            <w:pPr>
              <w:jc w:val="center"/>
              <w:rPr>
                <w:rFonts w:hint="eastAsia" w:ascii="仿宋_GB2312" w:eastAsia="仿宋_GB2312"/>
                <w:sz w:val="28"/>
                <w:szCs w:val="28"/>
                <w:highlight w:val="none"/>
              </w:rPr>
            </w:pPr>
            <w:r>
              <w:rPr>
                <w:rFonts w:hint="eastAsia" w:ascii="仿宋_GB2312" w:eastAsia="仿宋_GB2312" w:cs="Times New Roman"/>
                <w:kern w:val="2"/>
                <w:sz w:val="28"/>
                <w:szCs w:val="28"/>
                <w:highlight w:val="none"/>
                <w:lang w:val="en-US" w:eastAsia="zh-CN"/>
              </w:rPr>
              <w:t>5</w:t>
            </w:r>
          </w:p>
          <w:p>
            <w:pPr>
              <w:adjustRightInd w:val="0"/>
              <w:snapToGrid w:val="0"/>
              <w:spacing w:line="240" w:lineRule="auto"/>
              <w:jc w:val="left"/>
              <w:rPr>
                <w:rFonts w:hint="eastAsia" w:ascii="仿宋_GB2312" w:eastAsia="仿宋_GB2312" w:cs="Times New Roman"/>
                <w:kern w:val="2"/>
                <w:sz w:val="28"/>
                <w:szCs w:val="28"/>
                <w:highlight w:val="none"/>
                <w:lang w:val="en-US" w:eastAsia="zh-CN"/>
              </w:rPr>
            </w:pPr>
          </w:p>
        </w:tc>
        <w:tc>
          <w:tcPr>
            <w:tcW w:w="1399" w:type="dxa"/>
            <w:vMerge w:val="restart"/>
            <w:tcBorders>
              <w:tl2br w:val="nil"/>
              <w:tr2bl w:val="nil"/>
            </w:tcBorders>
            <w:noWrap w:val="0"/>
            <w:vAlign w:val="center"/>
          </w:tcPr>
          <w:p>
            <w:pPr>
              <w:adjustRightInd w:val="0"/>
              <w:snapToGrid w:val="0"/>
              <w:spacing w:line="240" w:lineRule="auto"/>
              <w:jc w:val="center"/>
              <w:rPr>
                <w:rFonts w:hint="eastAsia" w:ascii="仿宋_GB2312" w:eastAsia="仿宋_GB2312" w:cs="Times New Roman"/>
                <w:kern w:val="2"/>
                <w:sz w:val="28"/>
                <w:szCs w:val="28"/>
                <w:highlight w:val="none"/>
                <w:lang w:val="en-US" w:eastAsia="zh-CN"/>
              </w:rPr>
            </w:pPr>
            <w:r>
              <w:rPr>
                <w:rFonts w:hint="eastAsia" w:ascii="仿宋_GB2312" w:eastAsia="仿宋_GB2312" w:cs="Times New Roman"/>
                <w:kern w:val="2"/>
                <w:sz w:val="28"/>
                <w:szCs w:val="28"/>
                <w:highlight w:val="none"/>
                <w:lang w:val="en-US" w:eastAsia="zh-CN"/>
              </w:rPr>
              <w:t>管控风险保障安全利用</w:t>
            </w:r>
          </w:p>
        </w:tc>
        <w:tc>
          <w:tcPr>
            <w:tcW w:w="5735" w:type="dxa"/>
            <w:tcBorders>
              <w:tl2br w:val="nil"/>
              <w:tr2bl w:val="nil"/>
            </w:tcBorders>
            <w:noWrap w:val="0"/>
            <w:vAlign w:val="center"/>
          </w:tcPr>
          <w:p>
            <w:pPr>
              <w:adjustRightInd w:val="0"/>
              <w:snapToGrid w:val="0"/>
              <w:rPr>
                <w:rFonts w:hint="eastAsia" w:ascii="仿宋_GB2312" w:eastAsia="仿宋_GB2312"/>
                <w:sz w:val="28"/>
                <w:szCs w:val="28"/>
                <w:highlight w:val="none"/>
              </w:rPr>
            </w:pPr>
            <w:r>
              <w:rPr>
                <w:rFonts w:hint="eastAsia" w:ascii="仿宋_GB2312" w:eastAsia="仿宋_GB2312"/>
                <w:sz w:val="28"/>
                <w:szCs w:val="28"/>
                <w:highlight w:val="none"/>
              </w:rPr>
              <w:t>严格管控风险。未依法完成土壤污染状况调查、风险评估、风险管控或修复的地块，生态环境、规划自然资源、住房城乡建设等部门不得批准与土壤污染风险管控与修复无关的项目。</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市规划自然资源委大兴分局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区农村集体土地交易服务中心</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区住房城乡建设委</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12" w:type="dxa"/>
            <w:vMerge w:val="continue"/>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p>
        </w:tc>
        <w:tc>
          <w:tcPr>
            <w:tcW w:w="1399" w:type="dxa"/>
            <w:vMerge w:val="continue"/>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对暂不开发利用的受污染地块，制定风险管控年度计划并组织实施。</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相关街道办事处</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相关产业园区管委会</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12" w:type="dxa"/>
            <w:vMerge w:val="continue"/>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p>
        </w:tc>
        <w:tc>
          <w:tcPr>
            <w:tcW w:w="1399" w:type="dxa"/>
            <w:vMerge w:val="continue"/>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对建设用地土壤污染风险管控和修复名录内地块，督促相关责任人按照风险管控或修复方案开展工作，加强过程监管。</w:t>
            </w:r>
          </w:p>
        </w:tc>
        <w:tc>
          <w:tcPr>
            <w:tcW w:w="1600" w:type="dxa"/>
            <w:tcBorders>
              <w:tl2br w:val="nil"/>
              <w:tr2bl w:val="nil"/>
            </w:tcBorders>
            <w:noWrap w:val="0"/>
            <w:vAlign w:val="center"/>
          </w:tcPr>
          <w:p>
            <w:pPr>
              <w:jc w:val="center"/>
              <w:rPr>
                <w:highlight w:val="none"/>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相关街道办事处</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相关产业园区管委会</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12" w:type="dxa"/>
            <w:vMerge w:val="continue"/>
            <w:tcBorders>
              <w:tl2br w:val="nil"/>
              <w:tr2bl w:val="nil"/>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p>
        </w:tc>
        <w:tc>
          <w:tcPr>
            <w:tcW w:w="1399" w:type="dxa"/>
            <w:vMerge w:val="continue"/>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对于需要后期管理的地块，依法督促相关责任人制定并落实后期管理计划，定期报告落实情况。</w:t>
            </w:r>
          </w:p>
        </w:tc>
        <w:tc>
          <w:tcPr>
            <w:tcW w:w="1600" w:type="dxa"/>
            <w:tcBorders>
              <w:tl2br w:val="nil"/>
              <w:tr2bl w:val="nil"/>
            </w:tcBorders>
            <w:noWrap w:val="0"/>
            <w:vAlign w:val="center"/>
          </w:tcPr>
          <w:p>
            <w:pPr>
              <w:jc w:val="center"/>
              <w:rPr>
                <w:highlight w:val="none"/>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相关街道办事处</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相关产业园区管委会</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812" w:type="dxa"/>
            <w:tcBorders>
              <w:tl2br w:val="nil"/>
              <w:tr2bl w:val="nil"/>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6</w:t>
            </w:r>
          </w:p>
        </w:tc>
        <w:tc>
          <w:tcPr>
            <w:tcW w:w="1399"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编制工作指南</w:t>
            </w: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编制大兴区建设用地土壤环境管理工作指南。</w:t>
            </w:r>
          </w:p>
        </w:tc>
        <w:tc>
          <w:tcPr>
            <w:tcW w:w="1600" w:type="dxa"/>
            <w:tcBorders>
              <w:tl2br w:val="nil"/>
              <w:tr2bl w:val="nil"/>
            </w:tcBorders>
            <w:noWrap w:val="0"/>
            <w:vAlign w:val="center"/>
          </w:tcPr>
          <w:p>
            <w:pPr>
              <w:jc w:val="center"/>
              <w:rPr>
                <w:highlight w:val="none"/>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p>
            <w:pPr>
              <w:spacing w:line="320" w:lineRule="exact"/>
              <w:jc w:val="center"/>
              <w:rPr>
                <w:rFonts w:hint="eastAsia"/>
                <w:highlight w:val="none"/>
                <w:lang w:val="en-US" w:eastAsia="zh-CN"/>
              </w:rPr>
            </w:pPr>
            <w:r>
              <w:rPr>
                <w:rFonts w:hint="eastAsia" w:ascii="仿宋_GB2312" w:eastAsia="仿宋_GB2312" w:cs="仿宋_GB2312"/>
                <w:kern w:val="0"/>
                <w:sz w:val="28"/>
                <w:szCs w:val="28"/>
                <w:highlight w:val="none"/>
                <w:lang w:val="en-US" w:eastAsia="zh-CN"/>
              </w:rPr>
              <w:t>市规划自然资源委大兴分局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233" w:type="dxa"/>
            <w:gridSpan w:val="6"/>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黑体" w:hAnsi="宋体" w:eastAsia="黑体" w:cs="黑体"/>
                <w:i w:val="0"/>
                <w:iCs w:val="0"/>
                <w:color w:val="000000"/>
                <w:sz w:val="28"/>
                <w:szCs w:val="28"/>
                <w:highlight w:val="none"/>
                <w:u w:val="none"/>
              </w:rPr>
              <w:t>三、不断推进农用地安全利用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812" w:type="dxa"/>
            <w:vMerge w:val="restart"/>
            <w:tcBorders>
              <w:tl2br w:val="nil"/>
              <w:tr2bl w:val="nil"/>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7</w:t>
            </w:r>
          </w:p>
        </w:tc>
        <w:tc>
          <w:tcPr>
            <w:tcW w:w="1399" w:type="dxa"/>
            <w:vMerge w:val="restart"/>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强化种植</w:t>
            </w:r>
            <w:r>
              <w:rPr>
                <w:rFonts w:hint="eastAsia" w:ascii="仿宋_GB2312" w:eastAsia="仿宋_GB2312" w:cs="仿宋_GB2312"/>
                <w:spacing w:val="-23"/>
                <w:kern w:val="0"/>
                <w:sz w:val="28"/>
                <w:szCs w:val="28"/>
                <w:highlight w:val="none"/>
                <w:lang w:val="en-US" w:eastAsia="zh-CN"/>
              </w:rPr>
              <w:t>业污染预防</w:t>
            </w:r>
          </w:p>
        </w:tc>
        <w:tc>
          <w:tcPr>
            <w:tcW w:w="5735" w:type="dxa"/>
            <w:tcBorders>
              <w:tl2br w:val="nil"/>
              <w:tr2bl w:val="nil"/>
            </w:tcBorders>
            <w:noWrap w:val="0"/>
            <w:vAlign w:val="center"/>
          </w:tcPr>
          <w:p>
            <w:pPr>
              <w:adjustRightInd w:val="0"/>
              <w:snapToGrid w:val="0"/>
              <w:rPr>
                <w:rFonts w:hint="eastAsia" w:ascii="仿宋_GB2312" w:eastAsia="仿宋_GB2312" w:cs="仿宋_GB2312"/>
                <w:kern w:val="0"/>
                <w:sz w:val="28"/>
                <w:szCs w:val="28"/>
                <w:highlight w:val="none"/>
                <w:lang w:val="en-US" w:eastAsia="zh-CN"/>
              </w:rPr>
            </w:pPr>
            <w:r>
              <w:rPr>
                <w:rFonts w:hint="eastAsia" w:ascii="仿宋_GB2312" w:eastAsia="仿宋_GB2312"/>
                <w:sz w:val="28"/>
                <w:szCs w:val="28"/>
                <w:highlight w:val="none"/>
              </w:rPr>
              <w:t>持续推进化肥农药减量增效，</w:t>
            </w:r>
            <w:r>
              <w:rPr>
                <w:rFonts w:hint="eastAsia" w:ascii="仿宋_GB2312" w:hAnsi="仿宋" w:eastAsia="仿宋_GB2312" w:cs="仿宋"/>
                <w:sz w:val="28"/>
                <w:szCs w:val="28"/>
                <w:highlight w:val="none"/>
              </w:rPr>
              <w:t>降低单位面积施用强度，化肥利用率</w:t>
            </w:r>
            <w:r>
              <w:rPr>
                <w:rFonts w:hint="eastAsia" w:ascii="仿宋_GB2312" w:eastAsia="仿宋_GB2312"/>
                <w:sz w:val="28"/>
                <w:szCs w:val="28"/>
                <w:highlight w:val="none"/>
              </w:rPr>
              <w:t>达到</w:t>
            </w:r>
            <w:r>
              <w:rPr>
                <w:rFonts w:hint="eastAsia" w:ascii="仿宋_GB2312" w:hAnsi="仿宋" w:eastAsia="仿宋_GB2312" w:cs="仿宋"/>
                <w:sz w:val="28"/>
                <w:szCs w:val="28"/>
                <w:highlight w:val="none"/>
              </w:rPr>
              <w:t>41%，农药利用率达到45%。</w:t>
            </w:r>
            <w:r>
              <w:rPr>
                <w:rFonts w:hint="eastAsia" w:ascii="仿宋_GB2312" w:eastAsia="仿宋_GB2312" w:cs="仿宋_GB2312"/>
                <w:kern w:val="0"/>
                <w:sz w:val="28"/>
                <w:szCs w:val="28"/>
                <w:highlight w:val="none"/>
                <w:lang w:val="en-US" w:eastAsia="zh-CN"/>
              </w:rPr>
              <w:t>加强农膜、包装废弃物回收，建成规范的回收网络体系，农膜综合回收率达到92%，试点开展包装废弃物回收率统计。</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区农业农村局</w:t>
            </w:r>
          </w:p>
          <w:p>
            <w:pPr>
              <w:spacing w:line="320" w:lineRule="exact"/>
              <w:jc w:val="center"/>
              <w:rPr>
                <w:rFonts w:hint="eastAsia"/>
                <w:lang w:val="en-US" w:eastAsia="zh-CN"/>
              </w:rPr>
            </w:pPr>
            <w:r>
              <w:rPr>
                <w:rFonts w:hint="eastAsia" w:ascii="仿宋_GB2312" w:eastAsia="仿宋_GB2312" w:cs="仿宋_GB2312"/>
                <w:kern w:val="0"/>
                <w:sz w:val="28"/>
                <w:szCs w:val="28"/>
                <w:highlight w:val="none"/>
                <w:lang w:val="en-US" w:eastAsia="zh-CN"/>
              </w:rPr>
              <w:t>区农业服务中心</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12" w:type="dxa"/>
            <w:vMerge w:val="continue"/>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p>
        </w:tc>
        <w:tc>
          <w:tcPr>
            <w:tcW w:w="1399" w:type="dxa"/>
            <w:vMerge w:val="continue"/>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建立园林绿化用地农药使用统计制度。加大绿色防控力度，降低单位面积农药使用强度。</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区园林绿化局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区园林服务中心</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12" w:type="dxa"/>
            <w:vMerge w:val="continue"/>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p>
        </w:tc>
        <w:tc>
          <w:tcPr>
            <w:tcW w:w="1399" w:type="dxa"/>
            <w:vMerge w:val="continue"/>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完善农田灌溉用水水质管理机制，按计划完成农田灌溉用水水质监测和监督检查，确保水质达标。</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lang w:val="en-US" w:eastAsia="zh-CN"/>
              </w:rPr>
            </w:pPr>
            <w:r>
              <w:rPr>
                <w:rFonts w:hint="eastAsia" w:ascii="仿宋_GB2312" w:eastAsia="仿宋_GB2312" w:cs="仿宋_GB2312"/>
                <w:kern w:val="0"/>
                <w:sz w:val="28"/>
                <w:szCs w:val="28"/>
                <w:highlight w:val="none"/>
                <w:lang w:val="en-US" w:eastAsia="zh-CN"/>
              </w:rPr>
              <w:t>区生态环境局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区水务局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区农业农村局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12"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8</w:t>
            </w:r>
          </w:p>
        </w:tc>
        <w:tc>
          <w:tcPr>
            <w:tcW w:w="1399"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强化养殖</w:t>
            </w:r>
            <w:r>
              <w:rPr>
                <w:rFonts w:hint="eastAsia" w:ascii="仿宋_GB2312" w:eastAsia="仿宋_GB2312" w:cs="仿宋_GB2312"/>
                <w:spacing w:val="-23"/>
                <w:kern w:val="0"/>
                <w:sz w:val="28"/>
                <w:szCs w:val="28"/>
                <w:highlight w:val="none"/>
                <w:lang w:val="en-US" w:eastAsia="zh-CN"/>
              </w:rPr>
              <w:t>业污染预防</w:t>
            </w: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全区规模化畜禽养殖场粪污处理设施基本达到全覆盖，畜禽粪污综合利用率达到95%以上。</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lang w:val="en-US" w:eastAsia="zh-CN"/>
              </w:rPr>
            </w:pPr>
            <w:r>
              <w:rPr>
                <w:rFonts w:hint="eastAsia" w:ascii="仿宋_GB2312" w:eastAsia="仿宋_GB2312" w:cs="仿宋_GB2312"/>
                <w:kern w:val="0"/>
                <w:sz w:val="28"/>
                <w:szCs w:val="28"/>
                <w:highlight w:val="none"/>
                <w:lang w:val="en-US" w:eastAsia="zh-CN"/>
              </w:rPr>
              <w:t>区农业农村局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12" w:type="dxa"/>
            <w:vMerge w:val="restart"/>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9</w:t>
            </w:r>
          </w:p>
        </w:tc>
        <w:tc>
          <w:tcPr>
            <w:tcW w:w="1399" w:type="dxa"/>
            <w:vMerge w:val="restart"/>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进一步开展农用地污染状况调查</w:t>
            </w: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根据土壤污染状况详查结果，按照市级要求开展超标农用地土壤污染状况调查并动态更新分类管理清单。</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区农业农村局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区园林绿化局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相关街道办事处</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spacing w:val="-6"/>
                <w:kern w:val="0"/>
                <w:sz w:val="28"/>
                <w:szCs w:val="28"/>
                <w:highlight w:val="none"/>
                <w:lang w:val="en-US" w:eastAsia="zh-CN"/>
              </w:rPr>
              <w:t>相关产业园区管委会</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spacing w:val="-23"/>
                <w:w w:val="90"/>
                <w:kern w:val="0"/>
                <w:sz w:val="28"/>
                <w:szCs w:val="28"/>
              </w:rPr>
              <w:t>市规划自然资源委大兴分局</w:t>
            </w:r>
          </w:p>
          <w:p>
            <w:pPr>
              <w:spacing w:line="320" w:lineRule="exact"/>
              <w:jc w:val="center"/>
              <w:rPr>
                <w:rFonts w:hint="eastAsia"/>
                <w:lang w:val="en-US" w:eastAsia="zh-CN"/>
              </w:rPr>
            </w:pPr>
            <w:r>
              <w:rPr>
                <w:rFonts w:hint="eastAsia" w:ascii="仿宋_GB2312" w:eastAsia="仿宋_GB2312" w:cs="仿宋_GB2312"/>
                <w:kern w:val="0"/>
                <w:sz w:val="28"/>
                <w:szCs w:val="28"/>
                <w:highlight w:val="none"/>
                <w:lang w:val="en-US"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812" w:type="dxa"/>
            <w:vMerge w:val="continue"/>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p>
        </w:tc>
        <w:tc>
          <w:tcPr>
            <w:tcW w:w="1399" w:type="dxa"/>
            <w:vMerge w:val="continue"/>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sz w:val="28"/>
                <w:szCs w:val="28"/>
                <w:highlight w:val="none"/>
              </w:rPr>
              <w:t>组织对复耕、复垦耕地（新增耕地）开展土壤污染状况调查，相关地块根据调查结果纳入耕地分类管理清单。</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区农业农村局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相关街道办事处</w:t>
            </w:r>
          </w:p>
          <w:p>
            <w:pPr>
              <w:spacing w:line="320" w:lineRule="exact"/>
              <w:jc w:val="center"/>
              <w:rPr>
                <w:rFonts w:hint="eastAsia" w:ascii="仿宋_GB2312" w:hAnsi="Times New Roman" w:eastAsia="仿宋_GB2312" w:cs="仿宋_GB2312"/>
                <w:spacing w:val="-6"/>
                <w:kern w:val="0"/>
                <w:sz w:val="28"/>
                <w:szCs w:val="28"/>
                <w:highlight w:val="none"/>
                <w:lang w:val="en-US" w:eastAsia="zh-CN"/>
              </w:rPr>
            </w:pPr>
            <w:r>
              <w:rPr>
                <w:rFonts w:hint="eastAsia" w:ascii="仿宋_GB2312" w:hAnsi="Times New Roman" w:eastAsia="仿宋_GB2312" w:cs="仿宋_GB2312"/>
                <w:spacing w:val="-6"/>
                <w:kern w:val="0"/>
                <w:sz w:val="28"/>
                <w:szCs w:val="28"/>
                <w:highlight w:val="none"/>
                <w:lang w:val="en-US" w:eastAsia="zh-CN"/>
              </w:rPr>
              <w:t>相关产业园区管委会</w:t>
            </w:r>
          </w:p>
          <w:p>
            <w:pPr>
              <w:spacing w:line="320" w:lineRule="exact"/>
              <w:jc w:val="center"/>
              <w:rPr>
                <w:rFonts w:hint="eastAsia" w:ascii="仿宋_GB2312" w:eastAsia="仿宋_GB2312" w:cs="仿宋_GB2312"/>
                <w:spacing w:val="-23"/>
                <w:w w:val="90"/>
                <w:kern w:val="0"/>
                <w:sz w:val="28"/>
                <w:szCs w:val="28"/>
                <w:lang w:val="en-US" w:eastAsia="zh-CN"/>
              </w:rPr>
            </w:pPr>
            <w:r>
              <w:rPr>
                <w:rFonts w:hint="eastAsia" w:ascii="仿宋_GB2312" w:eastAsia="仿宋_GB2312" w:cs="仿宋_GB2312"/>
                <w:spacing w:val="-23"/>
                <w:w w:val="90"/>
                <w:kern w:val="0"/>
                <w:sz w:val="28"/>
                <w:szCs w:val="28"/>
                <w:lang w:val="en-US" w:eastAsia="zh-CN"/>
              </w:rPr>
              <w:t>市规划自然资源委大兴分局</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812" w:type="dxa"/>
            <w:vMerge w:val="continue"/>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p>
        </w:tc>
        <w:tc>
          <w:tcPr>
            <w:tcW w:w="1399" w:type="dxa"/>
            <w:vMerge w:val="continue"/>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sz w:val="28"/>
                <w:szCs w:val="28"/>
                <w:highlight w:val="none"/>
              </w:rPr>
              <w:t>至少选择1万平方米以上集中连片且生产年限较长的2块典型设施农用地开展土壤环境状况调查与评估。</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区农业农村局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相关街道办事处</w:t>
            </w:r>
          </w:p>
          <w:p>
            <w:pPr>
              <w:spacing w:line="320" w:lineRule="exact"/>
              <w:jc w:val="center"/>
              <w:rPr>
                <w:rFonts w:hint="eastAsia" w:ascii="仿宋_GB2312" w:hAnsi="Times New Roman" w:eastAsia="仿宋_GB2312" w:cs="仿宋_GB2312"/>
                <w:spacing w:val="-6"/>
                <w:kern w:val="0"/>
                <w:sz w:val="28"/>
                <w:szCs w:val="28"/>
                <w:highlight w:val="none"/>
                <w:lang w:val="en-US" w:eastAsia="zh-CN"/>
              </w:rPr>
            </w:pPr>
            <w:r>
              <w:rPr>
                <w:rFonts w:hint="eastAsia" w:ascii="仿宋_GB2312" w:hAnsi="Times New Roman" w:eastAsia="仿宋_GB2312" w:cs="仿宋_GB2312"/>
                <w:spacing w:val="-6"/>
                <w:kern w:val="0"/>
                <w:sz w:val="28"/>
                <w:szCs w:val="28"/>
                <w:highlight w:val="none"/>
                <w:lang w:val="en-US" w:eastAsia="zh-CN"/>
              </w:rPr>
              <w:t>相关产业园区管委会</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p>
            <w:pPr>
              <w:spacing w:line="320" w:lineRule="exact"/>
              <w:jc w:val="center"/>
              <w:rPr>
                <w:rFonts w:hint="eastAsia"/>
                <w:lang w:val="en-US" w:eastAsia="zh-CN"/>
              </w:rPr>
            </w:pPr>
            <w:r>
              <w:rPr>
                <w:rFonts w:hint="eastAsia" w:ascii="仿宋_GB2312" w:eastAsia="仿宋_GB2312" w:cs="仿宋_GB2312"/>
                <w:kern w:val="0"/>
                <w:sz w:val="28"/>
                <w:szCs w:val="28"/>
                <w:highlight w:val="none"/>
                <w:lang w:val="en-US"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812" w:type="dxa"/>
            <w:vMerge w:val="restart"/>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10</w:t>
            </w:r>
          </w:p>
        </w:tc>
        <w:tc>
          <w:tcPr>
            <w:tcW w:w="1399" w:type="dxa"/>
            <w:vMerge w:val="restart"/>
            <w:tcBorders>
              <w:tl2br w:val="nil"/>
              <w:tr2bl w:val="nil"/>
            </w:tcBorders>
            <w:noWrap w:val="0"/>
            <w:vAlign w:val="center"/>
          </w:tcPr>
          <w:p>
            <w:pPr>
              <w:spacing w:line="3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分类施策保障食用</w:t>
            </w:r>
            <w:r>
              <w:rPr>
                <w:rFonts w:hint="eastAsia" w:ascii="仿宋_GB2312" w:eastAsia="仿宋_GB2312" w:cs="仿宋_GB2312"/>
                <w:spacing w:val="-23"/>
                <w:kern w:val="0"/>
                <w:sz w:val="28"/>
                <w:szCs w:val="28"/>
                <w:highlight w:val="none"/>
                <w:lang w:val="en-US" w:eastAsia="zh-CN"/>
              </w:rPr>
              <w:t>农产品安全</w:t>
            </w: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安全利用类农用地因地制宜采取措施，食用农产品“产出一季、检测一季”。</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区农业农村局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区园林绿化局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12" w:type="dxa"/>
            <w:vMerge w:val="continue"/>
            <w:tcBorders>
              <w:tl2br w:val="nil"/>
              <w:tr2bl w:val="nil"/>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p>
        </w:tc>
        <w:tc>
          <w:tcPr>
            <w:tcW w:w="1399" w:type="dxa"/>
            <w:vMerge w:val="continue"/>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严格管控类耕地禁止种植食用农产品，严格管控类果园用地试点采取限根栽培等“无土”安全利用方式。</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highlight w:val="none"/>
                <w:lang w:val="en-US" w:eastAsia="zh-CN"/>
              </w:rPr>
            </w:pPr>
            <w:r>
              <w:rPr>
                <w:rFonts w:hint="eastAsia" w:ascii="仿宋_GB2312" w:eastAsia="仿宋_GB2312" w:cs="仿宋_GB2312"/>
                <w:kern w:val="0"/>
                <w:sz w:val="28"/>
                <w:szCs w:val="28"/>
                <w:highlight w:val="none"/>
                <w:lang w:val="en-US" w:eastAsia="zh-CN"/>
              </w:rPr>
              <w:t>区农业农村局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区园林绿化局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233" w:type="dxa"/>
            <w:gridSpan w:val="6"/>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黑体" w:hAnsi="宋体" w:eastAsia="黑体" w:cs="黑体"/>
                <w:i w:val="0"/>
                <w:iCs w:val="0"/>
                <w:color w:val="000000"/>
                <w:sz w:val="28"/>
                <w:szCs w:val="28"/>
                <w:highlight w:val="none"/>
                <w:u w:val="none"/>
              </w:rPr>
              <w:t>四、持续开展未利用地保护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812" w:type="dxa"/>
            <w:tcBorders>
              <w:tl2br w:val="nil"/>
              <w:tr2bl w:val="nil"/>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11</w:t>
            </w:r>
          </w:p>
        </w:tc>
        <w:tc>
          <w:tcPr>
            <w:tcW w:w="1399"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严格未利用地保护</w:t>
            </w: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加强未利用地巡查检查，依法查处发现的堆存垃圾、侵占使用等情形，建立问题台账，落实整改“销号”制。</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市规划自然资源委大兴分局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相关镇人民政府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相关街道办事处</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相关产业园区管委会</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6233" w:type="dxa"/>
            <w:gridSpan w:val="6"/>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黑体" w:hAnsi="宋体" w:eastAsia="黑体" w:cs="黑体"/>
                <w:i w:val="0"/>
                <w:iCs w:val="0"/>
                <w:color w:val="000000"/>
                <w:sz w:val="28"/>
                <w:szCs w:val="28"/>
                <w:highlight w:val="none"/>
                <w:u w:val="none"/>
              </w:rPr>
              <w:t>五、巩固完善防治保障体系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812" w:type="dxa"/>
            <w:vMerge w:val="restart"/>
            <w:tcBorders>
              <w:tl2br w:val="nil"/>
              <w:tr2bl w:val="nil"/>
            </w:tcBorders>
            <w:noWrap w:val="0"/>
            <w:vAlign w:val="center"/>
          </w:tcPr>
          <w:p>
            <w:pPr>
              <w:spacing w:line="320" w:lineRule="exact"/>
              <w:jc w:val="center"/>
              <w:rPr>
                <w:rFonts w:hint="eastAsia" w:ascii="仿宋_GB2312" w:hAnsi="Times New Roman" w:eastAsia="仿宋_GB2312" w:cs="仿宋_GB2312"/>
                <w:kern w:val="0"/>
                <w:sz w:val="28"/>
                <w:szCs w:val="28"/>
                <w:highlight w:val="none"/>
                <w:lang w:val="en-US" w:eastAsia="zh-CN" w:bidi="ar-SA"/>
              </w:rPr>
            </w:pPr>
            <w:r>
              <w:rPr>
                <w:rFonts w:hint="eastAsia" w:ascii="仿宋_GB2312" w:eastAsia="仿宋_GB2312" w:cs="仿宋_GB2312"/>
                <w:kern w:val="0"/>
                <w:sz w:val="28"/>
                <w:szCs w:val="28"/>
                <w:highlight w:val="none"/>
                <w:lang w:val="en-US" w:eastAsia="zh-CN"/>
              </w:rPr>
              <w:t>12</w:t>
            </w:r>
          </w:p>
        </w:tc>
        <w:tc>
          <w:tcPr>
            <w:tcW w:w="1399" w:type="dxa"/>
            <w:vMerge w:val="restart"/>
            <w:tcBorders>
              <w:tl2br w:val="nil"/>
              <w:tr2bl w:val="nil"/>
            </w:tcBorders>
            <w:noWrap w:val="0"/>
            <w:vAlign w:val="center"/>
          </w:tcPr>
          <w:p>
            <w:pPr>
              <w:spacing w:line="320" w:lineRule="exact"/>
              <w:jc w:val="center"/>
              <w:rPr>
                <w:rFonts w:hint="eastAsia" w:ascii="仿宋_GB2312" w:hAnsi="Times New Roman" w:eastAsia="仿宋_GB2312" w:cs="仿宋_GB2312"/>
                <w:kern w:val="0"/>
                <w:sz w:val="28"/>
                <w:szCs w:val="28"/>
                <w:highlight w:val="none"/>
                <w:lang w:val="en-US" w:eastAsia="zh-CN" w:bidi="ar-SA"/>
              </w:rPr>
            </w:pPr>
            <w:r>
              <w:rPr>
                <w:rFonts w:hint="eastAsia" w:ascii="仿宋_GB2312" w:eastAsia="仿宋_GB2312" w:cs="仿宋_GB2312"/>
                <w:kern w:val="0"/>
                <w:sz w:val="28"/>
                <w:szCs w:val="28"/>
                <w:highlight w:val="none"/>
                <w:lang w:val="en-US" w:eastAsia="zh-CN"/>
              </w:rPr>
              <w:t>提升危险废物收运处置能力</w:t>
            </w: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力争完成大兴安定循环经济园区项目主体设备安装。</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r>
              <w:rPr>
                <w:rFonts w:hint="default" w:ascii="仿宋_GB2312" w:eastAsia="仿宋_GB2312" w:cs="仿宋_GB2312"/>
                <w:kern w:val="0"/>
                <w:sz w:val="28"/>
                <w:szCs w:val="28"/>
                <w:highlight w:val="none"/>
                <w:lang w:val="en-US" w:eastAsia="zh-CN"/>
              </w:rPr>
              <w:t>区城市管理委</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安定镇人民政府</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spacing w:val="-23"/>
                <w:w w:val="90"/>
                <w:kern w:val="0"/>
                <w:sz w:val="28"/>
                <w:szCs w:val="28"/>
              </w:rPr>
              <w:t>市规划自然资源委大兴分局</w:t>
            </w:r>
            <w:r>
              <w:rPr>
                <w:rFonts w:hint="default" w:ascii="仿宋_GB2312" w:eastAsia="仿宋_GB2312" w:cs="仿宋_GB2312"/>
                <w:kern w:val="0"/>
                <w:sz w:val="28"/>
                <w:szCs w:val="28"/>
                <w:highlight w:val="none"/>
                <w:lang w:val="en-US" w:eastAsia="zh-CN"/>
              </w:rPr>
              <w:br w:type="textWrapping"/>
            </w:r>
            <w:r>
              <w:rPr>
                <w:rFonts w:hint="default" w:ascii="仿宋_GB2312" w:eastAsia="仿宋_GB2312" w:cs="仿宋_GB2312"/>
                <w:kern w:val="0"/>
                <w:sz w:val="28"/>
                <w:szCs w:val="28"/>
                <w:highlight w:val="none"/>
                <w:lang w:val="en-US" w:eastAsia="zh-CN"/>
              </w:rPr>
              <w:t>区住房城乡建设委</w:t>
            </w:r>
            <w:r>
              <w:rPr>
                <w:rFonts w:hint="default" w:ascii="仿宋_GB2312" w:eastAsia="仿宋_GB2312" w:cs="仿宋_GB2312"/>
                <w:kern w:val="0"/>
                <w:sz w:val="28"/>
                <w:szCs w:val="28"/>
                <w:highlight w:val="none"/>
                <w:lang w:val="en-US" w:eastAsia="zh-CN"/>
              </w:rPr>
              <w:br w:type="textWrapping"/>
            </w:r>
            <w:r>
              <w:rPr>
                <w:rFonts w:hint="default" w:ascii="仿宋_GB2312" w:eastAsia="仿宋_GB2312" w:cs="仿宋_GB2312"/>
                <w:kern w:val="0"/>
                <w:sz w:val="28"/>
                <w:szCs w:val="28"/>
                <w:highlight w:val="none"/>
                <w:lang w:val="en-US" w:eastAsia="zh-CN"/>
              </w:rPr>
              <w:t>区发展改革委</w:t>
            </w:r>
            <w:r>
              <w:rPr>
                <w:rFonts w:hint="default" w:ascii="仿宋_GB2312" w:eastAsia="仿宋_GB2312" w:cs="仿宋_GB2312"/>
                <w:kern w:val="0"/>
                <w:sz w:val="28"/>
                <w:szCs w:val="28"/>
                <w:highlight w:val="none"/>
                <w:lang w:val="en-US" w:eastAsia="zh-CN"/>
              </w:rPr>
              <w:br w:type="textWrapping"/>
            </w:r>
            <w:r>
              <w:rPr>
                <w:rFonts w:hint="default" w:ascii="仿宋_GB2312" w:eastAsia="仿宋_GB2312" w:cs="仿宋_GB2312"/>
                <w:kern w:val="0"/>
                <w:sz w:val="28"/>
                <w:szCs w:val="28"/>
                <w:highlight w:val="none"/>
                <w:lang w:val="en-US" w:eastAsia="zh-CN"/>
              </w:rPr>
              <w:t>区生态环境局</w:t>
            </w:r>
            <w:r>
              <w:rPr>
                <w:rFonts w:hint="default" w:ascii="仿宋_GB2312" w:eastAsia="仿宋_GB2312" w:cs="仿宋_GB2312"/>
                <w:kern w:val="0"/>
                <w:sz w:val="28"/>
                <w:szCs w:val="28"/>
                <w:highlight w:val="none"/>
                <w:lang w:val="en-US" w:eastAsia="zh-CN"/>
              </w:rPr>
              <w:br w:type="textWrapping"/>
            </w:r>
            <w:r>
              <w:rPr>
                <w:rFonts w:hint="default" w:ascii="仿宋_GB2312" w:eastAsia="仿宋_GB2312" w:cs="仿宋_GB2312"/>
                <w:kern w:val="0"/>
                <w:sz w:val="28"/>
                <w:szCs w:val="28"/>
                <w:highlight w:val="none"/>
                <w:lang w:val="en-US" w:eastAsia="zh-CN"/>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812" w:type="dxa"/>
            <w:vMerge w:val="continue"/>
            <w:tcBorders>
              <w:tl2br w:val="nil"/>
              <w:tr2bl w:val="nil"/>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p>
        </w:tc>
        <w:tc>
          <w:tcPr>
            <w:tcW w:w="1399" w:type="dxa"/>
            <w:vMerge w:val="continue"/>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落实疫情防控要求，及时组织清运重点管控生活垃圾。</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各街道办事处</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各产业园区管委会</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default" w:ascii="仿宋_GB2312" w:eastAsia="仿宋_GB2312" w:cs="仿宋_GB2312"/>
                <w:kern w:val="0"/>
                <w:sz w:val="28"/>
                <w:szCs w:val="28"/>
                <w:highlight w:val="none"/>
                <w:lang w:val="en-US" w:eastAsia="zh-CN"/>
              </w:rPr>
              <w:t>区生态环境局</w:t>
            </w:r>
            <w:r>
              <w:rPr>
                <w:rFonts w:hint="default" w:ascii="仿宋_GB2312" w:eastAsia="仿宋_GB2312" w:cs="仿宋_GB2312"/>
                <w:kern w:val="0"/>
                <w:sz w:val="28"/>
                <w:szCs w:val="28"/>
                <w:highlight w:val="none"/>
                <w:lang w:val="en-US" w:eastAsia="zh-CN"/>
              </w:rPr>
              <w:br w:type="textWrapping"/>
            </w:r>
            <w:r>
              <w:rPr>
                <w:rFonts w:hint="default" w:ascii="仿宋_GB2312" w:eastAsia="仿宋_GB2312" w:cs="仿宋_GB2312"/>
                <w:kern w:val="0"/>
                <w:sz w:val="28"/>
                <w:szCs w:val="28"/>
                <w:highlight w:val="none"/>
                <w:lang w:val="en-US" w:eastAsia="zh-CN"/>
              </w:rPr>
              <w:t>区卫生健康委</w:t>
            </w:r>
            <w:r>
              <w:rPr>
                <w:rFonts w:hint="default" w:ascii="仿宋_GB2312" w:eastAsia="仿宋_GB2312" w:cs="仿宋_GB2312"/>
                <w:kern w:val="0"/>
                <w:sz w:val="28"/>
                <w:szCs w:val="28"/>
                <w:highlight w:val="none"/>
                <w:lang w:val="en-US" w:eastAsia="zh-CN"/>
              </w:rPr>
              <w:br w:type="textWrapping"/>
            </w:r>
            <w:r>
              <w:rPr>
                <w:rFonts w:hint="default" w:ascii="仿宋_GB2312" w:eastAsia="仿宋_GB2312" w:cs="仿宋_GB2312"/>
                <w:kern w:val="0"/>
                <w:sz w:val="28"/>
                <w:szCs w:val="28"/>
                <w:highlight w:val="none"/>
                <w:lang w:val="en-US" w:eastAsia="zh-CN"/>
              </w:rPr>
              <w:t>区城市管理委</w:t>
            </w:r>
            <w:r>
              <w:rPr>
                <w:rFonts w:hint="default" w:ascii="仿宋_GB2312" w:eastAsia="仿宋_GB2312" w:cs="仿宋_GB2312"/>
                <w:kern w:val="0"/>
                <w:sz w:val="28"/>
                <w:szCs w:val="28"/>
                <w:highlight w:val="none"/>
                <w:lang w:val="en-US" w:eastAsia="zh-CN"/>
              </w:rPr>
              <w:br w:type="textWrapping"/>
            </w:r>
            <w:r>
              <w:rPr>
                <w:rFonts w:hint="default" w:ascii="仿宋_GB2312" w:eastAsia="仿宋_GB2312" w:cs="仿宋_GB2312"/>
                <w:kern w:val="0"/>
                <w:sz w:val="28"/>
                <w:szCs w:val="28"/>
                <w:highlight w:val="none"/>
                <w:lang w:val="en-US" w:eastAsia="zh-CN"/>
              </w:rPr>
              <w:t>区交通局</w:t>
            </w:r>
            <w:r>
              <w:rPr>
                <w:rFonts w:hint="default" w:ascii="仿宋_GB2312" w:eastAsia="仿宋_GB2312" w:cs="仿宋_GB2312"/>
                <w:kern w:val="0"/>
                <w:sz w:val="28"/>
                <w:szCs w:val="28"/>
                <w:highlight w:val="none"/>
                <w:lang w:val="en-US" w:eastAsia="zh-CN"/>
              </w:rPr>
              <w:br w:type="textWrapping"/>
            </w:r>
            <w:r>
              <w:rPr>
                <w:rFonts w:hint="eastAsia" w:ascii="仿宋_GB2312" w:eastAsia="仿宋_GB2312"/>
                <w:sz w:val="28"/>
                <w:szCs w:val="28"/>
                <w:highlight w:val="none"/>
                <w:lang w:eastAsia="zh-CN"/>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812" w:type="dxa"/>
            <w:tcBorders>
              <w:tl2br w:val="nil"/>
              <w:tr2bl w:val="nil"/>
            </w:tcBorders>
            <w:noWrap w:val="0"/>
            <w:vAlign w:val="center"/>
          </w:tcPr>
          <w:p>
            <w:pPr>
              <w:spacing w:line="320" w:lineRule="exact"/>
              <w:jc w:val="center"/>
              <w:rPr>
                <w:rFonts w:hint="eastAsia" w:ascii="仿宋_GB2312" w:hAnsi="Times New Roman" w:eastAsia="仿宋_GB2312" w:cs="仿宋_GB2312"/>
                <w:kern w:val="0"/>
                <w:sz w:val="28"/>
                <w:szCs w:val="28"/>
                <w:highlight w:val="none"/>
                <w:lang w:val="en-US" w:eastAsia="zh-CN" w:bidi="ar-SA"/>
              </w:rPr>
            </w:pPr>
            <w:r>
              <w:rPr>
                <w:rFonts w:hint="eastAsia" w:ascii="仿宋_GB2312" w:eastAsia="仿宋_GB2312" w:cs="仿宋_GB2312"/>
                <w:kern w:val="0"/>
                <w:sz w:val="28"/>
                <w:szCs w:val="28"/>
                <w:highlight w:val="none"/>
                <w:lang w:val="en-US" w:eastAsia="zh-CN"/>
              </w:rPr>
              <w:t>12</w:t>
            </w:r>
          </w:p>
        </w:tc>
        <w:tc>
          <w:tcPr>
            <w:tcW w:w="1399" w:type="dxa"/>
            <w:tcBorders>
              <w:tl2br w:val="nil"/>
              <w:tr2bl w:val="nil"/>
            </w:tcBorders>
            <w:noWrap w:val="0"/>
            <w:vAlign w:val="center"/>
          </w:tcPr>
          <w:p>
            <w:pPr>
              <w:spacing w:line="320" w:lineRule="exact"/>
              <w:jc w:val="center"/>
              <w:rPr>
                <w:rFonts w:hint="eastAsia" w:ascii="仿宋_GB2312" w:hAnsi="Times New Roman" w:eastAsia="仿宋_GB2312" w:cs="仿宋_GB2312"/>
                <w:kern w:val="0"/>
                <w:sz w:val="28"/>
                <w:szCs w:val="28"/>
                <w:highlight w:val="none"/>
                <w:lang w:val="en-US" w:eastAsia="zh-CN" w:bidi="ar-SA"/>
              </w:rPr>
            </w:pPr>
            <w:r>
              <w:rPr>
                <w:rFonts w:hint="eastAsia" w:ascii="仿宋_GB2312" w:eastAsia="仿宋_GB2312" w:cs="仿宋_GB2312"/>
                <w:kern w:val="0"/>
                <w:sz w:val="28"/>
                <w:szCs w:val="28"/>
                <w:highlight w:val="none"/>
                <w:lang w:val="en-US" w:eastAsia="zh-CN"/>
              </w:rPr>
              <w:t>提升危险废物收运处置能力</w:t>
            </w: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配合实施南宫生活垃圾焚烧炉协同处置医废应急改造。合理调度处置设施，确保涉疫医疗废物无害化处置。</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区城市管理委</w:t>
            </w:r>
          </w:p>
        </w:tc>
        <w:tc>
          <w:tcPr>
            <w:tcW w:w="2707" w:type="dxa"/>
            <w:tcBorders>
              <w:tl2br w:val="nil"/>
              <w:tr2bl w:val="nil"/>
            </w:tcBorders>
            <w:noWrap w:val="0"/>
            <w:vAlign w:val="center"/>
          </w:tcPr>
          <w:p>
            <w:pPr>
              <w:adjustRightInd w:val="0"/>
              <w:snapToGrid w:val="0"/>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区卫生健康委</w:t>
            </w:r>
          </w:p>
          <w:p>
            <w:pPr>
              <w:adjustRightInd w:val="0"/>
              <w:snapToGrid w:val="0"/>
              <w:jc w:val="center"/>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区公安分局</w:t>
            </w:r>
          </w:p>
          <w:p>
            <w:pPr>
              <w:adjustRightInd w:val="0"/>
              <w:snapToGrid w:val="0"/>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区交通局</w:t>
            </w:r>
            <w:r>
              <w:rPr>
                <w:rFonts w:hint="default"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青云店</w:t>
            </w:r>
            <w:r>
              <w:rPr>
                <w:rFonts w:hint="default" w:ascii="仿宋_GB2312" w:eastAsia="仿宋_GB2312" w:cs="仿宋_GB2312"/>
                <w:kern w:val="0"/>
                <w:sz w:val="28"/>
                <w:szCs w:val="28"/>
                <w:highlight w:val="none"/>
                <w:lang w:val="en-US" w:eastAsia="zh-CN"/>
              </w:rPr>
              <w:t>镇</w:t>
            </w:r>
            <w:r>
              <w:rPr>
                <w:rFonts w:hint="eastAsia" w:ascii="仿宋_GB2312" w:eastAsia="仿宋_GB2312" w:cs="仿宋_GB2312"/>
                <w:kern w:val="0"/>
                <w:sz w:val="28"/>
                <w:szCs w:val="28"/>
                <w:highlight w:val="none"/>
                <w:lang w:val="en-US" w:eastAsia="zh-CN"/>
              </w:rPr>
              <w:t>人民</w:t>
            </w:r>
            <w:r>
              <w:rPr>
                <w:rFonts w:hint="default" w:ascii="仿宋_GB2312" w:eastAsia="仿宋_GB2312" w:cs="仿宋_GB2312"/>
                <w:kern w:val="0"/>
                <w:sz w:val="28"/>
                <w:szCs w:val="28"/>
                <w:highlight w:val="none"/>
                <w:lang w:val="en-US"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12" w:type="dxa"/>
            <w:vMerge w:val="restart"/>
            <w:tcBorders>
              <w:tl2br w:val="nil"/>
              <w:tr2bl w:val="nil"/>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13</w:t>
            </w:r>
          </w:p>
        </w:tc>
        <w:tc>
          <w:tcPr>
            <w:tcW w:w="1399" w:type="dxa"/>
            <w:vMerge w:val="restart"/>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推进土壤环境监测</w:t>
            </w: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配合开展市控土壤环境点位监测，以及农产品产地、园林绿化用地、地球化学元素调查等土壤环境监测，配合做好监测数据分析应用。</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市规划自然资源委大兴分局</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区农业农村局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区园林绿化局</w:t>
            </w:r>
          </w:p>
          <w:p>
            <w:pPr>
              <w:spacing w:line="320" w:lineRule="exact"/>
              <w:jc w:val="center"/>
              <w:rPr>
                <w:rFonts w:hint="eastAsia"/>
                <w:lang w:val="en-US" w:eastAsia="zh-CN"/>
              </w:rPr>
            </w:pPr>
            <w:r>
              <w:rPr>
                <w:rFonts w:hint="eastAsia" w:ascii="仿宋_GB2312" w:eastAsia="仿宋_GB2312" w:cs="仿宋_GB2312"/>
                <w:kern w:val="0"/>
                <w:sz w:val="28"/>
                <w:szCs w:val="28"/>
                <w:highlight w:val="none"/>
                <w:lang w:val="en-US" w:eastAsia="zh-CN"/>
              </w:rPr>
              <w:t>区农业服务中心</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相关镇人民政府</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相关街道办事处</w:t>
            </w:r>
          </w:p>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hAnsi="Times New Roman" w:eastAsia="仿宋_GB2312" w:cs="仿宋_GB2312"/>
                <w:spacing w:val="-6"/>
                <w:kern w:val="0"/>
                <w:sz w:val="28"/>
                <w:szCs w:val="28"/>
                <w:highlight w:val="none"/>
                <w:lang w:val="en-US" w:eastAsia="zh-CN"/>
              </w:rPr>
              <w:t>相关产业园区管委会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12" w:type="dxa"/>
            <w:vMerge w:val="continue"/>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p>
        </w:tc>
        <w:tc>
          <w:tcPr>
            <w:tcW w:w="1399" w:type="dxa"/>
            <w:vMerge w:val="continue"/>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对全区土壤重点监管单位和污水处理设施周边土壤、镇级集中饮用水水源地土壤环境质量、村庄、工业园区土壤监测。</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tc>
        <w:tc>
          <w:tcPr>
            <w:tcW w:w="2707" w:type="dxa"/>
            <w:tcBorders>
              <w:tl2br w:val="nil"/>
              <w:tr2bl w:val="nil"/>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2" w:type="dxa"/>
            <w:vMerge w:val="continue"/>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p>
        </w:tc>
        <w:tc>
          <w:tcPr>
            <w:tcW w:w="1399" w:type="dxa"/>
            <w:vMerge w:val="continue"/>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全区300口农田灌溉水井水质，全年各监测1次。</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12" w:type="dxa"/>
            <w:tcBorders>
              <w:tl2br w:val="nil"/>
              <w:tr2bl w:val="nil"/>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14</w:t>
            </w:r>
          </w:p>
        </w:tc>
        <w:tc>
          <w:tcPr>
            <w:tcW w:w="1399"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强化执法监管</w:t>
            </w: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sz w:val="28"/>
                <w:szCs w:val="28"/>
                <w:highlight w:val="none"/>
              </w:rPr>
              <w:t>加强土壤污染防治执法检查，</w:t>
            </w:r>
            <w:r>
              <w:rPr>
                <w:rFonts w:hint="eastAsia" w:ascii="仿宋_GB2312" w:eastAsia="仿宋_GB2312"/>
                <w:sz w:val="28"/>
                <w:szCs w:val="28"/>
                <w:highlight w:val="none"/>
                <w:lang w:eastAsia="zh-CN"/>
              </w:rPr>
              <w:t>根据市级</w:t>
            </w:r>
            <w:r>
              <w:rPr>
                <w:rFonts w:hint="eastAsia" w:ascii="仿宋_GB2312" w:eastAsia="仿宋_GB2312"/>
                <w:sz w:val="28"/>
                <w:szCs w:val="28"/>
                <w:highlight w:val="none"/>
              </w:rPr>
              <w:t>生态环境和规划自然资源部门</w:t>
            </w:r>
            <w:r>
              <w:rPr>
                <w:rFonts w:hint="eastAsia" w:ascii="仿宋_GB2312" w:eastAsia="仿宋_GB2312"/>
                <w:sz w:val="28"/>
                <w:szCs w:val="28"/>
                <w:highlight w:val="none"/>
                <w:lang w:eastAsia="zh-CN"/>
              </w:rPr>
              <w:t>安排部署，于</w:t>
            </w: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10</w:t>
            </w:r>
            <w:r>
              <w:rPr>
                <w:rFonts w:hint="eastAsia" w:ascii="仿宋_GB2312" w:eastAsia="仿宋_GB2312"/>
                <w:sz w:val="28"/>
                <w:szCs w:val="28"/>
                <w:highlight w:val="none"/>
              </w:rPr>
              <w:t>月各开展一次联合专项执法，重点检查用途变更为住宅、公共管理与公共服务用地的地块，依法开展土壤污染状况调查及风险管控、修复</w:t>
            </w:r>
            <w:r>
              <w:rPr>
                <w:rFonts w:hint="eastAsia" w:ascii="仿宋_GB2312" w:eastAsia="仿宋_GB2312"/>
                <w:sz w:val="28"/>
                <w:szCs w:val="28"/>
                <w:highlight w:val="none"/>
                <w:lang w:eastAsia="zh-CN"/>
              </w:rPr>
              <w:t>工作</w:t>
            </w:r>
            <w:r>
              <w:rPr>
                <w:rFonts w:hint="eastAsia" w:ascii="仿宋_GB2312" w:eastAsia="仿宋_GB2312"/>
                <w:sz w:val="28"/>
                <w:szCs w:val="28"/>
                <w:highlight w:val="none"/>
              </w:rPr>
              <w:t>。</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市规划自然资源委大兴分局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12" w:type="dxa"/>
            <w:tcBorders>
              <w:tl2br w:val="nil"/>
              <w:tr2bl w:val="nil"/>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15</w:t>
            </w:r>
          </w:p>
        </w:tc>
        <w:tc>
          <w:tcPr>
            <w:tcW w:w="1399"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规范行业健康发展</w:t>
            </w: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开展土壤污染状况调查报告质量监督抽查。公布调查报告评审一次性通过率。指导建设用地土壤污染风险管控和修复从业单位、个人按照有关要求在信用记录系统中填报相关信息。</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12月31日</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12" w:type="dxa"/>
            <w:tcBorders>
              <w:tl2br w:val="nil"/>
              <w:tr2bl w:val="nil"/>
            </w:tcBorders>
            <w:noWrap w:val="0"/>
            <w:vAlign w:val="center"/>
          </w:tcPr>
          <w:p>
            <w:pPr>
              <w:spacing w:line="320" w:lineRule="exact"/>
              <w:jc w:val="center"/>
              <w:rPr>
                <w:rFonts w:hint="default"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16</w:t>
            </w:r>
          </w:p>
        </w:tc>
        <w:tc>
          <w:tcPr>
            <w:tcW w:w="1399"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加强培训指导</w:t>
            </w:r>
          </w:p>
        </w:tc>
        <w:tc>
          <w:tcPr>
            <w:tcW w:w="5735" w:type="dxa"/>
            <w:tcBorders>
              <w:tl2br w:val="nil"/>
              <w:tr2bl w:val="nil"/>
            </w:tcBorders>
            <w:noWrap w:val="0"/>
            <w:vAlign w:val="center"/>
          </w:tcPr>
          <w:p>
            <w:pPr>
              <w:spacing w:line="320" w:lineRule="exact"/>
              <w:jc w:val="both"/>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生态环境、规划自然资源、农业农村、园林绿化等部门分别开展本系统土壤污染防治法律法规培训，提升土壤污染防治责任意识。</w:t>
            </w:r>
          </w:p>
        </w:tc>
        <w:tc>
          <w:tcPr>
            <w:tcW w:w="160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长期实施</w:t>
            </w:r>
          </w:p>
        </w:tc>
        <w:tc>
          <w:tcPr>
            <w:tcW w:w="3980"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区生态环境局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市规划自然资源委大兴分局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区农业农村局</w:t>
            </w:r>
            <w:r>
              <w:rPr>
                <w:rFonts w:hint="eastAsia" w:ascii="仿宋_GB2312" w:eastAsia="仿宋_GB2312" w:cs="仿宋_GB2312"/>
                <w:kern w:val="0"/>
                <w:sz w:val="28"/>
                <w:szCs w:val="28"/>
                <w:highlight w:val="none"/>
                <w:lang w:val="en-US" w:eastAsia="zh-CN"/>
              </w:rPr>
              <w:br w:type="textWrapping"/>
            </w:r>
            <w:r>
              <w:rPr>
                <w:rFonts w:hint="eastAsia" w:ascii="仿宋_GB2312" w:eastAsia="仿宋_GB2312" w:cs="仿宋_GB2312"/>
                <w:kern w:val="0"/>
                <w:sz w:val="28"/>
                <w:szCs w:val="28"/>
                <w:highlight w:val="none"/>
                <w:lang w:val="en-US" w:eastAsia="zh-CN"/>
              </w:rPr>
              <w:t>区园林绿化局</w:t>
            </w:r>
          </w:p>
        </w:tc>
        <w:tc>
          <w:tcPr>
            <w:tcW w:w="2707" w:type="dxa"/>
            <w:tcBorders>
              <w:tl2br w:val="nil"/>
              <w:tr2bl w:val="nil"/>
            </w:tcBorders>
            <w:noWrap w:val="0"/>
            <w:vAlign w:val="center"/>
          </w:tcPr>
          <w:p>
            <w:pPr>
              <w:spacing w:line="320" w:lineRule="exact"/>
              <w:jc w:val="center"/>
              <w:rPr>
                <w:rFonts w:hint="eastAsia" w:ascii="仿宋_GB2312" w:eastAsia="仿宋_GB2312" w:cs="仿宋_GB2312"/>
                <w:kern w:val="0"/>
                <w:sz w:val="28"/>
                <w:szCs w:val="28"/>
                <w:highlight w:val="none"/>
                <w:lang w:val="en-US" w:eastAsia="zh-CN"/>
              </w:rPr>
            </w:pPr>
            <w:r>
              <w:rPr>
                <w:rFonts w:hint="eastAsia" w:ascii="仿宋_GB2312" w:eastAsia="仿宋_GB2312" w:cs="仿宋_GB2312"/>
                <w:kern w:val="0"/>
                <w:sz w:val="28"/>
                <w:szCs w:val="28"/>
                <w:highlight w:val="none"/>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77E41"/>
    <w:rsid w:val="7CB7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cs="黑体"/>
      <w:szCs w:val="22"/>
    </w:r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pPr>
      <w:widowControl w:val="0"/>
      <w:jc w:val="both"/>
    </w:pPr>
    <w:rPr>
      <w:rFonts w:ascii="宋体" w:hAnsi="Courier New"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2022-04-19T07:07:00Z</dcterms:created>
  <dc:creator>米露露</dc:creator>
  <cp:lastModifiedBy>米露露</cp:lastModifiedBy>
  <dcterms:modified xsi:type="dcterms:W3CDTF">2022-04-19T07:07:35Z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0659D905BE1D4A15ABE52B67F09B401E</vt:lpwstr>
  </property>
</Properties>
</file>