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1200" w:lineRule="exact"/>
        <w:jc w:val="center"/>
        <w:rPr>
          <w:rFonts w:hint="eastAsia" w:ascii="方正小标宋简体" w:hAnsi="宋体" w:eastAsia="方正小标宋简体"/>
          <w:color w:val="FF0000"/>
          <w:w w:val="70"/>
          <w:sz w:val="96"/>
          <w:szCs w:val="96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spacing w:before="156" w:beforeLines="50" w:line="1200" w:lineRule="exact"/>
        <w:jc w:val="center"/>
        <w:rPr>
          <w:rFonts w:ascii="方正小标宋简体" w:hAnsi="宋体" w:eastAsia="方正小标宋简体"/>
          <w:color w:val="FF0000"/>
          <w:w w:val="70"/>
          <w:sz w:val="96"/>
          <w:szCs w:val="96"/>
        </w:rPr>
      </w:pPr>
      <w:r>
        <w:rPr>
          <w:rFonts w:hint="eastAsia" w:ascii="方正小标宋简体" w:hAnsi="宋体" w:eastAsia="方正小标宋简体"/>
          <w:color w:val="FF0000"/>
          <w:w w:val="70"/>
          <w:sz w:val="96"/>
          <w:szCs w:val="96"/>
        </w:rPr>
        <w:t>北京市大兴区人民政府文件</w:t>
      </w:r>
    </w:p>
    <w:p>
      <w:pPr>
        <w:pStyle w:val="14"/>
        <w:widowControl w:val="0"/>
        <w:tabs>
          <w:tab w:val="left" w:pos="7740"/>
          <w:tab w:val="left" w:pos="7920"/>
        </w:tabs>
        <w:spacing w:line="620" w:lineRule="exact"/>
        <w:ind w:left="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4"/>
        <w:widowControl w:val="0"/>
        <w:tabs>
          <w:tab w:val="left" w:pos="7740"/>
          <w:tab w:val="left" w:pos="7920"/>
        </w:tabs>
        <w:spacing w:line="620" w:lineRule="exact"/>
        <w:ind w:left="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4"/>
        <w:widowControl w:val="0"/>
        <w:tabs>
          <w:tab w:val="left" w:pos="7740"/>
          <w:tab w:val="left" w:pos="7920"/>
        </w:tabs>
        <w:spacing w:line="620" w:lineRule="exact"/>
        <w:ind w:left="0"/>
        <w:jc w:val="center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京兴政发</w:t>
      </w:r>
      <w:r>
        <w:rPr>
          <w:rFonts w:hint="eastAsia" w:ascii="仿宋_GB2312" w:hAnsi="宋体" w:eastAsia="仿宋_GB2312"/>
          <w:kern w:val="2"/>
          <w:sz w:val="32"/>
          <w:szCs w:val="32"/>
        </w:rPr>
        <w:t>〔</w:t>
      </w:r>
      <w:r>
        <w:rPr>
          <w:rFonts w:ascii="仿宋_GB2312" w:hAnsi="宋体" w:eastAsia="仿宋_GB2312"/>
          <w:kern w:val="2"/>
          <w:sz w:val="32"/>
          <w:szCs w:val="32"/>
        </w:rPr>
        <w:t>20</w:t>
      </w:r>
      <w:r>
        <w:rPr>
          <w:rFonts w:hint="eastAsia" w:ascii="仿宋_GB2312" w:hAnsi="宋体"/>
          <w:kern w:val="2"/>
          <w:sz w:val="32"/>
          <w:szCs w:val="32"/>
        </w:rPr>
        <w:t>2</w:t>
      </w:r>
      <w:r>
        <w:rPr>
          <w:rFonts w:hint="eastAsia" w:ascii="仿宋_GB2312" w:hAnsi="宋体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kern w:val="2"/>
          <w:sz w:val="32"/>
          <w:szCs w:val="32"/>
        </w:rPr>
        <w:t>〕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pict>
          <v:shape id="直接箭头连接符 1" o:spid="_x0000_s2050" o:spt="32" type="#_x0000_t32" style="position:absolute;left:0pt;margin-left:-0.7pt;margin-top:0.25pt;height:0pt;width:444.75pt;z-index:251658240;mso-width-relative:page;mso-height-relative:page;" filled="f" stroked="t" coordsize="21600,21600" o:gfxdata="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nJffB1AAAAAQBAAAPAAAAAAAAAAEAIAAAADgAAABkcnMvZG93bnJldi54bWxQ&#10;SwECFAAUAAAACACHTuJARXQlKeUBAACfAwAADgAAAAAAAAABACAAAAA5AQAAZHJzL2Uyb0RvYy54&#10;bWxQSwUGAAAAAAYABgBZAQAAkAUAAAAA&#10;">
            <v:path arrowok="t"/>
            <v:fill on="f" focussize="0,0"/>
            <v:stroke weight="1.43pt" color="#FF0000" joinstyle="round"/>
            <v:imagedata o:title=""/>
            <o:lock v:ext="edit" aspectratio="f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bidi="ar-SA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bidi="ar-SA"/>
        </w:rPr>
      </w:pPr>
      <w:r>
        <w:rPr>
          <w:rFonts w:hint="eastAsia" w:asci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bidi="ar-SA"/>
        </w:rPr>
        <w:t>北京市大兴区人民政府关于</w:t>
      </w: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snapToGrid w:val="0"/>
          <w:color w:val="auto"/>
          <w:spacing w:val="12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napToGrid w:val="0"/>
          <w:color w:val="auto"/>
          <w:spacing w:val="12"/>
          <w:kern w:val="0"/>
          <w:sz w:val="44"/>
          <w:szCs w:val="44"/>
          <w:highlight w:val="none"/>
          <w:lang w:bidi="ar-SA"/>
        </w:rPr>
        <w:t>印发《</w:t>
      </w:r>
      <w:r>
        <w:rPr>
          <w:rFonts w:hint="eastAsia" w:ascii="方正小标宋简体" w:eastAsia="方正小标宋简体" w:cs="方正小标宋简体"/>
          <w:snapToGrid w:val="0"/>
          <w:color w:val="auto"/>
          <w:spacing w:val="12"/>
          <w:kern w:val="0"/>
          <w:sz w:val="44"/>
          <w:szCs w:val="44"/>
          <w:lang w:val="en-US" w:eastAsia="zh-CN" w:bidi="ar-SA"/>
        </w:rPr>
        <w:t>北京市大兴区推进供水高质量发展</w:t>
      </w: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snapToGrid w:val="0"/>
          <w:spacing w:val="-6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snapToGrid w:val="0"/>
          <w:color w:val="auto"/>
          <w:spacing w:val="-6"/>
          <w:kern w:val="0"/>
          <w:sz w:val="44"/>
          <w:szCs w:val="44"/>
          <w:lang w:val="en-US" w:eastAsia="zh-CN" w:bidi="ar-SA"/>
        </w:rPr>
        <w:t>三年行动方案（2023年-2025年）</w:t>
      </w:r>
      <w:r>
        <w:rPr>
          <w:rFonts w:hint="eastAsia" w:ascii="方正小标宋简体" w:eastAsia="方正小标宋简体" w:cs="方正小标宋简体"/>
          <w:snapToGrid w:val="0"/>
          <w:color w:val="auto"/>
          <w:spacing w:val="-6"/>
          <w:kern w:val="0"/>
          <w:sz w:val="44"/>
          <w:szCs w:val="44"/>
          <w:highlight w:val="none"/>
          <w:lang w:bidi="ar-SA"/>
        </w:rPr>
        <w:t>》的通知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各相关单位</w:t>
      </w: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eastAsia="zh-CN" w:bidi="ar-SA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eastAsia="zh-CN" w:bidi="ar-SA"/>
        </w:rPr>
        <w:t>《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北京市大兴区推进供水高质量发展三年行动方案（2023年-2025年）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 w:bidi="ar-SA"/>
        </w:rPr>
        <w:t>》经第38次区政府常务会审议通过，现</w:t>
      </w:r>
      <w:r>
        <w:rPr>
          <w:rFonts w:hint="eastAsia" w:ascii="仿宋_GB2312" w:eastAsia="仿宋_GB2312" w:cs="仿宋_GB2312"/>
          <w:sz w:val="32"/>
          <w:szCs w:val="32"/>
          <w:highlight w:val="none"/>
          <w:lang w:bidi="ar-SA"/>
        </w:rPr>
        <w:t>印发给你们，请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 w:bidi="ar-SA"/>
        </w:rPr>
        <w:t>结合实际，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bidi="ar-SA"/>
        </w:rPr>
        <w:t>认真贯彻执行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bidi="ar-SA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pStyle w:val="7"/>
        <w:rPr>
          <w:rFonts w:hint="eastAsia"/>
        </w:rPr>
      </w:pPr>
    </w:p>
    <w:p>
      <w:pPr>
        <w:wordWrap w:val="0"/>
        <w:adjustRightInd w:val="0"/>
        <w:snapToGrid w:val="0"/>
        <w:spacing w:line="560" w:lineRule="exact"/>
        <w:jc w:val="right"/>
        <w:rPr>
          <w:rFonts w:hint="eastAsia" w:ascii="仿宋_GB2312" w:eastAsia="仿宋_GB2312"/>
          <w:sz w:val="40"/>
          <w:szCs w:val="40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bidi="ar-SA"/>
        </w:rPr>
        <w:t>北京市大兴区人民政府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highlight w:val="none"/>
          <w:lang w:bidi="ar-SA"/>
        </w:rPr>
        <w:t xml:space="preserve">  </w:t>
      </w:r>
    </w:p>
    <w:p>
      <w:pPr>
        <w:widowControl/>
        <w:spacing w:line="560" w:lineRule="exact"/>
        <w:ind w:right="1155" w:rightChars="550"/>
        <w:jc w:val="right"/>
        <w:rPr>
          <w:rFonts w:hint="eastAsia" w:ascii="仿宋_GB2312" w:eastAsia="仿宋_GB2312" w:cs="仿宋_GB2312"/>
          <w:sz w:val="32"/>
          <w:szCs w:val="32"/>
          <w:highlight w:val="none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bidi="ar-SA"/>
        </w:rPr>
        <w:t>20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 w:bidi="ar-SA"/>
        </w:rPr>
        <w:t>23</w:t>
      </w:r>
      <w:r>
        <w:rPr>
          <w:rFonts w:hint="eastAsia" w:ascii="仿宋_GB2312" w:eastAsia="仿宋_GB2312" w:cs="仿宋_GB2312"/>
          <w:sz w:val="32"/>
          <w:szCs w:val="32"/>
          <w:highlight w:val="none"/>
          <w:lang w:bidi="ar-SA"/>
        </w:rPr>
        <w:t>年11月1日</w:t>
      </w:r>
    </w:p>
    <w:p>
      <w:pPr>
        <w:widowControl/>
        <w:spacing w:line="560" w:lineRule="exact"/>
        <w:ind w:right="1155" w:rightChars="550"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  <w:sectPr>
          <w:headerReference r:id="rId3" w:type="default"/>
          <w:footerReference r:id="rId4" w:type="default"/>
          <w:pgSz w:w="11906" w:h="16838"/>
          <w:pgMar w:top="1440" w:right="1474" w:bottom="1440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  <w:t>（此件主动公开）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napToGrid/>
          <w:color w:val="auto"/>
          <w:spacing w:val="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napToGrid/>
          <w:color w:val="auto"/>
          <w:spacing w:val="6"/>
          <w:kern w:val="2"/>
          <w:sz w:val="44"/>
          <w:szCs w:val="44"/>
          <w:lang w:val="en-US" w:eastAsia="zh-CN" w:bidi="ar-SA"/>
        </w:rPr>
        <w:t>北京市大兴区推进供水高质量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pacing w:val="6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snapToGrid/>
          <w:color w:val="auto"/>
          <w:spacing w:val="6"/>
          <w:kern w:val="2"/>
          <w:sz w:val="44"/>
          <w:szCs w:val="44"/>
          <w:lang w:val="en-US" w:eastAsia="zh-CN" w:bidi="ar-SA"/>
        </w:rPr>
        <w:t>发展</w:t>
      </w:r>
      <w:r>
        <w:rPr>
          <w:rFonts w:hint="eastAsia" w:asci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 w:bidi="ar-SA"/>
        </w:rPr>
        <w:t>三年行动方案（2023年-2025年）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eastAsia" w:ascii="方正小标宋简体" w:eastAsia="方正小标宋简体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供水是城市生命线工程，是首都经济社会发展的重要支撑。为切实保障城镇居民饮水安全，推动大兴区供水高质量发展，特制定本方案。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0"/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  <w:t>一、总体要求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60" w:lineRule="exact"/>
        <w:ind w:left="0"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z w:val="32"/>
          <w:lang w:bidi="ar-SA"/>
        </w:rPr>
      </w:pPr>
      <w:r>
        <w:rPr>
          <w:rFonts w:hint="eastAsia" w:ascii="楷体_GB2312" w:eastAsia="楷体_GB2312" w:cs="楷体_GB2312"/>
          <w:color w:val="auto"/>
          <w:sz w:val="32"/>
          <w:lang w:bidi="ar-SA"/>
        </w:rPr>
        <w:t>（一）指导思想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以习近平新时代中国特色社会主义思想为指导，全面贯彻党的二十大精神，深入贯彻习近平总书记对北京一系列重要讲话精神，全面落实“节水优先、空间均衡、系统治理、两手发力”的治水思路，以城镇供水公共服务均等化为目标，坚持水源安全可靠、设施功能完善、水质洁净达标、用水集约节约、运营专业规范、服务优质高效的城镇供水高质量发展方向，着力构建完善的水源保护体系、多水源保障体系、公共供水设施体系、专业化运营服务体系和监督管理体系，不断满足广大市民对高品质饮用水的需求，为建设国际一流的和谐宜居之都奠定坚实基础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60" w:lineRule="exact"/>
        <w:ind w:left="0"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z w:val="32"/>
          <w:lang w:bidi="ar-SA"/>
        </w:rPr>
      </w:pPr>
      <w:r>
        <w:rPr>
          <w:rFonts w:hint="eastAsia" w:ascii="楷体_GB2312" w:eastAsia="楷体_GB2312" w:cs="楷体_GB2312"/>
          <w:color w:val="auto"/>
          <w:sz w:val="32"/>
          <w:lang w:bidi="ar-SA"/>
        </w:rPr>
        <w:t>（二）工作原则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坚持规划引领、突出重点。落实《大兴分区规划（国土空间规划）（2017年-2035年）》《大兴区供水规划》，统筹存量提升和增量建设，加快补强城镇地区供水保障弱项、补齐农村地区供水安全短板，推动城镇供水融合发展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坚持因地制宜、分类施策。根据区域功能定位、地形地貌和水资源自然特征，采取“城带村”“镇带村”等方式加快推进城乡供水一体化。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坚持政府主导、部门协同。按照市级统筹、区级主责、镇村落实、部门监管、专业机构运营的责任体系，健全部门协同工作机制，鼓励公众参与监督，形成共建共治共享合力。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highlight w:val="none"/>
          <w:lang w:val="en-US" w:eastAsia="zh-CN" w:bidi="ar-SA"/>
        </w:rPr>
        <w:t>坚持加大投入、健全机制。积极争取市级资金支持力度，细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化完善建设和运营支持政策，健全计量付费机制，规范设施维护和服务标准，促进城镇供水公共服务均等化。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spacing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z w:val="32"/>
          <w:lang w:bidi="ar-SA"/>
        </w:rPr>
      </w:pPr>
      <w:r>
        <w:rPr>
          <w:rFonts w:hint="eastAsia" w:ascii="楷体_GB2312" w:eastAsia="楷体_GB2312" w:cs="楷体_GB2312"/>
          <w:color w:val="auto"/>
          <w:sz w:val="32"/>
          <w:lang w:bidi="ar-SA"/>
        </w:rPr>
        <w:t>（三）工作目标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仿宋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highlight w:val="none"/>
          <w:lang w:val="en-US" w:eastAsia="zh-CN" w:bidi="ar-SA"/>
        </w:rPr>
        <w:t>到2025年，区、镇、村三级水源保护体系全面建立，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本地</w:t>
      </w:r>
      <w:r>
        <w:rPr>
          <w:rFonts w:hint="eastAsia" w:ascii="仿宋_GB2312" w:eastAsia="仿宋_GB2312" w:cs="仿宋"/>
          <w:color w:val="auto"/>
          <w:sz w:val="32"/>
          <w:szCs w:val="32"/>
          <w:highlight w:val="none"/>
          <w:lang w:val="en-US" w:eastAsia="zh-CN" w:bidi="ar-SA"/>
        </w:rPr>
        <w:t>地表水地下水与外调水、常规水源与应急水源实现互联互济，水源保障范围进一步扩大；覆盖城乡的供水设施体系基本建成，总供水能力提高到80万立方米/日以上，新城地区供水安全系数达到1.3以上，城乡供水一体化率提升到70%以上，城市供水管网漏损率下降到市级要求；农村地区用水计量收费基本实现全覆盖，专业化供水运营服务体系基本建立，供水运营服务监管体系全面建成，供水监管服务水平和保障能力得到进一步提升。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0"/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  <w:t>二、构建完善城乡供水设施体系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pacing w:val="0"/>
          <w:sz w:val="32"/>
          <w:szCs w:val="21"/>
          <w:lang w:val="en-US" w:eastAsia="zh-CN"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bidi="ar-SA"/>
        </w:rPr>
        <w:t>（一）</w:t>
      </w: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val="en-US" w:eastAsia="zh-CN" w:bidi="ar-SA"/>
        </w:rPr>
        <w:t>加快完善新城地区供水设施体系</w:t>
      </w:r>
    </w:p>
    <w:p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highlight w:val="none"/>
          <w:lang w:val="en-US" w:eastAsia="zh-CN" w:bidi="ar-SA"/>
        </w:rPr>
        <w:t>1.继续扩大南水北调水覆盖范围。完善大兴新城、亦庄新城（大兴部分）、北京大兴国际机场临空经济区（北京部分）三大供水分区供水设施布局，推进黄村水厂（二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期）、大兴国际机场水厂建设。</w:t>
      </w: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lang w:val="en-US" w:eastAsia="zh-CN" w:bidi="ar-SA"/>
        </w:rPr>
        <w:t>（区水务局牵头，</w:t>
      </w:r>
      <w:r>
        <w:rPr>
          <w:rFonts w:hint="eastAsia" w:ascii="仿宋_GB2312" w:eastAsia="仿宋_GB2312"/>
          <w:sz w:val="32"/>
          <w:szCs w:val="32"/>
        </w:rPr>
        <w:t>北京市自来水集团有限责任公司</w:t>
      </w: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lang w:val="en-US" w:eastAsia="zh-CN" w:bidi="ar-SA"/>
        </w:rPr>
        <w:t>、各相关镇人民政府、街道办事处按照职责分工负责）</w:t>
      </w:r>
    </w:p>
    <w:p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lang w:val="en-US" w:eastAsia="zh-CN" w:bidi="ar-SA"/>
        </w:rPr>
        <w:t>2.加快供水管网建设。新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建（改建）供水管线，</w:t>
      </w: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lang w:val="en-US" w:eastAsia="zh-CN" w:bidi="ar-SA"/>
        </w:rPr>
        <w:t>加快自建设施供水住宅小区（社会单位）置换；研究通过建设调压设</w:t>
      </w: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施、改造村庄内部配水管网等方式，将符合条件的行政村纳入</w:t>
      </w: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lang w:val="en-US" w:eastAsia="zh-CN" w:bidi="ar-SA"/>
        </w:rPr>
        <w:t>北京市自来水集团有限责任公司</w:t>
      </w: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供水范围。（区水务局牵头，</w:t>
      </w:r>
      <w:r>
        <w:rPr>
          <w:rFonts w:hint="eastAsia" w:ascii="仿宋_GB2312" w:eastAsia="仿宋_GB2312"/>
          <w:sz w:val="32"/>
          <w:szCs w:val="32"/>
        </w:rPr>
        <w:t>北京市自来水集团有限责任公司</w:t>
      </w: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lang w:val="en-US" w:eastAsia="zh-CN" w:bidi="ar-SA"/>
        </w:rPr>
        <w:t>、各</w:t>
      </w: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相关</w:t>
      </w:r>
      <w:r>
        <w:rPr>
          <w:rFonts w:hint="eastAsia" w:asci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镇人民政府、街道办事处</w:t>
      </w: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lang w:val="en-US" w:eastAsia="zh-CN" w:bidi="ar-SA"/>
        </w:rPr>
        <w:t>按照职责分</w:t>
      </w: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工负责）</w:t>
      </w:r>
    </w:p>
    <w:p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3.加强供水管线隐患治理。结合管网消隐改造工程和城市道路建设，完成老旧供水管线消隐改造。结合老旧小区综合整治工作，稳步推进住宅小区内部庭院供水管线、楼内立管改造，提升</w:t>
      </w:r>
      <w:r>
        <w:rPr>
          <w:rFonts w:hint="eastAsia" w:asci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“最后一公里”供水水质。（区水务局、区住房城乡建设委、北京市自来水集团有限责任公司、各相关镇人民政府、街道办事处按照职责分工负责）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pacing w:val="0"/>
          <w:sz w:val="32"/>
          <w:szCs w:val="21"/>
          <w:lang w:val="en-US" w:eastAsia="zh-CN"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val="en-US" w:eastAsia="zh-CN" w:bidi="ar-SA"/>
        </w:rPr>
        <w:t>（二）强化巩固其他镇区供水设施体系</w:t>
      </w:r>
    </w:p>
    <w:p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持续完善其他镇区供水设施布局。通过新建（改建）供水管线，逐步将黄村镇、庞各庄镇、榆垡镇、安定镇、魏善庄镇、青云店镇等镇区，纳入地表水厂供水范围；推进镇级集中供水厂建设或提标改造，适度扩大镇级集中供水厂供水范围，提升大兴区东部、南部供水保障能力。（区水务局牵头，北京市自来水集团有限责任公司、各相关镇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人民政府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按照职责分工负责）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pacing w:val="0"/>
          <w:sz w:val="32"/>
          <w:szCs w:val="21"/>
          <w:lang w:val="en-US" w:eastAsia="zh-CN"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val="en-US" w:eastAsia="zh-CN" w:bidi="ar-SA"/>
        </w:rPr>
        <w:t>（三）优化提升农村地区供水设施体系</w:t>
      </w:r>
    </w:p>
    <w:p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1.逐步扩大城乡公共供水向农村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地区延伸，采取“镇带村”方式，将公共供水管网周边村庄纳入公共供水覆盖范围。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区水务局牵头，各相关镇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人民政府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按照职责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分工负责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2.对暂不具备纳入公共供水范围条件的行政村，按照市级要求分批实施供水设施更新改造，推进村庄供水站标准化改造提升工程。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对受原生地质条件影响水质不达标的行政村，采取水源置换、配备净化设备设施等方式解决水质问题；对水源保障不足的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行政村，采取更新水源井、修建调蓄设施、异地搬迁等方式，提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高供水保障能力。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区水务局牵头，各相关镇人民政府按照职责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分工负责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left="0" w:right="0" w:firstLine="640" w:firstLineChars="200"/>
        <w:jc w:val="both"/>
        <w:textAlignment w:val="auto"/>
        <w:outlineLvl w:val="0"/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pacing w:val="0"/>
          <w:sz w:val="32"/>
          <w:szCs w:val="32"/>
          <w:lang w:val="en-US" w:eastAsia="zh-CN" w:bidi="ar-SA"/>
        </w:rPr>
        <w:t>三、构建完善水源保护体系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科学制定区、镇、村三级饮用水水源保护区（范围）划定方案，健全饮用水水源保护政策、标准，严格实施饮用水水源安全评估制度，完善饮用水水源地目录管理制度，健全水源地保护技术规程，</w:t>
      </w:r>
      <w:r>
        <w:rPr>
          <w:rFonts w:hint="eastAsia" w:ascii="仿宋_GB2312" w:eastAsia="仿宋_GB2312" w:cs="仿宋"/>
          <w:color w:val="auto"/>
          <w:position w:val="0"/>
          <w:sz w:val="32"/>
          <w:szCs w:val="32"/>
          <w:lang w:val="en-US" w:eastAsia="zh-CN" w:bidi="ar-SA"/>
        </w:rPr>
        <w:t>加强对各级水源保护工作的监督指导。（区生态环</w:t>
      </w:r>
      <w:r>
        <w:rPr>
          <w:rFonts w:hint="eastAsia" w:ascii="仿宋_GB2312" w:eastAsia="仿宋_GB2312" w:cs="仿宋"/>
          <w:color w:val="auto"/>
          <w:spacing w:val="0"/>
          <w:position w:val="0"/>
          <w:sz w:val="32"/>
          <w:szCs w:val="32"/>
          <w:lang w:val="en-US" w:eastAsia="zh-CN" w:bidi="ar-SA"/>
        </w:rPr>
        <w:t>境局、</w:t>
      </w:r>
      <w:r>
        <w:rPr>
          <w:rFonts w:hint="eastAsia" w:ascii="仿宋_GB2312" w:eastAsia="仿宋_GB2312" w:cs="仿宋"/>
          <w:color w:val="auto"/>
          <w:spacing w:val="-4"/>
          <w:position w:val="0"/>
          <w:sz w:val="32"/>
          <w:szCs w:val="32"/>
          <w:lang w:val="en-US" w:eastAsia="zh-CN" w:bidi="ar-SA"/>
        </w:rPr>
        <w:t>区水务局</w:t>
      </w:r>
      <w:r>
        <w:rPr>
          <w:rFonts w:hint="eastAsia" w:ascii="仿宋_GB2312" w:eastAsia="仿宋_GB2312" w:cs="仿宋"/>
          <w:color w:val="auto"/>
          <w:spacing w:val="-4"/>
          <w:sz w:val="32"/>
          <w:szCs w:val="32"/>
          <w:lang w:val="en-US" w:eastAsia="zh-CN" w:bidi="ar-SA"/>
        </w:rPr>
        <w:t>牵头，北京市自来水集团有限责任公司、各相关镇</w:t>
      </w:r>
      <w:r>
        <w:rPr>
          <w:rFonts w:hint="eastAsia" w:ascii="仿宋_GB2312" w:eastAsia="仿宋_GB2312" w:cs="仿宋"/>
          <w:color w:val="auto"/>
          <w:spacing w:val="-4"/>
          <w:sz w:val="32"/>
          <w:szCs w:val="32"/>
          <w:highlight w:val="none"/>
          <w:lang w:val="en-US" w:eastAsia="zh-CN" w:bidi="ar-SA"/>
        </w:rPr>
        <w:t>人民政府</w:t>
      </w:r>
      <w:r>
        <w:rPr>
          <w:rFonts w:hint="eastAsia" w:ascii="仿宋_GB2312" w:eastAsia="仿宋_GB2312" w:cs="仿宋"/>
          <w:color w:val="auto"/>
          <w:spacing w:val="-4"/>
          <w:sz w:val="32"/>
          <w:szCs w:val="32"/>
          <w:lang w:val="en-US" w:eastAsia="zh-CN" w:bidi="ar-SA"/>
        </w:rPr>
        <w:t>配合）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制定并动态更新饮用水水源地目录，全面完成区、镇、村级饮用水水源保护区（范围）划定；深入实施水源地环境整治，动态清理整治饮用水水源保护区（范围）内环境污染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问题；明确保护责任、内容、标准，建设水源保护设施和警示标志，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定期开展水源水质检测。督促指导各镇人民政府严格落实饮用水水源保护措施，做好镇级、村级水源保护管理工作。鼓励村民委员会将水源保护纳入村规民约，落实水源保护巡查管护责任。（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区生态环境局、区水务局、</w:t>
      </w: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北京市自来水集团有限责任公司、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各</w:t>
      </w: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相关镇人民政府按照职责</w:t>
      </w:r>
      <w:r>
        <w:rPr>
          <w:rFonts w:hint="eastAsia" w:asci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分工负责</w:t>
      </w: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left="0" w:right="0" w:firstLine="640" w:firstLineChars="200"/>
        <w:jc w:val="both"/>
        <w:textAlignment w:val="auto"/>
        <w:outlineLvl w:val="0"/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pacing w:val="0"/>
          <w:sz w:val="32"/>
          <w:szCs w:val="32"/>
          <w:lang w:val="en-US" w:eastAsia="zh-CN" w:bidi="ar-SA"/>
        </w:rPr>
        <w:t>四、加快建立专业化供水运营服务体系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按照市级文件要求，结合我区实际，加快构建专业化运营服务体系，明确管护范围、管护内容、管护标准与服务质量，并建立考核制度。通过委托专业运营服务企业或组建专业运营服务机构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以下统称专业运营机构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）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方式，实现城市公共供水和农村公共供水设施的专业化运营管理。在符合村民意愿的基础上，鼓励专业运营机构对农村地区供水设施进行专业化维护管理。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区水务局牵头，各相关镇人民政府按照职责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分工负责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0"/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pacing w:val="0"/>
          <w:sz w:val="32"/>
          <w:szCs w:val="32"/>
          <w:lang w:val="en-US" w:eastAsia="zh-CN" w:bidi="ar-SA"/>
        </w:rPr>
        <w:t>五、健全完善供水监管体系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z w:val="32"/>
          <w:szCs w:val="21"/>
          <w:lang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bidi="ar-SA"/>
        </w:rPr>
        <w:t>（一）完善供水水质监督体系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督促专业运营机构严格执行操作规程，开展水质日常检测分析，确保供水达到饮用水标准。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区生态环境、水务、卫生健康部门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根据原水特点、供水设施和服务范围等，建立从源头到水龙头的水质检测制度，实现水源水、出厂水和管网末梢水水质检测全覆盖。暂不具备检测能力的镇、村，应通过政府购买服务或委托第三方专业检测机构的方式，建立水质日常检测机制。（区生态环境局、区水务局、区卫生健康委、各相关镇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人民政府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按照职责分工负责）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加强水质监督，完善水质检测结果共享和问题通报机制，建立风险快速发现和处置机制。（区生态环境局、区水务局、区卫生健康委按照职责分工负责）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pacing w:val="0"/>
          <w:sz w:val="32"/>
          <w:szCs w:val="21"/>
          <w:lang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bidi="ar-SA"/>
        </w:rPr>
        <w:t>（二）加强供水运营服务质量监管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按照市级要求建立服务标准和服务行为规范，将目标任务完成情况、水质达标率、供水管网漏损率、抢修及时率、维修维护效能以及用户满意度作为重要考核内容，加强对各级各类专业运营机构的监督考核，并将考核结果作为政府购买服务、运营补贴等的重要依据。（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区水务局牵头，区财政局、区发展改革委、各镇人民政府按照职责分工负责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z w:val="32"/>
          <w:szCs w:val="21"/>
          <w:highlight w:val="none"/>
          <w:lang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highlight w:val="none"/>
          <w:lang w:bidi="ar-SA"/>
        </w:rPr>
        <w:t>（三）强化信息化监管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spacing w:before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大力提升供水全过程智能感知水平。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规模以上供水厂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水量水质水压在线监测、新城居民用水智能远</w:t>
      </w:r>
      <w:r>
        <w:rPr>
          <w:rFonts w:hint="eastAsia" w:ascii="仿宋_GB2312" w:eastAsia="仿宋_GB2312" w:cs="仿宋"/>
          <w:color w:val="auto"/>
          <w:spacing w:val="0"/>
          <w:position w:val="0"/>
          <w:sz w:val="32"/>
          <w:szCs w:val="32"/>
          <w:lang w:val="en-US" w:eastAsia="zh-CN" w:bidi="ar-SA"/>
        </w:rPr>
        <w:t>传水表安装率提高到90%以上，有条件的镇、村同步提升入户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智能远传水表安装率。（区水务局牵头，北京市自来水集团有限责任公司、各相关</w:t>
      </w:r>
      <w:r>
        <w:rPr>
          <w:rFonts w:hint="eastAsia" w:asci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镇人民政府、街道办事处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按照职责分工负责）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pacing w:val="0"/>
          <w:sz w:val="32"/>
          <w:szCs w:val="21"/>
          <w:lang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bidi="ar-SA"/>
        </w:rPr>
        <w:t>（四）加强供水管理制度建设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spacing w:before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"/>
          <w:color w:val="auto"/>
          <w:spacing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position w:val="0"/>
          <w:sz w:val="32"/>
          <w:szCs w:val="32"/>
          <w:lang w:val="en-US" w:eastAsia="zh-CN" w:bidi="ar-SA"/>
        </w:rPr>
        <w:t>待北京市供水管理办法制度出台后，按照市级要求健全区、镇街两级供水应急预案体系，全面提高应急处置能力。（区水务局、区应急局、北京市自来水集团有限责任公司、各镇人民政府、各街道办事处按照职责分工负责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spacing w:before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"/>
          <w:color w:val="auto"/>
          <w:spacing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依法核销完成公共供水替代的行政村和住宅小区（社会单位）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地下水取水许可证，对相应地下水取水井实施封存或封填处置；因有其他合法用途确需保留的，应依法依规办理变更地下水取水许可证手续。（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区水务局牵头，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北京市自来水集团有限责任公司、</w:t>
      </w:r>
      <w:r>
        <w:rPr>
          <w:rFonts w:hint="eastAsia" w:ascii="仿宋_GB2312" w:eastAsia="仿宋_GB2312" w:cs="仿宋"/>
          <w:color w:val="auto"/>
          <w:spacing w:val="2"/>
          <w:sz w:val="32"/>
          <w:szCs w:val="32"/>
          <w:lang w:val="en-US" w:eastAsia="zh-CN" w:bidi="ar-SA"/>
        </w:rPr>
        <w:t>各相关</w:t>
      </w:r>
      <w:r>
        <w:rPr>
          <w:rFonts w:hint="eastAsia" w:asci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镇人民政府、街道办事处</w:t>
      </w:r>
      <w:r>
        <w:rPr>
          <w:rFonts w:hint="eastAsia" w:ascii="仿宋_GB2312" w:eastAsia="仿宋_GB2312" w:cs="仿宋"/>
          <w:color w:val="auto"/>
          <w:spacing w:val="2"/>
          <w:sz w:val="32"/>
          <w:szCs w:val="32"/>
          <w:lang w:val="en-US" w:eastAsia="zh-CN" w:bidi="ar-SA"/>
        </w:rPr>
        <w:t>、市规划自然资源委大兴分局</w:t>
      </w:r>
      <w:r>
        <w:rPr>
          <w:rFonts w:hint="eastAsia" w:ascii="仿宋_GB2312" w:eastAsia="仿宋_GB2312" w:cs="仿宋"/>
          <w:color w:val="auto"/>
          <w:spacing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eastAsia="仿宋_GB2312" w:cs="仿宋"/>
          <w:color w:val="auto"/>
          <w:spacing w:val="2"/>
          <w:sz w:val="32"/>
          <w:szCs w:val="32"/>
          <w:lang w:val="en-US" w:eastAsia="zh-CN" w:bidi="ar-SA"/>
        </w:rPr>
        <w:t>区住房城乡建设委</w:t>
      </w:r>
      <w:r>
        <w:rPr>
          <w:rFonts w:hint="eastAsia" w:ascii="仿宋_GB2312" w:eastAsia="仿宋_GB2312" w:cs="仿宋"/>
          <w:color w:val="auto"/>
          <w:spacing w:val="2"/>
          <w:sz w:val="32"/>
          <w:szCs w:val="32"/>
          <w:highlight w:val="none"/>
          <w:lang w:val="en-US" w:eastAsia="zh-CN" w:bidi="ar-SA"/>
        </w:rPr>
        <w:t>配合</w:t>
      </w:r>
      <w:r>
        <w:rPr>
          <w:rFonts w:hint="eastAsia" w:ascii="仿宋_GB2312" w:eastAsia="仿宋_GB2312" w:cs="仿宋"/>
          <w:color w:val="auto"/>
          <w:spacing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0"/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  <w:t>六、加大资金支持力度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z w:val="32"/>
          <w:szCs w:val="21"/>
          <w:lang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bidi="ar-SA"/>
        </w:rPr>
        <w:t>（一）完善基础设施投资建设支持政策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hint="eastAsia" w:ascii="仿宋_GB2312" w:eastAsia="仿宋_GB2312" w:cs="仿宋"/>
          <w:color w:val="auto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新建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改建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）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供水厂及供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水管线建设资金按市政府固定资产投资实行70%支持政策，剩余部分建设资金和征地拆迁费用由区政府承担。自建设施供水住宅小区（社会单位）置换资金由区政府承担。（区发展改革委、区水务局、各相关</w:t>
      </w:r>
      <w:r>
        <w:rPr>
          <w:rFonts w:hint="eastAsia" w:asci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镇人民政府、街道办事处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按照职责分工负责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z w:val="32"/>
          <w:szCs w:val="21"/>
          <w:lang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bidi="ar-SA"/>
        </w:rPr>
        <w:t>（二）完善村庄供水站标准化改造资金及运营经费政策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"/>
          <w:color w:val="auto"/>
          <w:spacing w:val="0"/>
          <w:positio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position w:val="0"/>
          <w:sz w:val="32"/>
          <w:szCs w:val="32"/>
          <w:lang w:val="en-US" w:eastAsia="zh-CN" w:bidi="ar-SA"/>
        </w:rPr>
        <w:t>村庄供水站标准化改造资金及运营经费由属地承担。（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各相关镇人民政府按照职责分工</w:t>
      </w:r>
      <w:r>
        <w:rPr>
          <w:rFonts w:hint="eastAsia" w:ascii="仿宋_GB2312" w:eastAsia="仿宋_GB2312" w:cs="仿宋"/>
          <w:color w:val="auto"/>
          <w:spacing w:val="0"/>
          <w:position w:val="0"/>
          <w:sz w:val="32"/>
          <w:szCs w:val="32"/>
          <w:lang w:val="en-US" w:eastAsia="zh-CN" w:bidi="ar-SA"/>
        </w:rPr>
        <w:t>负责）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z w:val="32"/>
          <w:szCs w:val="21"/>
          <w:lang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bidi="ar-SA"/>
        </w:rPr>
        <w:t>（三）健全农村地区供水计量收费制度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left="0" w:right="0"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按照“全计量、全收费”和“补偿成本、公平负担”的原则，由村民委员会按照“一事一议”民主议事机制确定水价及收费方式。对纳入城镇公共供水范围的农村地区用水价格，根据不同区域农村居民和单位承受能力，参照现行城镇地区居民水价确定；对具备实行阶梯水价和超定额累进加价的，应实行相应水价制度；</w:t>
      </w:r>
      <w:r>
        <w:rPr>
          <w:rFonts w:hint="eastAsia" w:ascii="仿宋_GB2312" w:eastAsia="仿宋_GB2312" w:cs="仿宋_GB2312"/>
          <w:bCs/>
          <w:color w:val="auto"/>
          <w:sz w:val="31"/>
          <w:szCs w:val="31"/>
          <w:highlight w:val="none"/>
          <w:lang w:val="en-US" w:eastAsia="zh-CN" w:bidi="ar-SA"/>
        </w:rPr>
        <w:t>对由于价格不到位造成运营亏损的，各镇人民政府要建立补贴机制，保障供水设施正常运营。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（区水务局、区发展改革委、各相关镇人民政府按照职责分工负责）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0"/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pacing w:val="0"/>
          <w:position w:val="0"/>
          <w:sz w:val="32"/>
          <w:szCs w:val="32"/>
          <w:lang w:val="en-US" w:eastAsia="zh-CN" w:bidi="ar-SA"/>
        </w:rPr>
        <w:t>七、强化组织保障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z w:val="32"/>
          <w:szCs w:val="21"/>
          <w:lang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bidi="ar-SA"/>
        </w:rPr>
        <w:t>（一）加强组织领导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"/>
          <w:snapToGrid w:val="0"/>
          <w:spacing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完善区级统筹、镇街主责的工作体制，成立区级供水高质量发展工作专班，负责统筹协调和监督指导供水高质量发展工作，成员单位由区水务局、区发展改革委、</w:t>
      </w: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区住房城乡建设委</w:t>
      </w: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、区卫生健康委、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区财政局、市规划自然资源委</w:t>
      </w: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大兴分局、区生态环境局、区农业农村局、区应急局、各镇人民政府、各街道办事处组成；专班办公室设在区水务局，承担专班日常工作。</w:t>
      </w: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各镇人民政府要落实属地责任，成立镇级工作专班，统筹协调和监督指导本地区供水高质量发展工作，加大项目前期工作协调力度，确保项目按计划实施。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snapToGrid w:val="0"/>
          <w:color w:val="auto"/>
          <w:spacing w:val="0"/>
          <w:kern w:val="0"/>
          <w:sz w:val="32"/>
          <w:szCs w:val="21"/>
          <w:lang w:val="en-US" w:eastAsia="zh-CN" w:bidi="ar-SA"/>
        </w:rPr>
      </w:pPr>
      <w:r>
        <w:rPr>
          <w:rFonts w:hint="eastAsia" w:ascii="楷体_GB2312" w:eastAsia="楷体_GB2312" w:cs="楷体_GB2312"/>
          <w:snapToGrid w:val="0"/>
          <w:color w:val="auto"/>
          <w:spacing w:val="0"/>
          <w:kern w:val="0"/>
          <w:sz w:val="32"/>
          <w:szCs w:val="21"/>
          <w:lang w:val="en-US" w:eastAsia="zh-CN" w:bidi="ar-SA"/>
        </w:rPr>
        <w:t>（二）强化监督考核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区有关部门、各镇人民政府、各街道办事处要将目标任务逐项进行分解，明确责任部门、责任人和完成时限，形成年度工作计划，报区级专班办公室。区级专班办公室汇总上报市级专班办公室，按照统一部署纳入市</w:t>
      </w: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总河长令、区总河长令，</w:t>
      </w: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强化监督考核。对履职不到位、造成严重后果的责任单位和责任人，依规依纪依法追究责任。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snapToGrid w:val="0"/>
          <w:color w:val="auto"/>
          <w:spacing w:val="0"/>
          <w:kern w:val="0"/>
          <w:sz w:val="32"/>
          <w:szCs w:val="21"/>
          <w:lang w:val="en-US" w:eastAsia="zh-CN" w:bidi="ar-SA"/>
        </w:rPr>
      </w:pPr>
      <w:r>
        <w:rPr>
          <w:rFonts w:hint="eastAsia" w:ascii="楷体_GB2312" w:eastAsia="楷体_GB2312" w:cs="楷体_GB2312"/>
          <w:snapToGrid w:val="0"/>
          <w:color w:val="auto"/>
          <w:spacing w:val="0"/>
          <w:kern w:val="0"/>
          <w:sz w:val="32"/>
          <w:szCs w:val="21"/>
          <w:lang w:val="en-US" w:eastAsia="zh-CN" w:bidi="ar-SA"/>
        </w:rPr>
        <w:t>（三）加强社会共治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广泛开展供水设施保护、节约用水、饮用水安全法律法规和相关知识宣传普及，强化城镇集中式生活饮用水水质信息公开，激发市民群众参与水资源保护的热情，形成全社会广泛参与的共建共治共享格局。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eastAsia="仿宋_GB2312" w:cs="仿宋"/>
          <w:i/>
          <w:iCs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eastAsia="仿宋_GB2312" w:cs="仿宋"/>
          <w:i/>
          <w:iCs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firstLine="0" w:firstLineChars="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firstLine="0" w:firstLineChars="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317"/>
        <w:textAlignment w:val="auto"/>
        <w:rPr>
          <w:rFonts w:hint="eastAsia" w:ascii="仿宋_GB2312" w:eastAsia="仿宋_GB2312" w:cs="仿宋_GB2312"/>
          <w:color w:val="auto"/>
          <w:spacing w:val="-6"/>
          <w:sz w:val="28"/>
          <w:szCs w:val="28"/>
          <w:highlight w:val="none"/>
          <w:lang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bidi="ar-SA"/>
        </w:rPr>
        <w:t>　</w:t>
      </w:r>
      <w:r>
        <w:rPr>
          <w:rFonts w:hint="eastAsia" w:ascii="仿宋_GB2312" w:eastAsia="仿宋_GB2312" w:cs="仿宋_GB2312"/>
          <w:color w:val="auto"/>
          <w:highlight w:val="none"/>
          <w:lang w:bidi="ar-SA"/>
        </w:rPr>
        <w:pict>
          <v:line id="直接连接符 3" o:spid="_x0000_s2054" o:spt="20" style="position:absolute;left:0pt;margin-left:0pt;margin-top:1.6pt;height:0pt;width:442.2pt;z-index:251659264;mso-width-relative:page;mso-height-relative:page;" filled="f" stroked="t" coordsize="21600,21600">
            <v:path arrowok="t"/>
            <v:fill on="f" focussize="0,0"/>
            <v:stroke weight="1pt"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color w:val="auto"/>
          <w:spacing w:val="-6"/>
          <w:sz w:val="28"/>
          <w:szCs w:val="28"/>
          <w:highlight w:val="none"/>
          <w:lang w:bidi="ar-SA"/>
        </w:rPr>
        <w:t>抄送：区委办公室、各部、委，区人大办公室，区政协办公室，区纪委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117" w:leftChars="532" w:right="317" w:firstLine="0"/>
        <w:textAlignment w:val="auto"/>
        <w:rPr>
          <w:rFonts w:hint="eastAsia" w:ascii="仿宋_GB2312" w:eastAsia="仿宋_GB2312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eastAsia="仿宋_GB2312" w:cs="仿宋_GB2312"/>
          <w:color w:val="auto"/>
          <w:spacing w:val="0"/>
          <w:sz w:val="28"/>
          <w:szCs w:val="28"/>
          <w:highlight w:val="none"/>
          <w:lang w:eastAsia="zh-CN" w:bidi="ar-SA"/>
        </w:rPr>
        <w:t>区</w:t>
      </w:r>
      <w:r>
        <w:rPr>
          <w:rFonts w:hint="eastAsia" w:ascii="仿宋_GB2312" w:eastAsia="仿宋_GB2312" w:cs="仿宋_GB2312"/>
          <w:color w:val="auto"/>
          <w:spacing w:val="0"/>
          <w:sz w:val="28"/>
          <w:szCs w:val="28"/>
          <w:highlight w:val="none"/>
          <w:lang w:bidi="ar-SA"/>
        </w:rPr>
        <w:t>监委</w:t>
      </w:r>
      <w:r>
        <w:rPr>
          <w:rFonts w:hint="eastAsia" w:ascii="仿宋_GB2312" w:eastAsia="仿宋_GB2312" w:cs="仿宋_GB2312"/>
          <w:color w:val="auto"/>
          <w:spacing w:val="0"/>
          <w:sz w:val="28"/>
          <w:szCs w:val="28"/>
          <w:highlight w:val="none"/>
          <w:lang w:eastAsia="zh-CN" w:bidi="ar-SA"/>
        </w:rPr>
        <w:t>机关</w:t>
      </w:r>
      <w:r>
        <w:rPr>
          <w:rFonts w:hint="eastAsia" w:ascii="仿宋_GB2312" w:eastAsia="仿宋_GB2312" w:cs="仿宋_GB2312"/>
          <w:color w:val="auto"/>
          <w:spacing w:val="0"/>
          <w:sz w:val="28"/>
          <w:szCs w:val="28"/>
          <w:highlight w:val="none"/>
          <w:lang w:bidi="ar-SA"/>
        </w:rPr>
        <w:t>，区人民法院，区人民检察院，临空经济区大兴片区管委会</w:t>
      </w:r>
      <w:r>
        <w:rPr>
          <w:rFonts w:hint="eastAsia" w:ascii="仿宋_GB2312" w:eastAsia="仿宋_GB2312" w:cs="仿宋_GB2312"/>
          <w:color w:val="auto"/>
          <w:spacing w:val="0"/>
          <w:sz w:val="28"/>
          <w:szCs w:val="28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318"/>
        <w:textAlignment w:val="auto"/>
        <w:rPr>
          <w:rFonts w:hint="eastAsia"/>
        </w:rPr>
      </w:pPr>
      <w:r>
        <w:rPr>
          <w:color w:val="auto"/>
          <w:highlight w:val="none"/>
        </w:rPr>
        <w:pict>
          <v:line id="直接连接符 2" o:spid="_x0000_s2055" o:spt="20" style="position:absolute;left:0pt;margin-left:0pt;margin-top:30.15pt;height:0pt;width:442.2pt;z-index:251661312;mso-width-relative:page;mso-height-relative:page;" filled="f" stroked="t" coordsize="21600,21600">
            <v:path arrowok="t"/>
            <v:fill on="f" focussize="0,0"/>
            <v:stroke weight="1pt"/>
            <v:imagedata o:title=""/>
            <o:lock v:ext="edit"/>
          </v:line>
        </w:pict>
      </w:r>
      <w:r>
        <w:rPr>
          <w:color w:val="auto"/>
          <w:highlight w:val="none"/>
        </w:rPr>
        <w:pict>
          <v:line id="直接连接符 5" o:spid="_x0000_s2056" o:spt="20" style="position:absolute;left:0pt;margin-left:0pt;margin-top:2.65pt;height:0pt;width:442.2pt;z-index:251660288;mso-width-relative:page;mso-height-relative:page;" filled="f" stroked="t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bidi="ar-SA"/>
        </w:rPr>
        <w:t>　</w:t>
      </w:r>
      <w:r>
        <w:rPr>
          <w:rFonts w:hint="eastAsia" w:ascii="仿宋_GB2312" w:eastAsia="仿宋_GB2312" w:cs="仿宋_GB2312"/>
          <w:color w:val="auto"/>
          <w:spacing w:val="-6"/>
          <w:sz w:val="28"/>
          <w:szCs w:val="28"/>
          <w:highlight w:val="none"/>
          <w:lang w:bidi="ar-SA"/>
        </w:rPr>
        <w:t>北京市大兴区人民政府办公室</w:t>
      </w:r>
      <w:r>
        <w:rPr>
          <w:rFonts w:hint="eastAsia" w:ascii="仿宋_GB2312" w:eastAsia="仿宋_GB2312" w:cs="仿宋_GB2312"/>
          <w:color w:val="auto"/>
          <w:spacing w:val="6"/>
          <w:sz w:val="28"/>
          <w:szCs w:val="28"/>
          <w:highlight w:val="none"/>
          <w:lang w:bidi="ar-SA"/>
        </w:rPr>
        <w:t>　　　　　　　</w:t>
      </w:r>
      <w:r>
        <w:rPr>
          <w:rFonts w:hint="eastAsia" w:ascii="仿宋_GB2312" w:eastAsia="仿宋_GB2312" w:cs="仿宋_GB2312"/>
          <w:color w:val="auto"/>
          <w:spacing w:val="6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color w:val="auto"/>
          <w:spacing w:val="-6"/>
          <w:sz w:val="28"/>
          <w:szCs w:val="28"/>
          <w:highlight w:val="none"/>
          <w:lang w:bidi="ar-SA"/>
        </w:rPr>
        <w:t>20</w:t>
      </w:r>
      <w:r>
        <w:rPr>
          <w:rFonts w:hint="eastAsia" w:asci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 w:bidi="ar-SA"/>
        </w:rPr>
        <w:t>23</w:t>
      </w:r>
      <w:r>
        <w:rPr>
          <w:rFonts w:hint="eastAsia" w:ascii="仿宋_GB2312" w:eastAsia="仿宋_GB2312" w:cs="仿宋_GB2312"/>
          <w:color w:val="auto"/>
          <w:spacing w:val="-6"/>
          <w:sz w:val="28"/>
          <w:szCs w:val="28"/>
          <w:highlight w:val="none"/>
          <w:lang w:bidi="ar-SA"/>
        </w:rPr>
        <w:t>年11月</w:t>
      </w:r>
      <w:r>
        <w:rPr>
          <w:rFonts w:hint="eastAsia" w:asci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 w:bidi="ar-SA"/>
        </w:rPr>
        <w:t>21</w:t>
      </w:r>
      <w:r>
        <w:rPr>
          <w:rFonts w:hint="eastAsia" w:ascii="仿宋_GB2312" w:eastAsia="仿宋_GB2312" w:cs="仿宋_GB2312"/>
          <w:spacing w:val="-6"/>
          <w:sz w:val="28"/>
          <w:szCs w:val="28"/>
          <w:highlight w:val="none"/>
          <w:lang w:bidi="ar-SA"/>
        </w:rPr>
        <w:t>日印发</w:t>
      </w:r>
    </w:p>
    <w:sectPr>
      <w:headerReference r:id="rId5" w:type="default"/>
      <w:footerReference r:id="rId6" w:type="default"/>
      <w:pgSz w:w="11907" w:h="16840"/>
      <w:pgMar w:top="1440" w:right="1474" w:bottom="1440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黑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w:pict>
        <v:shape id="_x0000_s3074" o:spid="_x0000_s3074" o:spt="202" type="#_x0000_t202" style="position:absolute;left:0pt;margin-top:0pt;height:18.15pt;width:42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</w:pPr>
                <w:r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  <w:fldChar w:fldCharType="begin"/>
                </w:r>
                <w:r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  <w:instrText xml:space="preserve"> PAGE  \* MERGEFORMAT </w:instrText>
                </w:r>
                <w:r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  <w:fldChar w:fldCharType="separate"/>
                </w:r>
                <w:r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  <w:t>- 1 -</w:t>
                </w:r>
                <w:r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w:pict>
        <v:shape id="文本框 1025" o:spid="_x0000_s3073" o:spt="202" type="#_x0000_t202" style="position:absolute;left:0pt;margin-top:0pt;height:18.15pt;width:42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</w:pPr>
                <w:r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  <w:fldChar w:fldCharType="begin"/>
                </w:r>
                <w:r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  <w:instrText xml:space="preserve"> PAGE  \* MERGEFORMAT </w:instrText>
                </w:r>
                <w:r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  <w:fldChar w:fldCharType="separate"/>
                </w:r>
                <w:r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  <w:t>- 1 -</w:t>
                </w:r>
                <w:r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Q4MzY5ODIzYjAxZjc4OTdjMWY2MTAyNTg3NzQzMjcifQ=="/>
    <w:docVar w:name="KGWebUrl" w:val="http://172.28.65.176:8088/seeyon/officeservlet"/>
  </w:docVars>
  <w:rsids>
    <w:rsidRoot w:val="00BFF5A6"/>
    <w:rsid w:val="1AC9186C"/>
    <w:rsid w:val="3AEE40C8"/>
    <w:rsid w:val="3F7F5653"/>
    <w:rsid w:val="BFBB7069"/>
    <w:rsid w:val="E8BC96FF"/>
    <w:rsid w:val="FB9F257E"/>
    <w:rsid w:val="FDEB1B16"/>
    <w:rsid w:val="FEAF31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1"/>
      </o:rules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0"/>
    </w:rPr>
  </w:style>
  <w:style w:type="paragraph" w:styleId="6">
    <w:name w:val="Body Text Indent"/>
    <w:basedOn w:val="1"/>
    <w:qFormat/>
    <w:uiPriority w:val="0"/>
    <w:pPr>
      <w:spacing w:after="120"/>
      <w:ind w:left="200" w:leftChars="200"/>
    </w:pPr>
  </w:style>
  <w:style w:type="paragraph" w:styleId="7">
    <w:name w:val="toc 3"/>
    <w:basedOn w:val="1"/>
    <w:next w:val="1"/>
    <w:qFormat/>
    <w:uiPriority w:val="0"/>
    <w:pPr>
      <w:ind w:left="420"/>
    </w:pPr>
    <w:rPr>
      <w:rFonts w:ascii="等线" w:eastAsia="等线"/>
      <w:b/>
      <w:sz w:val="30"/>
      <w:szCs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Body Text First Indent 2"/>
    <w:basedOn w:val="6"/>
    <w:qFormat/>
    <w:uiPriority w:val="0"/>
    <w:pPr>
      <w:ind w:firstLine="200" w:firstLineChars="200"/>
    </w:pPr>
    <w:rPr>
      <w:rFonts w:ascii="Calibri" w:hAnsi="Calibri" w:cs="黑体"/>
      <w:szCs w:val="22"/>
      <w:lang w:bidi="ar-SA"/>
    </w:rPr>
  </w:style>
  <w:style w:type="paragraph" w:customStyle="1" w:styleId="13">
    <w:name w:val="div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extAlignment w:val="baseline"/>
    </w:pPr>
    <w:rPr>
      <w:sz w:val="24"/>
      <w:szCs w:val="24"/>
      <w:vertAlign w:val="baseline"/>
    </w:rPr>
  </w:style>
  <w:style w:type="paragraph" w:customStyle="1" w:styleId="14">
    <w:name w:val="0"/>
    <w:basedOn w:val="1"/>
    <w:qFormat/>
    <w:uiPriority w:val="99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4" textInnerWidth="-15" textInnerHeight="-15"/>
    <customShpInfo spid="_x0000_s3073" textInnerWidth="-15" textInnerHeight="-15"/>
    <customShpInfo spid="_x0000_s2050"/>
    <customShpInfo spid="_x0000_s2054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2023-05-31T17:30:00Z</dcterms:created>
  <dc:creator>高原</dc:creator>
  <cp:lastModifiedBy>水务局公文</cp:lastModifiedBy>
  <cp:lastPrinted>2023-11-11T16:54:00Z</cp:lastPrinted>
  <dcterms:modified xsi:type="dcterms:W3CDTF">2023-12-06T03:08:22Z</dcterms:modified>
  <dc:title>北京市大兴区人民政府文件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3027D2AA40CC4E7EBC830139F6358EA8_12</vt:lpwstr>
  </property>
</Properties>
</file>