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大兴区蓝天保卫战2024年行动计划</w:t>
      </w:r>
    </w:p>
    <w:tbl>
      <w:tblPr>
        <w:tblStyle w:val="6"/>
        <w:tblW w:w="14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480"/>
        <w:gridCol w:w="6347"/>
        <w:gridCol w:w="1225"/>
        <w:gridCol w:w="2194"/>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序号</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重点任务</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工作措施</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完成时限</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牵头单位</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9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一、主要目标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空气质量目标</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全力巩固空气质量改善成效，在PM2.5年均浓度达标（35微克/立方米）的基础上，优良天数比率达到76%，重污染天不超过4天，实现空气质量持续改善。</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各镇、街道、产业园区管委会PM2.5年均浓度不超过35微克/立方米；PM2.5、TSP年均浓度实现同比下降。</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top w:val="single" w:color="auto" w:sz="4" w:space="0"/>
              <w:left w:val="nil"/>
              <w:bottom w:val="single" w:color="auto" w:sz="4" w:space="0"/>
              <w:right w:val="single" w:color="auto" w:sz="4" w:space="0"/>
            </w:tcBorders>
            <w:noWrap w:val="0"/>
            <w:vAlign w:val="center"/>
          </w:tcPr>
          <w:p>
            <w:pPr>
              <w:autoSpaceDE w:val="0"/>
              <w:adjustRightInd w:val="0"/>
              <w:snapToGrid w:val="0"/>
              <w:jc w:val="center"/>
              <w:rPr>
                <w:rFonts w:ascii="宋体" w:hAnsi="宋体" w:cs="宋体"/>
                <w:szCs w:val="21"/>
              </w:rPr>
            </w:pPr>
            <w:r>
              <w:rPr>
                <w:rFonts w:hint="eastAsia" w:ascii="宋体" w:hAnsi="宋体" w:cs="宋体"/>
                <w:szCs w:val="21"/>
              </w:rPr>
              <w:t>各镇人民政府</w:t>
            </w:r>
          </w:p>
          <w:p>
            <w:pPr>
              <w:autoSpaceDE w:val="0"/>
              <w:adjustRightInd w:val="0"/>
              <w:snapToGrid w:val="0"/>
              <w:jc w:val="center"/>
              <w:rPr>
                <w:rFonts w:ascii="宋体" w:hAnsi="宋体" w:cs="宋体"/>
                <w:szCs w:val="21"/>
              </w:rPr>
            </w:pPr>
            <w:r>
              <w:rPr>
                <w:rFonts w:hint="eastAsia" w:ascii="宋体" w:hAnsi="宋体" w:cs="宋体"/>
                <w:szCs w:val="21"/>
              </w:rPr>
              <w:t>各街道办事处</w:t>
            </w:r>
          </w:p>
          <w:p>
            <w:pPr>
              <w:autoSpaceDE w:val="0"/>
              <w:adjustRightInd w:val="0"/>
              <w:snapToGrid w:val="0"/>
              <w:jc w:val="center"/>
              <w:rPr>
                <w:rFonts w:ascii="宋体" w:hAnsi="宋体" w:cs="宋体"/>
                <w:szCs w:val="21"/>
              </w:rPr>
            </w:pPr>
            <w:r>
              <w:rPr>
                <w:rFonts w:hint="eastAsia" w:ascii="宋体" w:hAnsi="宋体" w:cs="宋体"/>
                <w:szCs w:val="21"/>
              </w:rPr>
              <w:t>各产业园区管委会</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总量减排目标</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实现主要大气污染物排放总量持续下降，累计完成挥发性有机物（VOCs）减排720吨、氮氧化物（NOx）减排3450吨。</w:t>
            </w:r>
          </w:p>
          <w:p>
            <w:pPr>
              <w:adjustRightInd w:val="0"/>
              <w:snapToGrid w:val="0"/>
              <w:rPr>
                <w:rFonts w:ascii="宋体" w:hAnsi="宋体" w:cs="宋体"/>
                <w:szCs w:val="21"/>
              </w:rPr>
            </w:pPr>
            <w:r>
              <w:rPr>
                <w:rFonts w:hint="eastAsia" w:ascii="宋体" w:hAnsi="宋体" w:cs="宋体"/>
              </w:rPr>
              <w:t>新增涉气建设项目严格执行VOCs、NOx等主要污染物排放总量控制，实施“减二增一”削减量替代审批制度。</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kern w:val="0"/>
                <w:szCs w:val="21"/>
                <w:lang w:bidi="ar"/>
              </w:rPr>
              <w:t>临空经济区大兴片区管委会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9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zCs w:val="21"/>
              </w:rPr>
            </w:pPr>
            <w:r>
              <w:rPr>
                <w:rFonts w:hint="eastAsia" w:ascii="黑体" w:hAnsi="黑体" w:eastAsia="黑体" w:cs="黑体"/>
                <w:szCs w:val="21"/>
              </w:rPr>
              <w:t>二、实施挥发性有机物（VOCs）治理专项行动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3</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积极推广新能源汽车</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szCs w:val="21"/>
              </w:rPr>
              <w:t>按照“十四五”规划目标和相关实施方案，加大新能源汽车推广力度，强化政策引导换车减油，研究制定新能源车分年度推进计划，并组织实施。</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按时间</w:t>
            </w:r>
          </w:p>
          <w:p>
            <w:pPr>
              <w:adjustRightInd w:val="0"/>
              <w:snapToGrid w:val="0"/>
              <w:jc w:val="center"/>
              <w:rPr>
                <w:rFonts w:ascii="宋体" w:hAnsi="宋体" w:cs="宋体"/>
                <w:szCs w:val="21"/>
              </w:rPr>
            </w:pPr>
            <w:r>
              <w:rPr>
                <w:rFonts w:hint="eastAsia" w:ascii="宋体" w:hAnsi="宋体" w:cs="宋体"/>
                <w:szCs w:val="21"/>
              </w:rPr>
              <w:t>节点完成</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区发展改革委</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按照市级任务要求，落实</w:t>
            </w:r>
            <w:r>
              <w:rPr>
                <w:rFonts w:hint="eastAsia" w:ascii="宋体" w:hAnsi="宋体" w:cs="宋体"/>
                <w:szCs w:val="21"/>
                <w:lang w:eastAsia="zh-CN"/>
              </w:rPr>
              <w:t>《关于进一步加强</w:t>
            </w:r>
            <w:r>
              <w:rPr>
                <w:rFonts w:hint="eastAsia" w:ascii="宋体" w:hAnsi="宋体" w:cs="宋体"/>
                <w:szCs w:val="21"/>
              </w:rPr>
              <w:t>充电基础设施建设管理工作三年行动计划（2023-2025年）</w:t>
            </w:r>
            <w:r>
              <w:rPr>
                <w:rFonts w:hint="eastAsia" w:ascii="宋体" w:hAnsi="宋体" w:cs="宋体"/>
                <w:szCs w:val="21"/>
                <w:lang w:eastAsia="zh-CN"/>
              </w:rPr>
              <w:t>》</w:t>
            </w:r>
            <w:r>
              <w:rPr>
                <w:rFonts w:hint="eastAsia" w:ascii="宋体" w:hAnsi="宋体" w:cs="宋体"/>
                <w:szCs w:val="21"/>
              </w:rPr>
              <w:t>，高水平建设充电基础设施网络体系。</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区发展改革委</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3</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积极推广新能源汽车</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推进居住区充电设施建设，通过“私人充电桩+小区公用充电桩+新技术新模式应用等”组合方式，提升居民区充电保障能力。按照市级要求，推进由镇、街道、产业园区管委会、区住建和城管等部门、充电基础实施企业共同参与的“一站式”协调推动机制，切实解决居住区充电设施建设难题，逐步实现充电设施覆盖每个居住区，具备条件的固定车位自用充电设施“应装尽装”。</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市规划自然资源委大兴分局</w:t>
            </w:r>
          </w:p>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加快公共充电设施建设，通过聚焦建成区供需缺口大、农村地区存在建设空白、高速公路网等重点场景，实现设施布局优化与服务水平同步提升。</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区农业农村局</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区供电公司</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促进重点领域专用充电设施发展，配合市级部门针对公交、物流、环卫、邮政、旅游等重点领域专用充电场站资源，推动将充换电设施与场站同步规划建设。</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区邮政局</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区环境卫生服务中心</w:t>
            </w:r>
          </w:p>
        </w:tc>
        <w:tc>
          <w:tcPr>
            <w:tcW w:w="249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区文化和旅游局</w:t>
            </w:r>
          </w:p>
          <w:p>
            <w:pPr>
              <w:adjustRightInd w:val="0"/>
              <w:snapToGrid w:val="0"/>
              <w:jc w:val="center"/>
              <w:rPr>
                <w:rFonts w:ascii="宋体" w:hAnsi="宋体" w:cs="宋体"/>
                <w:szCs w:val="21"/>
              </w:rPr>
            </w:pPr>
            <w:r>
              <w:rPr>
                <w:rFonts w:hint="eastAsia" w:ascii="宋体" w:hAnsi="宋体" w:cs="宋体"/>
                <w:szCs w:val="21"/>
              </w:rPr>
              <w:t>市规划自然资源委大兴分局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462" w:type="dxa"/>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4</w:t>
            </w:r>
          </w:p>
        </w:tc>
        <w:tc>
          <w:tcPr>
            <w:tcW w:w="1480"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推进低（无）VOCs含量产品源头替代</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组织落实强化溶剂型涂料和胶粘剂挥发性有机物含量限值管理若干措施。</w:t>
            </w:r>
          </w:p>
          <w:p>
            <w:pPr>
              <w:adjustRightInd w:val="0"/>
              <w:snapToGrid w:val="0"/>
              <w:rPr>
                <w:rFonts w:ascii="宋体" w:hAnsi="宋体" w:cs="宋体"/>
                <w:szCs w:val="21"/>
              </w:rPr>
            </w:pPr>
            <w:r>
              <w:rPr>
                <w:rFonts w:hint="eastAsia" w:ascii="宋体" w:hAnsi="宋体" w:cs="宋体"/>
                <w:szCs w:val="21"/>
              </w:rPr>
              <w:t>对生产、销售环节涂料、胶粘剂、清洗剂、油墨等含VOCs产品开展抽检，加大对防水、地坪、防腐、防火等涂料，及瓷砖美缝剂、密封胶等胶粘剂产品的抽检力度，全年抽样检测量不低于20个；督促各建筑类涂料与胶粘剂生产单位落实地方标准中关于包装标志的要求；对生产销售不合格产品违法行为严厉打击，依法查处，并向社会公开。</w:t>
            </w:r>
          </w:p>
          <w:p>
            <w:pPr>
              <w:adjustRightInd w:val="0"/>
              <w:snapToGrid w:val="0"/>
              <w:rPr>
                <w:rFonts w:ascii="宋体" w:hAnsi="宋体" w:cs="宋体"/>
                <w:szCs w:val="21"/>
              </w:rPr>
            </w:pPr>
            <w:r>
              <w:rPr>
                <w:rFonts w:hint="eastAsia" w:ascii="宋体" w:hAnsi="宋体" w:cs="宋体"/>
                <w:szCs w:val="21"/>
              </w:rPr>
              <w:t>VOCs含量查处结果向住房建设、城市管理、交通、生态环境等部门通报，抽检不合格的产品及时向社会公示。</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区市场监管局</w:t>
            </w:r>
          </w:p>
        </w:tc>
        <w:tc>
          <w:tcPr>
            <w:tcW w:w="2490"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区应急局</w:t>
            </w:r>
          </w:p>
          <w:p>
            <w:pPr>
              <w:adjustRightInd w:val="0"/>
              <w:snapToGrid w:val="0"/>
              <w:jc w:val="center"/>
              <w:rPr>
                <w:rFonts w:ascii="宋体" w:hAnsi="宋体" w:cs="宋体"/>
                <w:szCs w:val="21"/>
              </w:rPr>
            </w:pPr>
            <w:r>
              <w:rPr>
                <w:rFonts w:hint="eastAsia" w:ascii="宋体" w:hAnsi="宋体" w:cs="宋体"/>
                <w:szCs w:val="21"/>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4</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推进低（无）VOCs含量产品源头替代</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工程建设领域大力推广绿色环保产品，在政府投资建设工程中，优先使用低（无）VOCs含量产品。</w:t>
            </w:r>
          </w:p>
          <w:p>
            <w:pPr>
              <w:adjustRightInd w:val="0"/>
              <w:snapToGrid w:val="0"/>
              <w:rPr>
                <w:rFonts w:ascii="宋体" w:hAnsi="宋体" w:cs="宋体"/>
                <w:szCs w:val="21"/>
              </w:rPr>
            </w:pPr>
            <w:r>
              <w:rPr>
                <w:rFonts w:hint="eastAsia" w:ascii="宋体" w:hAnsi="宋体" w:cs="宋体"/>
                <w:szCs w:val="21"/>
              </w:rPr>
              <w:t>区住房城乡建设、城市管理、交通等行业主管部门指导属地，组织施工工地建设单位通过招标文件等方式对施工单位提出使用符合北京市《建筑类涂料与胶粘剂挥发性有机化合物含量限值标准》产品的相关要求。</w:t>
            </w:r>
          </w:p>
          <w:p>
            <w:pPr>
              <w:adjustRightInd w:val="0"/>
              <w:snapToGrid w:val="0"/>
              <w:rPr>
                <w:rFonts w:ascii="宋体" w:hAnsi="宋体" w:cs="宋体"/>
                <w:szCs w:val="21"/>
              </w:rPr>
            </w:pPr>
            <w:r>
              <w:rPr>
                <w:rFonts w:hint="eastAsia" w:ascii="宋体" w:hAnsi="宋体" w:cs="宋体"/>
                <w:szCs w:val="21"/>
              </w:rPr>
              <w:t>区住房城乡建设、城市管理、交通等行业主管部门组织对建筑类涂料与胶粘剂台账、检测报告等材料开展定期检查，并按照不低于15%的比例对施工工地开展抽检，检查和抽检结果按季度通报区生态环境局，对发现的含VOCs原辅材料检测超标线索移交市场监管部门。</w:t>
            </w:r>
          </w:p>
          <w:p>
            <w:pPr>
              <w:adjustRightInd w:val="0"/>
              <w:snapToGrid w:val="0"/>
              <w:rPr>
                <w:rFonts w:ascii="宋体" w:hAnsi="宋体" w:cs="宋体"/>
                <w:szCs w:val="21"/>
              </w:rPr>
            </w:pPr>
            <w:r>
              <w:rPr>
                <w:rFonts w:hint="eastAsia" w:ascii="宋体" w:hAnsi="宋体" w:cs="宋体"/>
                <w:szCs w:val="21"/>
              </w:rPr>
              <w:t>完善“绿色工地”标准，按照《建筑类涂料与胶粘剂挥发性有机化合物含量限值标准》（DB11/ 1983—2022），强化含VOCs产品使用情况要求，鼓励使用低（无）VOCs含量产品。</w:t>
            </w:r>
          </w:p>
          <w:p>
            <w:pPr>
              <w:adjustRightInd w:val="0"/>
              <w:snapToGrid w:val="0"/>
              <w:rPr>
                <w:rFonts w:ascii="宋体" w:hAnsi="宋体" w:cs="宋体"/>
                <w:szCs w:val="21"/>
              </w:rPr>
            </w:pPr>
            <w:r>
              <w:rPr>
                <w:rFonts w:hint="eastAsia" w:ascii="宋体" w:hAnsi="宋体" w:cs="宋体"/>
                <w:szCs w:val="21"/>
              </w:rPr>
              <w:t>落实</w:t>
            </w:r>
            <w:r>
              <w:rPr>
                <w:rFonts w:hint="eastAsia" w:ascii="宋体" w:hAnsi="宋体" w:cs="宋体"/>
                <w:szCs w:val="21"/>
                <w:lang w:eastAsia="zh-CN"/>
              </w:rPr>
              <w:t>《</w:t>
            </w:r>
            <w:r>
              <w:rPr>
                <w:rFonts w:hint="eastAsia" w:ascii="宋体" w:hAnsi="宋体" w:cs="宋体"/>
                <w:szCs w:val="21"/>
              </w:rPr>
              <w:t>北京市禁止使用建筑材料目录（2023年版）</w:t>
            </w:r>
            <w:r>
              <w:rPr>
                <w:rFonts w:hint="eastAsia" w:ascii="宋体" w:hAnsi="宋体" w:cs="宋体"/>
                <w:szCs w:val="21"/>
                <w:lang w:eastAsia="zh-CN"/>
              </w:rPr>
              <w:t>》</w:t>
            </w:r>
            <w:r>
              <w:rPr>
                <w:rFonts w:hint="eastAsia" w:ascii="宋体" w:hAnsi="宋体" w:cs="宋体"/>
                <w:szCs w:val="21"/>
              </w:rPr>
              <w:t>，禁止使用不符合《建筑类涂料与胶粘剂挥发性有机化合物含量限值标准》产品。</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区水务局</w:t>
            </w:r>
          </w:p>
          <w:p>
            <w:pPr>
              <w:adjustRightInd w:val="0"/>
              <w:snapToGrid w:val="0"/>
              <w:jc w:val="center"/>
              <w:rPr>
                <w:rFonts w:ascii="宋体" w:hAnsi="宋体" w:cs="宋体"/>
                <w:szCs w:val="21"/>
              </w:rPr>
            </w:pPr>
            <w:r>
              <w:rPr>
                <w:rFonts w:hint="eastAsia" w:ascii="宋体" w:hAnsi="宋体" w:cs="宋体"/>
                <w:szCs w:val="21"/>
              </w:rPr>
              <w:t>区财政局</w:t>
            </w:r>
          </w:p>
        </w:tc>
        <w:tc>
          <w:tcPr>
            <w:tcW w:w="2490"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区市场监管局</w:t>
            </w:r>
          </w:p>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区经济和信息化局鼓励工业涂装企业使用符合国家和本市标准的涂料、胶粘剂等低（无）VOCs含量原辅材料。</w:t>
            </w:r>
          </w:p>
          <w:p>
            <w:pPr>
              <w:adjustRightInd w:val="0"/>
              <w:snapToGrid w:val="0"/>
              <w:rPr>
                <w:rFonts w:ascii="宋体" w:hAnsi="宋体" w:cs="宋体"/>
                <w:szCs w:val="21"/>
              </w:rPr>
            </w:pPr>
            <w:bookmarkStart w:id="0" w:name="lawyee_9641_8"/>
            <w:r>
              <w:rPr>
                <w:rFonts w:hint="eastAsia" w:ascii="宋体" w:hAnsi="宋体" w:cs="宋体"/>
                <w:szCs w:val="21"/>
              </w:rPr>
              <w:t>区生态环境</w:t>
            </w:r>
            <w:bookmarkEnd w:id="0"/>
            <w:r>
              <w:rPr>
                <w:rFonts w:hint="eastAsia" w:ascii="宋体" w:hAnsi="宋体" w:cs="宋体"/>
                <w:szCs w:val="21"/>
              </w:rPr>
              <w:t>局加强对工业企业涂装环节使用低VOCs原辅材料的执法检查。</w:t>
            </w:r>
          </w:p>
          <w:p>
            <w:pPr>
              <w:adjustRightInd w:val="0"/>
              <w:snapToGrid w:val="0"/>
              <w:rPr>
                <w:rFonts w:ascii="宋体" w:hAnsi="宋体" w:cs="宋体"/>
                <w:szCs w:val="21"/>
              </w:rPr>
            </w:pPr>
            <w:r>
              <w:rPr>
                <w:rFonts w:hint="eastAsia" w:ascii="宋体" w:hAnsi="宋体" w:cs="宋体"/>
                <w:szCs w:val="21"/>
              </w:rPr>
              <w:t>加强执法检查，督促工业涂装企业建立原辅材料台账，并使用符合标准的低（无）VOCs含量产品。</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rPr>
              <w:t>参照市级要求，加强</w:t>
            </w:r>
            <w:r>
              <w:rPr>
                <w:rFonts w:hint="eastAsia" w:ascii="宋体" w:hAnsi="宋体" w:cs="宋体"/>
                <w:szCs w:val="21"/>
              </w:rPr>
              <w:t>生产、销售、使用环节含VOCs产品检查、检测。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区市场监管局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区交通局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5</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推进VOCs存量综合整治</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持续开展VOCs整治，有针对性地分类推进低（无）VOCs含量原辅材料源头替代、储罐综合治理、装卸废气收集治理、敞开液面逸散废气治理、有机废气收集处理设施升级改造等减排工程。加强突出问题溯源排查，及时消除VOCs浓度高值区，VOCs走航全年累计不低于150次。</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rPr>
            </w:pPr>
            <w:r>
              <w:rPr>
                <w:rFonts w:hint="eastAsia" w:ascii="宋体" w:hAnsi="宋体" w:cs="宋体"/>
              </w:rPr>
              <w:t>区交通局</w:t>
            </w:r>
          </w:p>
          <w:p>
            <w:pPr>
              <w:adjustRightInd w:val="0"/>
              <w:snapToGrid w:val="0"/>
              <w:jc w:val="center"/>
              <w:rPr>
                <w:rFonts w:ascii="宋体" w:hAnsi="宋体" w:cs="宋体"/>
              </w:rPr>
            </w:pPr>
            <w:r>
              <w:rPr>
                <w:rFonts w:hint="eastAsia" w:ascii="宋体" w:hAnsi="宋体" w:cs="宋体"/>
              </w:rPr>
              <w:t>区经济和信息化局</w:t>
            </w:r>
          </w:p>
          <w:p>
            <w:pPr>
              <w:adjustRightInd w:val="0"/>
              <w:snapToGrid w:val="0"/>
              <w:jc w:val="center"/>
              <w:rPr>
                <w:rFonts w:ascii="宋体" w:hAnsi="宋体" w:cs="宋体"/>
              </w:rPr>
            </w:pPr>
            <w:r>
              <w:rPr>
                <w:rFonts w:hint="eastAsia" w:ascii="宋体" w:hAnsi="宋体" w:cs="宋体"/>
                <w:szCs w:val="21"/>
              </w:rPr>
              <w:t>区委宣传部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各园区结合自身产业结构和VOCs排放特点，开展VOCs精细化管控工作。</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大兴生物医药基地管委会</w:t>
            </w:r>
          </w:p>
          <w:p>
            <w:pPr>
              <w:adjustRightInd w:val="0"/>
              <w:snapToGrid w:val="0"/>
              <w:jc w:val="center"/>
              <w:rPr>
                <w:rFonts w:hint="eastAsia" w:ascii="宋体" w:hAnsi="宋体" w:eastAsia="宋体" w:cs="宋体"/>
                <w:szCs w:val="21"/>
                <w:highlight w:val="yellow"/>
                <w:lang w:eastAsia="zh-CN"/>
              </w:rPr>
            </w:pPr>
            <w:r>
              <w:rPr>
                <w:rFonts w:hint="eastAsia" w:ascii="宋体" w:hAnsi="宋体" w:cs="宋体"/>
                <w:szCs w:val="21"/>
                <w:lang w:eastAsia="zh-CN"/>
              </w:rPr>
              <w:t>大兴经济开发区管委会</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6</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促进油品储运环节减排</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落实《储油库油气排放控制和限值》（DB11/ 206-2023）《油罐车油气排放控制和限值》（DB11/ 207-2023）《加油站油气排放控制和限值》（DB11/ 208-2023）标准。</w:t>
            </w:r>
          </w:p>
          <w:p>
            <w:pPr>
              <w:adjustRightInd w:val="0"/>
              <w:snapToGrid w:val="0"/>
              <w:rPr>
                <w:rFonts w:ascii="宋体" w:hAnsi="宋体" w:cs="宋体"/>
              </w:rPr>
            </w:pPr>
            <w:r>
              <w:rPr>
                <w:rFonts w:hint="eastAsia" w:ascii="宋体" w:hAnsi="宋体" w:cs="宋体"/>
              </w:rPr>
              <w:t>加强执法检查，动态更新台账，推进油气深度治理，督促达标排放。</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4月1日起</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lang w:eastAsia="zh-CN"/>
              </w:rPr>
              <w:t>区</w:t>
            </w:r>
            <w:r>
              <w:rPr>
                <w:rFonts w:hint="eastAsia" w:ascii="宋体" w:hAnsi="宋体" w:cs="宋体"/>
              </w:rPr>
              <w:t>市场监管</w:t>
            </w:r>
            <w:r>
              <w:rPr>
                <w:rFonts w:hint="eastAsia" w:ascii="宋体" w:hAnsi="宋体" w:cs="宋体"/>
                <w:lang w:eastAsia="zh-CN"/>
              </w:rPr>
              <w:t>局</w:t>
            </w:r>
            <w:r>
              <w:rPr>
                <w:rFonts w:hint="eastAsia" w:ascii="宋体" w:hAnsi="宋体" w:cs="宋体"/>
              </w:rPr>
              <w:t>依法对生产、销售环节的车用油品、氮氧化物还原剂和车用油品清净剂产品质量开展监督抽查，依据《北京市机动车和非道路移动机械排放污染防治条例》，提升运输企业、非道路移动机械实际使用油品随机抽检频次，依法查处不合格产品，定期反馈行业部门。</w:t>
            </w:r>
          </w:p>
          <w:p>
            <w:pPr>
              <w:adjustRightInd w:val="0"/>
              <w:snapToGrid w:val="0"/>
              <w:rPr>
                <w:rFonts w:ascii="宋体" w:hAnsi="宋体" w:cs="宋体"/>
              </w:rPr>
            </w:pPr>
            <w:r>
              <w:rPr>
                <w:rFonts w:hint="eastAsia" w:ascii="宋体" w:hAnsi="宋体" w:cs="宋体"/>
              </w:rPr>
              <w:t>区公安分局负责依法打击通过“自备罐”“流动加油车”“黑加油站点”等非法储存、运输、销售成品油的违法犯罪行为，及时宣传曝光典型案例，营造高压态势。</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区市场监管局</w:t>
            </w:r>
          </w:p>
          <w:p>
            <w:pPr>
              <w:adjustRightInd w:val="0"/>
              <w:snapToGrid w:val="0"/>
              <w:jc w:val="center"/>
              <w:rPr>
                <w:rFonts w:ascii="宋体" w:hAnsi="宋体" w:cs="宋体"/>
                <w:szCs w:val="21"/>
              </w:rPr>
            </w:pPr>
            <w:r>
              <w:rPr>
                <w:rFonts w:hint="eastAsia" w:ascii="宋体" w:hAnsi="宋体" w:cs="宋体"/>
                <w:szCs w:val="21"/>
              </w:rPr>
              <w:t>区公安分局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区应急局</w:t>
            </w:r>
          </w:p>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szCs w:val="21"/>
              </w:rPr>
              <w:t>区商务局、区生态环境局督促加油站和储油库在夏季错峰装卸油，引导加油站出台鼓励夜间加油的措施。</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6-9月</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7</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推动企业绿色升级</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以涉VOCs排放行业为重点，推进强制性清洁生产审核，基本实现挥发性有机物年排放量大于1吨的企业审核全覆盖。</w:t>
            </w:r>
          </w:p>
          <w:p>
            <w:pPr>
              <w:adjustRightInd w:val="0"/>
              <w:snapToGrid w:val="0"/>
              <w:rPr>
                <w:rFonts w:ascii="宋体" w:hAnsi="宋体" w:cs="宋体"/>
                <w:szCs w:val="21"/>
              </w:rPr>
            </w:pPr>
            <w:r>
              <w:rPr>
                <w:rFonts w:hint="eastAsia" w:ascii="宋体" w:hAnsi="宋体" w:cs="宋体"/>
                <w:szCs w:val="21"/>
              </w:rPr>
              <w:t>强化审核企业的监管，对不实施强制性清洁生产审核或者不报告审核结果的企业依法责令限期改正。</w:t>
            </w:r>
          </w:p>
          <w:p>
            <w:pPr>
              <w:adjustRightInd w:val="0"/>
              <w:snapToGrid w:val="0"/>
              <w:rPr>
                <w:rFonts w:ascii="宋体" w:hAnsi="宋体" w:cs="宋体"/>
                <w:szCs w:val="21"/>
              </w:rPr>
            </w:pPr>
            <w:r>
              <w:rPr>
                <w:rFonts w:hint="eastAsia" w:ascii="宋体" w:hAnsi="宋体" w:cs="宋体"/>
                <w:szCs w:val="21"/>
              </w:rPr>
              <w:t>组织企业实施清洁生产审核重点方案，提高企业“一厂一策”精细化治理水平。</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区发展改革委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落实修订的《</w:t>
            </w:r>
            <w:r>
              <w:rPr>
                <w:rFonts w:hint="eastAsia" w:ascii="宋体" w:hAnsi="宋体" w:cs="宋体"/>
                <w:szCs w:val="21"/>
                <w:lang w:eastAsia="zh-CN"/>
              </w:rPr>
              <w:t>北京市</w:t>
            </w:r>
            <w:r>
              <w:rPr>
                <w:rFonts w:hint="eastAsia" w:ascii="宋体" w:hAnsi="宋体" w:cs="宋体"/>
                <w:szCs w:val="21"/>
              </w:rPr>
              <w:t>汽车维修业大气污染物排放标准》。</w:t>
            </w:r>
          </w:p>
          <w:p>
            <w:pPr>
              <w:adjustRightInd w:val="0"/>
              <w:snapToGrid w:val="0"/>
              <w:rPr>
                <w:rFonts w:ascii="宋体" w:hAnsi="宋体" w:cs="宋体"/>
                <w:szCs w:val="21"/>
              </w:rPr>
            </w:pPr>
            <w:r>
              <w:rPr>
                <w:rFonts w:hint="eastAsia" w:ascii="宋体" w:hAnsi="宋体" w:cs="宋体"/>
                <w:szCs w:val="21"/>
              </w:rPr>
              <w:t>指导汽修企业建立清洗剂、涂料等含VOCs产品使用台账，督促企业使用合规产品。</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区交通局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加强汽修行业机修、烘干等环节VOCs排放监管，提高水性涂料使用的替代力度，强化喷枪清洗、机油和清洗剂使用、废物贮存等环节精细化管理、检查、检测。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rPr>
            </w:pPr>
            <w:r>
              <w:rPr>
                <w:rFonts w:hint="eastAsia" w:ascii="宋体" w:hAnsi="宋体" w:cs="宋体"/>
              </w:rPr>
              <w:t>区交通局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8</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VOCs深度治理示范项目</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开展区级清洁生产审核评估试点。</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rPr>
              <w:t>进一步提升油气精细化管理水平，率先开展加油站兼容车载加油油气回收系统（ORVR）试点。</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9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黑体" w:hAnsi="黑体" w:eastAsia="黑体" w:cs="黑体"/>
                <w:szCs w:val="21"/>
              </w:rPr>
              <w:t>三、实施氮氧化物（NOx）减排专项行动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9</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削减固定源NOx排放量</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kern w:val="0"/>
                <w:szCs w:val="21"/>
              </w:rPr>
              <w:t>配合市级部门开展集中式、分布式供热效率对比分析研究，综合考虑安全性、管理成本等因素，按照因地制宜、适度分散的原则，研究改进供热系统，力争到2025年城镇地区单位建筑面积供热能耗达到市级要求。</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持续巩固“无煤化”成果，组织强化巡查检查，确保群众清洁温暖过冬。</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区农业农村局</w:t>
            </w:r>
          </w:p>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10</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燃气锅炉深度治理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kern w:val="0"/>
                <w:szCs w:val="21"/>
              </w:rPr>
              <w:t>编制完善新城地区供热规划，协助做好西片区能源供应方案，逐步推进全区规划供热布局编制。</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11</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推动机动车清洁化</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新增和更新的公交车（不含应急保障车辆）为新能源车，新增和更新的巡游出租车（不含社会保障车辆和个体车辆）为纯电动或氢燃料电池车。鼓励新增和更新的市内旅游客运班线车、驾校C2培训车和考试用车为纯电动或氢燃料电池车。定制公交车优先使用新能源车。</w:t>
            </w:r>
          </w:p>
          <w:p>
            <w:pPr>
              <w:adjustRightInd w:val="0"/>
              <w:snapToGrid w:val="0"/>
              <w:rPr>
                <w:rFonts w:ascii="宋体" w:hAnsi="宋体" w:cs="宋体"/>
                <w:szCs w:val="21"/>
              </w:rPr>
            </w:pPr>
            <w:r>
              <w:rPr>
                <w:rFonts w:hint="eastAsia" w:ascii="宋体" w:hAnsi="宋体" w:cs="宋体"/>
                <w:szCs w:val="21"/>
              </w:rPr>
              <w:t>年底前，新能源公交车比例保持100%；纯电动或氢燃料电池的巡游出租车占比达到85%。研究在旅游景点周边设置新能源旅游客车专用停车场，引导鼓励区内旅游客运车优先使用新能源车。</w:t>
            </w:r>
          </w:p>
          <w:p>
            <w:pPr>
              <w:adjustRightInd w:val="0"/>
              <w:snapToGrid w:val="0"/>
              <w:rPr>
                <w:rFonts w:ascii="宋体" w:hAnsi="宋体" w:cs="宋体"/>
                <w:szCs w:val="21"/>
              </w:rPr>
            </w:pPr>
            <w:r>
              <w:rPr>
                <w:rFonts w:hint="eastAsia" w:ascii="宋体" w:hAnsi="宋体" w:cs="宋体"/>
                <w:szCs w:val="21"/>
              </w:rPr>
              <w:t>鼓励采取网约车平台优先派单、设置网约车充电泊位、落实网约车充电打折优惠方案、新能源网约车碳激励机制等措施，推动网约车使用新能源车辆。</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区文化和旅游局</w:t>
            </w:r>
          </w:p>
          <w:p>
            <w:pPr>
              <w:adjustRightInd w:val="0"/>
              <w:snapToGrid w:val="0"/>
              <w:jc w:val="center"/>
              <w:rPr>
                <w:rFonts w:ascii="宋体" w:hAnsi="宋体" w:cs="宋体"/>
                <w:szCs w:val="21"/>
              </w:rPr>
            </w:pPr>
            <w:r>
              <w:rPr>
                <w:rFonts w:hint="eastAsia" w:ascii="宋体" w:hAnsi="宋体" w:cs="宋体"/>
                <w:szCs w:val="21"/>
              </w:rPr>
              <w:t>区财政局</w:t>
            </w:r>
          </w:p>
          <w:p>
            <w:pPr>
              <w:adjustRightInd w:val="0"/>
              <w:snapToGrid w:val="0"/>
              <w:jc w:val="center"/>
              <w:rPr>
                <w:rFonts w:ascii="宋体" w:hAnsi="宋体" w:cs="宋体"/>
                <w:szCs w:val="21"/>
              </w:rPr>
            </w:pPr>
            <w:r>
              <w:rPr>
                <w:rFonts w:hint="eastAsia" w:ascii="宋体" w:hAnsi="宋体" w:cs="宋体"/>
                <w:szCs w:val="21"/>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协调民航华北地区管理局新增和更新的机场大巴（不含省际机场巴士业务）为纯电动或氢燃料电池车，年底前，纯电动或氢燃料电池车比例保持100%。</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区机场办</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摸排商超、快递等轻型物流配送车辆底数，通过落实鼓励政策等方式推动存量车电动化。</w:t>
            </w:r>
          </w:p>
          <w:p>
            <w:pPr>
              <w:adjustRightInd w:val="0"/>
              <w:snapToGrid w:val="0"/>
              <w:rPr>
                <w:rFonts w:ascii="宋体" w:hAnsi="宋体" w:cs="宋体"/>
                <w:szCs w:val="21"/>
              </w:rPr>
            </w:pPr>
            <w:r>
              <w:rPr>
                <w:rFonts w:hint="eastAsia" w:ascii="宋体" w:hAnsi="宋体" w:cs="宋体"/>
                <w:szCs w:val="21"/>
              </w:rPr>
              <w:t>新增和更新的商超、快递等轻型物流配送车辆</w:t>
            </w:r>
            <w:r>
              <w:rPr>
                <w:rFonts w:hint="eastAsia" w:ascii="宋体" w:hAnsi="宋体" w:cs="宋体"/>
                <w:szCs w:val="21"/>
                <w:lang w:eastAsia="zh-CN"/>
              </w:rPr>
              <w:t>中</w:t>
            </w:r>
            <w:r>
              <w:rPr>
                <w:rFonts w:hint="eastAsia" w:ascii="宋体" w:hAnsi="宋体" w:cs="宋体"/>
                <w:szCs w:val="21"/>
              </w:rPr>
              <w:t>纯电动或氢燃料电池车比例达到80%。</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ascii="宋体" w:hAnsi="宋体" w:cs="宋体"/>
                <w:szCs w:val="21"/>
              </w:rPr>
            </w:pPr>
            <w:r>
              <w:rPr>
                <w:rFonts w:hint="eastAsia" w:ascii="宋体" w:hAnsi="宋体" w:cs="宋体"/>
                <w:szCs w:val="21"/>
              </w:rPr>
              <w:t>区邮政局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新增和更新的环卫车（不含应急车、扫雪铲冰车）为纯电动或氢燃料电池车，年底前，纯电动或氢燃料电池车比例达到市城管委要求。</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区环境卫生服务中心</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新增和更新的4.5吨以下邮政车（不含机要通信车和郊区邮路盘驳邮政车）为纯电动或氢燃料电池车，年底前，纯电动或氢燃料电池车比例达到市级要求。</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区邮政局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宋体" w:hAnsi="宋体" w:cs="宋体"/>
                <w:szCs w:val="21"/>
              </w:rPr>
            </w:pPr>
            <w:r>
              <w:rPr>
                <w:rFonts w:hint="eastAsia" w:ascii="宋体" w:hAnsi="宋体" w:cs="宋体"/>
                <w:szCs w:val="21"/>
              </w:rPr>
              <w:t>落实国四柴油车等高排放车辆通行管控措施，动态建立辖区国四柴油车管理台账。</w:t>
            </w:r>
          </w:p>
          <w:p>
            <w:pPr>
              <w:adjustRightInd w:val="0"/>
              <w:snapToGrid w:val="0"/>
              <w:jc w:val="left"/>
              <w:rPr>
                <w:rFonts w:ascii="宋体" w:hAnsi="宋体" w:cs="宋体"/>
                <w:szCs w:val="21"/>
              </w:rPr>
            </w:pPr>
            <w:r>
              <w:rPr>
                <w:rFonts w:hint="eastAsia" w:ascii="宋体" w:hAnsi="宋体" w:cs="宋体"/>
                <w:szCs w:val="21"/>
              </w:rPr>
              <w:t>落实</w:t>
            </w:r>
            <w:r>
              <w:rPr>
                <w:rFonts w:hint="eastAsia" w:ascii="宋体" w:hAnsi="宋体" w:cs="宋体"/>
                <w:szCs w:val="21"/>
                <w:lang w:eastAsia="zh-CN"/>
              </w:rPr>
              <w:t>市级</w:t>
            </w:r>
            <w:r>
              <w:rPr>
                <w:rFonts w:hint="eastAsia" w:ascii="宋体" w:hAnsi="宋体" w:cs="宋体"/>
                <w:szCs w:val="21"/>
              </w:rPr>
              <w:t>《关于加快推进国四排放标准营运柴油货车淘汰和货车新能源化方案（2024-2025年）》，加快推进国四排放标准营运柴油货车淘汰和电动化。</w:t>
            </w:r>
          </w:p>
          <w:p>
            <w:pPr>
              <w:adjustRightInd w:val="0"/>
              <w:snapToGrid w:val="0"/>
              <w:rPr>
                <w:rFonts w:ascii="宋体" w:hAnsi="宋体" w:cs="宋体"/>
                <w:szCs w:val="21"/>
              </w:rPr>
            </w:pPr>
            <w:r>
              <w:rPr>
                <w:rFonts w:hint="eastAsia" w:ascii="宋体" w:hAnsi="宋体" w:cs="宋体"/>
                <w:szCs w:val="21"/>
              </w:rPr>
              <w:t>落实</w:t>
            </w:r>
            <w:r>
              <w:rPr>
                <w:rFonts w:hint="eastAsia" w:ascii="宋体" w:hAnsi="宋体" w:cs="宋体"/>
                <w:szCs w:val="21"/>
                <w:lang w:eastAsia="zh-CN"/>
              </w:rPr>
              <w:t>支持本市</w:t>
            </w:r>
            <w:r>
              <w:rPr>
                <w:rFonts w:hint="eastAsia" w:ascii="宋体" w:hAnsi="宋体" w:cs="宋体"/>
                <w:szCs w:val="21"/>
              </w:rPr>
              <w:t>新能源物流配送车辆优先通行的政策，进一步扩大优先通行的支持范围和力度。优化新能源轻微型货车车辆办证流程，制定落实区级新能源轻微型货车优先通行一站式办证政策。</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区公安分局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ascii="宋体" w:hAnsi="宋体" w:cs="宋体"/>
                <w:szCs w:val="21"/>
              </w:rPr>
            </w:pPr>
            <w:r>
              <w:rPr>
                <w:rFonts w:hint="eastAsia" w:ascii="宋体" w:hAnsi="宋体" w:cs="宋体"/>
                <w:szCs w:val="21"/>
              </w:rPr>
              <w:t>区财政局</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区农业农村局</w:t>
            </w:r>
          </w:p>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区教委</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区邮政局</w:t>
            </w:r>
          </w:p>
          <w:p>
            <w:pPr>
              <w:adjustRightInd w:val="0"/>
              <w:snapToGrid w:val="0"/>
              <w:jc w:val="center"/>
              <w:rPr>
                <w:rFonts w:ascii="宋体" w:hAnsi="宋体" w:cs="宋体"/>
                <w:szCs w:val="21"/>
              </w:rPr>
            </w:pPr>
            <w:r>
              <w:rPr>
                <w:rFonts w:hint="eastAsia" w:ascii="宋体" w:hAnsi="宋体" w:cs="宋体"/>
                <w:szCs w:val="21"/>
              </w:rPr>
              <w:t>区园林服务中心</w:t>
            </w:r>
          </w:p>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区环境卫生服务中心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12</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“油换电”“油换氢”示范项目</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通过消费券等方式开展新能源汽车促消费活动。</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区商务局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探索建立清洁运输示范车队。摸清并建立辖区内柴油货车用车大户（自有车辆达10辆以上，或日使用车辆大于20辆次）的重点企业台账。率先开展示范，推进相应重点企业开展零排放货物运输车队试点，加快自有车辆更新为新能源车，并租用新能源车。</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Times New Roman" w:hAnsi="Times New Roman"/>
                <w:szCs w:val="24"/>
              </w:rPr>
            </w:pPr>
            <w:r>
              <w:rPr>
                <w:rFonts w:hint="eastAsia" w:ascii="宋体" w:hAnsi="宋体" w:cs="宋体"/>
                <w:szCs w:val="21"/>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13</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非道路移动机械综合治理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严格实施国四非道路移动机械排放标准。</w:t>
            </w:r>
          </w:p>
          <w:p>
            <w:pPr>
              <w:adjustRightInd w:val="0"/>
              <w:snapToGrid w:val="0"/>
              <w:rPr>
                <w:rFonts w:ascii="宋体" w:hAnsi="宋体" w:cs="宋体"/>
                <w:szCs w:val="21"/>
              </w:rPr>
            </w:pPr>
            <w:r>
              <w:rPr>
                <w:rFonts w:hint="eastAsia" w:ascii="宋体" w:hAnsi="宋体" w:cs="宋体"/>
                <w:szCs w:val="21"/>
              </w:rPr>
              <w:t>住房城乡建设、城市管理、交通、水务、园林绿化、农业农村等部门加强对本行业在用非道路移动机械监管，做好编码登记和进出场登记管理，鼓励优先使用国三及以上排放标准机械和纯电动或氢燃料电池机械。</w:t>
            </w:r>
          </w:p>
          <w:p>
            <w:pPr>
              <w:adjustRightInd w:val="0"/>
              <w:snapToGrid w:val="0"/>
              <w:rPr>
                <w:rFonts w:ascii="宋体" w:hAnsi="宋体" w:cs="宋体"/>
                <w:szCs w:val="21"/>
              </w:rPr>
            </w:pPr>
            <w:r>
              <w:rPr>
                <w:rFonts w:hint="eastAsia" w:ascii="宋体" w:hAnsi="宋体" w:cs="宋体"/>
                <w:szCs w:val="21"/>
              </w:rPr>
              <w:t>各行业主管部门对施工工地、物流园区、机场、铁路货场、工厂等内部使用（非经营性加油站）油品质量实施严格管理，确保内部使用合格油品。</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ascii="宋体" w:hAnsi="宋体" w:cs="宋体"/>
                <w:szCs w:val="21"/>
              </w:rPr>
            </w:pPr>
            <w:r>
              <w:rPr>
                <w:rFonts w:hint="eastAsia" w:ascii="宋体" w:hAnsi="宋体" w:cs="宋体"/>
                <w:szCs w:val="21"/>
              </w:rPr>
              <w:t>区水务局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区农业农村局</w:t>
            </w:r>
          </w:p>
          <w:p>
            <w:pPr>
              <w:adjustRightInd w:val="0"/>
              <w:snapToGrid w:val="0"/>
              <w:jc w:val="center"/>
              <w:rPr>
                <w:rFonts w:ascii="宋体" w:hAnsi="宋体" w:cs="宋体"/>
                <w:szCs w:val="21"/>
              </w:rPr>
            </w:pPr>
            <w:r>
              <w:rPr>
                <w:rFonts w:hint="eastAsia" w:ascii="宋体" w:hAnsi="宋体" w:cs="宋体"/>
                <w:szCs w:val="21"/>
              </w:rPr>
              <w:t>区商务局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宋体" w:hAnsi="宋体" w:cs="宋体"/>
                <w:szCs w:val="21"/>
              </w:rPr>
            </w:pPr>
            <w:r>
              <w:rPr>
                <w:rFonts w:hint="eastAsia" w:ascii="宋体" w:hAnsi="宋体" w:cs="宋体"/>
                <w:szCs w:val="21"/>
              </w:rPr>
              <w:t>区生态环境局加强对非道路移动机械排放、编码登记状况的监督检查。</w:t>
            </w:r>
          </w:p>
          <w:p>
            <w:pPr>
              <w:adjustRightInd w:val="0"/>
              <w:snapToGrid w:val="0"/>
              <w:jc w:val="left"/>
              <w:rPr>
                <w:rFonts w:ascii="宋体" w:hAnsi="宋体" w:cs="宋体"/>
                <w:szCs w:val="21"/>
              </w:rPr>
            </w:pPr>
            <w:r>
              <w:rPr>
                <w:rFonts w:hint="eastAsia" w:ascii="宋体" w:hAnsi="宋体" w:cs="宋体"/>
                <w:szCs w:val="21"/>
              </w:rPr>
              <w:t>区住房城乡建设委配合市级部门依法将使用未经信息编码登记或者不符合排放标准的非道路移动机械的建设单位或者施工单位，记入信用信息记录，并开展行业督导。</w:t>
            </w:r>
          </w:p>
          <w:p>
            <w:pPr>
              <w:adjustRightInd w:val="0"/>
              <w:snapToGrid w:val="0"/>
              <w:jc w:val="left"/>
              <w:rPr>
                <w:rFonts w:ascii="宋体" w:hAnsi="宋体" w:cs="宋体"/>
                <w:szCs w:val="21"/>
              </w:rPr>
            </w:pPr>
            <w:r>
              <w:rPr>
                <w:rFonts w:hint="eastAsia" w:ascii="宋体" w:hAnsi="宋体" w:cs="宋体"/>
                <w:szCs w:val="21"/>
                <w:lang w:eastAsia="zh-CN"/>
              </w:rPr>
              <w:t>区经济和信息化局</w:t>
            </w:r>
            <w:r>
              <w:rPr>
                <w:rFonts w:hint="eastAsia" w:ascii="宋体" w:hAnsi="宋体" w:cs="宋体"/>
                <w:szCs w:val="21"/>
              </w:rPr>
              <w:t>、区商务局、区交通局组织推进重点企业、工业园区、铁路货场、物流园区的场内国四排放标准货车、国二及以下(含X阶段)排放标准非道路移动机械淘汰。</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区商务局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以工业园区、物流园区、铁路货场等企业使用为重点，加快推进3吨及以下的叉车基本为纯电动或氢燃料电池叉车。全年累计推广电动化叉车300辆。</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区市场监管局</w:t>
            </w:r>
          </w:p>
          <w:p>
            <w:pPr>
              <w:adjustRightInd w:val="0"/>
              <w:snapToGrid w:val="0"/>
              <w:jc w:val="center"/>
              <w:rPr>
                <w:rFonts w:ascii="宋体" w:hAnsi="宋体" w:cs="宋体"/>
                <w:szCs w:val="21"/>
              </w:rPr>
            </w:pPr>
            <w:r>
              <w:rPr>
                <w:rFonts w:hint="eastAsia" w:ascii="宋体" w:hAnsi="宋体" w:cs="宋体"/>
                <w:szCs w:val="21"/>
              </w:rPr>
              <w:t>区经济和信息化局</w:t>
            </w:r>
          </w:p>
          <w:p>
            <w:pPr>
              <w:adjustRightInd w:val="0"/>
              <w:snapToGrid w:val="0"/>
              <w:jc w:val="center"/>
              <w:rPr>
                <w:rFonts w:ascii="宋体" w:hAnsi="宋体" w:cs="宋体"/>
                <w:szCs w:val="21"/>
              </w:rPr>
            </w:pPr>
            <w:r>
              <w:rPr>
                <w:rFonts w:hint="eastAsia" w:ascii="宋体" w:hAnsi="宋体" w:cs="宋体"/>
                <w:szCs w:val="21"/>
              </w:rPr>
              <w:t>区商务局</w:t>
            </w:r>
          </w:p>
          <w:p>
            <w:pPr>
              <w:adjustRightInd w:val="0"/>
              <w:snapToGrid w:val="0"/>
              <w:jc w:val="center"/>
              <w:rPr>
                <w:rFonts w:ascii="宋体" w:hAnsi="宋体" w:cs="宋体"/>
                <w:szCs w:val="21"/>
              </w:rPr>
            </w:pPr>
            <w:r>
              <w:rPr>
                <w:rFonts w:hint="eastAsia" w:ascii="宋体" w:hAnsi="宋体" w:cs="宋体"/>
                <w:szCs w:val="21"/>
              </w:rPr>
              <w:t>区交通局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黄村镇人民政府</w:t>
            </w:r>
          </w:p>
          <w:p>
            <w:pPr>
              <w:adjustRightInd w:val="0"/>
              <w:snapToGrid w:val="0"/>
              <w:jc w:val="center"/>
              <w:rPr>
                <w:rFonts w:ascii="宋体" w:hAnsi="宋体" w:cs="宋体"/>
                <w:szCs w:val="21"/>
              </w:rPr>
            </w:pPr>
            <w:r>
              <w:rPr>
                <w:rFonts w:hint="eastAsia" w:ascii="宋体" w:hAnsi="宋体" w:cs="宋体"/>
                <w:szCs w:val="21"/>
              </w:rPr>
              <w:t>瀛海镇人民政府</w:t>
            </w:r>
          </w:p>
          <w:p>
            <w:pPr>
              <w:adjustRightInd w:val="0"/>
              <w:snapToGrid w:val="0"/>
              <w:jc w:val="center"/>
              <w:rPr>
                <w:rFonts w:ascii="宋体" w:hAnsi="宋体" w:cs="宋体"/>
                <w:szCs w:val="21"/>
              </w:rPr>
            </w:pPr>
            <w:r>
              <w:rPr>
                <w:rFonts w:hint="eastAsia" w:ascii="宋体" w:hAnsi="宋体" w:cs="宋体"/>
                <w:szCs w:val="21"/>
              </w:rPr>
              <w:t>天宫院街道办事处</w:t>
            </w:r>
          </w:p>
          <w:p>
            <w:pPr>
              <w:adjustRightInd w:val="0"/>
              <w:snapToGrid w:val="0"/>
              <w:jc w:val="center"/>
              <w:rPr>
                <w:rFonts w:ascii="宋体" w:hAnsi="宋体" w:cs="宋体"/>
                <w:szCs w:val="21"/>
              </w:rPr>
            </w:pPr>
            <w:r>
              <w:rPr>
                <w:rFonts w:hint="eastAsia" w:ascii="宋体" w:hAnsi="宋体" w:cs="宋体"/>
                <w:szCs w:val="21"/>
              </w:rPr>
              <w:t>大兴生物医药基地管委会</w:t>
            </w:r>
          </w:p>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大兴经济开发区管委会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14</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强化移动源排放监管</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公安交</w:t>
            </w:r>
            <w:bookmarkStart w:id="1" w:name="lawyee_13550_8"/>
            <w:r>
              <w:rPr>
                <w:rFonts w:hint="eastAsia" w:ascii="宋体" w:hAnsi="宋体" w:cs="宋体"/>
                <w:szCs w:val="21"/>
              </w:rPr>
              <w:t>管、生态环境部门</w:t>
            </w:r>
            <w:bookmarkEnd w:id="1"/>
            <w:r>
              <w:rPr>
                <w:rFonts w:hint="eastAsia" w:ascii="宋体" w:hAnsi="宋体" w:cs="宋体"/>
                <w:szCs w:val="21"/>
              </w:rPr>
              <w:t>全年在进京路口和市内主要道路完成17.75万辆次以上的重型柴油车和重型燃气车人工检查。</w:t>
            </w:r>
          </w:p>
          <w:p>
            <w:pPr>
              <w:adjustRightInd w:val="0"/>
              <w:snapToGrid w:val="0"/>
              <w:jc w:val="left"/>
              <w:rPr>
                <w:rFonts w:ascii="宋体" w:hAnsi="宋体" w:cs="宋体"/>
                <w:szCs w:val="21"/>
              </w:rPr>
            </w:pPr>
            <w:r>
              <w:rPr>
                <w:rFonts w:hint="eastAsia" w:ascii="宋体" w:hAnsi="宋体" w:cs="宋体"/>
                <w:szCs w:val="21"/>
              </w:rPr>
              <w:t>7月1日起，执行国家在用汽油车和柴油车排放标准b限值，强化在用车排放检测。</w:t>
            </w:r>
          </w:p>
          <w:p>
            <w:pPr>
              <w:adjustRightInd w:val="0"/>
              <w:snapToGrid w:val="0"/>
              <w:rPr>
                <w:rFonts w:ascii="宋体" w:hAnsi="宋体" w:cs="宋体"/>
                <w:szCs w:val="21"/>
              </w:rPr>
            </w:pPr>
            <w:r>
              <w:rPr>
                <w:rFonts w:hint="eastAsia" w:ascii="宋体" w:hAnsi="宋体" w:cs="宋体"/>
                <w:szCs w:val="21"/>
              </w:rPr>
              <w:t>市场监管、生态环境、公安交管等部门牵头按职责分工，对机动车检验机构的违法行为及其他不符合规范的行为进行处罚、记分、曝光。</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按时间节点完成</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区公安交通支队</w:t>
            </w:r>
          </w:p>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区市场监管局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加强本区摩托车治理，开展专项执法整治，加大处罚违法行为力度。</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区公安交通支队</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推进运输结构调整工作</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落实</w:t>
            </w:r>
            <w:r>
              <w:rPr>
                <w:rFonts w:hint="eastAsia" w:ascii="宋体" w:hAnsi="宋体" w:cs="宋体"/>
                <w:szCs w:val="21"/>
                <w:lang w:eastAsia="zh-CN"/>
              </w:rPr>
              <w:t>本市</w:t>
            </w:r>
            <w:r>
              <w:rPr>
                <w:rFonts w:hint="eastAsia" w:ascii="宋体" w:hAnsi="宋体" w:cs="宋体"/>
                <w:szCs w:val="21"/>
              </w:rPr>
              <w:t>“十四五”时期推进矿建材料、商品车等重点大宗物资运输结构优化调整行动计划，持续推进重点大宗货类“公转铁”，推动部分铁路货运场站扩能改造及设施升级，利用好市域范围内“小铁路”资源，全区货物到发绿色运输（含铁路和新能源货车）的比例持续增长。</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（区推进运输结构调整工作推进小组办公室）</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区推进运输结构调整工作推进小组成员单位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419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黑体" w:hAnsi="黑体" w:eastAsia="黑体" w:cs="黑体"/>
                <w:szCs w:val="21"/>
              </w:rPr>
              <w:t>四、提升城市环境精细化管控水平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16</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精细化治理示范项目</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szCs w:val="21"/>
              </w:rPr>
              <w:t>深化“一微克”行动，编制实施大气污染防治强化措施计划。</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4月底前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制定实施新城地区大气精细化治理工作方案，带动促进区域大气环境质量改善。</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提高扬尘管控要求，推动具备条件的施工工地,采取基坑气膜等全密闭施工方式,减少扬尘、噪声等污染。落实“绿牌”工地各项鼓励政策，以新城地区为重点，推进全区符合条件的项目创建“绿牌”工地。</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17</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落实扬尘管控责任</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rPr>
              <w:t>大兴区降尘量</w:t>
            </w:r>
            <w:r>
              <w:rPr>
                <w:rFonts w:hint="eastAsia" w:ascii="宋体" w:hAnsi="宋体" w:cs="宋体"/>
                <w:szCs w:val="21"/>
              </w:rPr>
              <w:t>控制在5吨/平方公里·月左右（扣除沙尘影响）。</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rPr>
            </w:pPr>
            <w:r>
              <w:rPr>
                <w:rFonts w:hint="eastAsia" w:ascii="宋体" w:hAnsi="宋体" w:cs="宋体"/>
              </w:rPr>
              <w:t>各镇、街道、产业园区降尘量控制在5吨/平方公里·月左右（扣除沙尘影响）。</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17</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落实扬尘管控责任</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督促工地（场站）严格落实扬尘管控措施及“门前三包”，强化工地（场站）出口100米范围内巡查和清扫保洁，道路尘负荷持续下降。</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ascii="宋体" w:hAnsi="宋体" w:cs="宋体"/>
                <w:szCs w:val="21"/>
              </w:rPr>
            </w:pPr>
            <w:r>
              <w:rPr>
                <w:rFonts w:hint="eastAsia" w:ascii="宋体" w:hAnsi="宋体" w:cs="宋体"/>
                <w:szCs w:val="21"/>
              </w:rPr>
              <w:t>区水务局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bCs/>
                <w:szCs w:val="21"/>
              </w:rPr>
            </w:pPr>
            <w:r>
              <w:rPr>
                <w:rFonts w:hint="eastAsia" w:ascii="宋体" w:hAnsi="宋体" w:cs="宋体"/>
                <w:bCs/>
                <w:szCs w:val="21"/>
              </w:rPr>
              <w:t>定期通报各镇、街道、产业园区降尘量、粗颗粒物（TSP）浓度、道路尘负荷、尘土残存量等排名情况。</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rPr>
            </w:pPr>
            <w:r>
              <w:rPr>
                <w:rFonts w:hint="eastAsia" w:ascii="宋体" w:hAnsi="宋体" w:cs="宋体"/>
              </w:rPr>
              <w:t>区生态环境局</w:t>
            </w:r>
          </w:p>
          <w:p>
            <w:pPr>
              <w:adjustRightInd w:val="0"/>
              <w:snapToGrid w:val="0"/>
              <w:jc w:val="center"/>
              <w:rPr>
                <w:rFonts w:ascii="宋体" w:hAnsi="宋体" w:cs="宋体"/>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18</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提高扬尘监管水平</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lang w:eastAsia="zh-CN"/>
              </w:rPr>
              <w:t>区城市管理委</w:t>
            </w:r>
            <w:r>
              <w:rPr>
                <w:rFonts w:hint="eastAsia" w:ascii="宋体" w:hAnsi="宋体" w:cs="宋体"/>
                <w:szCs w:val="21"/>
              </w:rPr>
              <w:t>进一步提升道路清扫保洁水平，不断降低道路尘土残存量。</w:t>
            </w:r>
          </w:p>
          <w:p>
            <w:pPr>
              <w:adjustRightInd w:val="0"/>
              <w:snapToGrid w:val="0"/>
              <w:rPr>
                <w:rFonts w:ascii="宋体" w:hAnsi="宋体" w:cs="宋体"/>
                <w:szCs w:val="21"/>
              </w:rPr>
            </w:pPr>
            <w:r>
              <w:rPr>
                <w:rFonts w:hint="eastAsia" w:ascii="宋体" w:hAnsi="宋体" w:cs="宋体"/>
                <w:szCs w:val="21"/>
                <w:lang w:eastAsia="zh-CN"/>
              </w:rPr>
              <w:t>区城市管理委</w:t>
            </w:r>
            <w:r>
              <w:rPr>
                <w:rFonts w:hint="eastAsia" w:ascii="宋体" w:hAnsi="宋体" w:cs="宋体"/>
                <w:szCs w:val="21"/>
              </w:rPr>
              <w:t>、</w:t>
            </w:r>
            <w:r>
              <w:rPr>
                <w:rFonts w:hint="eastAsia" w:ascii="宋体" w:hAnsi="宋体" w:cs="宋体"/>
                <w:szCs w:val="21"/>
                <w:lang w:eastAsia="zh-CN"/>
              </w:rPr>
              <w:t>区环境卫生服务中心</w:t>
            </w:r>
            <w:r>
              <w:rPr>
                <w:rFonts w:hint="eastAsia" w:ascii="宋体" w:hAnsi="宋体" w:cs="宋体"/>
                <w:szCs w:val="21"/>
              </w:rPr>
              <w:t>建立相应机制，加强城市道路遗撒快速发现、快速处置能力建设，遗撒线索及时移交相关执法部门查处；区城管执法局指导各属地综合执法队加强遗撒溯源，实现从发现遗撒问题到追溯工地源头全链条管理。</w:t>
            </w:r>
          </w:p>
          <w:p>
            <w:pPr>
              <w:adjustRightInd w:val="0"/>
              <w:snapToGrid w:val="0"/>
              <w:rPr>
                <w:rFonts w:ascii="宋体" w:hAnsi="宋体" w:cs="宋体"/>
                <w:szCs w:val="21"/>
              </w:rPr>
            </w:pPr>
            <w:r>
              <w:rPr>
                <w:rFonts w:hint="eastAsia" w:ascii="宋体" w:hAnsi="宋体" w:cs="宋体"/>
                <w:szCs w:val="21"/>
              </w:rPr>
              <w:t>区公路分局加强县级以上普通公路、高速公路出入口、匝道清扫保洁工作，落实公路、高速公路清扫保洁标准，进一步提升京良路、黄亦路、兴亦路、兴良路、芦求路、南中轴路等道路清扫保洁水平。</w:t>
            </w:r>
          </w:p>
          <w:p>
            <w:pPr>
              <w:adjustRightInd w:val="0"/>
              <w:snapToGrid w:val="0"/>
              <w:rPr>
                <w:rFonts w:ascii="宋体" w:hAnsi="宋体" w:cs="宋体"/>
                <w:szCs w:val="21"/>
              </w:rPr>
            </w:pPr>
            <w:r>
              <w:rPr>
                <w:rFonts w:hint="eastAsia" w:ascii="宋体" w:hAnsi="宋体" w:cs="宋体"/>
                <w:szCs w:val="21"/>
                <w:lang w:eastAsia="zh-CN"/>
              </w:rPr>
              <w:t>各镇、街道，产业园区管委会</w:t>
            </w:r>
            <w:r>
              <w:rPr>
                <w:rFonts w:hint="eastAsia" w:ascii="宋体" w:hAnsi="宋体" w:cs="宋体"/>
                <w:szCs w:val="21"/>
              </w:rPr>
              <w:t>持续推进辖区内农村道路和街巷规范化清扫保洁工作。推进清扫保洁范围向背街小巷延伸。</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区城管执法局</w:t>
            </w:r>
          </w:p>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hint="eastAsia" w:ascii="宋体" w:hAnsi="宋体" w:eastAsia="宋体" w:cs="宋体"/>
                <w:szCs w:val="21"/>
                <w:lang w:eastAsia="zh-CN"/>
              </w:rPr>
            </w:pPr>
            <w:r>
              <w:rPr>
                <w:rFonts w:hint="eastAsia" w:ascii="宋体" w:hAnsi="宋体" w:cs="宋体"/>
                <w:szCs w:val="21"/>
                <w:lang w:eastAsia="zh-CN"/>
              </w:rPr>
              <w:t>区环境卫生服务中心</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根据实际情况科学规划处置场布局，在满足辖区建筑垃圾处置需求的情况下，退出落后、过剩产能，达到“规范一批、退出一批”的整治效果；合规保留的建筑垃圾消纳场实现生产密闭化、清洁化。</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园林绿化部门强化绿化过程技术指导，开展裸地生态治理和林下植被种植。加强园林绿化扬尘管理，研究完善适合不同裸地类型的扬尘生物覆盖治理措施。</w:t>
            </w:r>
          </w:p>
          <w:p>
            <w:pPr>
              <w:adjustRightInd w:val="0"/>
              <w:snapToGrid w:val="0"/>
              <w:rPr>
                <w:rFonts w:ascii="宋体" w:hAnsi="宋体" w:cs="宋体"/>
                <w:szCs w:val="21"/>
              </w:rPr>
            </w:pPr>
            <w:r>
              <w:rPr>
                <w:rFonts w:hint="eastAsia" w:ascii="宋体" w:hAnsi="宋体" w:cs="宋体"/>
                <w:szCs w:val="21"/>
              </w:rPr>
              <w:t>农业农村部门强化农作物耕收技术指导，推广应用保护性耕作技术，结合实际种植越冬作物，避免耕地长期裸露。</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区农业农村局</w:t>
            </w:r>
          </w:p>
          <w:p>
            <w:pPr>
              <w:adjustRightInd w:val="0"/>
              <w:snapToGrid w:val="0"/>
              <w:jc w:val="center"/>
              <w:rPr>
                <w:rFonts w:ascii="宋体" w:hAnsi="宋体" w:cs="宋体"/>
                <w:szCs w:val="21"/>
              </w:rPr>
            </w:pPr>
            <w:r>
              <w:rPr>
                <w:rFonts w:hint="eastAsia" w:ascii="宋体" w:hAnsi="宋体" w:cs="宋体"/>
                <w:szCs w:val="21"/>
              </w:rPr>
              <w:t>区园林服务中心</w:t>
            </w:r>
          </w:p>
          <w:p>
            <w:pPr>
              <w:adjustRightInd w:val="0"/>
              <w:snapToGrid w:val="0"/>
              <w:jc w:val="center"/>
              <w:rPr>
                <w:rFonts w:ascii="宋体" w:hAnsi="宋体" w:cs="宋体"/>
                <w:szCs w:val="21"/>
              </w:rPr>
            </w:pPr>
            <w:r>
              <w:rPr>
                <w:rFonts w:hint="eastAsia" w:ascii="宋体" w:hAnsi="宋体" w:cs="宋体"/>
                <w:szCs w:val="21"/>
              </w:rPr>
              <w:t>区农业服务中心</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19</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完善扬尘管控工作机制</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区住房城乡建设委巩固施工扬尘防治精细化管理成效，</w:t>
            </w:r>
            <w:r>
              <w:rPr>
                <w:rFonts w:hint="eastAsia" w:ascii="宋体" w:hAnsi="宋体" w:cs="宋体"/>
              </w:rPr>
              <w:t>加强施工扬尘视频监管平台使用；加强施工</w:t>
            </w:r>
            <w:r>
              <w:rPr>
                <w:rFonts w:hint="eastAsia" w:ascii="宋体" w:hAnsi="宋体" w:cs="宋体"/>
                <w:szCs w:val="21"/>
              </w:rPr>
              <w:t>扬尘管控情况通报，督促落实施工扬尘管控措施，确保扬尘不出工地。</w:t>
            </w:r>
          </w:p>
          <w:p>
            <w:pPr>
              <w:adjustRightInd w:val="0"/>
              <w:snapToGrid w:val="0"/>
              <w:rPr>
                <w:rFonts w:ascii="宋体" w:hAnsi="宋体" w:cs="宋体"/>
                <w:szCs w:val="21"/>
              </w:rPr>
            </w:pPr>
            <w:r>
              <w:rPr>
                <w:rFonts w:hint="eastAsia" w:ascii="宋体" w:hAnsi="宋体" w:cs="宋体"/>
              </w:rPr>
              <w:t>各行业主管部门、各属地加强施工扬尘视频监管平台使用，发现问题及时督促整改并移送相关城管执法部门依法处罚。</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区水务局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区城管执法局</w:t>
            </w:r>
          </w:p>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城管执法部门加强对属地扬尘执法工作的指导，定期通报考评空气质量排名靠后属地执法检查情况。完善问题移送反馈机制，及时对部门移送的扬尘问题查处结果进行闭环反馈。</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区城管执法局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区水务局</w:t>
            </w:r>
          </w:p>
          <w:p>
            <w:pPr>
              <w:adjustRightInd w:val="0"/>
              <w:snapToGrid w:val="0"/>
              <w:jc w:val="center"/>
              <w:rPr>
                <w:rFonts w:ascii="宋体" w:hAnsi="宋体" w:cs="宋体"/>
                <w:szCs w:val="21"/>
              </w:rPr>
            </w:pPr>
            <w:r>
              <w:rPr>
                <w:rFonts w:hint="eastAsia" w:ascii="宋体" w:hAnsi="宋体" w:cs="宋体"/>
                <w:szCs w:val="21"/>
              </w:rPr>
              <w:t>区园林绿化局</w:t>
            </w:r>
          </w:p>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20</w:t>
            </w:r>
          </w:p>
        </w:tc>
        <w:tc>
          <w:tcPr>
            <w:tcW w:w="148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宋体" w:hAnsi="宋体" w:cs="宋体"/>
                <w:szCs w:val="21"/>
              </w:rPr>
            </w:pPr>
            <w:r>
              <w:rPr>
                <w:rFonts w:hint="eastAsia" w:ascii="宋体" w:hAnsi="宋体" w:cs="宋体"/>
                <w:szCs w:val="21"/>
              </w:rPr>
              <w:t>加强餐饮油烟源头管控</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市场监管部门与生态环境部门依托大数据平台加强餐饮项目办理营业执照、食品经营许可证等信息的共享。</w:t>
            </w:r>
          </w:p>
          <w:p>
            <w:pPr>
              <w:adjustRightInd w:val="0"/>
              <w:snapToGrid w:val="0"/>
              <w:rPr>
                <w:rFonts w:ascii="宋体" w:hAnsi="宋体" w:cs="宋体"/>
                <w:szCs w:val="21"/>
              </w:rPr>
            </w:pPr>
            <w:r>
              <w:rPr>
                <w:rFonts w:hint="eastAsia" w:ascii="宋体" w:hAnsi="宋体" w:cs="宋体"/>
                <w:szCs w:val="21"/>
              </w:rPr>
              <w:t>区生态环境局、区商务局加强研判，结合实际情况开展事前帮扶指导，通过宣传《餐饮行业污染防治手册》提升餐饮单位合规意识和水平，并做好事中事后监管。</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rPr>
            </w:pPr>
            <w:r>
              <w:rPr>
                <w:rFonts w:hint="eastAsia" w:ascii="宋体" w:hAnsi="宋体" w:cs="宋体"/>
              </w:rPr>
              <w:t>区生态环境局</w:t>
            </w:r>
          </w:p>
          <w:p>
            <w:pPr>
              <w:adjustRightInd w:val="0"/>
              <w:snapToGrid w:val="0"/>
              <w:jc w:val="center"/>
              <w:rPr>
                <w:rFonts w:ascii="宋体" w:hAnsi="宋体" w:cs="宋体"/>
              </w:rPr>
            </w:pPr>
            <w:r>
              <w:rPr>
                <w:rFonts w:hint="eastAsia" w:ascii="宋体" w:hAnsi="宋体" w:cs="宋体"/>
              </w:rPr>
              <w:t>区市场监管局</w:t>
            </w:r>
          </w:p>
          <w:p>
            <w:pPr>
              <w:adjustRightInd w:val="0"/>
              <w:snapToGrid w:val="0"/>
              <w:jc w:val="center"/>
              <w:rPr>
                <w:rFonts w:ascii="宋体" w:hAnsi="宋体" w:cs="宋体"/>
              </w:rPr>
            </w:pPr>
            <w:r>
              <w:rPr>
                <w:rFonts w:hint="eastAsia" w:ascii="宋体" w:hAnsi="宋体" w:cs="宋体"/>
                <w:szCs w:val="21"/>
              </w:rPr>
              <w:t>区商务局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462" w:type="dxa"/>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21</w:t>
            </w:r>
          </w:p>
        </w:tc>
        <w:tc>
          <w:tcPr>
            <w:tcW w:w="1480" w:type="dxa"/>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加强氨、恶臭等污染治理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针对畜禽养殖是本市氨排放重要来源的特点，配合市级部门开展畜禽养殖业氨排放控制研究和试点监测工作。</w:t>
            </w:r>
          </w:p>
          <w:p>
            <w:pPr>
              <w:adjustRightInd w:val="0"/>
              <w:snapToGrid w:val="0"/>
              <w:rPr>
                <w:rFonts w:ascii="宋体" w:hAnsi="宋体" w:cs="宋体"/>
                <w:szCs w:val="21"/>
              </w:rPr>
            </w:pPr>
            <w:r>
              <w:rPr>
                <w:rFonts w:hint="eastAsia" w:ascii="宋体" w:hAnsi="宋体" w:cs="宋体"/>
                <w:szCs w:val="21"/>
              </w:rPr>
              <w:t>区农业农村局组织开展畜禽养殖粪污治理和综合利用工作，严格控制畜禽养殖氨排放。</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区农业农村局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462" w:type="dxa"/>
            <w:vMerge w:val="restart"/>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21</w:t>
            </w:r>
          </w:p>
        </w:tc>
        <w:tc>
          <w:tcPr>
            <w:tcW w:w="1480" w:type="dxa"/>
            <w:vMerge w:val="restart"/>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加强氨、恶臭等污染治理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ascii="宋体" w:hAnsi="宋体" w:cs="宋体"/>
                <w:szCs w:val="21"/>
              </w:rPr>
            </w:pPr>
            <w:r>
              <w:rPr>
                <w:rFonts w:hint="eastAsia" w:ascii="宋体" w:hAnsi="宋体" w:cs="宋体"/>
                <w:szCs w:val="21"/>
              </w:rPr>
              <w:t>落实《北京市沥青混合料搅拌站绿色生产技术指南》。加强对生产单位、施工单位的宣传引导，鼓励其结合作业位置，合理规划运输路线、统筹安排作业时间。探索针对产品装车、运输等VOCs易挥发逸散环节的VOCs控制对策。</w:t>
            </w:r>
          </w:p>
          <w:p>
            <w:pPr>
              <w:adjustRightInd w:val="0"/>
              <w:snapToGrid w:val="0"/>
              <w:rPr>
                <w:rFonts w:ascii="宋体" w:hAnsi="宋体" w:cs="宋体"/>
                <w:szCs w:val="21"/>
              </w:rPr>
            </w:pPr>
            <w:r>
              <w:rPr>
                <w:rFonts w:hint="eastAsia" w:ascii="宋体" w:hAnsi="宋体" w:cs="宋体"/>
                <w:szCs w:val="21"/>
              </w:rPr>
              <w:t>实施交通行业推广绿色沥青混合料应用的指导意见，鼓励提升道路应用温拌、高效再生、高性能改性等低污染、低能耗、高性能、高星级的绿色沥青混合料比例。</w:t>
            </w:r>
          </w:p>
          <w:p>
            <w:pPr>
              <w:adjustRightInd w:val="0"/>
              <w:snapToGrid w:val="0"/>
              <w:rPr>
                <w:rFonts w:ascii="宋体" w:hAnsi="宋体" w:cs="宋体"/>
                <w:szCs w:val="21"/>
              </w:rPr>
            </w:pPr>
            <w:r>
              <w:rPr>
                <w:rFonts w:hint="eastAsia" w:ascii="宋体" w:hAnsi="宋体" w:cs="宋体"/>
                <w:szCs w:val="21"/>
              </w:rPr>
              <w:t>政府投资修建道路使用高星级的绿色沥青混合料比例。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ascii="宋体" w:hAnsi="宋体" w:cs="宋体"/>
                <w:szCs w:val="21"/>
              </w:rPr>
            </w:pPr>
            <w:r>
              <w:rPr>
                <w:rFonts w:hint="eastAsia" w:ascii="宋体" w:hAnsi="宋体" w:cs="宋体"/>
                <w:szCs w:val="21"/>
              </w:rPr>
              <w:t>区住房城乡建设委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持续做好本市消耗臭氧层物质企业备案管理，加强对未备案及使用淘汰物质违法行为的执法检查。</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4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宋体" w:hAnsi="宋体" w:cs="宋体"/>
                <w:szCs w:val="21"/>
              </w:rPr>
            </w:pPr>
            <w:r>
              <w:rPr>
                <w:rFonts w:hint="eastAsia" w:ascii="宋体" w:hAnsi="宋体" w:cs="宋体"/>
                <w:szCs w:val="21"/>
              </w:rPr>
              <w:t>22</w:t>
            </w:r>
          </w:p>
        </w:tc>
        <w:tc>
          <w:tcPr>
            <w:tcW w:w="1480" w:type="dxa"/>
            <w:vMerge w:val="restart"/>
            <w:tcBorders>
              <w:top w:val="single" w:color="auto" w:sz="4" w:space="0"/>
              <w:left w:val="nil"/>
              <w:right w:val="single" w:color="auto" w:sz="4" w:space="0"/>
            </w:tcBorders>
            <w:noWrap w:val="0"/>
            <w:vAlign w:val="center"/>
          </w:tcPr>
          <w:p>
            <w:pPr>
              <w:widowControl/>
              <w:adjustRightInd w:val="0"/>
              <w:snapToGrid w:val="0"/>
              <w:jc w:val="center"/>
              <w:rPr>
                <w:rFonts w:ascii="宋体" w:hAnsi="宋体" w:cs="宋体"/>
                <w:szCs w:val="21"/>
              </w:rPr>
            </w:pPr>
            <w:r>
              <w:rPr>
                <w:rFonts w:hint="eastAsia" w:ascii="宋体" w:hAnsi="宋体" w:cs="宋体"/>
                <w:szCs w:val="21"/>
              </w:rPr>
              <w:t>倡导绿色生活方式</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加强宣传，引导公众形成绿色生活方式，鼓励公众绿色出行；积极开展文明祭祀宣传，引导市民遵守文明行为规范，倡导文明、低碳、绿色祭祀。</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区委宣传部</w:t>
            </w:r>
          </w:p>
          <w:p>
            <w:pPr>
              <w:adjustRightInd w:val="0"/>
              <w:snapToGrid w:val="0"/>
              <w:jc w:val="center"/>
              <w:rPr>
                <w:rFonts w:ascii="宋体" w:hAnsi="宋体" w:cs="宋体"/>
                <w:szCs w:val="21"/>
              </w:rPr>
            </w:pPr>
            <w:r>
              <w:rPr>
                <w:rFonts w:hint="eastAsia" w:ascii="宋体" w:hAnsi="宋体" w:cs="宋体"/>
                <w:szCs w:val="21"/>
              </w:rPr>
              <w:t>（区文明办）</w:t>
            </w:r>
          </w:p>
          <w:p>
            <w:pPr>
              <w:adjustRightInd w:val="0"/>
              <w:snapToGrid w:val="0"/>
              <w:jc w:val="center"/>
              <w:rPr>
                <w:rFonts w:ascii="宋体" w:hAnsi="宋体" w:cs="宋体"/>
                <w:szCs w:val="21"/>
              </w:rPr>
            </w:pPr>
            <w:r>
              <w:rPr>
                <w:rFonts w:hint="eastAsia" w:ascii="宋体" w:hAnsi="宋体" w:cs="宋体"/>
                <w:szCs w:val="21"/>
              </w:rPr>
              <w:t>区民政局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落实《北京市烟花爆竹安全管理规定》和大兴区关于烟花爆竹禁限放等规定。</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区公安分局</w:t>
            </w:r>
          </w:p>
          <w:p>
            <w:pPr>
              <w:adjustRightInd w:val="0"/>
              <w:snapToGrid w:val="0"/>
              <w:jc w:val="center"/>
              <w:rPr>
                <w:rFonts w:ascii="宋体" w:hAnsi="宋体" w:cs="宋体"/>
                <w:szCs w:val="21"/>
              </w:rPr>
            </w:pPr>
            <w:r>
              <w:rPr>
                <w:rFonts w:hint="eastAsia" w:ascii="宋体" w:hAnsi="宋体" w:cs="宋体"/>
                <w:szCs w:val="21"/>
              </w:rPr>
              <w:t>区应急局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23</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加强噪声污染治理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配合市级部门完成声环境质量监测站点建设，推进噪声监测联网及分析信息化平台的建设。推进声环境功能区划调整发布。</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优化夜间施工证明办理条件和程序，加大服务指导力度。</w:t>
            </w:r>
          </w:p>
          <w:p>
            <w:pPr>
              <w:adjustRightInd w:val="0"/>
              <w:snapToGrid w:val="0"/>
              <w:rPr>
                <w:rFonts w:ascii="宋体" w:hAnsi="宋体" w:cs="宋体"/>
                <w:szCs w:val="21"/>
              </w:rPr>
            </w:pPr>
            <w:r>
              <w:rPr>
                <w:rFonts w:hint="eastAsia" w:ascii="宋体" w:hAnsi="宋体" w:cs="宋体"/>
                <w:szCs w:val="21"/>
              </w:rPr>
              <w:t>按照市级单位要求，依据房屋建筑和市政基础设施工程施工现场绿色施工考核评价办法，将噪声扰民情况纳入大兴区监管项目的考核。</w:t>
            </w:r>
          </w:p>
          <w:p>
            <w:pPr>
              <w:adjustRightInd w:val="0"/>
              <w:snapToGrid w:val="0"/>
              <w:rPr>
                <w:rFonts w:ascii="宋体" w:hAnsi="宋体" w:cs="宋体"/>
                <w:szCs w:val="21"/>
              </w:rPr>
            </w:pPr>
            <w:r>
              <w:rPr>
                <w:rFonts w:hint="eastAsia" w:ascii="宋体" w:hAnsi="宋体" w:cs="宋体"/>
                <w:szCs w:val="21"/>
              </w:rPr>
              <w:t>加大违法夜间施工查处力度。</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区城管执法局</w:t>
            </w:r>
          </w:p>
          <w:p>
            <w:pPr>
              <w:adjustRightInd w:val="0"/>
              <w:snapToGrid w:val="0"/>
              <w:jc w:val="center"/>
              <w:rPr>
                <w:rFonts w:ascii="宋体" w:hAnsi="宋体" w:cs="宋体"/>
                <w:szCs w:val="21"/>
              </w:rPr>
            </w:pPr>
            <w:r>
              <w:rPr>
                <w:rFonts w:hint="eastAsia" w:ascii="宋体" w:hAnsi="宋体" w:cs="宋体"/>
                <w:szCs w:val="21"/>
              </w:rPr>
              <w:t>区公安分局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23</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加强噪声污染治理</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按照本市交通运输专项补助资金、轨道交通噪声治理资金等有关管理办法要求，制定并报送交通噪声缓解年度治理计划，组织实施一批交通噪声治理工程。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区城市管理委</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区公路分局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（重大项目办）</w:t>
            </w:r>
          </w:p>
          <w:p>
            <w:pPr>
              <w:adjustRightInd w:val="0"/>
              <w:snapToGrid w:val="0"/>
              <w:jc w:val="center"/>
              <w:rPr>
                <w:rFonts w:ascii="宋体" w:hAnsi="宋体" w:cs="宋体"/>
                <w:szCs w:val="21"/>
              </w:rPr>
            </w:pPr>
            <w:r>
              <w:rPr>
                <w:rFonts w:hint="eastAsia" w:ascii="宋体" w:hAnsi="宋体" w:cs="宋体"/>
                <w:szCs w:val="21"/>
              </w:rPr>
              <w:t>区财政局</w:t>
            </w:r>
          </w:p>
          <w:p>
            <w:pPr>
              <w:adjustRightInd w:val="0"/>
              <w:snapToGrid w:val="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配合市级部门落实公共场所娱乐健身活动噪声监管办法</w:t>
            </w:r>
            <w:r>
              <w:rPr>
                <w:rFonts w:hint="eastAsia" w:ascii="宋体" w:hAnsi="宋体" w:cs="宋体"/>
                <w:szCs w:val="21"/>
                <w:lang w:val="en"/>
              </w:rPr>
              <w:t>。</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区公安分局</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区城市管理委</w:t>
            </w:r>
          </w:p>
          <w:p>
            <w:pPr>
              <w:adjustRightInd w:val="0"/>
              <w:snapToGrid w:val="0"/>
              <w:jc w:val="center"/>
              <w:rPr>
                <w:rFonts w:ascii="宋体" w:hAnsi="宋体" w:cs="宋体"/>
                <w:szCs w:val="21"/>
              </w:rPr>
            </w:pPr>
            <w:r>
              <w:rPr>
                <w:rFonts w:hint="eastAsia" w:ascii="宋体" w:hAnsi="宋体" w:cs="宋体"/>
                <w:szCs w:val="21"/>
              </w:rPr>
              <w:t>区体育局</w:t>
            </w:r>
          </w:p>
          <w:p>
            <w:pPr>
              <w:adjustRightInd w:val="0"/>
              <w:snapToGrid w:val="0"/>
              <w:jc w:val="center"/>
              <w:rPr>
                <w:rFonts w:ascii="宋体" w:hAnsi="宋体" w:cs="宋体"/>
                <w:szCs w:val="21"/>
              </w:rPr>
            </w:pPr>
            <w:r>
              <w:rPr>
                <w:rFonts w:hint="eastAsia" w:ascii="宋体" w:hAnsi="宋体" w:cs="宋体"/>
                <w:szCs w:val="21"/>
              </w:rPr>
              <w:t>区文化和旅游局</w:t>
            </w:r>
          </w:p>
          <w:p>
            <w:pPr>
              <w:adjustRightInd w:val="0"/>
              <w:snapToGrid w:val="0"/>
              <w:jc w:val="center"/>
              <w:rPr>
                <w:rFonts w:ascii="宋体" w:hAnsi="宋体" w:cs="宋体"/>
                <w:szCs w:val="21"/>
              </w:rPr>
            </w:pPr>
            <w:r>
              <w:rPr>
                <w:rFonts w:hint="eastAsia" w:ascii="宋体" w:hAnsi="宋体" w:cs="宋体"/>
                <w:szCs w:val="21"/>
              </w:rPr>
              <w:t>区园林服务中心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24</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提升生态环境类接诉即办工作成效</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加强生态环境类诉求办理工作，强化源头预防，结合生态环境治理工作，深化生态环境接诉即办“管家”机制，落实属地责任，加强行业统筹，重点解决市民反映的油烟、噪声等共性问题，进一步提升诉求办理解决率和满意率。</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区城指中心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98"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黑体" w:hAnsi="黑体" w:eastAsia="黑体" w:cs="黑体"/>
                <w:szCs w:val="21"/>
              </w:rPr>
              <w:t>五、加强大气环境治理能力建设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25</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加强区域联防联控</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强化区域空气重污染应对；完善空气重污染绩效分级管理，推动2家企业绩效评级提升，更新应急减排清单，探索建立企业绩效评级储备台账。</w:t>
            </w:r>
          </w:p>
          <w:p>
            <w:pPr>
              <w:adjustRightInd w:val="0"/>
              <w:snapToGrid w:val="0"/>
              <w:rPr>
                <w:rFonts w:ascii="宋体" w:hAnsi="宋体" w:cs="宋体"/>
                <w:szCs w:val="21"/>
              </w:rPr>
            </w:pPr>
            <w:r>
              <w:rPr>
                <w:rFonts w:hint="eastAsia" w:ascii="宋体" w:hAnsi="宋体" w:cs="宋体"/>
                <w:szCs w:val="21"/>
              </w:rPr>
              <w:t>依法依规启动重污染天气预警，在市生态环境局统筹下，开展区域联防联控。空气重污染期间，各成员单位组织落实各项减排措施，并加强督查检查执法。</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区空气重污染应急指挥部成员单位</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落实京津冀生态环境执法联动工作机制，按照北京市统一部署，以空气重污染应急、秸秆焚烧高发期等时段为重点，对涉气固定源和重型柴油车、重型燃气车等与周边区域开展联动执法，共同打击大气违法行为。</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长期实施</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25</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加强区域联防联控</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深入推进清洁生产审核，配合市级部门推进京津冀区域清洁生产协同审核创新试点项目，落实《产业园区清洁生产审核技术导则》并按照要求组织相关园区开展审核。</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区发展改革委</w:t>
            </w:r>
          </w:p>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26</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提升科技治理能力</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强化大气污染溯源能力，持续开展综合遥感动态监测、道路尘负荷监测、移动式空气质量自动监测、VOCs走航监测。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持续开展环境气象联合会商，完善推广大兴空气污染气象服务，研发高时空分辨率的污染物溯源及预报产品，基于长时间序列气象数据研究分析气象要素对区域PM2.5浓度的影响，加深对大兴区本地空气污染不利气象条件的认识。</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区气象局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46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27</w:t>
            </w:r>
          </w:p>
        </w:tc>
        <w:tc>
          <w:tcPr>
            <w:tcW w:w="1480" w:type="dxa"/>
            <w:vMerge w:val="restart"/>
            <w:tcBorders>
              <w:top w:val="single" w:color="auto" w:sz="4" w:space="0"/>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发挥生态环境经济激励引导作用</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按照《北京市企业和项目绿色绩效评价指南（试行）》，鼓励企业和项目开展绩效评级，逐步建立绿色企业和绿色项目库。对符合条件企业，给予绿色融资支持，引导企业绿色降碳转型。</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462" w:type="dxa"/>
            <w:vMerge w:val="continue"/>
            <w:tcBorders>
              <w:left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right w:val="single" w:color="auto" w:sz="4" w:space="0"/>
            </w:tcBorders>
            <w:noWrap w:val="0"/>
            <w:vAlign w:val="center"/>
          </w:tcPr>
          <w:p>
            <w:pPr>
              <w:adjustRightInd w:val="0"/>
              <w:snapToGrid w:val="0"/>
              <w:jc w:val="center"/>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区生态环境局、区财政局加强市级资金统筹，按照污染防治专项转移支付资金管理办法，向环境质量改善情况好、污染防治任务重的属地予以倾斜。</w:t>
            </w:r>
          </w:p>
          <w:p>
            <w:pPr>
              <w:adjustRightInd w:val="0"/>
              <w:snapToGrid w:val="0"/>
              <w:rPr>
                <w:rFonts w:ascii="宋体" w:hAnsi="宋体" w:cs="宋体"/>
                <w:szCs w:val="21"/>
              </w:rPr>
            </w:pPr>
            <w:r>
              <w:rPr>
                <w:rFonts w:hint="eastAsia" w:ascii="宋体" w:hAnsi="宋体" w:cs="宋体"/>
                <w:szCs w:val="21"/>
              </w:rPr>
              <w:t>区生态环境局、区财政局加强项目储备与资金使用管理，并结合辖区实际，相应加大区级财政投入力度。</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区财政局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6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p>
        </w:tc>
        <w:tc>
          <w:tcPr>
            <w:tcW w:w="1480" w:type="dxa"/>
            <w:vMerge w:val="continue"/>
            <w:tcBorders>
              <w:left w:val="nil"/>
              <w:bottom w:val="single" w:color="auto" w:sz="4" w:space="0"/>
              <w:right w:val="single" w:color="auto" w:sz="4" w:space="0"/>
            </w:tcBorders>
            <w:noWrap w:val="0"/>
            <w:vAlign w:val="center"/>
          </w:tcPr>
          <w:p>
            <w:pPr>
              <w:adjustRightInd w:val="0"/>
              <w:snapToGrid w:val="0"/>
              <w:rPr>
                <w:rFonts w:ascii="宋体" w:hAnsi="宋体" w:cs="宋体"/>
                <w:szCs w:val="21"/>
              </w:rPr>
            </w:pP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充分发挥施工扬尘环保税调控作用，区住房城乡建设委、区城管执法局与区税务局进一步完善“绿牌”工地表彰和施工扬尘处罚等信息共享机制，实现纳税主体和施工主体信息畅通，确保依法足额征收施工扬尘环保税。</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区税务局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区城管执法局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28</w:t>
            </w:r>
          </w:p>
        </w:tc>
        <w:tc>
          <w:tcPr>
            <w:tcW w:w="148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强化督导、执法和信息公开</w:t>
            </w:r>
          </w:p>
        </w:tc>
        <w:tc>
          <w:tcPr>
            <w:tcW w:w="6347" w:type="dxa"/>
            <w:tcBorders>
              <w:top w:val="single" w:color="auto" w:sz="4" w:space="0"/>
              <w:left w:val="nil"/>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szCs w:val="21"/>
              </w:rPr>
              <w:t>生态环境、公安、城管执法等部门依据职责，组织开展贯穿全年的环境问题执法检查专项，重点加强对餐饮、汽修、VOCs和NOx排放重点企业、施工工地等单位的执法检查。</w:t>
            </w:r>
          </w:p>
          <w:p>
            <w:pPr>
              <w:adjustRightInd w:val="0"/>
              <w:snapToGrid w:val="0"/>
              <w:rPr>
                <w:rFonts w:ascii="宋体" w:hAnsi="宋体" w:cs="宋体"/>
                <w:szCs w:val="21"/>
              </w:rPr>
            </w:pPr>
            <w:r>
              <w:rPr>
                <w:rFonts w:hint="eastAsia" w:ascii="宋体" w:hAnsi="宋体" w:cs="宋体"/>
                <w:szCs w:val="21"/>
              </w:rPr>
              <w:t>落实环境信息依法披露改革要求，督促重点排污单位、实施强制性清洁生产审核企业等依法披露年度报告等环境信息，加强对企业环境信息依法披露活动的监督检查，按期披露率和披露质量达到国家和北京市要求。</w:t>
            </w:r>
          </w:p>
        </w:tc>
        <w:tc>
          <w:tcPr>
            <w:tcW w:w="122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年底前</w:t>
            </w:r>
          </w:p>
        </w:tc>
        <w:tc>
          <w:tcPr>
            <w:tcW w:w="2194"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区生态环境局</w:t>
            </w:r>
          </w:p>
          <w:p>
            <w:pPr>
              <w:adjustRightInd w:val="0"/>
              <w:snapToGrid w:val="0"/>
              <w:jc w:val="center"/>
              <w:rPr>
                <w:rFonts w:ascii="宋体" w:hAnsi="宋体" w:cs="宋体"/>
                <w:szCs w:val="21"/>
              </w:rPr>
            </w:pPr>
            <w:r>
              <w:rPr>
                <w:rFonts w:hint="eastAsia" w:ascii="宋体" w:hAnsi="宋体" w:cs="宋体"/>
                <w:szCs w:val="21"/>
              </w:rPr>
              <w:t>区公安分局</w:t>
            </w:r>
          </w:p>
          <w:p>
            <w:pPr>
              <w:adjustRightInd w:val="0"/>
              <w:snapToGrid w:val="0"/>
              <w:jc w:val="center"/>
              <w:rPr>
                <w:rFonts w:ascii="宋体" w:hAnsi="宋体" w:cs="宋体"/>
                <w:szCs w:val="21"/>
              </w:rPr>
            </w:pPr>
            <w:r>
              <w:rPr>
                <w:rFonts w:hint="eastAsia" w:ascii="宋体" w:hAnsi="宋体" w:cs="宋体"/>
                <w:szCs w:val="21"/>
              </w:rPr>
              <w:t>区城管执法局</w:t>
            </w:r>
          </w:p>
        </w:tc>
        <w:tc>
          <w:tcPr>
            <w:tcW w:w="2490" w:type="dxa"/>
            <w:tcBorders>
              <w:left w:val="nil"/>
              <w:right w:val="single" w:color="auto" w:sz="4" w:space="0"/>
            </w:tcBorders>
            <w:noWrap w:val="0"/>
            <w:vAlign w:val="center"/>
          </w:tcPr>
          <w:p>
            <w:pPr>
              <w:adjustRightInd w:val="0"/>
              <w:snapToGrid w:val="0"/>
              <w:jc w:val="center"/>
              <w:rPr>
                <w:rFonts w:ascii="宋体" w:hAnsi="宋体" w:cs="宋体"/>
                <w:szCs w:val="21"/>
              </w:rPr>
            </w:pPr>
            <w:r>
              <w:rPr>
                <w:rFonts w:hint="eastAsia" w:ascii="宋体" w:hAnsi="宋体" w:cs="宋体"/>
                <w:szCs w:val="21"/>
              </w:rPr>
              <w:t>区交通局</w:t>
            </w:r>
          </w:p>
          <w:p>
            <w:pPr>
              <w:adjustRightInd w:val="0"/>
              <w:snapToGrid w:val="0"/>
              <w:jc w:val="center"/>
              <w:rPr>
                <w:rFonts w:ascii="宋体" w:hAnsi="宋体" w:cs="宋体"/>
                <w:szCs w:val="21"/>
              </w:rPr>
            </w:pPr>
            <w:r>
              <w:rPr>
                <w:rFonts w:hint="eastAsia" w:ascii="宋体" w:hAnsi="宋体" w:cs="宋体"/>
                <w:szCs w:val="21"/>
              </w:rPr>
              <w:t>区住房城乡建设委</w:t>
            </w:r>
          </w:p>
          <w:p>
            <w:pPr>
              <w:adjustRightInd w:val="0"/>
              <w:snapToGrid w:val="0"/>
              <w:jc w:val="center"/>
              <w:rPr>
                <w:rFonts w:ascii="宋体" w:hAnsi="宋体" w:cs="宋体"/>
                <w:szCs w:val="21"/>
              </w:rPr>
            </w:pPr>
            <w:r>
              <w:rPr>
                <w:rFonts w:hint="eastAsia" w:ascii="宋体" w:hAnsi="宋体" w:cs="宋体"/>
                <w:szCs w:val="21"/>
              </w:rPr>
              <w:t>各镇人民政府</w:t>
            </w:r>
          </w:p>
          <w:p>
            <w:pPr>
              <w:adjustRightInd w:val="0"/>
              <w:snapToGrid w:val="0"/>
              <w:jc w:val="center"/>
              <w:rPr>
                <w:rFonts w:ascii="宋体" w:hAnsi="宋体" w:cs="宋体"/>
                <w:szCs w:val="21"/>
              </w:rPr>
            </w:pPr>
            <w:r>
              <w:rPr>
                <w:rFonts w:hint="eastAsia" w:ascii="宋体" w:hAnsi="宋体" w:cs="宋体"/>
                <w:szCs w:val="21"/>
              </w:rPr>
              <w:t>各街道办事处</w:t>
            </w:r>
          </w:p>
          <w:p>
            <w:pPr>
              <w:adjustRightInd w:val="0"/>
              <w:snapToGrid w:val="0"/>
              <w:jc w:val="center"/>
              <w:rPr>
                <w:rFonts w:ascii="宋体" w:hAnsi="宋体" w:cs="宋体"/>
                <w:szCs w:val="21"/>
              </w:rPr>
            </w:pPr>
            <w:r>
              <w:rPr>
                <w:rFonts w:hint="eastAsia" w:ascii="宋体" w:hAnsi="宋体" w:cs="宋体"/>
                <w:szCs w:val="21"/>
              </w:rPr>
              <w:t>各产业园区管委会</w:t>
            </w:r>
          </w:p>
        </w:tc>
      </w:tr>
    </w:tbl>
    <w:p>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702126E7"/>
    <w:rsid w:val="7021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after="120" w:line="560" w:lineRule="exact"/>
      <w:ind w:firstLine="420" w:firstLineChars="200"/>
      <w:jc w:val="both"/>
    </w:pPr>
    <w:rPr>
      <w:rFonts w:ascii="Times New Roman" w:hAnsi="Times New Roman" w:eastAsia="宋体" w:cs="Times New Roman"/>
      <w:kern w:val="2"/>
      <w:sz w:val="21"/>
      <w:szCs w:val="3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next w:val="5"/>
    <w:qFormat/>
    <w:uiPriority w:val="0"/>
    <w:pPr>
      <w:widowControl w:val="0"/>
      <w:spacing w:line="300" w:lineRule="atLeast"/>
      <w:jc w:val="center"/>
    </w:pPr>
    <w:rPr>
      <w:rFonts w:ascii="Times New Roman" w:hAnsi="Times New Roman" w:eastAsia="宋体" w:cs="Times New Roman"/>
      <w:color w:val="000000"/>
      <w:kern w:val="2"/>
      <w:sz w:val="44"/>
      <w:lang w:val="en-US" w:eastAsia="zh-CN" w:bidi="ar-SA"/>
    </w:r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2024-04-08T06:18:00Z</dcterms:created>
  <dc:creator>米露</dc:creator>
  <cp:lastModifiedBy>米露</cp:lastModifiedBy>
  <dcterms:modified xsi:type="dcterms:W3CDTF">2024-04-08T06:18:51Z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A99BBDE0F0CD4AFCAF497F0E6EA22097_11</vt:lpwstr>
  </property>
</Properties>
</file>