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val="0"/>
        <w:spacing w:before="313" w:beforeLine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大兴区碧水保卫战2024年行动计划</w:t>
      </w:r>
    </w:p>
    <w:tbl>
      <w:tblPr>
        <w:tblStyle w:val="8"/>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486"/>
        <w:gridCol w:w="6360"/>
        <w:gridCol w:w="1215"/>
        <w:gridCol w:w="2235"/>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501" w:type="dxa"/>
            <w:noWrap w:val="0"/>
            <w:vAlign w:val="center"/>
          </w:tcPr>
          <w:p>
            <w:pPr>
              <w:widowControl/>
              <w:adjustRightInd w:val="0"/>
              <w:snapToGrid w:val="0"/>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1486" w:type="dxa"/>
            <w:noWrap w:val="0"/>
            <w:vAlign w:val="center"/>
          </w:tcPr>
          <w:p>
            <w:pPr>
              <w:widowControl/>
              <w:adjustRightInd w:val="0"/>
              <w:snapToGrid w:val="0"/>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重点任务</w:t>
            </w:r>
          </w:p>
        </w:tc>
        <w:tc>
          <w:tcPr>
            <w:tcW w:w="6360" w:type="dxa"/>
            <w:noWrap w:val="0"/>
            <w:vAlign w:val="center"/>
          </w:tcPr>
          <w:p>
            <w:pPr>
              <w:widowControl/>
              <w:adjustRightInd w:val="0"/>
              <w:snapToGrid w:val="0"/>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工作措施</w:t>
            </w:r>
          </w:p>
        </w:tc>
        <w:tc>
          <w:tcPr>
            <w:tcW w:w="1215" w:type="dxa"/>
            <w:noWrap w:val="0"/>
            <w:vAlign w:val="center"/>
          </w:tcPr>
          <w:p>
            <w:pPr>
              <w:widowControl/>
              <w:adjustRightInd w:val="0"/>
              <w:snapToGrid w:val="0"/>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完成时限</w:t>
            </w:r>
          </w:p>
        </w:tc>
        <w:tc>
          <w:tcPr>
            <w:tcW w:w="2235" w:type="dxa"/>
            <w:noWrap w:val="0"/>
            <w:vAlign w:val="center"/>
          </w:tcPr>
          <w:p>
            <w:pPr>
              <w:widowControl/>
              <w:adjustRightInd w:val="0"/>
              <w:snapToGrid w:val="0"/>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牵头单位</w:t>
            </w:r>
          </w:p>
        </w:tc>
        <w:tc>
          <w:tcPr>
            <w:tcW w:w="2172" w:type="dxa"/>
            <w:noWrap w:val="0"/>
            <w:vAlign w:val="center"/>
          </w:tcPr>
          <w:p>
            <w:pPr>
              <w:widowControl/>
              <w:adjustRightInd w:val="0"/>
              <w:snapToGrid w:val="0"/>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69" w:type="dxa"/>
            <w:gridSpan w:val="6"/>
            <w:noWrap w:val="0"/>
            <w:vAlign w:val="center"/>
          </w:tcPr>
          <w:p>
            <w:pPr>
              <w:widowControl/>
              <w:adjustRightInd w:val="0"/>
              <w:snapToGrid w:val="0"/>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一、水环境质量目标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501"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486"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目标任务</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全区水生态环境质量稳中向好。地表水国家和市级考核断面水质达到市级的目标要求。区级集中式饮用水水源地水质保持稳定达标。地下水水质总体保持稳定。</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01"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486"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深入实施</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总量减排</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实现主要水污染物排放总量持续下降，完成化学需氧量（COD）累计减排量3820吨、氨氮（NH</w:t>
            </w:r>
            <w:r>
              <w:rPr>
                <w:rFonts w:hint="eastAsia" w:ascii="宋体" w:hAnsi="宋体" w:cs="宋体"/>
                <w:color w:val="000000"/>
                <w:kern w:val="0"/>
                <w:szCs w:val="21"/>
                <w:vertAlign w:val="subscript"/>
                <w:lang w:bidi="ar"/>
              </w:rPr>
              <w:t>3</w:t>
            </w:r>
            <w:r>
              <w:rPr>
                <w:rFonts w:hint="eastAsia" w:ascii="宋体" w:hAnsi="宋体" w:cs="宋体"/>
                <w:color w:val="000000"/>
                <w:kern w:val="0"/>
                <w:szCs w:val="21"/>
                <w:lang w:bidi="ar"/>
              </w:rPr>
              <w:t>-N）累计减排量460吨目标要求（指2021年至2024年累计减排量）。</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69" w:type="dxa"/>
            <w:gridSpan w:val="6"/>
            <w:noWrap w:val="0"/>
            <w:vAlign w:val="center"/>
          </w:tcPr>
          <w:p>
            <w:pPr>
              <w:widowControl/>
              <w:adjustRightInd w:val="0"/>
              <w:snapToGrid w:val="0"/>
              <w:jc w:val="center"/>
              <w:textAlignment w:val="center"/>
              <w:rPr>
                <w:rFonts w:ascii="黑体" w:hAnsi="宋体" w:eastAsia="黑体" w:cs="黑体"/>
                <w:color w:val="000000"/>
                <w:szCs w:val="21"/>
              </w:rPr>
            </w:pPr>
            <w:r>
              <w:rPr>
                <w:rFonts w:hint="eastAsia" w:ascii="黑体" w:hAnsi="宋体" w:eastAsia="黑体" w:cs="黑体"/>
                <w:color w:val="000000"/>
                <w:szCs w:val="21"/>
              </w:rPr>
              <w:t>二、水资源保护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加强饮用水</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保护</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eastAsia="zh-CN" w:bidi="ar"/>
              </w:rPr>
              <w:t>水务部门</w:t>
            </w:r>
            <w:r>
              <w:rPr>
                <w:rFonts w:hint="eastAsia" w:ascii="宋体" w:hAnsi="宋体" w:cs="宋体"/>
                <w:color w:val="000000"/>
                <w:kern w:val="0"/>
                <w:szCs w:val="21"/>
                <w:lang w:bidi="ar"/>
              </w:rPr>
              <w:t>结合饮用水供水工程和水源地布局调整，动态更新全区饮用水水源地取水井、取水量及供水人口等数据</w:t>
            </w:r>
            <w:bookmarkStart w:id="0" w:name="lawyee_20022_8"/>
            <w:r>
              <w:rPr>
                <w:rFonts w:hint="eastAsia" w:ascii="宋体" w:hAnsi="宋体" w:cs="宋体"/>
                <w:color w:val="000000"/>
                <w:kern w:val="0"/>
                <w:szCs w:val="21"/>
                <w:lang w:bidi="ar"/>
              </w:rPr>
              <w:t>并与生态环境部门</w:t>
            </w:r>
            <w:bookmarkEnd w:id="0"/>
            <w:r>
              <w:rPr>
                <w:rFonts w:hint="eastAsia" w:ascii="宋体" w:hAnsi="宋体" w:cs="宋体"/>
                <w:color w:val="000000"/>
                <w:kern w:val="0"/>
                <w:szCs w:val="21"/>
                <w:lang w:bidi="ar"/>
              </w:rPr>
              <w:t>共享。加强饮用水供水厂站水源水和出厂水水质检测；对水质不达标的饮用水水源，采取水源置换、集中供水、深度处理等措施确保饮用水安全。加强农村水源保护巡查，确保水源井周边30米范围内无污水、无垃圾、无渗厕、无养殖场等污染源。</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按市级要求完成集中式饮用水水源保护区划定调整和分散式水源地饮用水水源保护范围划定，推进完善全覆盖的饮用水水源地保护管理体系。2024年底前完成镇级（安定镇二水厂）水源地饮用水水源保护区补充划定工作。</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开展全区饮用水水源地环境状况年度调查评估，按国家要求完成系统填报，年底前提交评估报告至市生态环境部门和市水务部门，实现水源地“一源一档”动态管理。</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开展水源地专项执法和日常监管,加强“三监联动”，动态清理整治水源保护区内影响水源安全的排污口、垃圾堆放等环境问题。对新划定、调整或受水毁影响的水源保护区（水源井）完善封闭隔离设施和标志标识牌。加强饮用水源地保护区风险防范和应急管理。</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加强饮用水水质监测，定期向社会公开区级、镇级集中式生活饮用水安全状况信息；推进农村生活饮用水安全状况信息公开。</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区卫生健康委</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强化对一级水源地保护区风险源管控力度，督促相关属地制定风险源腾退或管控计划。</w:t>
            </w:r>
          </w:p>
        </w:tc>
        <w:tc>
          <w:tcPr>
            <w:tcW w:w="121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加强地下水</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保护</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落实辖区地下水水质保持方案，确保地下水水质保持稳定。基于我区地下水水质保持方案中13处地下水重点监测点位开展丰、枯水期监测。</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市规划自然资源委大兴分局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推进地下水超采治理，落实北京市大兴区地下水超采综合治理工作方案，加强大兴区地下水资源涵养和保护。</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区财政局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配合市级部门研究制定地下水污染风险源分类分级管理办法，配合完成涉及大兴区46个地下水风险源信息调查工作。</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节水型社会</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建设</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持续推进节水型社会建设，全区生产生活用水总量及万元GDP用水量比上年下降率达到市级考核要求。</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进一步加强用水总量管控，提高用水效率。结合本区用水实际情况，将用水总量进一步分解下达至街道（镇），并细化管控措施。</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69" w:type="dxa"/>
            <w:gridSpan w:val="6"/>
            <w:noWrap w:val="0"/>
            <w:vAlign w:val="center"/>
          </w:tcPr>
          <w:p>
            <w:pPr>
              <w:widowControl/>
              <w:adjustRightInd w:val="0"/>
              <w:snapToGrid w:val="0"/>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三、水环境治理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p>
            <w:pPr>
              <w:widowControl/>
              <w:adjustRightInd w:val="0"/>
              <w:snapToGrid w:val="0"/>
              <w:jc w:val="center"/>
              <w:textAlignment w:val="center"/>
              <w:rPr>
                <w:rFonts w:ascii="宋体" w:hAnsi="宋体" w:cs="宋体"/>
                <w:color w:val="000000"/>
                <w:szCs w:val="21"/>
              </w:rPr>
            </w:pP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强化城乡</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生活污染</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治理</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实施大兴区全面打赢城乡水环境治理歼灭战三年行动方案，累计新（改）建污水收集管线3公里，新（改）建再生水管线3公里。2024年再生水输配量达到市级目标要求。</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市规划自然资源委大兴分局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区园林绿化局</w:t>
            </w:r>
          </w:p>
          <w:p>
            <w:pPr>
              <w:widowControl/>
              <w:adjustRightInd w:val="0"/>
              <w:snapToGrid w:val="0"/>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区环境卫生服务中心</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区园林服务中心</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完成大兴区西红门第二再生水厂（一期）工程，投入运行。永兴河第二再生水厂</w:t>
            </w:r>
            <w:r>
              <w:rPr>
                <w:rFonts w:hint="eastAsia" w:ascii="宋体" w:hAnsi="宋体" w:cs="宋体"/>
                <w:kern w:val="0"/>
                <w:szCs w:val="21"/>
                <w:lang w:bidi="ar"/>
              </w:rPr>
              <w:t>达到</w:t>
            </w:r>
            <w:r>
              <w:rPr>
                <w:rFonts w:hint="eastAsia" w:ascii="宋体" w:hAnsi="宋体" w:cs="宋体"/>
                <w:color w:val="000000"/>
                <w:kern w:val="0"/>
                <w:szCs w:val="21"/>
                <w:lang w:bidi="ar"/>
              </w:rPr>
              <w:t>通水条件。</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西红门镇</w:t>
            </w:r>
            <w:r>
              <w:rPr>
                <w:rFonts w:hint="eastAsia" w:ascii="宋体" w:hAnsi="宋体" w:cs="宋体"/>
                <w:color w:val="000000"/>
                <w:kern w:val="0"/>
                <w:szCs w:val="21"/>
                <w:lang w:bidi="ar"/>
              </w:rPr>
              <w:t>人民</w:t>
            </w:r>
            <w:r>
              <w:rPr>
                <w:rFonts w:hint="eastAsia" w:ascii="宋体" w:hAnsi="宋体" w:cs="宋体"/>
                <w:color w:val="000000"/>
                <w:szCs w:val="21"/>
              </w:rPr>
              <w:t>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大兴生物医药基地管委会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1" w:type="dxa"/>
            <w:vMerge w:val="continue"/>
            <w:noWrap w:val="0"/>
            <w:vAlign w:val="center"/>
          </w:tcPr>
          <w:p>
            <w:pPr>
              <w:widowControl/>
              <w:adjustRightInd w:val="0"/>
              <w:snapToGrid w:val="0"/>
              <w:jc w:val="center"/>
              <w:textAlignment w:val="center"/>
              <w:rPr>
                <w:rFonts w:ascii="宋体" w:hAnsi="宋体" w:cs="宋体"/>
                <w:color w:val="000000"/>
                <w:szCs w:val="21"/>
              </w:rPr>
            </w:pPr>
          </w:p>
        </w:tc>
        <w:tc>
          <w:tcPr>
            <w:tcW w:w="1486" w:type="dxa"/>
            <w:vMerge w:val="continue"/>
            <w:noWrap w:val="0"/>
            <w:vAlign w:val="center"/>
          </w:tcPr>
          <w:p>
            <w:pPr>
              <w:widowControl/>
              <w:adjustRightInd w:val="0"/>
              <w:snapToGrid w:val="0"/>
              <w:jc w:val="center"/>
              <w:textAlignment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对大兴区黄村再生水厂、庞各庄污水处理厂</w:t>
            </w:r>
            <w:r>
              <w:rPr>
                <w:rStyle w:val="10"/>
                <w:rFonts w:hint="eastAsia" w:ascii="宋体" w:hAnsi="宋体" w:eastAsia="宋体" w:cs="宋体"/>
                <w:color w:val="auto"/>
                <w:sz w:val="21"/>
                <w:szCs w:val="21"/>
                <w:lang w:bidi="ar"/>
              </w:rPr>
              <w:t>2座</w:t>
            </w:r>
            <w:r>
              <w:rPr>
                <w:rFonts w:hint="eastAsia" w:ascii="宋体" w:hAnsi="宋体" w:cs="宋体"/>
                <w:kern w:val="0"/>
                <w:szCs w:val="21"/>
                <w:lang w:bidi="ar"/>
              </w:rPr>
              <w:t>进水BOD</w:t>
            </w:r>
            <w:r>
              <w:rPr>
                <w:rStyle w:val="11"/>
                <w:rFonts w:ascii="宋体" w:hAnsi="宋体" w:eastAsia="宋体" w:cs="宋体"/>
                <w:color w:val="auto"/>
                <w:sz w:val="21"/>
                <w:szCs w:val="21"/>
                <w:vertAlign w:val="subscript"/>
                <w:lang w:bidi="ar"/>
              </w:rPr>
              <w:t>5</w:t>
            </w:r>
            <w:r>
              <w:rPr>
                <w:rStyle w:val="10"/>
                <w:rFonts w:hint="eastAsia" w:ascii="宋体" w:hAnsi="宋体" w:eastAsia="宋体" w:cs="宋体"/>
                <w:color w:val="auto"/>
                <w:sz w:val="21"/>
                <w:szCs w:val="21"/>
                <w:lang w:bidi="ar"/>
              </w:rPr>
              <w:t>浓度低于100mg/L的城市污水处理厂服务片区，编制系统化整治方案，提高污水收集效率。</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黄村镇人民政府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庞各庄镇人民政府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加快推进农村污水处理设施建设，优化完善适合本地区的农村生活污水治理模式和技术工艺，持续推进解决村庄污水收集处理问题村庄数达到市级目标要求。</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市规划自然资源委大兴分局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组织开展现有农村污水处理设施运行情况调查评估，持续更新完善农村生活污水治理设施运行台账。加强农村生活污水处理设施运行监督管理，对运行不正常的设施随发现随督促整改，确保已建成设施正常运行率达到80%以上，按年度形成农村生活污水收集处理设施运行情况排查报告。</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深入推进农村环境整治工作，完成市级下达的任务目标，任务村庄生活污水、黑臭水体、集中式饮用水水源地达到国家整治要求，村庄环境干净整洁。开展农村环境整治完成任务数量不低于本区农村污水收集处理设施建设任务数量。按照国家及市级要求填报农业农村环境监管系统。</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区城市管理委</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区卫生健康委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区财政局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因地制宜推广小微湿地治理农村生活污水模式，采育镇负责实施大兴区采育镇施家务、宁家湾等的农村污水生态治理工程，完成5个村庄的污水治理；庞各庄镇负责实施大兴区庞各庄镇北章客等村庄污水治理工程，完成4个村庄的污水治理，确保年内完工并投入使用，解决农村生活污水末端处理问题。</w:t>
            </w:r>
          </w:p>
        </w:tc>
        <w:tc>
          <w:tcPr>
            <w:tcW w:w="121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采育镇人民政府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庞各庄镇人民政府</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市规划自然资源委大兴分局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加强汛期</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污染防治</w:t>
            </w: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加大雨污混接错接巡查整治力度，督促相关单位对发现的混接错接点位及时处置，实现雨污混流动态清零。配合市级部门制定本区实施雨污混接错接排查治理方案。</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区公路分局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01" w:type="dxa"/>
            <w:vMerge w:val="continue"/>
            <w:noWrap w:val="0"/>
            <w:vAlign w:val="center"/>
          </w:tcPr>
          <w:p>
            <w:pPr>
              <w:widowControl/>
              <w:adjustRightInd w:val="0"/>
              <w:snapToGrid w:val="0"/>
              <w:jc w:val="center"/>
              <w:textAlignment w:val="center"/>
              <w:rPr>
                <w:rFonts w:ascii="宋体" w:hAnsi="宋体" w:cs="宋体"/>
              </w:rPr>
            </w:pPr>
          </w:p>
        </w:tc>
        <w:tc>
          <w:tcPr>
            <w:tcW w:w="1486" w:type="dxa"/>
            <w:vMerge w:val="continue"/>
            <w:noWrap w:val="0"/>
            <w:vAlign w:val="center"/>
          </w:tcPr>
          <w:p>
            <w:pPr>
              <w:widowControl/>
              <w:adjustRightInd w:val="0"/>
              <w:snapToGrid w:val="0"/>
              <w:jc w:val="center"/>
              <w:textAlignment w:val="center"/>
              <w:rPr>
                <w:rFonts w:ascii="宋体" w:hAnsi="宋体" w:cs="宋体"/>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汛前持续开展“清管行动”。提前对雨水管涵、雨污合流管涵、雨水口（雨箅子）等进行全面清掏并加大巡查、清理力度。</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9月底前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新城地区加强汛期污水处理联动联调，降雨前提前加大抽升处理，降低管网液位，实现管网腾容，最大程度减少片区污水溢流排河。</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9月底前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依托“河长制”，加强汛期河湖水环境精细化管理，雨后24小时内对国市考断面所在重点水体及时清理垃圾、漂浮物。开展雨后入河排口排污检查，严厉打击污水直排、借雨偷排行为。</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区生态环境局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区水务局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1" w:type="dxa"/>
            <w:vMerge w:val="continue"/>
            <w:noWrap w:val="0"/>
            <w:vAlign w:val="center"/>
          </w:tcPr>
          <w:p>
            <w:pPr>
              <w:widowControl/>
              <w:adjustRightInd w:val="0"/>
              <w:snapToGrid w:val="0"/>
              <w:jc w:val="center"/>
              <w:textAlignment w:val="center"/>
              <w:rPr>
                <w:rFonts w:ascii="宋体" w:hAnsi="宋体" w:cs="宋体"/>
              </w:rPr>
            </w:pPr>
          </w:p>
        </w:tc>
        <w:tc>
          <w:tcPr>
            <w:tcW w:w="1486" w:type="dxa"/>
            <w:vMerge w:val="continue"/>
            <w:noWrap w:val="0"/>
            <w:vAlign w:val="center"/>
          </w:tcPr>
          <w:p>
            <w:pPr>
              <w:widowControl/>
              <w:adjustRightInd w:val="0"/>
              <w:snapToGrid w:val="0"/>
              <w:jc w:val="center"/>
              <w:textAlignment w:val="center"/>
              <w:rPr>
                <w:rFonts w:ascii="宋体" w:hAnsi="宋体" w:cs="宋体"/>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highlight w:val="yellow"/>
              </w:rPr>
            </w:pPr>
            <w:r>
              <w:rPr>
                <w:rFonts w:hint="eastAsia" w:ascii="宋体" w:hAnsi="宋体" w:cs="宋体"/>
                <w:color w:val="000000"/>
                <w:kern w:val="0"/>
                <w:szCs w:val="21"/>
                <w:lang w:bidi="ar"/>
              </w:rPr>
              <w:t>8</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加强工业</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污染防治</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加大工业污染防治力度，通过排污许可管理、重点排污单位管理等措施加强工业园区污水处理设施监管，推动工业园区产生的污水全收集全处理并达标排放，强化工业园区污水集中处理设施自动在线监控。</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西红门镇人民政府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青云店镇人民政府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采育镇人民政府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大兴生物医药基地管委会</w:t>
            </w:r>
          </w:p>
          <w:p>
            <w:pPr>
              <w:widowControl/>
              <w:adjustRightInd w:val="0"/>
              <w:snapToGrid w:val="0"/>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大兴经济开发区管委会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组织排查整治工业园区污水管网老旧破损、混接错接等情况，建立工业园区污水集中处理设施进水浓度异常等突出问题清单，实施清单管理、动态销号。</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1" w:type="dxa"/>
            <w:vMerge w:val="continue"/>
            <w:noWrap w:val="0"/>
            <w:vAlign w:val="center"/>
          </w:tcPr>
          <w:p>
            <w:pPr>
              <w:widowControl/>
              <w:adjustRightInd w:val="0"/>
              <w:snapToGrid w:val="0"/>
              <w:jc w:val="center"/>
              <w:textAlignment w:val="center"/>
              <w:rPr>
                <w:rFonts w:ascii="宋体" w:hAnsi="宋体" w:cs="宋体"/>
              </w:rPr>
            </w:pPr>
          </w:p>
        </w:tc>
        <w:tc>
          <w:tcPr>
            <w:tcW w:w="1486" w:type="dxa"/>
            <w:vMerge w:val="continue"/>
            <w:noWrap w:val="0"/>
            <w:vAlign w:val="center"/>
          </w:tcPr>
          <w:p>
            <w:pPr>
              <w:widowControl/>
              <w:adjustRightInd w:val="0"/>
              <w:snapToGrid w:val="0"/>
              <w:jc w:val="center"/>
              <w:textAlignment w:val="center"/>
              <w:rPr>
                <w:rFonts w:ascii="宋体" w:hAnsi="宋体" w:cs="宋体"/>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pPr>
              <w:widowControl/>
              <w:adjustRightInd w:val="0"/>
              <w:snapToGrid w:val="0"/>
              <w:jc w:val="center"/>
              <w:textAlignment w:val="center"/>
              <w:rPr>
                <w:rFonts w:ascii="宋体" w:hAnsi="宋体" w:cs="宋体"/>
                <w:b/>
                <w:bCs/>
                <w:kern w:val="0"/>
                <w:szCs w:val="21"/>
                <w:lang w:bidi="ar"/>
              </w:rPr>
            </w:pPr>
          </w:p>
        </w:tc>
        <w:tc>
          <w:tcPr>
            <w:tcW w:w="1486" w:type="dxa"/>
            <w:vMerge w:val="continue"/>
            <w:noWrap w:val="0"/>
            <w:vAlign w:val="center"/>
          </w:tcPr>
          <w:p>
            <w:pPr>
              <w:widowControl/>
              <w:adjustRightInd w:val="0"/>
              <w:snapToGrid w:val="0"/>
              <w:jc w:val="center"/>
              <w:textAlignment w:val="center"/>
              <w:rPr>
                <w:rFonts w:ascii="宋体" w:hAnsi="宋体" w:cs="宋体"/>
                <w:b/>
                <w:bCs/>
                <w:kern w:val="0"/>
                <w:szCs w:val="21"/>
                <w:lang w:bidi="ar"/>
              </w:rPr>
            </w:pPr>
          </w:p>
        </w:tc>
        <w:tc>
          <w:tcPr>
            <w:tcW w:w="6360" w:type="dxa"/>
            <w:vMerge w:val="continue"/>
            <w:noWrap w:val="0"/>
            <w:vAlign w:val="center"/>
          </w:tcPr>
          <w:p>
            <w:pPr>
              <w:widowControl/>
              <w:adjustRightInd w:val="0"/>
              <w:snapToGrid w:val="0"/>
              <w:jc w:val="center"/>
              <w:textAlignment w:val="center"/>
              <w:rPr>
                <w:rFonts w:ascii="宋体" w:hAnsi="宋体" w:cs="宋体"/>
                <w:b/>
                <w:bCs/>
                <w:kern w:val="0"/>
                <w:szCs w:val="21"/>
                <w:lang w:bidi="ar"/>
              </w:rPr>
            </w:pPr>
          </w:p>
        </w:tc>
        <w:tc>
          <w:tcPr>
            <w:tcW w:w="1215" w:type="dxa"/>
            <w:vMerge w:val="continue"/>
            <w:noWrap w:val="0"/>
            <w:vAlign w:val="center"/>
          </w:tcPr>
          <w:p>
            <w:pPr>
              <w:widowControl/>
              <w:adjustRightInd w:val="0"/>
              <w:snapToGrid w:val="0"/>
              <w:jc w:val="center"/>
              <w:textAlignment w:val="center"/>
              <w:rPr>
                <w:rFonts w:ascii="宋体" w:hAnsi="宋体" w:cs="宋体"/>
                <w:b/>
                <w:bCs/>
                <w:kern w:val="0"/>
                <w:szCs w:val="21"/>
                <w:lang w:bidi="ar"/>
              </w:rPr>
            </w:pPr>
          </w:p>
        </w:tc>
        <w:tc>
          <w:tcPr>
            <w:tcW w:w="2235" w:type="dxa"/>
            <w:vMerge w:val="continue"/>
            <w:noWrap w:val="0"/>
            <w:vAlign w:val="center"/>
          </w:tcPr>
          <w:p>
            <w:pPr>
              <w:widowControl/>
              <w:adjustRightInd w:val="0"/>
              <w:snapToGrid w:val="0"/>
              <w:jc w:val="center"/>
              <w:textAlignment w:val="center"/>
              <w:rPr>
                <w:rFonts w:ascii="宋体" w:hAnsi="宋体" w:cs="宋体"/>
                <w:b/>
                <w:bCs/>
                <w:kern w:val="0"/>
                <w:szCs w:val="21"/>
                <w:lang w:bidi="ar"/>
              </w:rPr>
            </w:pPr>
          </w:p>
        </w:tc>
        <w:tc>
          <w:tcPr>
            <w:tcW w:w="2172" w:type="dxa"/>
            <w:vMerge w:val="continue"/>
            <w:noWrap w:val="0"/>
            <w:vAlign w:val="center"/>
          </w:tcPr>
          <w:p>
            <w:pPr>
              <w:widowControl/>
              <w:adjustRightInd w:val="0"/>
              <w:snapToGrid w:val="0"/>
              <w:jc w:val="center"/>
              <w:textAlignment w:val="center"/>
              <w:rPr>
                <w:rFonts w:ascii="宋体" w:hAnsi="宋体" w:cs="宋体"/>
                <w:b/>
                <w:bCs/>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开展排污许可证单位执行报告提交率审核。对2021年以来新核发、重新申请排污许可证以及重点行业排污许可证进行许可证质量、2023年度执行报告全覆盖审核，审核总数不少于持证单位总数的三分之一。2023年度执行报告按时提交率应达到98%以上。</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加强入河</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排口监管</w:t>
            </w: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健全入河排口长效监督管理，建立完善全区20条河流（包含在全市425条河长制河流）“受纳水体—排污口—排污通道—排污单位”动态管理台账。</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区公路分局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501" w:type="dxa"/>
            <w:vMerge w:val="continue"/>
            <w:noWrap w:val="0"/>
            <w:vAlign w:val="center"/>
          </w:tcPr>
          <w:p>
            <w:pPr>
              <w:widowControl/>
              <w:adjustRightInd w:val="0"/>
              <w:snapToGrid w:val="0"/>
              <w:jc w:val="center"/>
              <w:textAlignment w:val="center"/>
              <w:rPr>
                <w:rFonts w:ascii="Times New Roman" w:hAnsi="Times New Roman"/>
              </w:rPr>
            </w:pPr>
          </w:p>
        </w:tc>
        <w:tc>
          <w:tcPr>
            <w:tcW w:w="1486" w:type="dxa"/>
            <w:vMerge w:val="continue"/>
            <w:noWrap w:val="0"/>
            <w:vAlign w:val="center"/>
          </w:tcPr>
          <w:p>
            <w:pPr>
              <w:widowControl/>
              <w:adjustRightInd w:val="0"/>
              <w:snapToGrid w:val="0"/>
              <w:jc w:val="center"/>
              <w:textAlignment w:val="center"/>
              <w:rPr>
                <w:rFonts w:ascii="Times New Roman" w:hAnsi="Times New Roman"/>
              </w:rPr>
            </w:pPr>
          </w:p>
        </w:tc>
        <w:tc>
          <w:tcPr>
            <w:tcW w:w="6360" w:type="dxa"/>
            <w:vMerge w:val="continue"/>
            <w:noWrap w:val="0"/>
            <w:vAlign w:val="center"/>
          </w:tcPr>
          <w:p>
            <w:pPr>
              <w:widowControl/>
              <w:adjustRightInd w:val="0"/>
              <w:snapToGrid w:val="0"/>
              <w:jc w:val="center"/>
              <w:textAlignment w:val="center"/>
              <w:rPr>
                <w:rFonts w:ascii="Times New Roman" w:hAnsi="Times New Roman"/>
              </w:rPr>
            </w:pPr>
          </w:p>
        </w:tc>
        <w:tc>
          <w:tcPr>
            <w:tcW w:w="1215" w:type="dxa"/>
            <w:vMerge w:val="continue"/>
            <w:noWrap w:val="0"/>
            <w:vAlign w:val="center"/>
          </w:tcPr>
          <w:p>
            <w:pPr>
              <w:widowControl/>
              <w:adjustRightInd w:val="0"/>
              <w:snapToGrid w:val="0"/>
              <w:jc w:val="center"/>
              <w:textAlignment w:val="center"/>
              <w:rPr>
                <w:rFonts w:ascii="Times New Roman" w:hAnsi="Times New Roman"/>
              </w:rPr>
            </w:pPr>
          </w:p>
        </w:tc>
        <w:tc>
          <w:tcPr>
            <w:tcW w:w="2235" w:type="dxa"/>
            <w:vMerge w:val="continue"/>
            <w:noWrap w:val="0"/>
            <w:vAlign w:val="center"/>
          </w:tcPr>
          <w:p>
            <w:pPr>
              <w:widowControl/>
              <w:adjustRightInd w:val="0"/>
              <w:snapToGrid w:val="0"/>
              <w:jc w:val="center"/>
              <w:textAlignment w:val="center"/>
              <w:rPr>
                <w:rFonts w:ascii="Times New Roman" w:hAnsi="Times New Roman"/>
              </w:rPr>
            </w:pPr>
          </w:p>
        </w:tc>
        <w:tc>
          <w:tcPr>
            <w:tcW w:w="2172" w:type="dxa"/>
            <w:vMerge w:val="continue"/>
            <w:noWrap w:val="0"/>
            <w:vAlign w:val="center"/>
          </w:tcPr>
          <w:p>
            <w:pPr>
              <w:widowControl/>
              <w:adjustRightInd w:val="0"/>
              <w:snapToGrid w:val="0"/>
              <w:jc w:val="center"/>
              <w:textAlignment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巩固排查整治成效，确保违规排口动态清零。推进常态有水排口在线监测设施全覆盖，实施大兴区重点水体监管服务项目，强化在线监管平台应用。</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区公路分局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1" w:type="dxa"/>
            <w:vMerge w:val="continue"/>
            <w:noWrap w:val="0"/>
            <w:vAlign w:val="center"/>
          </w:tcPr>
          <w:p>
            <w:pPr>
              <w:widowControl/>
              <w:adjustRightInd w:val="0"/>
              <w:snapToGrid w:val="0"/>
              <w:jc w:val="center"/>
              <w:textAlignment w:val="center"/>
              <w:rPr>
                <w:rFonts w:ascii="Times New Roman" w:hAnsi="Times New Roman"/>
              </w:rPr>
            </w:pPr>
          </w:p>
        </w:tc>
        <w:tc>
          <w:tcPr>
            <w:tcW w:w="1486" w:type="dxa"/>
            <w:vMerge w:val="continue"/>
            <w:noWrap w:val="0"/>
            <w:vAlign w:val="center"/>
          </w:tcPr>
          <w:p>
            <w:pPr>
              <w:widowControl/>
              <w:adjustRightInd w:val="0"/>
              <w:snapToGrid w:val="0"/>
              <w:jc w:val="center"/>
              <w:textAlignment w:val="center"/>
              <w:rPr>
                <w:rFonts w:ascii="Times New Roman" w:hAnsi="Times New Roman"/>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01" w:type="dxa"/>
            <w:vMerge w:val="continue"/>
            <w:noWrap w:val="0"/>
            <w:vAlign w:val="center"/>
          </w:tcPr>
          <w:p>
            <w:pPr>
              <w:widowControl/>
              <w:adjustRightInd w:val="0"/>
              <w:snapToGrid w:val="0"/>
              <w:jc w:val="center"/>
              <w:textAlignment w:val="center"/>
              <w:rPr>
                <w:rFonts w:ascii="Times New Roman" w:hAnsi="Times New Roman"/>
                <w:b/>
                <w:bCs/>
              </w:rPr>
            </w:pPr>
          </w:p>
        </w:tc>
        <w:tc>
          <w:tcPr>
            <w:tcW w:w="1486" w:type="dxa"/>
            <w:vMerge w:val="continue"/>
            <w:noWrap w:val="0"/>
            <w:vAlign w:val="center"/>
          </w:tcPr>
          <w:p>
            <w:pPr>
              <w:widowControl/>
              <w:adjustRightInd w:val="0"/>
              <w:snapToGrid w:val="0"/>
              <w:jc w:val="center"/>
              <w:textAlignment w:val="center"/>
              <w:rPr>
                <w:rFonts w:ascii="Times New Roman" w:hAnsi="Times New Roman"/>
                <w:b/>
                <w:bCs/>
              </w:rPr>
            </w:pPr>
          </w:p>
        </w:tc>
        <w:tc>
          <w:tcPr>
            <w:tcW w:w="6360" w:type="dxa"/>
            <w:vMerge w:val="continue"/>
            <w:noWrap w:val="0"/>
            <w:vAlign w:val="center"/>
          </w:tcPr>
          <w:p>
            <w:pPr>
              <w:widowControl/>
              <w:adjustRightInd w:val="0"/>
              <w:snapToGrid w:val="0"/>
              <w:jc w:val="center"/>
              <w:textAlignment w:val="center"/>
              <w:rPr>
                <w:rFonts w:ascii="宋体" w:hAnsi="宋体" w:cs="宋体"/>
                <w:b/>
                <w:bCs/>
              </w:rPr>
            </w:pPr>
          </w:p>
        </w:tc>
        <w:tc>
          <w:tcPr>
            <w:tcW w:w="1215" w:type="dxa"/>
            <w:vMerge w:val="continue"/>
            <w:noWrap w:val="0"/>
            <w:vAlign w:val="center"/>
          </w:tcPr>
          <w:p>
            <w:pPr>
              <w:widowControl/>
              <w:adjustRightInd w:val="0"/>
              <w:snapToGrid w:val="0"/>
              <w:jc w:val="center"/>
              <w:textAlignment w:val="center"/>
              <w:rPr>
                <w:rFonts w:ascii="宋体" w:hAnsi="宋体" w:cs="宋体"/>
                <w:b/>
                <w:bCs/>
              </w:rPr>
            </w:pPr>
          </w:p>
        </w:tc>
        <w:tc>
          <w:tcPr>
            <w:tcW w:w="2235" w:type="dxa"/>
            <w:vMerge w:val="continue"/>
            <w:noWrap w:val="0"/>
            <w:vAlign w:val="center"/>
          </w:tcPr>
          <w:p>
            <w:pPr>
              <w:widowControl/>
              <w:adjustRightInd w:val="0"/>
              <w:snapToGrid w:val="0"/>
              <w:jc w:val="center"/>
              <w:textAlignment w:val="center"/>
              <w:rPr>
                <w:rFonts w:ascii="宋体" w:hAnsi="宋体" w:cs="宋体"/>
                <w:b/>
                <w:bCs/>
              </w:rPr>
            </w:pPr>
          </w:p>
        </w:tc>
        <w:tc>
          <w:tcPr>
            <w:tcW w:w="2172" w:type="dxa"/>
            <w:vMerge w:val="continue"/>
            <w:noWrap w:val="0"/>
            <w:vAlign w:val="center"/>
          </w:tcPr>
          <w:p>
            <w:pPr>
              <w:widowControl/>
              <w:adjustRightInd w:val="0"/>
              <w:snapToGrid w:val="0"/>
              <w:jc w:val="center"/>
              <w:textAlignment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做好入河排口分级设置审批（备案）工作。区生态环境局负责按照国家及市级要求每季度上报入河排污口监督管理工作进展情况。</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区农业农村局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区公路分局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01" w:type="dxa"/>
            <w:vMerge w:val="continue"/>
            <w:noWrap w:val="0"/>
            <w:vAlign w:val="center"/>
          </w:tcPr>
          <w:p>
            <w:pPr>
              <w:widowControl/>
              <w:adjustRightInd w:val="0"/>
              <w:snapToGrid w:val="0"/>
              <w:jc w:val="center"/>
              <w:textAlignment w:val="center"/>
              <w:rPr>
                <w:rFonts w:ascii="Times New Roman" w:hAnsi="Times New Roman"/>
              </w:rPr>
            </w:pPr>
          </w:p>
        </w:tc>
        <w:tc>
          <w:tcPr>
            <w:tcW w:w="1486" w:type="dxa"/>
            <w:vMerge w:val="continue"/>
            <w:noWrap w:val="0"/>
            <w:vAlign w:val="center"/>
          </w:tcPr>
          <w:p>
            <w:pPr>
              <w:widowControl/>
              <w:adjustRightInd w:val="0"/>
              <w:snapToGrid w:val="0"/>
              <w:jc w:val="center"/>
              <w:textAlignment w:val="center"/>
              <w:rPr>
                <w:rFonts w:ascii="Times New Roman" w:hAnsi="Times New Roman"/>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巩固水体</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整治成效</w:t>
            </w: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发挥“河长制”统筹作用，加强汛期面源污染治理、污水直排混排入河监管、整治后黑臭水体管护、农村小微水体管护等巡查力度，区有关部门加强日常监督检查并做好技术指导工作。</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01" w:type="dxa"/>
            <w:vMerge w:val="continue"/>
            <w:noWrap w:val="0"/>
            <w:vAlign w:val="center"/>
          </w:tcPr>
          <w:p>
            <w:pPr>
              <w:widowControl/>
              <w:adjustRightInd w:val="0"/>
              <w:snapToGrid w:val="0"/>
              <w:jc w:val="center"/>
              <w:textAlignment w:val="center"/>
              <w:rPr>
                <w:rFonts w:ascii="宋体" w:hAnsi="宋体" w:cs="宋体"/>
              </w:rPr>
            </w:pPr>
          </w:p>
        </w:tc>
        <w:tc>
          <w:tcPr>
            <w:tcW w:w="1486" w:type="dxa"/>
            <w:vMerge w:val="continue"/>
            <w:noWrap w:val="0"/>
            <w:vAlign w:val="center"/>
          </w:tcPr>
          <w:p>
            <w:pPr>
              <w:widowControl/>
              <w:adjustRightInd w:val="0"/>
              <w:snapToGrid w:val="0"/>
              <w:jc w:val="center"/>
              <w:textAlignment w:val="center"/>
              <w:rPr>
                <w:rFonts w:ascii="宋体" w:hAnsi="宋体" w:cs="宋体"/>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加强对黑臭水体、农村小微水体、劣</w:t>
            </w:r>
            <w:r>
              <w:rPr>
                <w:rStyle w:val="12"/>
                <w:rFonts w:hint="eastAsia" w:ascii="宋体" w:hAnsi="宋体" w:eastAsia="宋体" w:cs="宋体"/>
                <w:sz w:val="21"/>
                <w:szCs w:val="21"/>
                <w:lang w:bidi="ar"/>
              </w:rPr>
              <w:t>Ⅴ</w:t>
            </w:r>
            <w:r>
              <w:rPr>
                <w:rStyle w:val="13"/>
                <w:sz w:val="21"/>
                <w:szCs w:val="21"/>
                <w:lang w:bidi="ar"/>
              </w:rPr>
              <w:t>类水体监测巡查，第二、三季度每月开展黑臭水体水质监测，对发现的黑臭问题，及时开展整改，确保动态清零。</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01" w:type="dxa"/>
            <w:vMerge w:val="continue"/>
            <w:noWrap w:val="0"/>
            <w:vAlign w:val="center"/>
          </w:tcPr>
          <w:p>
            <w:pPr>
              <w:widowControl/>
              <w:adjustRightInd w:val="0"/>
              <w:snapToGrid w:val="0"/>
              <w:jc w:val="center"/>
              <w:textAlignment w:val="center"/>
              <w:rPr>
                <w:rFonts w:ascii="宋体" w:hAnsi="宋体" w:cs="宋体"/>
              </w:rPr>
            </w:pPr>
          </w:p>
        </w:tc>
        <w:tc>
          <w:tcPr>
            <w:tcW w:w="1486" w:type="dxa"/>
            <w:vMerge w:val="continue"/>
            <w:noWrap w:val="0"/>
            <w:vAlign w:val="center"/>
          </w:tcPr>
          <w:p>
            <w:pPr>
              <w:widowControl/>
              <w:adjustRightInd w:val="0"/>
              <w:snapToGrid w:val="0"/>
              <w:jc w:val="center"/>
              <w:textAlignment w:val="center"/>
              <w:rPr>
                <w:rFonts w:ascii="宋体" w:hAnsi="宋体" w:cs="宋体"/>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加强污染减排与生态扩容，</w:t>
            </w:r>
            <w:r>
              <w:rPr>
                <w:rStyle w:val="13"/>
                <w:sz w:val="21"/>
                <w:szCs w:val="21"/>
                <w:lang w:bidi="ar"/>
              </w:rPr>
              <w:t>防止已销号的劣Ⅴ类水体反弹，推进消除南大红门、狼各庄镇街级断面不达标情况。</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青云店镇人民政府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黄村镇人民政府</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区公路分局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01"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486"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深化流域</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生态补偿</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配合实施《北京市水生态区域补偿暂行办法》，推进全区水生态环境质量持续改善。</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区财政局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486"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强化跨部门、跨区域监管执法</w:t>
            </w:r>
          </w:p>
        </w:tc>
        <w:tc>
          <w:tcPr>
            <w:tcW w:w="6360" w:type="dxa"/>
            <w:vMerge w:val="restart"/>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巩固多部门联合执法机制，加大环境执法力度。以水环境问题为导向，开展流域“点穴”执法，重点对饮用水水源地、入河排污口、未纳管企业和农村污水治理设施等开展跨区域专项执法。</w:t>
            </w:r>
          </w:p>
        </w:tc>
        <w:tc>
          <w:tcPr>
            <w:tcW w:w="1215"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172"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区城管执法局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1" w:type="dxa"/>
            <w:vMerge w:val="continue"/>
            <w:noWrap w:val="0"/>
            <w:vAlign w:val="center"/>
          </w:tcPr>
          <w:p>
            <w:pPr>
              <w:widowControl/>
              <w:adjustRightInd w:val="0"/>
              <w:snapToGrid w:val="0"/>
              <w:jc w:val="center"/>
              <w:textAlignment w:val="center"/>
              <w:rPr>
                <w:rFonts w:ascii="宋体" w:hAnsi="宋体" w:cs="宋体"/>
              </w:rPr>
            </w:pPr>
          </w:p>
        </w:tc>
        <w:tc>
          <w:tcPr>
            <w:tcW w:w="1486" w:type="dxa"/>
            <w:vMerge w:val="continue"/>
            <w:noWrap w:val="0"/>
            <w:vAlign w:val="center"/>
          </w:tcPr>
          <w:p>
            <w:pPr>
              <w:widowControl/>
              <w:adjustRightInd w:val="0"/>
              <w:snapToGrid w:val="0"/>
              <w:jc w:val="center"/>
              <w:textAlignment w:val="center"/>
              <w:rPr>
                <w:rFonts w:ascii="宋体" w:hAnsi="宋体" w:cs="宋体"/>
              </w:rPr>
            </w:pPr>
          </w:p>
        </w:tc>
        <w:tc>
          <w:tcPr>
            <w:tcW w:w="6360" w:type="dxa"/>
            <w:vMerge w:val="continue"/>
            <w:noWrap w:val="0"/>
            <w:vAlign w:val="center"/>
          </w:tcPr>
          <w:p>
            <w:pPr>
              <w:widowControl/>
              <w:adjustRightInd w:val="0"/>
              <w:snapToGrid w:val="0"/>
              <w:jc w:val="center"/>
              <w:textAlignment w:val="center"/>
              <w:rPr>
                <w:rFonts w:ascii="宋体" w:hAnsi="宋体" w:cs="宋体"/>
              </w:rPr>
            </w:pPr>
          </w:p>
        </w:tc>
        <w:tc>
          <w:tcPr>
            <w:tcW w:w="1215" w:type="dxa"/>
            <w:vMerge w:val="continue"/>
            <w:noWrap w:val="0"/>
            <w:vAlign w:val="center"/>
          </w:tcPr>
          <w:p>
            <w:pPr>
              <w:widowControl/>
              <w:adjustRightInd w:val="0"/>
              <w:snapToGrid w:val="0"/>
              <w:jc w:val="center"/>
              <w:textAlignment w:val="center"/>
              <w:rPr>
                <w:rFonts w:ascii="宋体" w:hAnsi="宋体" w:cs="宋体"/>
              </w:rPr>
            </w:pPr>
          </w:p>
        </w:tc>
        <w:tc>
          <w:tcPr>
            <w:tcW w:w="2235" w:type="dxa"/>
            <w:vMerge w:val="continue"/>
            <w:noWrap w:val="0"/>
            <w:vAlign w:val="center"/>
          </w:tcPr>
          <w:p>
            <w:pPr>
              <w:widowControl/>
              <w:adjustRightInd w:val="0"/>
              <w:snapToGrid w:val="0"/>
              <w:jc w:val="center"/>
              <w:textAlignment w:val="center"/>
              <w:rPr>
                <w:rFonts w:ascii="宋体" w:hAnsi="宋体" w:cs="宋体"/>
              </w:rPr>
            </w:pPr>
          </w:p>
        </w:tc>
        <w:tc>
          <w:tcPr>
            <w:tcW w:w="2172" w:type="dxa"/>
            <w:vMerge w:val="continue"/>
            <w:noWrap w:val="0"/>
            <w:vAlign w:val="center"/>
          </w:tcPr>
          <w:p>
            <w:pPr>
              <w:widowControl/>
              <w:adjustRightInd w:val="0"/>
              <w:snapToGrid w:val="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严厉打击向城市雨水管道排污及倾倒垃圾、向河道倾倒及填埋垃圾等违法行为，切实降低初期雨水污染对河流水质的影响。</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区城管执法局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szCs w:val="21"/>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501"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486"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落实监督</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指导</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持续完善水生态环境领域“三监联动”。聚焦饮用水水源地、重点河流、农村污水处理设施、汛期面源等重点区域和问题，加强指导帮扶，推动问题整改，促进各镇（街道）有效保障水环境质量。</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69" w:type="dxa"/>
            <w:gridSpan w:val="6"/>
            <w:noWrap w:val="0"/>
            <w:vAlign w:val="center"/>
          </w:tcPr>
          <w:p>
            <w:pPr>
              <w:widowControl/>
              <w:adjustRightInd w:val="0"/>
              <w:snapToGrid w:val="0"/>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四、水生态修复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保障重点</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河流生态</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流量</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统筹生活、生产、生态用水配置，加强河湖生态用水保障，鼓励再生水用于河湖生态补水。</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建立河流、湖库生态流量保障清单，并纳入河湖长制统一管理。建立生态流量数据共享机制。</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配合市级部门落实永定河流域生态补水，持续复苏永定河流域生态环境有关工作。</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486" w:type="dxa"/>
            <w:vMerge w:val="restart"/>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提升水生态</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系统健康</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szCs w:val="21"/>
              </w:rPr>
              <w:t>完成大兴区大龙河安定段水生态修复项目（第一阶段）实施，建设生态缓冲带，提升水体自净能力。</w:t>
            </w:r>
            <w:r>
              <w:rPr>
                <w:rFonts w:hint="eastAsia" w:ascii="宋体" w:hAnsi="宋体" w:cs="宋体"/>
                <w:color w:val="000000"/>
                <w:kern w:val="0"/>
                <w:szCs w:val="21"/>
                <w:lang w:bidi="ar"/>
              </w:rPr>
              <w:t>加强生态修复效果监测评价。</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安定镇人民政府</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区生态环境局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配合市级部门推进永定河平原段河道生态修复工作。</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区园林绿化局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486"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加强生态环境监测</w:t>
            </w: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开展区级水生态环境状况监测评价。</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长期实施</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textAlignment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大力推进区级生态环境监测机构基础站、特色站监测能力建设，开展基础站达标评估，提高监测数据支撑能力。</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区财政局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69" w:type="dxa"/>
            <w:gridSpan w:val="6"/>
            <w:noWrap w:val="0"/>
            <w:vAlign w:val="center"/>
          </w:tcPr>
          <w:p>
            <w:pPr>
              <w:widowControl/>
              <w:adjustRightInd w:val="0"/>
              <w:snapToGrid w:val="0"/>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五、龙河流域综合提升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01"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486" w:type="dxa"/>
            <w:vMerge w:val="restart"/>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大兴区水环境精细化治理提升</w:t>
            </w:r>
          </w:p>
        </w:tc>
        <w:tc>
          <w:tcPr>
            <w:tcW w:w="6360" w:type="dxa"/>
            <w:noWrap w:val="0"/>
            <w:vAlign w:val="center"/>
          </w:tcPr>
          <w:p>
            <w:pPr>
              <w:widowControl/>
              <w:adjustRightInd w:val="0"/>
              <w:snapToGrid w:val="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大龙河三小营国考断面年底前水质达到Ⅲ类。</w:t>
            </w:r>
          </w:p>
        </w:tc>
        <w:tc>
          <w:tcPr>
            <w:tcW w:w="121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安定镇人民政府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501" w:type="dxa"/>
            <w:vMerge w:val="continue"/>
            <w:noWrap w:val="0"/>
            <w:vAlign w:val="center"/>
          </w:tcPr>
          <w:p>
            <w:pPr>
              <w:widowControl/>
              <w:adjustRightInd w:val="0"/>
              <w:snapToGrid w:val="0"/>
              <w:jc w:val="center"/>
              <w:textAlignment w:val="center"/>
              <w:rPr>
                <w:rFonts w:ascii="宋体" w:hAnsi="宋体" w:cs="宋体"/>
                <w:color w:val="000000"/>
                <w:szCs w:val="21"/>
              </w:rPr>
            </w:pPr>
          </w:p>
        </w:tc>
        <w:tc>
          <w:tcPr>
            <w:tcW w:w="1486" w:type="dxa"/>
            <w:vMerge w:val="continue"/>
            <w:noWrap w:val="0"/>
            <w:vAlign w:val="center"/>
          </w:tcPr>
          <w:p>
            <w:pPr>
              <w:widowControl/>
              <w:adjustRightInd w:val="0"/>
              <w:snapToGrid w:val="0"/>
              <w:jc w:val="center"/>
              <w:textAlignment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kern w:val="0"/>
                <w:szCs w:val="21"/>
                <w:lang w:bidi="ar"/>
              </w:rPr>
              <w:t>加强大龙河生态用水保障。</w:t>
            </w:r>
          </w:p>
        </w:tc>
        <w:tc>
          <w:tcPr>
            <w:tcW w:w="121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黄村镇人民政府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魏善庄</w:t>
            </w:r>
            <w:r>
              <w:rPr>
                <w:rFonts w:hint="eastAsia" w:ascii="宋体" w:hAnsi="宋体" w:cs="宋体"/>
                <w:color w:val="000000"/>
                <w:szCs w:val="21"/>
              </w:rPr>
              <w:t>镇人民政府</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安定镇人民政府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加强魏善庄污水处理厂、安定镇污水处理厂等龙河流域污水处理设施运行监管，确保出水水质稳定达标。</w:t>
            </w:r>
          </w:p>
        </w:tc>
        <w:tc>
          <w:tcPr>
            <w:tcW w:w="121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魏善庄镇人民政府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安定镇人民政府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501" w:type="dxa"/>
            <w:vMerge w:val="continue"/>
            <w:noWrap w:val="0"/>
            <w:vAlign w:val="center"/>
          </w:tcPr>
          <w:p>
            <w:pPr>
              <w:widowControl/>
              <w:adjustRightInd w:val="0"/>
              <w:snapToGrid w:val="0"/>
              <w:jc w:val="center"/>
              <w:rPr>
                <w:rFonts w:ascii="宋体" w:hAnsi="宋体" w:cs="宋体"/>
                <w:color w:val="000000"/>
                <w:szCs w:val="21"/>
              </w:rPr>
            </w:pPr>
          </w:p>
        </w:tc>
        <w:tc>
          <w:tcPr>
            <w:tcW w:w="1486" w:type="dxa"/>
            <w:vMerge w:val="continue"/>
            <w:noWrap w:val="0"/>
            <w:vAlign w:val="center"/>
          </w:tcPr>
          <w:p>
            <w:pPr>
              <w:widowControl/>
              <w:adjustRightInd w:val="0"/>
              <w:snapToGrid w:val="0"/>
              <w:jc w:val="center"/>
              <w:rPr>
                <w:rFonts w:ascii="宋体" w:hAnsi="宋体" w:cs="宋体"/>
                <w:color w:val="000000"/>
                <w:szCs w:val="21"/>
              </w:rPr>
            </w:pPr>
          </w:p>
        </w:tc>
        <w:tc>
          <w:tcPr>
            <w:tcW w:w="6360" w:type="dxa"/>
            <w:noWrap w:val="0"/>
            <w:vAlign w:val="center"/>
          </w:tcPr>
          <w:p>
            <w:pPr>
              <w:widowControl/>
              <w:adjustRightInd w:val="0"/>
              <w:snapToGrid w:val="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做好龙河流域河道日常巡查管护，强化沿线入河排口监督管理。</w:t>
            </w:r>
          </w:p>
        </w:tc>
        <w:tc>
          <w:tcPr>
            <w:tcW w:w="121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c>
          <w:tcPr>
            <w:tcW w:w="2172" w:type="dxa"/>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相关街道办事处</w:t>
            </w:r>
          </w:p>
        </w:tc>
      </w:tr>
    </w:tbl>
    <w:p>
      <w:pPr>
        <w:pStyle w:val="2"/>
        <w:ind w:firstLine="0" w:firstLineChars="0"/>
        <w:sectPr>
          <w:headerReference r:id="rId3" w:type="default"/>
          <w:footerReference r:id="rId5" w:type="default"/>
          <w:headerReference r:id="rId4" w:type="even"/>
          <w:footerReference r:id="rId6" w:type="even"/>
          <w:pgSz w:w="16838" w:h="11906" w:orient="landscape"/>
          <w:pgMar w:top="1417" w:right="1474" w:bottom="1417" w:left="1474" w:header="851" w:footer="850" w:gutter="0"/>
          <w:pgNumType w:fmt="numberInDash" w:start="3"/>
          <w:cols w:space="720" w:num="1"/>
          <w:rtlGutter w:val="0"/>
          <w:docGrid w:type="lines" w:linePitch="312" w:charSpace="0"/>
        </w:sectPr>
      </w:pPr>
    </w:p>
    <w:p>
      <w:bookmarkStart w:id="1" w:name="_GoBack"/>
    </w:p>
    <w:bookmarkEnd w:id="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-377825</wp:posOffset>
              </wp:positionH>
              <wp:positionV relativeFrom="paragraph">
                <wp:posOffset>-782320</wp:posOffset>
              </wp:positionV>
              <wp:extent cx="229870" cy="5740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9870" cy="57404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eaVert" lIns="0" tIns="0" rIns="0" bIns="0" upright="0"/>
                  </wps:wsp>
                </a:graphicData>
              </a:graphic>
            </wp:anchor>
          </w:drawing>
        </mc:Choice>
        <mc:Fallback>
          <w:pict>
            <v:shape id="_x0000_s1026" o:spid="_x0000_s1026" o:spt="202" type="#_x0000_t202" style="position:absolute;left:0pt;margin-left:-29.75pt;margin-top:-61.6pt;height:45.2pt;width:18.1pt;mso-position-horizontal-relative:margin;z-index:251659264;mso-width-relative:page;mso-height-relative:page;" filled="f" stroked="f" coordsize="21600,21600" o:gfxdata="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8Gp1dgAAAAMAQAADwAAAAAAAAABACAAAAAiAAAAZHJzL2Rvd25y&#10;ZXYueG1sUEsBAhQAFAAAAAgAh07iQAZZY4/FAQAAfwMAAA4AAAAAAAAAAQAgAAAAJwEAAGRycy9l&#10;Mm9Eb2MueG1sUEsFBgAAAAAGAAYAWQEAAF4FAAAAAA==&#10;">
              <v:path/>
              <v:fill on="f" focussize="0,0"/>
              <v:stroke on="f"/>
              <v:imagedata o:title=""/>
              <o:lock v:ext="edit" aspectratio="f"/>
              <v:textbox inset="0mm,0mm,0mm,0mm" style="layout-flow:vertical-ideographic;">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path/>
              <v:fill on="f" focussize="0,0"/>
              <v:stroke on="f" weight="0.5pt" joinstyle="miter"/>
              <v:imagedata o:title=""/>
              <o:lock v:ext="edit"/>
              <v:textbox inset="0mm,0mm,0mm,0mm" style="mso-fit-shape-to-text:t;">
                <w:txbxContent>
                  <w:p>
                    <w:pPr>
                      <w:pStyle w:val="7"/>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sz w:val="18"/>
      </w:rPr>
      <mc:AlternateContent>
        <mc:Choice Requires="wps">
          <w:drawing>
            <wp:anchor distT="0" distB="0" distL="114300" distR="114300" simplePos="0" relativeHeight="251662336" behindDoc="0" locked="0" layoutInCell="1" allowOverlap="1">
              <wp:simplePos x="0" y="0"/>
              <wp:positionH relativeFrom="margin">
                <wp:posOffset>-419100</wp:posOffset>
              </wp:positionH>
              <wp:positionV relativeFrom="paragraph">
                <wp:posOffset>414020</wp:posOffset>
              </wp:positionV>
              <wp:extent cx="300990" cy="6629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0990" cy="66294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eaVert" lIns="0" tIns="0" rIns="0" bIns="0" upright="0"/>
                  </wps:wsp>
                </a:graphicData>
              </a:graphic>
            </wp:anchor>
          </w:drawing>
        </mc:Choice>
        <mc:Fallback>
          <w:pict>
            <v:shape id="_x0000_s1026" o:spid="_x0000_s1026" o:spt="202" type="#_x0000_t202" style="position:absolute;left:0pt;margin-left:-33pt;margin-top:32.6pt;height:52.2pt;width:23.7pt;mso-position-horizontal-relative:margin;z-index:251662336;mso-width-relative:page;mso-height-relative:page;" filled="f" stroked="f" coordsize="21600,21600" o:gfxdata="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SZuEtcAAAAKAQAADwAAAAAAAAABACAAAAAiAAAAZHJzL2Rvd25yZXYu&#10;eG1sUEsBAhQAFAAAAAgAh07iQDaw8yHDAQAAfwMAAA4AAAAAAAAAAQAgAAAAJgEAAGRycy9lMm9E&#10;b2MueG1sUEsFBgAAAAAGAAYAWQEAAFsFAAAAAA==&#10;">
              <v:path/>
              <v:fill on="f" focussize="0,0"/>
              <v:stroke on="f"/>
              <v:imagedata o:title=""/>
              <o:lock v:ext="edit" aspectratio="f"/>
              <v:textbox inset="0mm,0mm,0mm,0mm" style="layout-flow:vertical-ideographic;">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702126E7"/>
    <w:rsid w:val="39BE02CB"/>
    <w:rsid w:val="7021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line="560" w:lineRule="exact"/>
      <w:ind w:firstLine="420" w:firstLineChars="200"/>
      <w:jc w:val="both"/>
    </w:pPr>
    <w:rPr>
      <w:rFonts w:ascii="Times New Roman" w:hAnsi="Times New Roman" w:eastAsia="宋体" w:cs="Times New Roman"/>
      <w:kern w:val="2"/>
      <w:sz w:val="21"/>
      <w:szCs w:val="32"/>
      <w:lang w:val="en-US" w:eastAsia="zh-CN" w:bidi="ar-SA"/>
    </w:r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widowControl w:val="0"/>
      <w:spacing w:line="300" w:lineRule="atLeast"/>
      <w:jc w:val="center"/>
    </w:pPr>
    <w:rPr>
      <w:rFonts w:ascii="Times New Roman" w:hAnsi="Times New Roman" w:eastAsia="宋体" w:cs="Times New Roman"/>
      <w:color w:val="000000"/>
      <w:kern w:val="2"/>
      <w:sz w:val="44"/>
      <w:lang w:val="en-US" w:eastAsia="zh-CN" w:bidi="ar-SA"/>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宋体" w:cs="Times New Roman"/>
      <w:kern w:val="2"/>
      <w:sz w:val="18"/>
      <w:szCs w:val="22"/>
      <w:lang w:val="en-US" w:eastAsia="zh-CN" w:bidi="ar-SA"/>
    </w:rPr>
  </w:style>
  <w:style w:type="character" w:customStyle="1" w:styleId="10">
    <w:name w:val="font11"/>
    <w:qFormat/>
    <w:uiPriority w:val="0"/>
    <w:rPr>
      <w:rFonts w:hint="default" w:ascii="仿宋_GB2312" w:eastAsia="仿宋_GB2312" w:cs="仿宋_GB2312"/>
      <w:color w:val="FF0000"/>
      <w:sz w:val="28"/>
      <w:szCs w:val="28"/>
      <w:u w:val="none"/>
    </w:rPr>
  </w:style>
  <w:style w:type="character" w:customStyle="1" w:styleId="11">
    <w:name w:val="font21"/>
    <w:qFormat/>
    <w:uiPriority w:val="0"/>
    <w:rPr>
      <w:rFonts w:hint="eastAsia" w:ascii="仿宋_GB2312" w:eastAsia="仿宋_GB2312" w:cs="仿宋_GB2312"/>
      <w:color w:val="FF0000"/>
      <w:sz w:val="24"/>
      <w:szCs w:val="24"/>
      <w:u w:val="none"/>
    </w:rPr>
  </w:style>
  <w:style w:type="character" w:customStyle="1" w:styleId="12">
    <w:name w:val="font01"/>
    <w:qFormat/>
    <w:uiPriority w:val="0"/>
    <w:rPr>
      <w:rFonts w:ascii="仿宋_GB2312" w:eastAsia="仿宋_GB2312" w:cs="仿宋_GB2312"/>
      <w:color w:val="000000"/>
      <w:sz w:val="28"/>
      <w:szCs w:val="28"/>
      <w:u w:val="none"/>
    </w:rPr>
  </w:style>
  <w:style w:type="character" w:customStyle="1" w:styleId="13">
    <w:name w:val="font9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2024-04-08T06:18:00Z</dcterms:created>
  <dc:creator>米露</dc:creator>
  <cp:lastModifiedBy>米露</cp:lastModifiedBy>
  <dcterms:modified xsi:type="dcterms:W3CDTF">2024-04-08T06:19:40Z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C426C480051643199D1FE6AB753C4711_13</vt:lpwstr>
  </property>
</Properties>
</file>