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6" w:beforeLines="100" w:after="120" w:afterLines="50"/>
        <w:jc w:val="center"/>
        <w:textAlignment w:val="auto"/>
        <w:outlineLvl w:val="0"/>
        <w:rPr>
          <w:rFonts w:ascii="Times New Roman" w:hAnsi="Times New Roma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大兴区生态保护2024年行动计划</w:t>
      </w:r>
    </w:p>
    <w:tbl>
      <w:tblPr>
        <w:tblStyle w:val="10"/>
        <w:tblW w:w="14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61"/>
        <w:gridCol w:w="6360"/>
        <w:gridCol w:w="1200"/>
        <w:gridCol w:w="223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重点任务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工作措施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完成时限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牵头单位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146" w:type="dxa"/>
            <w:gridSpan w:val="6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一、生态环境质量状况目标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目标任务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我区生态环境质量指数（EI）力争稳中向好。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区生态环境局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市规划自然资源委大兴分局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区水务局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146" w:type="dxa"/>
            <w:gridSpan w:val="6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二、强化生物多样性保护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加大生物多样性保护力度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spacing w:line="240" w:lineRule="auto"/>
            </w:pPr>
            <w:r>
              <w:rPr>
                <w:rFonts w:hint="eastAsia"/>
              </w:rPr>
              <w:t>完善多层级生态廊道网络，配合市级部门对永定河两侧实施生态廊道修复。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区水务局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市规划自然资源委大兴分局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60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spacing w:line="240" w:lineRule="auto"/>
            </w:pPr>
            <w:r>
              <w:rPr>
                <w:rFonts w:hint="eastAsia"/>
              </w:rPr>
              <w:t>在恢复重建受灾区受损水利工程等基础设施时，在保障行洪安全等的基础上，因地制宜，采用生态手段保护修复河湖库自然岸线。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区水务局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强化外来入侵物种防控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按照市级要求加强全区外来入侵物种防控工作，重点做好外来物种普查、引入审批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，和</w:t>
            </w:r>
            <w:r>
              <w:rPr>
                <w:rFonts w:hint="eastAsia" w:ascii="宋体" w:hAnsi="宋体" w:cs="宋体"/>
                <w:szCs w:val="21"/>
              </w:rPr>
              <w:t>苹果蠹蛾、草地贪夜蛾、福寿螺以及松材线虫、美国白蛾、牛蛙等外来入侵物种的监测与综合治理等工作。完成年度监测治理报告。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区农业农村局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区农业服务中心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区水务局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区生态环境局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市规划自然资源委大兴分局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保护重点生物遗传资源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加强重点林草种质资源保护，配合市级部门推进市级种质资源保护单位加强种质资源保护管理。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5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加强监测评估和执法检查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开展生物多样性补充调查，进一步完善生物多样性调查成果。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区生态环境局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按照全市统一标准和方法，开展生物多样性本底调查和数据共享，形成市区互补、区级协同的工作机制。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区生态环境局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依法查处破坏陆生野生动植物资源及栖息地、侵占和破坏林木种质资源等违法行为。对陆生野生动物及其制品交易进行监督检查。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区公安分局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依法查处违反破坏水生野生动植物资源及栖息地、侵占和破坏农作物种质资源以及擅自引进、释放、丢弃外来物种等违法行为。对水生野生动物及其制品交易进行监督检查。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区农业农村局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区农业服务中心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区公安分局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146" w:type="dxa"/>
            <w:gridSpan w:val="6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pacing w:val="-2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三、维护生态空间格局稳定性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5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加强重要生态空间监督管理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加强生态保护红线管理，严格落实国土空间用途管制，规范管控对生态功能不造成破坏的有限人为活动。对生态保护红线内临时用地严格审批，加强对临时用地超期、超范围使用的查处。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组织开展生态保护红线人类活动问题线索核实处理。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市规划自然资源委大兴分局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区生态环境局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开展自然保护地生态环境监督工作，落实整改销号要求。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区生态环境局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区园林绿化局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pacing w:val="-2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在生态保护红线和自然保护地内，对各类开发建设、生产生活等人类活动，开展监测核查、问题整改。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区生态环境局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市规划自然资源委大兴分局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5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统筹推进实施生态保护修复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开展区级非建设空间规划统合编制工作。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市规划自然资源委大兴分局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60" w:type="dxa"/>
            <w:noWrap w:val="0"/>
            <w:vAlign w:val="center"/>
          </w:tcPr>
          <w:p>
            <w:pPr>
              <w:pStyle w:val="9"/>
              <w:widowControl/>
              <w:adjustRightInd w:val="0"/>
              <w:snapToGrid w:val="0"/>
              <w:spacing w:beforeAutospacing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推进园林绿化“增绿提质”，森林覆盖率达到市级要求。</w:t>
            </w:r>
          </w:p>
          <w:p>
            <w:pPr>
              <w:pStyle w:val="9"/>
              <w:widowControl/>
              <w:adjustRightInd w:val="0"/>
              <w:snapToGrid w:val="0"/>
              <w:spacing w:beforeAutospacing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建设生态保育小区15处。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pacing w:val="-2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pacing w:val="-2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全区新增城市绿地达到市级要求，休闲公园、城市森林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口袋公园及小微绿地建设达到市级要求。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60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因地制宜开展湿地恢复，湿地保护率达到市级要求。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146" w:type="dxa"/>
            <w:gridSpan w:val="6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四、促进生态保护可持续发展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推进区域生态协同治理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加大京津冀联合工作力度。积极推进京津冀林木良种备案互认工作，协同防控美国白蛾、松材线虫等有害生物。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区农业农村局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pacing w:val="-2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5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开展生态环境质量评价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配合市级部门开展生态环境质量评价，客观反映生态环境质量状况及变化趋势。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开展</w:t>
            </w:r>
            <w:r>
              <w:rPr>
                <w:rFonts w:hint="eastAsia" w:ascii="宋体" w:hAnsi="宋体" w:cs="宋体"/>
                <w:szCs w:val="21"/>
              </w:rPr>
              <w:t>生态环境质量提升研究，</w:t>
            </w:r>
            <w:r>
              <w:rPr>
                <w:rFonts w:hint="eastAsia" w:ascii="宋体" w:hAnsi="宋体" w:cs="宋体"/>
                <w:kern w:val="0"/>
                <w:szCs w:val="21"/>
              </w:rPr>
              <w:t>探索提升我区</w:t>
            </w:r>
            <w:r>
              <w:rPr>
                <w:rFonts w:hint="eastAsia" w:ascii="宋体" w:hAnsi="宋体" w:cs="宋体"/>
                <w:szCs w:val="21"/>
              </w:rPr>
              <w:t>生态环境质量指数路径。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区生态环境局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建立生态环境质量指数统筹协调工作机制，组织对生态用地变化线索开展实地核查，提升生态保护精细化水平。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区生态环境局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市规划自然资源委大兴分局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区水务局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各镇人民政府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各街道办事处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各产业园区管委会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</w:t>
            </w:r>
            <w:bookmarkStart w:id="0" w:name="lawyee_37028_8"/>
            <w:r>
              <w:rPr>
                <w:rFonts w:hint="eastAsia" w:ascii="宋体" w:hAnsi="宋体" w:cs="宋体"/>
                <w:szCs w:val="21"/>
              </w:rPr>
              <w:t>展</w:t>
            </w:r>
            <w:r>
              <w:rPr>
                <w:rFonts w:hint="eastAsia" w:ascii="宋体" w:hAnsi="宋体" w:cs="宋体"/>
                <w:kern w:val="0"/>
                <w:szCs w:val="21"/>
              </w:rPr>
              <w:t>GEP-R</w:t>
            </w:r>
            <w:r>
              <w:rPr>
                <w:rFonts w:hint="eastAsia" w:ascii="宋体" w:hAnsi="宋体" w:cs="宋体"/>
                <w:szCs w:val="21"/>
              </w:rPr>
              <w:t>核算</w:t>
            </w:r>
            <w:bookmarkEnd w:id="0"/>
            <w:r>
              <w:rPr>
                <w:rFonts w:hint="eastAsia" w:ascii="宋体" w:hAnsi="宋体" w:cs="宋体"/>
                <w:szCs w:val="21"/>
              </w:rPr>
              <w:t>和应用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配合市级部门做好我区年度GEP-R核算工作，探索提升我区GEP-R路径。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区生态环境局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区发展改革委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区水务局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区农业农村局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区园林绿化局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区统计局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区气象局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各镇人民政府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各街道办事处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各产业园区管委会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配合市级部门，以生态保护为导向，稳步推进GEP-R核算结果在生态保护补偿等中的应用。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区发展改革委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区财政局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深化生态文明示范创建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制定并印发实施大兴区生态文明示范创建工作方案，发布实施大兴区生态文明建设规划。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年底前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区生态环境局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pacing w:val="-2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开展森林城市创建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落实本区森林城市发展规划要求，巩固全区国家森林城市创建成果。建成区绿视率稳中有升。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bookmarkStart w:id="1" w:name="lawyee_37748_8"/>
            <w:r>
              <w:rPr>
                <w:rFonts w:hint="eastAsia" w:ascii="宋体" w:hAnsi="宋体" w:cs="宋体"/>
                <w:kern w:val="0"/>
                <w:szCs w:val="21"/>
              </w:rPr>
              <w:t>持续推进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区园林</w:t>
            </w:r>
            <w:bookmarkEnd w:id="1"/>
            <w:r>
              <w:rPr>
                <w:rFonts w:hint="eastAsia" w:ascii="宋体" w:hAnsi="宋体" w:cs="宋体"/>
                <w:szCs w:val="21"/>
              </w:rPr>
              <w:t>绿化局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 w:cs="宋体"/>
                <w:spacing w:val="-2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区生态环境局</w:t>
            </w:r>
          </w:p>
        </w:tc>
      </w:tr>
    </w:tbl>
    <w:p>
      <w:pPr>
        <w:rPr>
          <w:rFonts w:ascii="宋体" w:hAnsi="Courier New"/>
        </w:rPr>
      </w:pPr>
    </w:p>
    <w:p>
      <w:pPr>
        <w:pStyle w:val="18"/>
        <w:spacing w:after="0"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417" w:right="1474" w:bottom="1417" w:left="1474" w:header="850" w:footer="850" w:gutter="0"/>
          <w:pgNumType w:fmt="numberInDash" w:start="28"/>
          <w:cols w:space="720" w:num="1"/>
          <w:titlePg/>
          <w:rtlGutter w:val="0"/>
          <w:docGrid w:linePitch="315" w:charSpace="0"/>
        </w:sectPr>
      </w:pPr>
    </w:p>
    <w:p>
      <w:bookmarkStart w:id="2" w:name="_GoBack"/>
      <w:bookmarkEnd w:id="2"/>
    </w:p>
    <w:sectPr>
      <w:headerReference r:id="rId8" w:type="default"/>
      <w:footerReference r:id="rId9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-433705</wp:posOffset>
              </wp:positionH>
              <wp:positionV relativeFrom="paragraph">
                <wp:posOffset>-771525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4.15pt;margin-top:-60.75pt;height:144pt;width:144pt;mso-position-horizontal-relative:margin;mso-wrap-style:none;z-index:251667456;mso-width-relative:page;mso-height-relative:page;" filled="f" stroked="f" coordsize="21600,21600" o:gfxdata="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ApHLNsAAAAMAQAADwAAAAAAAAABACAA&#10;AAAiAAAAZHJzL2Rvd25yZXYueG1sUEsBAhQAFAAAAAgAh07iQK2eQrvRAQAApwMAAA4AAAAAAAAA&#10;AQAgAAAAKgEAAGRycy9lMm9Eb2MueG1sUEsFBgAAAAAGAAYAWQEAAG0FAAAAAA==&#10;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ind w:firstLine="588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47625</wp:posOffset>
              </wp:positionH>
              <wp:positionV relativeFrom="paragraph">
                <wp:posOffset>-3155315</wp:posOffset>
              </wp:positionV>
              <wp:extent cx="66294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75pt;margin-top:-248.45pt;height:144pt;width:52.2pt;mso-position-horizontal-relative:margin;z-index:251664384;mso-width-relative:page;mso-height-relative:page;" filled="f" stroked="f" coordsize="21600,21600" o:gfxdata="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IdrfU1wAAAAsBAAAPAAAAAAAAAAEAIAAAACIAAABkcnMvZG93bnJl&#10;di54bWxQSwECFAAUAAAACACHTuJAt3+AhMUBAACMAwAADgAAAAAAAAABACAAAAAm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-377825</wp:posOffset>
              </wp:positionH>
              <wp:positionV relativeFrom="paragraph">
                <wp:posOffset>-782320</wp:posOffset>
              </wp:positionV>
              <wp:extent cx="229870" cy="5740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9.75pt;margin-top:-61.6pt;height:45.2pt;width:18.1pt;mso-position-horizontal-relative:margin;z-index:251659264;mso-width-relative:page;mso-height-relative:page;" filled="f" stroked="f" coordsize="21600,21600" o:gfxdata="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8Gp1dgAAAAMAQAADwAAAAAAAAABACAAAAAiAAAAZHJzL2Rvd25y&#10;ZXYueG1sUEsBAhQAFAAAAAgAh07iQAZZY4/FAQAAfwMAAA4AAAAAAAAAAQAgAAAAJ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-419100</wp:posOffset>
              </wp:positionH>
              <wp:positionV relativeFrom="paragraph">
                <wp:posOffset>414020</wp:posOffset>
              </wp:positionV>
              <wp:extent cx="300990" cy="66294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99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3pt;margin-top:32.6pt;height:52.2pt;width:23.7pt;mso-position-horizontal-relative:margin;z-index:251662336;mso-width-relative:page;mso-height-relative:page;" filled="f" stroked="f" coordsize="21600,21600" o:gfxdata="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0mbhLXAAAACgEAAA8AAAAAAAAAAQAgAAAAIgAAAGRycy9kb3ducmV2&#10;LnhtbFBLAQIUABQAAAAIAIdO4kDA1zCCxAEAAIEDAAAOAAAAAAAAAAEAIAAAACY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702126E7"/>
    <w:rsid w:val="31DB13D9"/>
    <w:rsid w:val="39BE02CB"/>
    <w:rsid w:val="5B28431B"/>
    <w:rsid w:val="63A6340B"/>
    <w:rsid w:val="7021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spacing w:after="120"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widowControl w:val="0"/>
      <w:spacing w:line="300" w:lineRule="atLeast"/>
      <w:jc w:val="center"/>
    </w:pPr>
    <w:rPr>
      <w:rFonts w:ascii="Times New Roman" w:hAnsi="Times New Roman" w:eastAsia="宋体" w:cs="Times New Roman"/>
      <w:color w:val="000000"/>
      <w:kern w:val="2"/>
      <w:sz w:val="44"/>
      <w:lang w:val="en-US" w:eastAsia="zh-CN" w:bidi="ar-SA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8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9">
    <w:name w:val="Normal (Web)"/>
    <w:qFormat/>
    <w:uiPriority w:val="0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12">
    <w:name w:val="font11"/>
    <w:qFormat/>
    <w:uiPriority w:val="0"/>
    <w:rPr>
      <w:rFonts w:hint="default" w:ascii="仿宋_GB2312" w:eastAsia="仿宋_GB2312" w:cs="仿宋_GB2312"/>
      <w:color w:val="FF0000"/>
      <w:sz w:val="28"/>
      <w:szCs w:val="28"/>
      <w:u w:val="none"/>
    </w:rPr>
  </w:style>
  <w:style w:type="character" w:customStyle="1" w:styleId="13">
    <w:name w:val="font21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4">
    <w:name w:val="font0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9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41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7">
    <w:name w:val="正文 缩进2字符"/>
    <w:next w:val="1"/>
    <w:qFormat/>
    <w:uiPriority w:val="0"/>
    <w:pPr>
      <w:widowControl w:val="0"/>
      <w:spacing w:line="288" w:lineRule="auto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customStyle="1" w:styleId="18">
    <w:name w:val="BodyText2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2024-04-08T06:18:00Z</dcterms:created>
  <dc:creator>米露</dc:creator>
  <cp:lastModifiedBy>米露</cp:lastModifiedBy>
  <dcterms:modified xsi:type="dcterms:W3CDTF">2024-04-08T06:21:21Z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880AB9022492432B941F3BEAD15A0DF2_13</vt:lpwstr>
  </property>
</Properties>
</file>