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6" w:beforeLines="10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大兴区净土保卫战2024年行动计划</w:t>
      </w:r>
    </w:p>
    <w:tbl>
      <w:tblPr>
        <w:tblStyle w:val="8"/>
        <w:tblW w:w="140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500"/>
        <w:gridCol w:w="6346"/>
        <w:gridCol w:w="1215"/>
        <w:gridCol w:w="2235"/>
        <w:gridCol w:w="2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54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重点任务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工作措施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完成时限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牵头单位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协办单位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8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一、土壤污染防治目标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54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目标任务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建设用地和农用地土壤环境风险得到有效管控，安全利用得到有效保障。加强土壤污染源头防控，土壤环境质量保持良好。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区农业农村局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区园林绿化局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市规划自然资源委大兴分局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临空经济区大兴片区管委会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区经济和信息化局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区住房城乡建设委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各产业园区管委会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8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二、持续深入防控建设用地风险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3" w:hRule="atLeast"/>
          <w:jc w:val="center"/>
        </w:trPr>
        <w:tc>
          <w:tcPr>
            <w:tcW w:w="543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科学管控建设用地风险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推进上年度22个优先监管地块风险管控。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对</w:t>
            </w:r>
            <w:r>
              <w:rPr>
                <w:rFonts w:ascii="Times New Roman" w:hAnsi="Times New Roman"/>
              </w:rPr>
              <w:t>拟开发利用的优先监管地块依法开展土壤污染状况调查，并根据调查结论开展风险评估，采取土壤污染风险管控和修复措施。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对</w:t>
            </w:r>
            <w:r>
              <w:rPr>
                <w:rFonts w:ascii="Times New Roman" w:hAnsi="Times New Roman"/>
              </w:rPr>
              <w:t>暂不开发利用的优先监管地块规范开展环境监测，根据监测结果采取有效污染管控措施，并上报“全国建设用地土壤环境管理信息系统”。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采育镇人民政府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礼贤镇人民政府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长子营镇人民政府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青云店镇人民政府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黄村镇人民政府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魏善庄镇人民政府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西红门镇人民政府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瀛海镇人民政府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天宫院街道办事处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大兴经济开发区管委会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市规划自然资源委大兴分局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临空经济区大兴片区管委会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543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以筛查台账为基础，考虑行业、生产年限等因素，筛选可能存在较高土壤污染风险的地块，列入优先监管地块清单，2月底、8月底前更新清单。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对本年度新增优先监管地块开展重点监测，规范填报“全国建设用地土壤环境管理信息系统”。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按时间节点完成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相关产业园区管委会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市规划自然资源委大兴分局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临空经济区大兴片区管委会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区经济和信息化局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削减受污染建设用地面积。落实建设用地土壤污染风险管控和修复名录制度，按照国家有关规定建立污染地块名录，鼓励应用绿色低碳治理技术，科学实施土壤污染风险管控、修复，加强风险管控、修复方案备案管理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市规划自然资源委大兴分局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临空经济区大兴片区管委会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区住房城乡建设委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543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拓展建设用地管理广度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筛查土壤污染风险。根据上年度关停退出工业企业情况，结合注销、撤销排污许可信息，按照关停退出工业企业原址用地土壤污染风险筛查指南，动态更新完善筛查台账。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区经济和信息化局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市规划自然资源委大兴分局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临空经济区大兴片区管委会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相关产业园区管委会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监管后期管理地块。风险管控、修复活动完成后，需要实施后期管理的地块，督促责任主体加强监测、运维、制度控制等，对后期管理计划落实情况进行监督检查。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市规划自然资源委大兴分局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区住房城乡建设委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黄村镇人民政府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兴丰街道办事处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加快处置转运污染土壤。加强“分阶段”修复地块监督管理，涉及转运污染土壤的，督促按承诺时限和措施完成转运污染土壤处置、效果评估及备案。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市规划自然资源委大兴分局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区农村集体土地交易服务中心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相关产业园区管委会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54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依法保障建设用地安全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保障重点建设用地安全利用。重点建设用地安全利用率达到100%，或者达到95%以上且当年依法处罚、整改到位。用途变更为住宅、公共管理与公共服务用地的地块，督促开展土壤污染状况调查，依法落实土壤污染风险管控和修复措施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市规划自然资源委大兴分局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临空经济区大兴片区管委会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区农村集体土地交易服务中心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区住房城乡建设委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防控拟收储地块土壤污染风险。拟收储地块应符合《北京市土壤污染防治条例》相关规定，依法开展土壤污染状况调查和治理，且满足土壤安全利用要求。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市规划自然资源委大兴分局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推进潜在风险地块土壤环境现状调查。涉及新建汽车整车制造、显示器制造、集成电路制造的新改扩建项目，在开工建设前督促完成土壤环境现状调查，并报区生态环境局。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区经济和信息化局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市规划自然资源委大兴分局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临空经济区大兴片区管委会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各产业园区管委会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543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鼓励自主开展调查。各属地结合实际情况，在工业企业用地使用权转让、出租时，自主开展土壤环境现状调查。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各产业园区管委会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市规划自然资源委大兴分局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临空经济区大兴片区管委会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43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精准防控工业源头污染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细化管理土壤污染重点监管单位。更新土壤污染重点监管单位名录，监督指导重点单位落实法定义务，建立完善土壤和地下水污染防治制度。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区经济和信息化局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各产业园区管委会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完成上年度14家土壤污染重点监管单位隐患排查和自行监测“回头看”，主要包括有毒有害物质识别、重点场所和重点设施设备识别、土壤污染隐患消除、自行监测点位布设、监测指标和监测频次、自行监测报告编制、监测结果信息公开等。</w:t>
            </w:r>
          </w:p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加强自行监测结果异常地块监管，防控土壤污染风险。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6月底前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区经济和信息化局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各产业园区管委会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防控涉重金属企业污染。持续排查整治涉镉等重金属行业企业，预防耕地污染。根据上年度排查情况，指导推动含电镀工序企业开展绿色化改造。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区经济和信息化局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区商务局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强化管理潜在污染企业。督促汽车整车制造、显示器件制造、集成电路制造行业企业完成一轮自行监测；督促化工、电子、制药、汽车制造行业重点企业开展土壤污染隐患排查，并根据结果整改提升；加油站、储油库及时报告埋地储罐变化信息，抽查不少于20家加油站、储油库防渗漏措施落实情况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区经济和信息化局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43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预防工业园区土壤环境污染。市级以上园区管理机构应制定、完善并落实土壤污染防治方案，开展土壤和地下水监测、结果评价及风险防控。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大兴经济开发区管委会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大兴生物医药基地管委会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安定镇人民政府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区经济和信息化局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543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提升固体废物收运处置能力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推进大兴安定循环经济园区医废项目稳定运行。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区城市管理委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安定镇人民政府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市规划自然资源委大兴分局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区住房城乡建设委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区发展改革委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区经济和信息化局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加强小微医疗废物收运处置。完善“小箱进大箱”等工作机制，健全小微医疗机构医废收运体系。鼓励依托工业园区等危废暂存设施，开展服务小微产废单位的工业危废收集转运试点。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区卫生健康委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区发展改革委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区交通局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区公安分局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推动商品流通领域落实生产者责任延伸制度，组织引导在京销售电动自行车的厂商通过以旧换新等方式，回收废蓄电池。落实“街乡吹哨，部门报到”，组织街道、镇、管委会加强对电动自行车销售网点回收废蓄电池的检查帮扶，督促规范经营、消防安全、污染防治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区商务局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区市场监管局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区消防救援支队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区经济和信息化局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区发展改革委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区城市管理委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各产业园区管委会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543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加强对废铅蓄电池收集转运试点的执法监管。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区交通局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区公安分局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区消防救援支队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西红门镇人民政府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54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协同推动京津冀固体废物管理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根据市生态环境局部署，做好废锂蓄电池跨省转移利用工作。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区交通局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区经济和信息化局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区公安分局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区发展改革委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区消防救援支队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各产业园区管委会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89" w:type="dxa"/>
            <w:gridSpan w:val="6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三、持续深入净化农用地环境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54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0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因地制宜管控耕地土壤污染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保障重点耕地安全利用。继续实施耕地分类管理，落实土壤和食用农产品协同监测。受污染耕地安全利用率稳定达到95%以上。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区农业农村局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相关产业园区管委会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543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探索管控其他农用地土壤污染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推进园地分类管理。深化应用农用地土壤详查成果，开展重点园地土壤和果品协同监测，保障产出食用果品安全。完成市级下达的规模化果园“沃土”工程任务。参考耕地土壤环境质量类别调整要求，试点调整园地土壤环境质量类别，更新分类管理清单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区园林绿化局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区农业农村局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相关产业园区管委会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543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推进设施农用地土壤环境质量管理。加强农产品质量安全状况监督抽测，发现可能因土壤原因导致农产品不符合质量安全标准时，对土壤环境质量开展监测。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区农业农村局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相关产业园区管委会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543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促进农用地土壤质量提升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按计划完成高标准农田建设和提升改造。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区农业农村局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相关产业园区管委会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保障新增耕地土壤质量。落实新增耕地联合验收机制，强化土壤环境质量调查监测，保障新增耕地土壤环境安全。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市规划自然资源委大兴分局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区农业农村局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相关产业园区管委会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543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探索重点林地分类管理。对林下种植食用农产品林地，试点开展土壤污染状况调查，建立分类管理清单。对承接清淤淤泥林地、绿地等地块，开展土壤跟踪监测，保持土壤环境状况稳定。对污泥产品施用试点的平原生态林，加强跟踪监测、对比分析，评价施用后土壤变化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区园林绿化局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区水务局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相关产业园区管委会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543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大力推进农业面源污染治理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治理农业面源污染。主要农作物化肥利用率达到42%以上，农药利用率保持在45%以上。监测分析农田地膜残留，农膜回收率保持在92%以上。健全农药包装废弃物回收处置体系，统计包装废弃物回收率。调查核算农药、化肥、农膜等农业投入品使用量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区农业服务中心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相关产业园区管委会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治理果业林业面源污染。开展农药、化肥、农膜等投入品调查核算，完成市级下达的信息素、迷向丝、生物天敌等绿色防治技术示范任务。通过定点收集、就地还田等方式，加强果树枝叶废弃物处理和利用。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区园林绿化局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区园林服务中心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促进绿色种养循环。完善农作物秸秆资源化利用台账并开展综合利用，秸秆综合利用率保持在98.5%以上。督促规模以上畜禽养殖场开展粪污无害化处理及处理后的检测工作，畜禽粪污综合利用率保持在95%以上。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区农业农村局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区农业服务中心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543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试点开展创新治理。以监测评估及溯源分析为重点，因地制宜，创新研究农业面源污染治理。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区农业农村局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8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四、持续加强未利用地保护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543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50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加强未利用地保护利用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推进未利用地整治复耕与生态修复，具备复垦条件的优先复垦为耕地。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市规划自然资源委大兴分局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相关产业园区管委会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54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防控未利用地土壤污染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定期组织巡查检查。发现违法占用未利用地的，及时整改；发现未利用地被污染的，督促清除污染、实施修复。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市规划自然资源委大兴分局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相关产业园区管委会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区城市管理委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08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Cs w:val="21"/>
                <w:lang w:bidi="ar"/>
              </w:rPr>
              <w:t>五、大力提升土壤环境治理能力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543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加强新污染物治理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完成2024年度化学物质环境信息统计调查工作。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3月底前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规范抗生素类药品使用。强化管理抗菌药物临床应用，开展抗菌药物及细菌耐药监测；严格落实零售药店凭处方销售处方药类抗菌药物。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区卫生健康委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区市场监管局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监督管理兽用抗菌药，抽查兽药质量和畜禽等养殖行业用药，推行凭兽医处方销售使用兽用抗菌药；实施兽用抗菌药使用减量化行动，研究养殖无抗技术体系集成与示范推广；综合治理兽用抗菌药，有效遏制动物源细菌耐药、兽药残留超标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区农业农村局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严格管控具有环境持久性、生物累积性等特性的高毒高风险农药及助剂。鼓励发展高效低风险农药，稳步推进高毒高风险农药淘汰和替代。开展禁限用农药非法添加和农药残留超标问题专项整治。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区农业农村局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区园林绿化局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区农业服务中心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区园林服务中心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加强产品新污染物含量抽检。依据强制性国家标准确定的重点管控新污染物含量控制要求，随机抽检儿童玩具、学生用品等相关产品质量，依法处理抽检中发现的不合格产品。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区市场监管局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54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完善管理体系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按季度开展区域评价。依据《土壤污染治理效果评价办法（试行）》，从土壤改良及监测达标、重点任务落实情况、推动提高绿色发展水平三方面，按季度评价本区土壤污染治理效果。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区农业农村局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区园林绿化局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市规划自然资源委大兴分局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区住房城乡建设委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区经济和信息化局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临空经济区大兴片区管委会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区农业服务中心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区园林服务中心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各产业园区管委会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规范管理建设用地信息系统。督促相关主体及时、规范填报全国建设用地土壤环境管理信息系统，完善边界矢量上传、从业单位注册及业绩填报、调查环节质量控制等，及时更新重点监管单位、地块开发利用、信用记录系统、质控调查等模块信息。开展建设用地土壤污染状况调查监督检查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市规划自然资源委大兴分局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临空经济区大兴片区管委会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543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共享土壤污染防治信息。各部门共享上年度土壤污染防治工作中形成的监测、统计等相关信息，动态共享本年度土壤污染防治相关信息。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区农业农村局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区园林绿化局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市规划自然资源委大兴分局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区住房城乡建设委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区经济和信息化局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临空经济区大兴片区管委会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区农业服务中心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区园林服务中心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区农村集体土地交易服务中心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543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加强监测监管</w:t>
            </w:r>
          </w:p>
        </w:tc>
        <w:tc>
          <w:tcPr>
            <w:tcW w:w="6346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综合监测土壤环境状况。区生态环境局根据市局部署做好土壤市控网背景点和基础点监测；布设区级土壤环境监测网，开展监测并分析应用监测结果；监测重点监管单位和污水集中处理设施周边土壤，以及自行监测结果存在异常的工业企业周边土壤，预防工业污染物迁移扩散；对400口农田灌溉用水水质进行监测。区农业农村局监测种植业产地土壤环境状况，促进农业绿色生产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区农业农村局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区水务局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54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探索卫星遥感监测监管。利用卫星遥感，动态监测建设用地重点地块，及时组织核查疑似违法开工建设情形；探索监测农村环境整治成效、重点农用地种植情况。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543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500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加强专项执法和日常检查。开展土壤重点监管单位专项执法，重点检查土壤污染隐患排查、自行监测落实及整改情况；加强建设用地风险管控和修复日常检查，重点检查污染物含量超筛选值地块风险防控、土壤污染状况调查、转运污染土壤按承诺处置、有关从业单位规范记录信息并管理档案等落实情况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543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50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推动公众参与</w:t>
            </w:r>
          </w:p>
        </w:tc>
        <w:tc>
          <w:tcPr>
            <w:tcW w:w="63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加强土壤、农业农村生态环境保护宣传教育，普及相关科学知识，增强公众保护意识，引导公众依法参与保护工作。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年底前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区生态环境局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区农业农村局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区园林绿化局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市规划自然资源委大兴分局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区农业服务中心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区园林服务中心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各镇人民政府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各街道办事处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各产业园区管委会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-377825</wp:posOffset>
              </wp:positionH>
              <wp:positionV relativeFrom="paragraph">
                <wp:posOffset>-782320</wp:posOffset>
              </wp:positionV>
              <wp:extent cx="229870" cy="57404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eaVert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9.75pt;margin-top:-61.6pt;height:45.2pt;width:18.1pt;mso-position-horizontal-relative:margin;z-index:251659264;mso-width-relative:page;mso-height-relative:page;" filled="f" stroked="f" coordsize="21600,21600" o:gfxdata="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T8Gp1dgAAAAMAQAADwAAAAAAAAABACAAAAAiAAAAZHJzL2Rvd25y&#10;ZXYueG1sUEsBAhQAFAAAAAgAh07iQAZZY4/FAQAAfwMAAA4AAAAAAAAAAQAgAAAAJ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layout-flow:vertical-ideographic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vgJmo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KKZQsdPP76f&#10;fj6cfn0juINArfUzxN1bRIbunekwNsO9x2Xk3VVOxV8wIvBD3uNFXtEFwuOj6WQ6zeHi8A0H4GeP&#10;z63z4b0wikSjoA79S7Kyw8aHPnQIidm0WTdSph5KTdqCXr1+m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vgJmo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702126E7"/>
    <w:rsid w:val="31DB13D9"/>
    <w:rsid w:val="39BE02CB"/>
    <w:rsid w:val="7021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widowControl w:val="0"/>
      <w:spacing w:after="120"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32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widowControl w:val="0"/>
      <w:spacing w:line="300" w:lineRule="atLeast"/>
      <w:jc w:val="center"/>
    </w:pPr>
    <w:rPr>
      <w:rFonts w:ascii="Times New Roman" w:hAnsi="Times New Roman" w:eastAsia="宋体" w:cs="Times New Roman"/>
      <w:color w:val="000000"/>
      <w:kern w:val="2"/>
      <w:sz w:val="44"/>
      <w:lang w:val="en-US" w:eastAsia="zh-CN" w:bidi="ar-SA"/>
    </w:r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宋体" w:cs="Times New Roman"/>
      <w:kern w:val="2"/>
      <w:sz w:val="18"/>
      <w:szCs w:val="22"/>
      <w:lang w:val="en-US" w:eastAsia="zh-CN" w:bidi="ar-SA"/>
    </w:rPr>
  </w:style>
  <w:style w:type="character" w:customStyle="1" w:styleId="10">
    <w:name w:val="font11"/>
    <w:qFormat/>
    <w:uiPriority w:val="0"/>
    <w:rPr>
      <w:rFonts w:hint="default" w:ascii="仿宋_GB2312" w:eastAsia="仿宋_GB2312" w:cs="仿宋_GB2312"/>
      <w:color w:val="FF0000"/>
      <w:sz w:val="28"/>
      <w:szCs w:val="28"/>
      <w:u w:val="none"/>
    </w:rPr>
  </w:style>
  <w:style w:type="character" w:customStyle="1" w:styleId="11">
    <w:name w:val="font21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12">
    <w:name w:val="font0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9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2024-04-08T06:18:00Z</dcterms:created>
  <dc:creator>米露</dc:creator>
  <cp:lastModifiedBy>米露</cp:lastModifiedBy>
  <dcterms:modified xsi:type="dcterms:W3CDTF">2024-04-08T06:20:20Z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70134FC8BFEE45F0B925198A420B823E_13</vt:lpwstr>
  </property>
</Properties>
</file>