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B6AAA">
      <w:pPr>
        <w:spacing w:line="245" w:lineRule="auto"/>
        <w:rPr>
          <w:rFonts w:ascii="Arial"/>
          <w:sz w:val="21"/>
        </w:rPr>
      </w:pPr>
    </w:p>
    <w:p w14:paraId="693B350A">
      <w:pPr>
        <w:spacing w:line="245" w:lineRule="auto"/>
        <w:rPr>
          <w:rFonts w:ascii="Arial"/>
          <w:sz w:val="21"/>
        </w:rPr>
      </w:pPr>
    </w:p>
    <w:p w14:paraId="58139E8D">
      <w:pPr>
        <w:spacing w:line="246" w:lineRule="auto"/>
        <w:rPr>
          <w:rFonts w:ascii="Arial"/>
          <w:sz w:val="21"/>
        </w:rPr>
      </w:pPr>
    </w:p>
    <w:p w14:paraId="59C87B1A">
      <w:pPr>
        <w:spacing w:before="101" w:line="230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72340C96">
      <w:pPr>
        <w:spacing w:line="260" w:lineRule="auto"/>
        <w:rPr>
          <w:rFonts w:ascii="Arial"/>
          <w:sz w:val="21"/>
        </w:rPr>
      </w:pPr>
    </w:p>
    <w:p w14:paraId="2673EFB8">
      <w:pPr>
        <w:spacing w:line="261" w:lineRule="auto"/>
        <w:rPr>
          <w:rFonts w:ascii="Arial"/>
          <w:sz w:val="21"/>
        </w:rPr>
      </w:pPr>
    </w:p>
    <w:p w14:paraId="3A90CF1A">
      <w:pPr>
        <w:spacing w:before="136" w:line="225" w:lineRule="auto"/>
        <w:ind w:left="2088" w:right="1083" w:hanging="1086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10"/>
          <w:sz w:val="35"/>
          <w:szCs w:val="35"/>
        </w:rPr>
        <w:t>北京大兴国际机场临空经济区（北京部分）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行政相对人信用评价评分细则</w:t>
      </w:r>
    </w:p>
    <w:p w14:paraId="2393CA25">
      <w:pPr>
        <w:spacing w:line="267" w:lineRule="auto"/>
        <w:rPr>
          <w:rFonts w:ascii="Arial"/>
          <w:sz w:val="21"/>
        </w:rPr>
      </w:pPr>
    </w:p>
    <w:p w14:paraId="3F556E7B">
      <w:pPr>
        <w:spacing w:line="268" w:lineRule="auto"/>
        <w:rPr>
          <w:rFonts w:ascii="Arial"/>
          <w:sz w:val="21"/>
        </w:rPr>
      </w:pPr>
    </w:p>
    <w:p w14:paraId="399B3C23">
      <w:pPr>
        <w:pStyle w:val="2"/>
        <w:spacing w:before="101" w:line="316" w:lineRule="auto"/>
        <w:ind w:left="9" w:firstLine="640"/>
      </w:pPr>
      <w:r>
        <w:rPr>
          <w:rFonts w:ascii="黑体" w:hAnsi="黑体" w:eastAsia="黑体" w:cs="黑体"/>
          <w:spacing w:val="10"/>
        </w:rPr>
        <w:t xml:space="preserve">第一条【制定目的和依据】 </w:t>
      </w:r>
      <w:r>
        <w:rPr>
          <w:spacing w:val="10"/>
        </w:rPr>
        <w:t>为深入推进“放管服”</w:t>
      </w:r>
      <w:r>
        <w:rPr>
          <w:spacing w:val="-96"/>
        </w:rPr>
        <w:t xml:space="preserve"> </w:t>
      </w:r>
      <w:r>
        <w:rPr>
          <w:spacing w:val="10"/>
        </w:rPr>
        <w:t>改革，</w:t>
      </w:r>
      <w:r>
        <w:t xml:space="preserve"> </w:t>
      </w:r>
      <w:r>
        <w:rPr>
          <w:spacing w:val="5"/>
        </w:rPr>
        <w:t>充分发挥信用在新型政务服务机制中的作用，开展行政相对人信</w:t>
      </w:r>
      <w:r>
        <w:rPr>
          <w:spacing w:val="10"/>
        </w:rPr>
        <w:t xml:space="preserve"> </w:t>
      </w:r>
      <w:r>
        <w:rPr>
          <w:spacing w:val="-2"/>
        </w:rPr>
        <w:t>用评价，推动建立以公共信用综合评价结果、行业信用</w:t>
      </w:r>
      <w:r>
        <w:rPr>
          <w:spacing w:val="-3"/>
        </w:rPr>
        <w:t>评价结果、</w:t>
      </w:r>
      <w:r>
        <w:t xml:space="preserve"> </w:t>
      </w:r>
      <w:r>
        <w:rPr>
          <w:spacing w:val="5"/>
        </w:rPr>
        <w:t>区域特色信用评价结果相互促进的信用管理机制，依据《北京大</w:t>
      </w:r>
      <w:r>
        <w:rPr>
          <w:spacing w:val="12"/>
        </w:rPr>
        <w:t xml:space="preserve"> </w:t>
      </w:r>
      <w:r>
        <w:rPr>
          <w:spacing w:val="5"/>
        </w:rPr>
        <w:t>兴国际机场临空经济区（北京部分）行政相对人信用信息归集与</w:t>
      </w:r>
      <w:r>
        <w:rPr>
          <w:spacing w:val="12"/>
        </w:rPr>
        <w:t xml:space="preserve"> </w:t>
      </w:r>
      <w:r>
        <w:rPr>
          <w:spacing w:val="8"/>
        </w:rPr>
        <w:t>评价管理办法》，制定本评分细则。</w:t>
      </w:r>
    </w:p>
    <w:p w14:paraId="0C903D22">
      <w:pPr>
        <w:pStyle w:val="2"/>
        <w:spacing w:before="55" w:line="310" w:lineRule="auto"/>
        <w:ind w:right="97" w:firstLine="650"/>
      </w:pPr>
      <w:r>
        <w:rPr>
          <w:rFonts w:ascii="黑体" w:hAnsi="黑体" w:eastAsia="黑体" w:cs="黑体"/>
          <w:spacing w:val="11"/>
        </w:rPr>
        <w:t xml:space="preserve">第二条【指标评价体系】 </w:t>
      </w:r>
      <w:r>
        <w:rPr>
          <w:spacing w:val="11"/>
        </w:rPr>
        <w:t>行政相对人信用评分按照“</w:t>
      </w:r>
      <w:r>
        <w:rPr>
          <w:spacing w:val="10"/>
        </w:rPr>
        <w:t>基础</w:t>
      </w:r>
      <w:r>
        <w:t xml:space="preserve"> </w:t>
      </w:r>
      <w:r>
        <w:rPr>
          <w:spacing w:val="5"/>
        </w:rPr>
        <w:t>信用分值+公共信用分值+临空区特色信用分值”的积分评价模式</w:t>
      </w:r>
      <w:r>
        <w:rPr>
          <w:spacing w:val="15"/>
        </w:rPr>
        <w:t xml:space="preserve"> </w:t>
      </w:r>
      <w:r>
        <w:rPr>
          <w:spacing w:val="3"/>
        </w:rPr>
        <w:t>计算，采用</w:t>
      </w:r>
      <w:r>
        <w:rPr>
          <w:spacing w:val="-22"/>
        </w:rPr>
        <w:t xml:space="preserve"> </w:t>
      </w:r>
      <w:r>
        <w:rPr>
          <w:spacing w:val="3"/>
        </w:rPr>
        <w:t>350—950</w:t>
      </w:r>
      <w:r>
        <w:rPr>
          <w:spacing w:val="-59"/>
        </w:rPr>
        <w:t xml:space="preserve"> </w:t>
      </w:r>
      <w:r>
        <w:rPr>
          <w:spacing w:val="3"/>
        </w:rPr>
        <w:t>积分制。</w:t>
      </w:r>
    </w:p>
    <w:p w14:paraId="3EE79772">
      <w:pPr>
        <w:pStyle w:val="2"/>
        <w:spacing w:before="75" w:line="317" w:lineRule="auto"/>
        <w:ind w:left="12" w:right="97" w:firstLine="638"/>
      </w:pPr>
      <w:r>
        <w:rPr>
          <w:spacing w:val="2"/>
        </w:rPr>
        <w:t>其中，基础信用分值为</w:t>
      </w:r>
      <w:r>
        <w:rPr>
          <w:spacing w:val="-20"/>
        </w:rPr>
        <w:t xml:space="preserve"> </w:t>
      </w:r>
      <w:r>
        <w:rPr>
          <w:spacing w:val="2"/>
        </w:rPr>
        <w:t>350</w:t>
      </w:r>
      <w:r>
        <w:rPr>
          <w:spacing w:val="-60"/>
        </w:rPr>
        <w:t xml:space="preserve"> </w:t>
      </w:r>
      <w:r>
        <w:rPr>
          <w:spacing w:val="2"/>
        </w:rPr>
        <w:t>分，是指行政相对人的初始信用</w:t>
      </w:r>
      <w:r>
        <w:t xml:space="preserve"> </w:t>
      </w:r>
      <w:r>
        <w:rPr>
          <w:spacing w:val="1"/>
        </w:rPr>
        <w:t>分值。</w:t>
      </w:r>
    </w:p>
    <w:p w14:paraId="78E7F39B">
      <w:pPr>
        <w:pStyle w:val="2"/>
        <w:spacing w:before="59" w:line="316" w:lineRule="auto"/>
        <w:ind w:left="9" w:right="97" w:firstLine="639"/>
      </w:pPr>
      <w:r>
        <w:rPr>
          <w:spacing w:val="5"/>
        </w:rPr>
        <w:t>公共信用分值，根据北京市统一当期的企业公共信用综合评</w:t>
      </w:r>
      <w:r>
        <w:t xml:space="preserve"> </w:t>
      </w:r>
      <w:r>
        <w:rPr>
          <w:spacing w:val="7"/>
        </w:rPr>
        <w:t>价结果乘以系数转化得出。</w:t>
      </w:r>
    </w:p>
    <w:p w14:paraId="3BA43B45">
      <w:pPr>
        <w:pStyle w:val="2"/>
        <w:spacing w:before="55" w:line="318" w:lineRule="auto"/>
        <w:ind w:left="19" w:right="97" w:firstLine="649"/>
      </w:pPr>
      <w:r>
        <w:rPr>
          <w:spacing w:val="4"/>
        </w:rPr>
        <w:t>临空区特色信用分值，是指根据守信履约、遵纪守法、社会</w:t>
      </w:r>
      <w:r>
        <w:rPr>
          <w:spacing w:val="6"/>
        </w:rPr>
        <w:t xml:space="preserve"> </w:t>
      </w:r>
      <w:r>
        <w:rPr>
          <w:spacing w:val="7"/>
        </w:rPr>
        <w:t>责任等各项指标得分值计算得出。</w:t>
      </w:r>
    </w:p>
    <w:p w14:paraId="115B2D5A">
      <w:pPr>
        <w:pStyle w:val="2"/>
        <w:spacing w:before="52" w:line="318" w:lineRule="auto"/>
        <w:ind w:left="6" w:right="97" w:firstLine="643"/>
      </w:pPr>
      <w:r>
        <w:rPr>
          <w:spacing w:val="17"/>
        </w:rPr>
        <w:t>公共信用与临空区特色信用指标分值按照一定比例合理分</w:t>
      </w:r>
      <w:r>
        <w:rPr>
          <w:spacing w:val="15"/>
        </w:rPr>
        <w:t xml:space="preserve"> </w:t>
      </w:r>
      <w:r>
        <w:t>布。</w:t>
      </w:r>
    </w:p>
    <w:p w14:paraId="5AA53CD3">
      <w:pPr>
        <w:spacing w:line="318" w:lineRule="auto"/>
        <w:sectPr>
          <w:footerReference r:id="rId5" w:type="default"/>
          <w:pgSz w:w="11906" w:h="16839"/>
          <w:pgMar w:top="1431" w:right="1378" w:bottom="1142" w:left="1588" w:header="0" w:footer="862" w:gutter="0"/>
          <w:cols w:space="720" w:num="1"/>
        </w:sectPr>
      </w:pPr>
    </w:p>
    <w:p w14:paraId="46EAEFA2">
      <w:pPr>
        <w:spacing w:line="359" w:lineRule="auto"/>
        <w:rPr>
          <w:rFonts w:ascii="Arial"/>
          <w:sz w:val="21"/>
        </w:rPr>
      </w:pPr>
    </w:p>
    <w:p w14:paraId="5920ABE6">
      <w:pPr>
        <w:spacing w:line="359" w:lineRule="auto"/>
        <w:rPr>
          <w:rFonts w:ascii="Arial"/>
          <w:sz w:val="21"/>
        </w:rPr>
      </w:pPr>
    </w:p>
    <w:p w14:paraId="2D592E07">
      <w:pPr>
        <w:pStyle w:val="2"/>
        <w:spacing w:before="101" w:line="311" w:lineRule="auto"/>
        <w:ind w:left="29" w:right="313" w:firstLine="615"/>
        <w:jc w:val="both"/>
      </w:pPr>
      <w:r>
        <w:rPr>
          <w:rFonts w:ascii="黑体" w:hAnsi="黑体" w:eastAsia="黑体" w:cs="黑体"/>
          <w:spacing w:val="9"/>
        </w:rPr>
        <w:t>第三条【临空区特色指标】</w:t>
      </w:r>
      <w:r>
        <w:rPr>
          <w:rFonts w:ascii="黑体" w:hAnsi="黑体" w:eastAsia="黑体" w:cs="黑体"/>
          <w:spacing w:val="61"/>
        </w:rPr>
        <w:t xml:space="preserve"> </w:t>
      </w:r>
      <w:r>
        <w:rPr>
          <w:spacing w:val="9"/>
        </w:rPr>
        <w:t>临空区特色信用评价指标体系</w:t>
      </w:r>
      <w:r>
        <w:t xml:space="preserve"> </w:t>
      </w:r>
      <w:r>
        <w:rPr>
          <w:spacing w:val="4"/>
        </w:rPr>
        <w:t>由守信履约、遵纪守法、社会责任三个一级指标构成，并细分为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 xml:space="preserve">13 </w:t>
      </w:r>
      <w:r>
        <w:rPr>
          <w:spacing w:val="2"/>
        </w:rPr>
        <w:t>个二级指标。</w:t>
      </w:r>
    </w:p>
    <w:p w14:paraId="281A8751">
      <w:pPr>
        <w:pStyle w:val="2"/>
        <w:spacing w:before="56" w:line="288" w:lineRule="auto"/>
        <w:ind w:left="10" w:right="315" w:firstLine="627"/>
      </w:pPr>
      <w:r>
        <w:rPr>
          <w:spacing w:val="-7"/>
        </w:rPr>
        <w:t>（一）守信履约包含“告知承诺”“备查制”“云踏勘”“容</w:t>
      </w:r>
      <w:r>
        <w:rPr>
          <w:spacing w:val="16"/>
        </w:rPr>
        <w:t xml:space="preserve"> </w:t>
      </w:r>
      <w:r>
        <w:rPr>
          <w:spacing w:val="8"/>
        </w:rPr>
        <w:t>缺后补”“履约监管协议”</w:t>
      </w:r>
      <w:r>
        <w:rPr>
          <w:rFonts w:ascii="Times New Roman" w:hAnsi="Times New Roman" w:eastAsia="Times New Roman" w:cs="Times New Roman"/>
          <w:spacing w:val="8"/>
        </w:rPr>
        <w:t xml:space="preserve">5 </w:t>
      </w:r>
      <w:r>
        <w:rPr>
          <w:spacing w:val="8"/>
        </w:rPr>
        <w:t>个二级指标</w:t>
      </w:r>
      <w:r>
        <w:rPr>
          <w:spacing w:val="7"/>
        </w:rPr>
        <w:t>，反映行政相对人诚信</w:t>
      </w:r>
      <w:r>
        <w:t xml:space="preserve"> </w:t>
      </w:r>
      <w:r>
        <w:rPr>
          <w:spacing w:val="7"/>
        </w:rPr>
        <w:t>开展经营活动的情况。</w:t>
      </w:r>
    </w:p>
    <w:p w14:paraId="62B705AC">
      <w:pPr>
        <w:pStyle w:val="2"/>
        <w:spacing w:before="169" w:line="287" w:lineRule="auto"/>
        <w:ind w:left="1" w:right="315" w:firstLine="636"/>
      </w:pPr>
      <w:r>
        <w:rPr>
          <w:spacing w:val="5"/>
        </w:rPr>
        <w:t>（二）遵纪守法包含“行政处罚”“行政许可撤销”“纳税</w:t>
      </w:r>
      <w:r>
        <w:rPr>
          <w:spacing w:val="7"/>
        </w:rPr>
        <w:t xml:space="preserve"> </w:t>
      </w:r>
      <w:r>
        <w:rPr>
          <w:spacing w:val="8"/>
        </w:rPr>
        <w:t>异常”“异常经营”“行业监管评价”</w:t>
      </w:r>
      <w:r>
        <w:rPr>
          <w:rFonts w:ascii="Times New Roman" w:hAnsi="Times New Roman" w:eastAsia="Times New Roman" w:cs="Times New Roman"/>
          <w:spacing w:val="8"/>
        </w:rPr>
        <w:t xml:space="preserve">5 </w:t>
      </w:r>
      <w:r>
        <w:rPr>
          <w:spacing w:val="8"/>
        </w:rPr>
        <w:t>个二级指标，反映行政</w:t>
      </w:r>
      <w:r>
        <w:t xml:space="preserve"> </w:t>
      </w:r>
      <w:r>
        <w:rPr>
          <w:spacing w:val="9"/>
        </w:rPr>
        <w:t>相对人遵守法律法规、行政规章制度等情况。</w:t>
      </w:r>
    </w:p>
    <w:p w14:paraId="45A1CC31">
      <w:pPr>
        <w:pStyle w:val="2"/>
        <w:spacing w:before="170" w:line="220" w:lineRule="auto"/>
        <w:jc w:val="right"/>
      </w:pPr>
      <w:r>
        <w:rPr>
          <w:spacing w:val="5"/>
        </w:rPr>
        <w:t>（三）社会责任包含“科技创新”“绿色环保”“表彰奖励”</w:t>
      </w:r>
    </w:p>
    <w:p w14:paraId="781959D3">
      <w:pPr>
        <w:pStyle w:val="2"/>
        <w:spacing w:before="174" w:line="270" w:lineRule="auto"/>
        <w:ind w:left="2" w:right="343" w:firstLine="3"/>
      </w:pPr>
      <w:r>
        <w:rPr>
          <w:rFonts w:ascii="Times New Roman" w:hAnsi="Times New Roman" w:eastAsia="Times New Roman" w:cs="Times New Roman"/>
          <w:spacing w:val="7"/>
        </w:rPr>
        <w:t xml:space="preserve">3 </w:t>
      </w:r>
      <w:r>
        <w:rPr>
          <w:spacing w:val="7"/>
        </w:rPr>
        <w:t>个二级指标，反映行政相对人履行社会责任、获得政府</w:t>
      </w:r>
      <w:r>
        <w:rPr>
          <w:spacing w:val="6"/>
        </w:rPr>
        <w:t>激励、</w:t>
      </w:r>
      <w:r>
        <w:t xml:space="preserve"> </w:t>
      </w:r>
      <w:r>
        <w:rPr>
          <w:spacing w:val="7"/>
        </w:rPr>
        <w:t>表彰和资质等情况。</w:t>
      </w:r>
    </w:p>
    <w:p w14:paraId="13A16B03">
      <w:pPr>
        <w:pStyle w:val="2"/>
        <w:spacing w:before="171" w:line="314" w:lineRule="auto"/>
        <w:ind w:right="313" w:firstLine="645"/>
      </w:pPr>
      <w:r>
        <w:rPr>
          <w:rFonts w:ascii="黑体" w:hAnsi="黑体" w:eastAsia="黑体" w:cs="黑体"/>
          <w:spacing w:val="11"/>
        </w:rPr>
        <w:t xml:space="preserve">第四条【评价方法】 </w:t>
      </w:r>
      <w:r>
        <w:rPr>
          <w:spacing w:val="11"/>
        </w:rPr>
        <w:t>根据行政相对人信用评价指标体系，</w:t>
      </w:r>
      <w:r>
        <w:t xml:space="preserve"> </w:t>
      </w:r>
      <w:r>
        <w:rPr>
          <w:spacing w:val="5"/>
        </w:rPr>
        <w:t>依托信用信息平台建立评分规则，基于平台归集的数据，运用模</w:t>
      </w:r>
      <w:r>
        <w:rPr>
          <w:spacing w:val="17"/>
        </w:rPr>
        <w:t xml:space="preserve"> 型算法自动计算及人工辅助核算验证，完成行政相对人信用评</w:t>
      </w:r>
      <w:r>
        <w:rPr>
          <w:spacing w:val="6"/>
        </w:rPr>
        <w:t xml:space="preserve"> </w:t>
      </w:r>
      <w:r>
        <w:t>价。</w:t>
      </w:r>
    </w:p>
    <w:p w14:paraId="1C6A0EAE">
      <w:pPr>
        <w:pStyle w:val="2"/>
        <w:spacing w:before="54" w:line="310" w:lineRule="auto"/>
        <w:ind w:left="2" w:right="315" w:firstLine="659"/>
        <w:jc w:val="both"/>
      </w:pPr>
      <w:r>
        <w:rPr>
          <w:spacing w:val="4"/>
        </w:rPr>
        <w:t>第一步，判断评价指标的基本特征。根据指标数据对输出结</w:t>
      </w:r>
      <w:r>
        <w:rPr>
          <w:spacing w:val="9"/>
        </w:rPr>
        <w:t xml:space="preserve"> </w:t>
      </w:r>
      <w:r>
        <w:rPr>
          <w:spacing w:val="17"/>
        </w:rPr>
        <w:t>果的影响，将评价指标的基本特征分为正向相关和负向相关两</w:t>
      </w:r>
      <w:r>
        <w:rPr>
          <w:spacing w:val="3"/>
        </w:rPr>
        <w:t xml:space="preserve"> </w:t>
      </w:r>
      <w:r>
        <w:rPr>
          <w:spacing w:val="-1"/>
        </w:rPr>
        <w:t>类。</w:t>
      </w:r>
    </w:p>
    <w:p w14:paraId="5C4D41FF">
      <w:pPr>
        <w:pStyle w:val="2"/>
        <w:spacing w:before="59" w:line="313" w:lineRule="auto"/>
        <w:ind w:left="5" w:right="313" w:firstLine="657"/>
        <w:jc w:val="both"/>
      </w:pPr>
      <w:r>
        <w:rPr>
          <w:spacing w:val="4"/>
        </w:rPr>
        <w:t>第二步，确定指标权重。综合考察现有的权重计算方法和评</w:t>
      </w:r>
      <w:r>
        <w:rPr>
          <w:spacing w:val="11"/>
        </w:rPr>
        <w:t xml:space="preserve"> </w:t>
      </w:r>
      <w:r>
        <w:rPr>
          <w:spacing w:val="5"/>
        </w:rPr>
        <w:t>价指标体系特点，运用大数据技术、德尔菲法和层次分析法综合</w:t>
      </w:r>
      <w:r>
        <w:rPr>
          <w:spacing w:val="12"/>
        </w:rPr>
        <w:t xml:space="preserve"> </w:t>
      </w:r>
      <w:r>
        <w:rPr>
          <w:spacing w:val="11"/>
        </w:rPr>
        <w:t>分析指标权重，通过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</w:rPr>
        <w:t>AHP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11"/>
        </w:rPr>
        <w:t>分析软件进行矩阵运算，确定指标权</w:t>
      </w:r>
      <w:r>
        <w:t xml:space="preserve"> </w:t>
      </w:r>
      <w:r>
        <w:rPr>
          <w:spacing w:val="4"/>
        </w:rPr>
        <w:t>重系数。</w:t>
      </w:r>
    </w:p>
    <w:p w14:paraId="5DAE3308">
      <w:pPr>
        <w:spacing w:line="313" w:lineRule="auto"/>
        <w:sectPr>
          <w:footerReference r:id="rId6" w:type="default"/>
          <w:pgSz w:w="11906" w:h="16839"/>
          <w:pgMar w:top="1431" w:right="1160" w:bottom="1142" w:left="1593" w:header="0" w:footer="862" w:gutter="0"/>
          <w:cols w:space="720" w:num="1"/>
        </w:sectPr>
      </w:pPr>
    </w:p>
    <w:p w14:paraId="0BE26234">
      <w:pPr>
        <w:spacing w:line="359" w:lineRule="auto"/>
        <w:rPr>
          <w:rFonts w:ascii="Arial"/>
          <w:sz w:val="21"/>
        </w:rPr>
      </w:pPr>
    </w:p>
    <w:p w14:paraId="5B47CA21">
      <w:pPr>
        <w:spacing w:line="360" w:lineRule="auto"/>
        <w:rPr>
          <w:rFonts w:ascii="Arial"/>
          <w:sz w:val="21"/>
        </w:rPr>
      </w:pPr>
    </w:p>
    <w:p w14:paraId="06874466">
      <w:pPr>
        <w:pStyle w:val="2"/>
        <w:spacing w:before="100" w:line="311" w:lineRule="auto"/>
        <w:ind w:left="13" w:right="35" w:firstLine="654"/>
        <w:jc w:val="both"/>
      </w:pPr>
      <w:r>
        <w:rPr>
          <w:spacing w:val="4"/>
        </w:rPr>
        <w:t>第三步，计算指标得分值。根据指标基本特征和评价数据的</w:t>
      </w:r>
      <w:r>
        <w:rPr>
          <w:spacing w:val="9"/>
        </w:rPr>
        <w:t xml:space="preserve"> </w:t>
      </w:r>
      <w:r>
        <w:rPr>
          <w:spacing w:val="5"/>
        </w:rPr>
        <w:t>分布情况以及对行政相对人信用状况的影响程度，对数据进行处</w:t>
      </w:r>
      <w:r>
        <w:rPr>
          <w:spacing w:val="10"/>
        </w:rPr>
        <w:t xml:space="preserve"> </w:t>
      </w:r>
      <w:r>
        <w:rPr>
          <w:spacing w:val="8"/>
        </w:rPr>
        <w:t>理，计算出指标得分值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n</w:t>
      </w:r>
      <w:r>
        <w:rPr>
          <w:spacing w:val="8"/>
        </w:rPr>
        <w:t>。</w:t>
      </w:r>
    </w:p>
    <w:p w14:paraId="452CAF7B">
      <w:pPr>
        <w:pStyle w:val="2"/>
        <w:spacing w:before="50" w:line="365" w:lineRule="auto"/>
        <w:ind w:left="7" w:firstLine="675"/>
        <w:jc w:val="both"/>
      </w:pPr>
      <w:r>
        <w:rPr>
          <w:spacing w:val="3"/>
        </w:rPr>
        <w:t>同一个行为符合不同计分标准的，采用分值较高的指标进行</w:t>
      </w:r>
      <w:r>
        <w:rPr>
          <w:spacing w:val="18"/>
        </w:rPr>
        <w:t xml:space="preserve"> </w:t>
      </w:r>
      <w:r>
        <w:rPr>
          <w:spacing w:val="7"/>
        </w:rPr>
        <w:t>认定；符合同一指标加减分的行为发生多次的，累计</w:t>
      </w:r>
      <w:r>
        <w:rPr>
          <w:spacing w:val="6"/>
        </w:rPr>
        <w:t>参与计分，</w:t>
      </w:r>
      <w:r>
        <w:t xml:space="preserve"> </w:t>
      </w:r>
      <w:r>
        <w:rPr>
          <w:spacing w:val="17"/>
        </w:rPr>
        <w:t>减分累计不设上限，加分累计不超过对应二级指标最高分值设</w:t>
      </w:r>
      <w:r>
        <w:rPr>
          <w:spacing w:val="3"/>
        </w:rPr>
        <w:t xml:space="preserve"> </w:t>
      </w:r>
      <w:r>
        <w:rPr>
          <w:spacing w:val="-1"/>
        </w:rPr>
        <w:t>定。</w:t>
      </w:r>
    </w:p>
    <w:p w14:paraId="38F49DCF">
      <w:pPr>
        <w:pStyle w:val="2"/>
        <w:spacing w:before="48" w:line="305" w:lineRule="auto"/>
        <w:ind w:left="6" w:right="38" w:firstLine="660"/>
      </w:pPr>
      <w:r>
        <w:rPr>
          <w:spacing w:val="4"/>
        </w:rPr>
        <w:t>第四步，将第三步计算出的各项指标得分值相加，得出行政</w:t>
      </w:r>
      <w:r>
        <w:rPr>
          <w:spacing w:val="9"/>
        </w:rPr>
        <w:t xml:space="preserve"> 相对人临空区特色信用得分，得分计算公式：</w:t>
      </w:r>
    </w:p>
    <w:p w14:paraId="07CFDE62">
      <w:pPr>
        <w:spacing w:before="22"/>
        <w:ind w:left="2337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i/>
          <w:iCs/>
          <w:spacing w:val="17"/>
          <w:position w:val="2"/>
          <w:sz w:val="32"/>
          <w:szCs w:val="32"/>
        </w:rPr>
        <w:t>f</w:t>
      </w:r>
      <w:r>
        <w:rPr>
          <w:rFonts w:ascii="Times New Roman" w:hAnsi="Times New Roman" w:eastAsia="Times New Roman" w:cs="Times New Roman"/>
          <w:spacing w:val="17"/>
          <w:position w:val="2"/>
          <w:sz w:val="32"/>
          <w:szCs w:val="32"/>
        </w:rPr>
        <w:t>(</w:t>
      </w:r>
      <w:r>
        <w:rPr>
          <w:rFonts w:ascii="Times New Roman" w:hAnsi="Times New Roman" w:eastAsia="Times New Roman" w:cs="Times New Roman"/>
          <w:i/>
          <w:iCs/>
          <w:spacing w:val="17"/>
          <w:position w:val="2"/>
          <w:sz w:val="32"/>
          <w:szCs w:val="32"/>
        </w:rPr>
        <w:t>x</w:t>
      </w:r>
      <w:r>
        <w:rPr>
          <w:rFonts w:ascii="Times New Roman" w:hAnsi="Times New Roman" w:eastAsia="Times New Roman" w:cs="Times New Roman"/>
          <w:spacing w:val="17"/>
          <w:position w:val="2"/>
          <w:sz w:val="32"/>
          <w:szCs w:val="32"/>
        </w:rPr>
        <w:t xml:space="preserve">) </w:t>
      </w:r>
      <w:r>
        <w:rPr>
          <w:rFonts w:ascii="Arial" w:hAnsi="Arial" w:eastAsia="Arial" w:cs="Arial"/>
          <w:spacing w:val="17"/>
          <w:position w:val="2"/>
          <w:sz w:val="32"/>
          <w:szCs w:val="32"/>
        </w:rPr>
        <w:t>=</w:t>
      </w:r>
      <w:r>
        <w:rPr>
          <w:rFonts w:ascii="Arial" w:hAnsi="Arial" w:eastAsia="Arial" w:cs="Arial"/>
          <w:spacing w:val="-18"/>
          <w:position w:val="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17"/>
          <w:position w:val="2"/>
          <w:sz w:val="32"/>
          <w:szCs w:val="32"/>
        </w:rPr>
        <w:t>X</w:t>
      </w:r>
      <w:r>
        <w:rPr>
          <w:rFonts w:ascii="Times New Roman" w:hAnsi="Times New Roman" w:eastAsia="Times New Roman" w:cs="Times New Roman"/>
          <w:spacing w:val="17"/>
          <w:position w:val="-5"/>
          <w:sz w:val="18"/>
          <w:szCs w:val="18"/>
        </w:rPr>
        <w:t>1</w:t>
      </w:r>
      <w:r>
        <w:rPr>
          <w:rFonts w:ascii="Times New Roman" w:hAnsi="Times New Roman" w:eastAsia="Times New Roman" w:cs="Times New Roman"/>
          <w:spacing w:val="28"/>
          <w:position w:val="-5"/>
          <w:sz w:val="18"/>
          <w:szCs w:val="18"/>
        </w:rPr>
        <w:t xml:space="preserve"> </w:t>
      </w:r>
      <w:r>
        <w:rPr>
          <w:rFonts w:ascii="Arial" w:hAnsi="Arial" w:eastAsia="Arial" w:cs="Arial"/>
          <w:spacing w:val="17"/>
          <w:position w:val="2"/>
          <w:sz w:val="32"/>
          <w:szCs w:val="32"/>
        </w:rPr>
        <w:t>+</w:t>
      </w:r>
      <w:r>
        <w:rPr>
          <w:rFonts w:ascii="Arial" w:hAnsi="Arial" w:eastAsia="Arial" w:cs="Arial"/>
          <w:spacing w:val="-33"/>
          <w:position w:val="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17"/>
          <w:position w:val="2"/>
          <w:sz w:val="32"/>
          <w:szCs w:val="32"/>
        </w:rPr>
        <w:t>X</w:t>
      </w:r>
      <w:r>
        <w:rPr>
          <w:rFonts w:ascii="Times New Roman" w:hAnsi="Times New Roman" w:eastAsia="Times New Roman" w:cs="Times New Roman"/>
          <w:spacing w:val="17"/>
          <w:position w:val="-5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spacing w:val="41"/>
          <w:w w:val="101"/>
          <w:position w:val="-5"/>
          <w:sz w:val="18"/>
          <w:szCs w:val="18"/>
        </w:rPr>
        <w:t xml:space="preserve"> </w:t>
      </w:r>
      <w:r>
        <w:rPr>
          <w:rFonts w:ascii="Arial" w:hAnsi="Arial" w:eastAsia="Arial" w:cs="Arial"/>
          <w:spacing w:val="17"/>
          <w:position w:val="2"/>
          <w:sz w:val="32"/>
          <w:szCs w:val="32"/>
        </w:rPr>
        <w:t>+</w:t>
      </w:r>
      <w:r>
        <w:rPr>
          <w:rFonts w:ascii="Arial" w:hAnsi="Arial" w:eastAsia="Arial" w:cs="Arial"/>
          <w:spacing w:val="-33"/>
          <w:position w:val="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17"/>
          <w:position w:val="2"/>
          <w:sz w:val="32"/>
          <w:szCs w:val="32"/>
        </w:rPr>
        <w:t>...</w:t>
      </w:r>
      <w:r>
        <w:rPr>
          <w:rFonts w:ascii="Times New Roman" w:hAnsi="Times New Roman" w:eastAsia="Times New Roman" w:cs="Times New Roman"/>
          <w:spacing w:val="-48"/>
          <w:position w:val="2"/>
          <w:sz w:val="32"/>
          <w:szCs w:val="32"/>
        </w:rPr>
        <w:t xml:space="preserve"> </w:t>
      </w:r>
      <w:r>
        <w:rPr>
          <w:rFonts w:ascii="Arial" w:hAnsi="Arial" w:eastAsia="Arial" w:cs="Arial"/>
          <w:spacing w:val="17"/>
          <w:position w:val="2"/>
          <w:sz w:val="32"/>
          <w:szCs w:val="32"/>
        </w:rPr>
        <w:t>+</w:t>
      </w:r>
      <w:r>
        <w:rPr>
          <w:rFonts w:ascii="Arial" w:hAnsi="Arial" w:eastAsia="Arial" w:cs="Arial"/>
          <w:spacing w:val="-33"/>
          <w:position w:val="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2"/>
          <w:sz w:val="32"/>
          <w:szCs w:val="32"/>
        </w:rPr>
        <w:t>X</w:t>
      </w:r>
      <w:r>
        <w:rPr>
          <w:rFonts w:ascii="Times New Roman" w:hAnsi="Times New Roman" w:eastAsia="Times New Roman" w:cs="Times New Roman"/>
          <w:position w:val="-5"/>
          <w:sz w:val="18"/>
          <w:szCs w:val="18"/>
        </w:rPr>
        <w:t>m</w:t>
      </w:r>
      <w:r>
        <w:rPr>
          <w:rFonts w:ascii="Times New Roman" w:hAnsi="Times New Roman" w:eastAsia="Times New Roman" w:cs="Times New Roman"/>
          <w:spacing w:val="17"/>
          <w:position w:val="-5"/>
          <w:sz w:val="18"/>
          <w:szCs w:val="18"/>
        </w:rPr>
        <w:t xml:space="preserve">  </w:t>
      </w:r>
      <w:r>
        <w:rPr>
          <w:rFonts w:ascii="Arial" w:hAnsi="Arial" w:eastAsia="Arial" w:cs="Arial"/>
          <w:spacing w:val="17"/>
          <w:position w:val="2"/>
          <w:sz w:val="32"/>
          <w:szCs w:val="32"/>
        </w:rPr>
        <w:t>=</w:t>
      </w:r>
      <w:r>
        <w:rPr>
          <w:rFonts w:ascii="Arial" w:hAnsi="Arial" w:eastAsia="Arial" w:cs="Arial"/>
          <w:spacing w:val="-13"/>
          <w:position w:val="2"/>
          <w:sz w:val="32"/>
          <w:szCs w:val="32"/>
        </w:rPr>
        <w:t xml:space="preserve"> </w:t>
      </w:r>
      <w:r>
        <w:rPr>
          <w:position w:val="-28"/>
          <w:sz w:val="32"/>
          <w:szCs w:val="32"/>
        </w:rPr>
        <w:drawing>
          <wp:inline distT="0" distB="0" distL="0" distR="0">
            <wp:extent cx="212090" cy="455930"/>
            <wp:effectExtent l="0" t="0" r="1270" b="127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301" cy="45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/>
          <w:iCs/>
          <w:position w:val="2"/>
          <w:sz w:val="32"/>
          <w:szCs w:val="32"/>
        </w:rPr>
        <w:t>X</w:t>
      </w:r>
      <w:r>
        <w:rPr>
          <w:rFonts w:ascii="Times New Roman" w:hAnsi="Times New Roman" w:eastAsia="Times New Roman" w:cs="Times New Roman"/>
          <w:i/>
          <w:iCs/>
          <w:position w:val="-5"/>
          <w:sz w:val="18"/>
          <w:szCs w:val="18"/>
        </w:rPr>
        <w:t>n</w:t>
      </w:r>
    </w:p>
    <w:p w14:paraId="4E74E30D">
      <w:pPr>
        <w:spacing w:line="306" w:lineRule="auto"/>
        <w:rPr>
          <w:rFonts w:ascii="Arial"/>
          <w:sz w:val="21"/>
        </w:rPr>
      </w:pPr>
    </w:p>
    <w:p w14:paraId="778B2B15">
      <w:pPr>
        <w:pStyle w:val="2"/>
        <w:spacing w:before="101" w:line="310" w:lineRule="auto"/>
        <w:ind w:right="35" w:firstLine="651"/>
        <w:jc w:val="both"/>
      </w:pPr>
      <w:r>
        <w:rPr>
          <w:spacing w:val="7"/>
        </w:rPr>
        <w:t>其中，</w:t>
      </w:r>
      <w:r>
        <w:rPr>
          <w:rFonts w:ascii="Times New Roman" w:hAnsi="Times New Roman" w:eastAsia="Times New Roman" w:cs="Times New Roman"/>
          <w:spacing w:val="7"/>
        </w:rPr>
        <w:t>n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7"/>
        </w:rPr>
        <w:t>为行政相对人临空区特色信用评价指标体系中的第</w:t>
      </w:r>
      <w: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n </w:t>
      </w:r>
      <w:r>
        <w:rPr>
          <w:spacing w:val="4"/>
        </w:rPr>
        <w:t>项三级指标，其上界为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m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4"/>
        </w:rPr>
        <w:t>，下界为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；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spacing w:val="26"/>
          <w:position w:val="-2"/>
          <w:sz w:val="20"/>
          <w:szCs w:val="20"/>
        </w:rPr>
        <w:t xml:space="preserve"> </w:t>
      </w:r>
      <w:r>
        <w:rPr>
          <w:spacing w:val="4"/>
        </w:rPr>
        <w:t>为第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n </w:t>
      </w:r>
      <w:r>
        <w:rPr>
          <w:spacing w:val="4"/>
        </w:rPr>
        <w:t>项评价指标得</w:t>
      </w:r>
      <w:r>
        <w:t xml:space="preserve"> </w:t>
      </w:r>
      <w:r>
        <w:rPr>
          <w:spacing w:val="8"/>
        </w:rPr>
        <w:t>分值；</w:t>
      </w:r>
      <w:r>
        <w:rPr>
          <w:rFonts w:ascii="Times New Roman" w:hAnsi="Times New Roman" w:eastAsia="Times New Roman" w:cs="Times New Roman"/>
          <w:spacing w:val="8"/>
        </w:rPr>
        <w:t>m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8"/>
        </w:rPr>
        <w:t>为行政相对人信用评价指标体系中三级指标的项数。</w:t>
      </w:r>
    </w:p>
    <w:p w14:paraId="03226ACB">
      <w:pPr>
        <w:pStyle w:val="2"/>
        <w:spacing w:before="52" w:line="355" w:lineRule="auto"/>
        <w:ind w:left="10" w:right="38" w:firstLine="657"/>
      </w:pPr>
      <w:r>
        <w:rPr>
          <w:spacing w:val="4"/>
        </w:rPr>
        <w:t>第五步，计算总分值，并根据综合得分确定行政相对人信用</w:t>
      </w:r>
      <w:r>
        <w:rPr>
          <w:spacing w:val="9"/>
        </w:rPr>
        <w:t xml:space="preserve"> </w:t>
      </w:r>
      <w:r>
        <w:rPr>
          <w:spacing w:val="-4"/>
        </w:rPr>
        <w:t>评价等级（</w:t>
      </w:r>
      <w:r>
        <w:rPr>
          <w:rFonts w:ascii="Times New Roman" w:hAnsi="Times New Roman" w:eastAsia="Times New Roman" w:cs="Times New Roman"/>
          <w:spacing w:val="-4"/>
        </w:rPr>
        <w:t>A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A-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B+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B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B-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C+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C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C-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D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4"/>
        </w:rPr>
        <w:t>九级）。</w:t>
      </w:r>
    </w:p>
    <w:p w14:paraId="368D39A4">
      <w:pPr>
        <w:pStyle w:val="2"/>
        <w:spacing w:before="60" w:line="310" w:lineRule="auto"/>
        <w:ind w:left="5" w:right="38" w:firstLine="645"/>
      </w:pPr>
      <w:r>
        <w:rPr>
          <w:rFonts w:ascii="黑体" w:hAnsi="黑体" w:eastAsia="黑体" w:cs="黑体"/>
          <w:spacing w:val="11"/>
        </w:rPr>
        <w:t xml:space="preserve">第五条【信用修复】 </w:t>
      </w:r>
      <w:r>
        <w:rPr>
          <w:spacing w:val="11"/>
        </w:rPr>
        <w:t>鼓励行政相对人主动开展信用修</w:t>
      </w:r>
      <w:r>
        <w:rPr>
          <w:spacing w:val="10"/>
        </w:rPr>
        <w:t>复，</w:t>
      </w:r>
      <w:r>
        <w:t xml:space="preserve"> </w:t>
      </w:r>
      <w:r>
        <w:rPr>
          <w:spacing w:val="5"/>
        </w:rPr>
        <w:t>在信息有效期内，完成负向信息相关的信用修复工作或移出相关</w:t>
      </w:r>
      <w:r>
        <w:rPr>
          <w:spacing w:val="15"/>
        </w:rPr>
        <w:t xml:space="preserve"> </w:t>
      </w:r>
      <w:r>
        <w:rPr>
          <w:spacing w:val="8"/>
        </w:rPr>
        <w:t>名录，部分分值予以相应比例加回。</w:t>
      </w:r>
    </w:p>
    <w:p w14:paraId="3C50D3BE">
      <w:pPr>
        <w:pStyle w:val="2"/>
        <w:spacing w:before="56" w:line="304" w:lineRule="auto"/>
        <w:ind w:right="38" w:firstLine="650"/>
      </w:pPr>
      <w:r>
        <w:rPr>
          <w:rFonts w:ascii="黑体" w:hAnsi="黑体" w:eastAsia="黑体" w:cs="黑体"/>
          <w:spacing w:val="11"/>
        </w:rPr>
        <w:t xml:space="preserve">第六条【评价方式】 </w:t>
      </w:r>
      <w:r>
        <w:rPr>
          <w:spacing w:val="11"/>
        </w:rPr>
        <w:t>行政相对人信用评价依托临空区</w:t>
      </w:r>
      <w:r>
        <w:rPr>
          <w:spacing w:val="10"/>
        </w:rPr>
        <w:t>信用</w:t>
      </w:r>
      <w:r>
        <w:t xml:space="preserve"> </w:t>
      </w:r>
      <w:r>
        <w:rPr>
          <w:spacing w:val="8"/>
        </w:rPr>
        <w:t>信息平台完成。</w:t>
      </w:r>
    </w:p>
    <w:p w14:paraId="5B633926">
      <w:pPr>
        <w:spacing w:line="304" w:lineRule="auto"/>
        <w:sectPr>
          <w:footerReference r:id="rId7" w:type="default"/>
          <w:pgSz w:w="11906" w:h="16839"/>
          <w:pgMar w:top="1431" w:right="1437" w:bottom="1142" w:left="1588" w:header="0" w:footer="862" w:gutter="0"/>
          <w:cols w:space="720" w:num="1"/>
        </w:sectPr>
      </w:pPr>
    </w:p>
    <w:p w14:paraId="77B8CBD6">
      <w:pPr>
        <w:spacing w:line="241" w:lineRule="auto"/>
        <w:rPr>
          <w:rFonts w:ascii="Arial"/>
          <w:sz w:val="21"/>
        </w:rPr>
      </w:pPr>
    </w:p>
    <w:p w14:paraId="29E0012A">
      <w:pPr>
        <w:spacing w:line="241" w:lineRule="auto"/>
        <w:rPr>
          <w:rFonts w:ascii="Arial"/>
          <w:sz w:val="21"/>
        </w:rPr>
      </w:pPr>
    </w:p>
    <w:p w14:paraId="4EA1024C">
      <w:pPr>
        <w:spacing w:line="241" w:lineRule="auto"/>
        <w:rPr>
          <w:rFonts w:ascii="Arial"/>
          <w:sz w:val="21"/>
        </w:rPr>
      </w:pPr>
    </w:p>
    <w:p w14:paraId="3A334D21">
      <w:pPr>
        <w:pStyle w:val="2"/>
        <w:spacing w:before="100" w:line="313" w:lineRule="auto"/>
        <w:ind w:left="2" w:right="104" w:firstLine="638"/>
        <w:jc w:val="both"/>
      </w:pPr>
      <w:r>
        <w:rPr>
          <w:rFonts w:ascii="黑体" w:hAnsi="黑体" w:eastAsia="黑体" w:cs="黑体"/>
          <w:spacing w:val="11"/>
        </w:rPr>
        <w:t xml:space="preserve">第七条【动态管理】 </w:t>
      </w:r>
      <w:r>
        <w:rPr>
          <w:spacing w:val="11"/>
        </w:rPr>
        <w:t>行政相对人评价指标项及权重实</w:t>
      </w:r>
      <w:r>
        <w:rPr>
          <w:spacing w:val="10"/>
        </w:rPr>
        <w:t>行动</w:t>
      </w:r>
      <w:r>
        <w:t xml:space="preserve"> </w:t>
      </w:r>
      <w:r>
        <w:rPr>
          <w:spacing w:val="5"/>
        </w:rPr>
        <w:t>态管理。临空区大兴片区管委会根据实际情况，定期对行政相对</w:t>
      </w:r>
      <w:r>
        <w:rPr>
          <w:spacing w:val="7"/>
        </w:rPr>
        <w:t xml:space="preserve"> 人评价指标进行全方位评估，并根据评估结果进行优化和调整、</w:t>
      </w:r>
      <w:r>
        <w:rPr>
          <w:spacing w:val="3"/>
        </w:rPr>
        <w:t xml:space="preserve"> </w:t>
      </w:r>
      <w:r>
        <w:rPr>
          <w:spacing w:val="6"/>
        </w:rPr>
        <w:t>更新评分细则。</w:t>
      </w:r>
    </w:p>
    <w:p w14:paraId="70787CAF">
      <w:pPr>
        <w:pStyle w:val="2"/>
        <w:spacing w:before="54" w:line="313" w:lineRule="auto"/>
        <w:ind w:firstLine="640"/>
        <w:jc w:val="both"/>
      </w:pPr>
      <w:r>
        <w:rPr>
          <w:rFonts w:ascii="黑体" w:hAnsi="黑体" w:eastAsia="黑体" w:cs="黑体"/>
          <w:spacing w:val="11"/>
        </w:rPr>
        <w:t xml:space="preserve">第八条【有效期】 </w:t>
      </w:r>
      <w:r>
        <w:rPr>
          <w:spacing w:val="11"/>
        </w:rPr>
        <w:t>本细则有效期与《北京大兴国际机</w:t>
      </w:r>
      <w:r>
        <w:rPr>
          <w:spacing w:val="10"/>
        </w:rPr>
        <w:t>场临</w:t>
      </w:r>
      <w:r>
        <w:t xml:space="preserve">  空经济区（北京部分）行政相对人信用信息归集与评价管</w:t>
      </w:r>
      <w:r>
        <w:rPr>
          <w:spacing w:val="-1"/>
        </w:rPr>
        <w:t>理办法》</w:t>
      </w:r>
      <w:r>
        <w:t xml:space="preserve"> </w:t>
      </w:r>
      <w:r>
        <w:rPr>
          <w:spacing w:val="5"/>
        </w:rPr>
        <w:t xml:space="preserve">一致。临空区大兴片区管委会根据区域发展和政策引导需要，对  </w:t>
      </w:r>
      <w:r>
        <w:rPr>
          <w:spacing w:val="9"/>
        </w:rPr>
        <w:t>本细则实施动态管理，及时予以调整、更新和对外发布。</w:t>
      </w:r>
    </w:p>
    <w:p w14:paraId="58A0BD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E1CC5B1-C805-4E30-B2EE-A445D952C2B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15A31FF-4926-45CE-B519-27ABF3638F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167DE51B-D405-4470-A5DE-F3868D2E8645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8CA6D82-9AC2-492D-8B22-A6E43AAD0C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11F6F">
    <w:pPr>
      <w:spacing w:line="177" w:lineRule="auto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A3FBE">
    <w:pPr>
      <w:spacing w:line="177" w:lineRule="auto"/>
      <w:ind w:left="80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A6762">
    <w:pPr>
      <w:spacing w:line="177" w:lineRule="auto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44C16630"/>
    <w:rsid w:val="44C1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2024-12-26T09:41:00Z</dcterms:created>
  <dc:creator>黄奕波</dc:creator>
  <cp:lastModifiedBy>黄奕波</cp:lastModifiedBy>
  <dcterms:modified xsi:type="dcterms:W3CDTF">2024-12-26T09:41:48Z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8098BEE7312E4B48895E81D21036792A_11</vt:lpwstr>
  </property>
</Properties>
</file>