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C6A81">
      <w:pPr>
        <w:pStyle w:val="6"/>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D29114A">
      <w:pPr>
        <w:keepNext w:val="0"/>
        <w:keepLines w:val="0"/>
        <w:pageBreakBefore w:val="0"/>
        <w:widowControl w:val="0"/>
        <w:tabs>
          <w:tab w:val="left" w:pos="937"/>
        </w:tabs>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ab/>
      </w:r>
    </w:p>
    <w:p w14:paraId="017E6249">
      <w:pPr>
        <w:keepNext w:val="0"/>
        <w:keepLines w:val="0"/>
        <w:pageBreakBefore w:val="0"/>
        <w:widowControl w:val="0"/>
        <w:tabs>
          <w:tab w:val="left" w:pos="937"/>
        </w:tabs>
        <w:kinsoku/>
        <w:wordWrap/>
        <w:overflowPunct/>
        <w:topLinePunct w:val="0"/>
        <w:autoSpaceDE/>
        <w:autoSpaceDN/>
        <w:bidi w:val="0"/>
        <w:adjustRightInd/>
        <w:snapToGrid/>
        <w:spacing w:line="520" w:lineRule="exact"/>
        <w:jc w:val="center"/>
        <w:textAlignment w:val="auto"/>
        <w:rPr>
          <w:rFonts w:hint="default"/>
          <w:lang w:val="en-US" w:eastAsia="zh-CN"/>
        </w:rPr>
      </w:pPr>
      <w:bookmarkStart w:id="0" w:name="_GoBack"/>
      <w:r>
        <w:rPr>
          <w:rFonts w:hint="eastAsia" w:ascii="方正小标宋简体" w:hAnsi="方正小标宋简体" w:eastAsia="方正小标宋简体" w:cs="方正小标宋简体"/>
          <w:sz w:val="44"/>
          <w:szCs w:val="44"/>
          <w:lang w:eastAsia="zh-CN"/>
        </w:rPr>
        <w:t>大兴区蓝天保卫战</w:t>
      </w:r>
      <w:r>
        <w:rPr>
          <w:rFonts w:hint="eastAsia" w:ascii="方正小标宋简体" w:hAnsi="方正小标宋简体" w:eastAsia="方正小标宋简体" w:cs="方正小标宋简体"/>
          <w:sz w:val="44"/>
          <w:szCs w:val="44"/>
          <w:lang w:val="en-US" w:eastAsia="zh-CN"/>
        </w:rPr>
        <w:t>2025年行动计划</w:t>
      </w:r>
      <w:bookmarkEnd w:id="0"/>
    </w:p>
    <w:tbl>
      <w:tblPr>
        <w:tblStyle w:val="7"/>
        <w:tblpPr w:leftFromText="181" w:rightFromText="181" w:vertAnchor="text" w:horzAnchor="page" w:tblpX="1571"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55"/>
        <w:gridCol w:w="4488"/>
        <w:gridCol w:w="708"/>
        <w:gridCol w:w="1320"/>
        <w:gridCol w:w="1209"/>
      </w:tblGrid>
      <w:tr w14:paraId="14E1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32" w:type="dxa"/>
            <w:tcBorders>
              <w:top w:val="single" w:color="auto" w:sz="4" w:space="0"/>
              <w:left w:val="single" w:color="auto" w:sz="4" w:space="0"/>
              <w:bottom w:val="single" w:color="auto" w:sz="4" w:space="0"/>
              <w:right w:val="single" w:color="auto" w:sz="4" w:space="0"/>
            </w:tcBorders>
            <w:noWrap w:val="0"/>
            <w:vAlign w:val="center"/>
          </w:tcPr>
          <w:p w14:paraId="6CE50E3B">
            <w:pPr>
              <w:keepNext/>
              <w:keepLines w:val="0"/>
              <w:pageBreakBefore w:val="0"/>
              <w:widowControl w:val="0"/>
              <w:suppressLineNumbers w:val="0"/>
              <w:tabs>
                <w:tab w:val="left" w:pos="6673"/>
              </w:tabs>
              <w:kinsoku/>
              <w:wordWrap/>
              <w:overflowPunct/>
              <w:topLinePunct w:val="0"/>
              <w:autoSpaceDE/>
              <w:autoSpaceDN/>
              <w:bidi w:val="0"/>
              <w:spacing w:before="0" w:beforeAutospacing="0" w:after="0" w:afterAutospacing="0"/>
              <w:ind w:left="0" w:right="0"/>
              <w:jc w:val="left"/>
              <w:textAlignment w:val="auto"/>
              <w:rPr>
                <w:rFonts w:hint="eastAsia" w:ascii="黑体" w:hAnsi="黑体" w:eastAsia="黑体" w:cs="黑体"/>
                <w:sz w:val="21"/>
                <w:szCs w:val="21"/>
              </w:rPr>
            </w:pPr>
            <w:r>
              <w:rPr>
                <w:rFonts w:hint="eastAsia" w:ascii="黑体" w:hAnsi="黑体" w:eastAsia="黑体" w:cs="黑体"/>
                <w:kern w:val="2"/>
                <w:sz w:val="21"/>
                <w:szCs w:val="21"/>
                <w:lang w:val="en-US" w:eastAsia="zh-CN" w:bidi="ar-SA"/>
              </w:rPr>
              <w:t>序号</w:t>
            </w:r>
            <w:r>
              <w:rPr>
                <w:rFonts w:hint="eastAsia" w:ascii="黑体" w:hAnsi="黑体" w:eastAsia="黑体" w:cs="黑体"/>
                <w:kern w:val="2"/>
                <w:sz w:val="21"/>
                <w:szCs w:val="21"/>
                <w:lang w:val="en-US" w:eastAsia="zh-CN" w:bidi="ar-SA"/>
              </w:rPr>
              <w:tab/>
            </w:r>
            <w:r>
              <w:rPr>
                <w:rFonts w:hint="eastAsia" w:ascii="黑体" w:hAnsi="黑体" w:eastAsia="黑体" w:cs="黑体"/>
                <w:sz w:val="21"/>
                <w:szCs w:val="21"/>
              </w:rPr>
              <w:t>序号</w:t>
            </w:r>
          </w:p>
        </w:tc>
        <w:tc>
          <w:tcPr>
            <w:tcW w:w="855" w:type="dxa"/>
            <w:tcBorders>
              <w:top w:val="single" w:color="auto" w:sz="4" w:space="0"/>
              <w:left w:val="nil"/>
              <w:bottom w:val="single" w:color="auto" w:sz="4" w:space="0"/>
              <w:right w:val="single" w:color="auto" w:sz="4" w:space="0"/>
            </w:tcBorders>
            <w:noWrap w:val="0"/>
            <w:vAlign w:val="center"/>
          </w:tcPr>
          <w:p w14:paraId="6370A74B">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重点任务</w:t>
            </w:r>
          </w:p>
        </w:tc>
        <w:tc>
          <w:tcPr>
            <w:tcW w:w="4488" w:type="dxa"/>
            <w:tcBorders>
              <w:top w:val="single" w:color="auto" w:sz="4" w:space="0"/>
              <w:left w:val="nil"/>
              <w:bottom w:val="single" w:color="auto" w:sz="4" w:space="0"/>
              <w:right w:val="single" w:color="auto" w:sz="4" w:space="0"/>
            </w:tcBorders>
            <w:noWrap w:val="0"/>
            <w:vAlign w:val="center"/>
          </w:tcPr>
          <w:p w14:paraId="62C4A672">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工作措施</w:t>
            </w:r>
          </w:p>
        </w:tc>
        <w:tc>
          <w:tcPr>
            <w:tcW w:w="708" w:type="dxa"/>
            <w:tcBorders>
              <w:top w:val="single" w:color="auto" w:sz="4" w:space="0"/>
              <w:left w:val="nil"/>
              <w:bottom w:val="single" w:color="auto" w:sz="4" w:space="0"/>
              <w:right w:val="single" w:color="auto" w:sz="4" w:space="0"/>
            </w:tcBorders>
            <w:noWrap w:val="0"/>
            <w:vAlign w:val="center"/>
          </w:tcPr>
          <w:p w14:paraId="49798515">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完成时限</w:t>
            </w:r>
          </w:p>
        </w:tc>
        <w:tc>
          <w:tcPr>
            <w:tcW w:w="1320" w:type="dxa"/>
            <w:tcBorders>
              <w:top w:val="single" w:color="auto" w:sz="4" w:space="0"/>
              <w:left w:val="nil"/>
              <w:bottom w:val="single" w:color="auto" w:sz="4" w:space="0"/>
              <w:right w:val="single" w:color="auto" w:sz="4" w:space="0"/>
            </w:tcBorders>
            <w:noWrap w:val="0"/>
            <w:vAlign w:val="center"/>
          </w:tcPr>
          <w:p w14:paraId="33495E6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牵头单位</w:t>
            </w:r>
          </w:p>
        </w:tc>
        <w:tc>
          <w:tcPr>
            <w:tcW w:w="1209" w:type="dxa"/>
            <w:tcBorders>
              <w:top w:val="single" w:color="auto" w:sz="4" w:space="0"/>
              <w:left w:val="nil"/>
              <w:bottom w:val="single" w:color="auto" w:sz="4" w:space="0"/>
              <w:right w:val="single" w:color="auto" w:sz="4" w:space="0"/>
            </w:tcBorders>
            <w:noWrap w:val="0"/>
            <w:vAlign w:val="center"/>
          </w:tcPr>
          <w:p w14:paraId="4CB21A0A">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协办单位</w:t>
            </w:r>
          </w:p>
        </w:tc>
      </w:tr>
      <w:tr w14:paraId="6E3B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12" w:type="dxa"/>
            <w:gridSpan w:val="6"/>
            <w:tcBorders>
              <w:top w:val="single" w:color="auto" w:sz="4" w:space="0"/>
              <w:left w:val="single" w:color="auto" w:sz="4" w:space="0"/>
              <w:bottom w:val="single" w:color="auto" w:sz="4" w:space="0"/>
              <w:right w:val="single" w:color="auto" w:sz="4" w:space="0"/>
            </w:tcBorders>
            <w:noWrap w:val="0"/>
            <w:vAlign w:val="center"/>
          </w:tcPr>
          <w:p w14:paraId="32774E4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一、主要目标</w:t>
            </w:r>
          </w:p>
        </w:tc>
      </w:tr>
      <w:tr w14:paraId="29D8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432" w:type="dxa"/>
            <w:vMerge w:val="restart"/>
            <w:tcBorders>
              <w:top w:val="single" w:color="auto" w:sz="4" w:space="0"/>
              <w:left w:val="single" w:color="auto" w:sz="4" w:space="0"/>
              <w:right w:val="single" w:color="auto" w:sz="4" w:space="0"/>
            </w:tcBorders>
            <w:noWrap w:val="0"/>
            <w:vAlign w:val="center"/>
          </w:tcPr>
          <w:p w14:paraId="7702258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w:t>
            </w:r>
          </w:p>
        </w:tc>
        <w:tc>
          <w:tcPr>
            <w:tcW w:w="855" w:type="dxa"/>
            <w:vMerge w:val="restart"/>
            <w:tcBorders>
              <w:top w:val="single" w:color="auto" w:sz="4" w:space="0"/>
              <w:left w:val="nil"/>
              <w:right w:val="single" w:color="auto" w:sz="4" w:space="0"/>
            </w:tcBorders>
            <w:noWrap w:val="0"/>
            <w:vAlign w:val="center"/>
          </w:tcPr>
          <w:p w14:paraId="3814D8F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空气质量目标</w:t>
            </w:r>
          </w:p>
        </w:tc>
        <w:tc>
          <w:tcPr>
            <w:tcW w:w="4488" w:type="dxa"/>
            <w:tcBorders>
              <w:top w:val="single" w:color="auto" w:sz="4" w:space="0"/>
              <w:left w:val="nil"/>
              <w:bottom w:val="single" w:color="auto" w:sz="4" w:space="0"/>
              <w:right w:val="single" w:color="auto" w:sz="4" w:space="0"/>
            </w:tcBorders>
            <w:noWrap w:val="0"/>
            <w:vAlign w:val="center"/>
          </w:tcPr>
          <w:p w14:paraId="22AF3E2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全力巩固空气质量改善成效，PM2.5年均浓度达到32微克/立方米，优良天数比率达到78%，重污染天不超过3天，实现空气质量持续改善。</w:t>
            </w:r>
          </w:p>
        </w:tc>
        <w:tc>
          <w:tcPr>
            <w:tcW w:w="708" w:type="dxa"/>
            <w:tcBorders>
              <w:top w:val="single" w:color="auto" w:sz="4" w:space="0"/>
              <w:left w:val="nil"/>
              <w:bottom w:val="single" w:color="auto" w:sz="4" w:space="0"/>
              <w:right w:val="single" w:color="auto" w:sz="4" w:space="0"/>
            </w:tcBorders>
            <w:noWrap w:val="0"/>
            <w:vAlign w:val="center"/>
          </w:tcPr>
          <w:p w14:paraId="09743CA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656EC13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top w:val="single" w:color="auto" w:sz="4" w:space="0"/>
              <w:left w:val="nil"/>
              <w:bottom w:val="single" w:color="auto" w:sz="4" w:space="0"/>
              <w:right w:val="single" w:color="auto" w:sz="4" w:space="0"/>
            </w:tcBorders>
            <w:noWrap w:val="0"/>
            <w:vAlign w:val="center"/>
          </w:tcPr>
          <w:p w14:paraId="13B923F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区经济和信息化局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等部门</w:t>
            </w:r>
          </w:p>
        </w:tc>
      </w:tr>
      <w:tr w14:paraId="5B00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432" w:type="dxa"/>
            <w:vMerge w:val="continue"/>
            <w:tcBorders>
              <w:left w:val="single" w:color="auto" w:sz="4" w:space="0"/>
              <w:bottom w:val="single" w:color="auto" w:sz="4" w:space="0"/>
              <w:right w:val="single" w:color="auto" w:sz="4" w:space="0"/>
            </w:tcBorders>
            <w:noWrap w:val="0"/>
            <w:vAlign w:val="center"/>
          </w:tcPr>
          <w:p w14:paraId="194D5CC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1580FE9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A366A3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各镇、街道、产业园区管委会PM2.5、TSP年均浓度力争实现同比下降。</w:t>
            </w:r>
          </w:p>
        </w:tc>
        <w:tc>
          <w:tcPr>
            <w:tcW w:w="708" w:type="dxa"/>
            <w:tcBorders>
              <w:top w:val="single" w:color="auto" w:sz="4" w:space="0"/>
              <w:left w:val="nil"/>
              <w:bottom w:val="single" w:color="auto" w:sz="4" w:space="0"/>
              <w:right w:val="single" w:color="auto" w:sz="4" w:space="0"/>
            </w:tcBorders>
            <w:noWrap w:val="0"/>
            <w:vAlign w:val="center"/>
          </w:tcPr>
          <w:p w14:paraId="112BBEB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2C9D215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c>
          <w:tcPr>
            <w:tcW w:w="1209" w:type="dxa"/>
            <w:tcBorders>
              <w:top w:val="single" w:color="auto" w:sz="4" w:space="0"/>
              <w:left w:val="nil"/>
              <w:bottom w:val="single" w:color="auto" w:sz="4" w:space="0"/>
              <w:right w:val="single" w:color="auto" w:sz="4" w:space="0"/>
            </w:tcBorders>
            <w:noWrap w:val="0"/>
            <w:vAlign w:val="center"/>
          </w:tcPr>
          <w:p w14:paraId="1E14AE1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020D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432" w:type="dxa"/>
            <w:tcBorders>
              <w:top w:val="single" w:color="auto" w:sz="4" w:space="0"/>
              <w:left w:val="single" w:color="auto" w:sz="4" w:space="0"/>
              <w:bottom w:val="single" w:color="auto" w:sz="4" w:space="0"/>
              <w:right w:val="single" w:color="auto" w:sz="4" w:space="0"/>
            </w:tcBorders>
            <w:noWrap w:val="0"/>
            <w:vAlign w:val="center"/>
          </w:tcPr>
          <w:p w14:paraId="4E8659F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w:t>
            </w:r>
          </w:p>
        </w:tc>
        <w:tc>
          <w:tcPr>
            <w:tcW w:w="855" w:type="dxa"/>
            <w:tcBorders>
              <w:top w:val="single" w:color="auto" w:sz="4" w:space="0"/>
              <w:left w:val="nil"/>
              <w:bottom w:val="single" w:color="auto" w:sz="4" w:space="0"/>
              <w:right w:val="single" w:color="auto" w:sz="4" w:space="0"/>
            </w:tcBorders>
            <w:noWrap w:val="0"/>
            <w:vAlign w:val="center"/>
          </w:tcPr>
          <w:p w14:paraId="259F8B4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总量减排目标</w:t>
            </w:r>
          </w:p>
        </w:tc>
        <w:tc>
          <w:tcPr>
            <w:tcW w:w="4488" w:type="dxa"/>
            <w:tcBorders>
              <w:top w:val="single" w:color="auto" w:sz="4" w:space="0"/>
              <w:left w:val="nil"/>
              <w:bottom w:val="single" w:color="auto" w:sz="4" w:space="0"/>
              <w:right w:val="single" w:color="auto" w:sz="4" w:space="0"/>
            </w:tcBorders>
            <w:noWrap w:val="0"/>
            <w:vAlign w:val="center"/>
          </w:tcPr>
          <w:p w14:paraId="1E236D9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完成“十四五”挥发性有机物（VOCs）、氮氧化物（NOx）减排目标任务，NOx重点工程累计减排4310吨，VOCs重点工程累计减排900吨。新增涉气建设项目严格执行VOCs、NOx等主要污染物排放总量控制，实施“减二增一”削减量替代审批制度。</w:t>
            </w:r>
          </w:p>
        </w:tc>
        <w:tc>
          <w:tcPr>
            <w:tcW w:w="708" w:type="dxa"/>
            <w:tcBorders>
              <w:top w:val="single" w:color="auto" w:sz="4" w:space="0"/>
              <w:left w:val="nil"/>
              <w:bottom w:val="single" w:color="auto" w:sz="4" w:space="0"/>
              <w:right w:val="single" w:color="auto" w:sz="4" w:space="0"/>
            </w:tcBorders>
            <w:noWrap w:val="0"/>
            <w:vAlign w:val="center"/>
          </w:tcPr>
          <w:p w14:paraId="05557E1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262D514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top w:val="single" w:color="auto" w:sz="4" w:space="0"/>
              <w:left w:val="nil"/>
              <w:bottom w:val="single" w:color="auto" w:sz="4" w:space="0"/>
              <w:right w:val="single" w:color="auto" w:sz="4" w:space="0"/>
            </w:tcBorders>
            <w:noWrap w:val="0"/>
            <w:vAlign w:val="center"/>
          </w:tcPr>
          <w:p w14:paraId="51DC5B4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887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012" w:type="dxa"/>
            <w:gridSpan w:val="6"/>
            <w:tcBorders>
              <w:top w:val="single" w:color="auto" w:sz="4" w:space="0"/>
              <w:left w:val="single" w:color="auto" w:sz="4" w:space="0"/>
              <w:bottom w:val="single" w:color="auto" w:sz="4" w:space="0"/>
              <w:right w:val="single" w:color="auto" w:sz="4" w:space="0"/>
            </w:tcBorders>
            <w:noWrap w:val="0"/>
            <w:vAlign w:val="center"/>
          </w:tcPr>
          <w:p w14:paraId="1774294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二、以车（械）“含绿量”提升为重点，推动结构减排</w:t>
            </w:r>
          </w:p>
        </w:tc>
      </w:tr>
      <w:tr w14:paraId="50CF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432" w:type="dxa"/>
            <w:tcBorders>
              <w:top w:val="single" w:color="auto" w:sz="4" w:space="0"/>
              <w:left w:val="single" w:color="auto" w:sz="4" w:space="0"/>
              <w:right w:val="single" w:color="auto" w:sz="4" w:space="0"/>
            </w:tcBorders>
            <w:noWrap w:val="0"/>
            <w:vAlign w:val="center"/>
          </w:tcPr>
          <w:p w14:paraId="04B4959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3</w:t>
            </w:r>
          </w:p>
        </w:tc>
        <w:tc>
          <w:tcPr>
            <w:tcW w:w="855" w:type="dxa"/>
            <w:tcBorders>
              <w:top w:val="single" w:color="auto" w:sz="4" w:space="0"/>
              <w:left w:val="nil"/>
              <w:right w:val="single" w:color="auto" w:sz="4" w:space="0"/>
            </w:tcBorders>
            <w:noWrap w:val="0"/>
            <w:vAlign w:val="center"/>
          </w:tcPr>
          <w:p w14:paraId="6D653B2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大力推动新能源车推广应用</w:t>
            </w:r>
          </w:p>
        </w:tc>
        <w:tc>
          <w:tcPr>
            <w:tcW w:w="4488" w:type="dxa"/>
            <w:tcBorders>
              <w:top w:val="single" w:color="auto" w:sz="4" w:space="0"/>
              <w:left w:val="nil"/>
              <w:bottom w:val="single" w:color="auto" w:sz="4" w:space="0"/>
              <w:right w:val="single" w:color="auto" w:sz="4" w:space="0"/>
            </w:tcBorders>
            <w:noWrap w:val="0"/>
            <w:vAlign w:val="center"/>
          </w:tcPr>
          <w:p w14:paraId="6AD0E70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加大新</w:t>
            </w:r>
            <w:r>
              <w:rPr>
                <w:rFonts w:hint="eastAsia" w:ascii="仿宋_GB2312" w:hAnsi="仿宋_GB2312" w:eastAsia="仿宋_GB2312" w:cs="仿宋_GB2312"/>
                <w:kern w:val="0"/>
                <w:sz w:val="21"/>
                <w:szCs w:val="21"/>
                <w:lang w:bidi="ar"/>
              </w:rPr>
              <w:t>能源车推广力度，力争2025年注册登记汽车中新能源车比例达到市级要求，</w:t>
            </w:r>
            <w:r>
              <w:rPr>
                <w:rFonts w:hint="eastAsia" w:ascii="仿宋_GB2312" w:hAnsi="仿宋_GB2312" w:eastAsia="仿宋_GB2312" w:cs="仿宋_GB2312"/>
                <w:color w:val="000000"/>
                <w:kern w:val="0"/>
                <w:sz w:val="21"/>
                <w:szCs w:val="21"/>
                <w:lang w:bidi="ar"/>
              </w:rPr>
              <w:t>2025年注册登记货车和大中型客车中新能源车上牌比例达到29%。</w:t>
            </w:r>
          </w:p>
        </w:tc>
        <w:tc>
          <w:tcPr>
            <w:tcW w:w="708" w:type="dxa"/>
            <w:tcBorders>
              <w:top w:val="single" w:color="auto" w:sz="4" w:space="0"/>
              <w:left w:val="nil"/>
              <w:bottom w:val="single" w:color="auto" w:sz="4" w:space="0"/>
              <w:right w:val="single" w:color="auto" w:sz="4" w:space="0"/>
            </w:tcBorders>
            <w:noWrap w:val="0"/>
            <w:vAlign w:val="center"/>
          </w:tcPr>
          <w:p w14:paraId="3C8148C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03A6CA4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区发展改革委</w:t>
            </w:r>
          </w:p>
          <w:p w14:paraId="3AB1B1F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区交通局</w:t>
            </w:r>
          </w:p>
          <w:p w14:paraId="058089F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区经济和信息化局</w:t>
            </w:r>
          </w:p>
          <w:p w14:paraId="2FF6BC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区城市管理委</w:t>
            </w:r>
          </w:p>
          <w:p w14:paraId="08DFE90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区商务局</w:t>
            </w:r>
          </w:p>
        </w:tc>
        <w:tc>
          <w:tcPr>
            <w:tcW w:w="1209" w:type="dxa"/>
            <w:tcBorders>
              <w:top w:val="single" w:color="auto" w:sz="4" w:space="0"/>
              <w:left w:val="nil"/>
              <w:bottom w:val="single" w:color="auto" w:sz="4" w:space="0"/>
              <w:right w:val="single" w:color="auto" w:sz="4" w:space="0"/>
            </w:tcBorders>
            <w:noWrap w:val="0"/>
            <w:vAlign w:val="center"/>
          </w:tcPr>
          <w:p w14:paraId="13B56F6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区国资委</w:t>
            </w:r>
          </w:p>
        </w:tc>
      </w:tr>
      <w:tr w14:paraId="0435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32" w:type="dxa"/>
            <w:vMerge w:val="restart"/>
            <w:tcBorders>
              <w:top w:val="single" w:color="auto" w:sz="4" w:space="0"/>
              <w:left w:val="single" w:color="auto" w:sz="4" w:space="0"/>
              <w:right w:val="single" w:color="auto" w:sz="4" w:space="0"/>
            </w:tcBorders>
            <w:noWrap w:val="0"/>
            <w:vAlign w:val="center"/>
          </w:tcPr>
          <w:p w14:paraId="3F641D0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4</w:t>
            </w:r>
          </w:p>
        </w:tc>
        <w:tc>
          <w:tcPr>
            <w:tcW w:w="855" w:type="dxa"/>
            <w:vMerge w:val="restart"/>
            <w:tcBorders>
              <w:top w:val="single" w:color="auto" w:sz="4" w:space="0"/>
              <w:left w:val="nil"/>
              <w:right w:val="single" w:color="auto" w:sz="4" w:space="0"/>
            </w:tcBorders>
            <w:noWrap w:val="0"/>
            <w:vAlign w:val="center"/>
          </w:tcPr>
          <w:p w14:paraId="5972D94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加快重点行业车新能源化</w:t>
            </w:r>
          </w:p>
        </w:tc>
        <w:tc>
          <w:tcPr>
            <w:tcW w:w="4488" w:type="dxa"/>
            <w:tcBorders>
              <w:top w:val="single" w:color="auto" w:sz="4" w:space="0"/>
              <w:left w:val="nil"/>
              <w:bottom w:val="single" w:color="auto" w:sz="4" w:space="0"/>
              <w:right w:val="single" w:color="auto" w:sz="4" w:space="0"/>
            </w:tcBorders>
            <w:noWrap w:val="0"/>
            <w:vAlign w:val="center"/>
          </w:tcPr>
          <w:p w14:paraId="4007088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严格落实《北京市加快国四排放标准营运柴油货车淘汰促进更新轻型新能源货车方案</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2024-2025年</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》，加大力度淘汰国四排放标准的重型营运柴油货车，推进货车新能源化。</w:t>
            </w:r>
          </w:p>
        </w:tc>
        <w:tc>
          <w:tcPr>
            <w:tcW w:w="708" w:type="dxa"/>
            <w:tcBorders>
              <w:top w:val="single" w:color="auto" w:sz="4" w:space="0"/>
              <w:left w:val="nil"/>
              <w:bottom w:val="single" w:color="auto" w:sz="4" w:space="0"/>
              <w:right w:val="single" w:color="auto" w:sz="4" w:space="0"/>
            </w:tcBorders>
            <w:noWrap w:val="0"/>
            <w:vAlign w:val="center"/>
          </w:tcPr>
          <w:p w14:paraId="3C0F739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2FBBDA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p>
        </w:tc>
        <w:tc>
          <w:tcPr>
            <w:tcW w:w="1209" w:type="dxa"/>
            <w:tcBorders>
              <w:top w:val="single" w:color="auto" w:sz="4" w:space="0"/>
              <w:left w:val="nil"/>
              <w:bottom w:val="single" w:color="auto" w:sz="4" w:space="0"/>
              <w:right w:val="single" w:color="auto" w:sz="4" w:space="0"/>
            </w:tcBorders>
            <w:noWrap w:val="0"/>
            <w:vAlign w:val="center"/>
          </w:tcPr>
          <w:p w14:paraId="621FC13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3B3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2" w:type="dxa"/>
            <w:vMerge w:val="continue"/>
            <w:tcBorders>
              <w:left w:val="single" w:color="auto" w:sz="4" w:space="0"/>
              <w:right w:val="single" w:color="auto" w:sz="4" w:space="0"/>
            </w:tcBorders>
            <w:noWrap w:val="0"/>
            <w:vAlign w:val="center"/>
          </w:tcPr>
          <w:p w14:paraId="0935447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0A76B41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7D128F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严格落实《关于本市五环路内新能源物流配送车辆优先通行的通告》，向新能源载货汽车提供通行便利。</w:t>
            </w:r>
          </w:p>
        </w:tc>
        <w:tc>
          <w:tcPr>
            <w:tcW w:w="708" w:type="dxa"/>
            <w:tcBorders>
              <w:top w:val="single" w:color="auto" w:sz="4" w:space="0"/>
              <w:left w:val="nil"/>
              <w:bottom w:val="single" w:color="auto" w:sz="4" w:space="0"/>
              <w:right w:val="single" w:color="auto" w:sz="4" w:space="0"/>
            </w:tcBorders>
            <w:noWrap w:val="0"/>
            <w:vAlign w:val="center"/>
          </w:tcPr>
          <w:p w14:paraId="5FC2485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47A77BD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区公安交通支队</w:t>
            </w:r>
          </w:p>
        </w:tc>
        <w:tc>
          <w:tcPr>
            <w:tcW w:w="1209" w:type="dxa"/>
            <w:tcBorders>
              <w:top w:val="single" w:color="auto" w:sz="4" w:space="0"/>
              <w:left w:val="nil"/>
              <w:bottom w:val="single" w:color="auto" w:sz="4" w:space="0"/>
              <w:right w:val="single" w:color="auto" w:sz="4" w:space="0"/>
            </w:tcBorders>
            <w:noWrap w:val="0"/>
            <w:vAlign w:val="center"/>
          </w:tcPr>
          <w:p w14:paraId="61C834C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215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32" w:type="dxa"/>
            <w:vMerge w:val="continue"/>
            <w:tcBorders>
              <w:left w:val="single" w:color="auto" w:sz="4" w:space="0"/>
              <w:right w:val="single" w:color="auto" w:sz="4" w:space="0"/>
            </w:tcBorders>
            <w:noWrap w:val="0"/>
            <w:vAlign w:val="center"/>
          </w:tcPr>
          <w:p w14:paraId="596B64C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68F3F2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4CB789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新增和更新的轻型商超配送车80%为纯电动或氢燃料电池汽车。</w:t>
            </w:r>
          </w:p>
        </w:tc>
        <w:tc>
          <w:tcPr>
            <w:tcW w:w="708" w:type="dxa"/>
            <w:tcBorders>
              <w:top w:val="single" w:color="auto" w:sz="4" w:space="0"/>
              <w:left w:val="nil"/>
              <w:bottom w:val="single" w:color="auto" w:sz="4" w:space="0"/>
              <w:right w:val="single" w:color="auto" w:sz="4" w:space="0"/>
            </w:tcBorders>
            <w:noWrap w:val="0"/>
            <w:vAlign w:val="center"/>
          </w:tcPr>
          <w:p w14:paraId="34F4C1D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4767C70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区商务局</w:t>
            </w:r>
          </w:p>
        </w:tc>
        <w:tc>
          <w:tcPr>
            <w:tcW w:w="1209" w:type="dxa"/>
            <w:tcBorders>
              <w:top w:val="single" w:color="auto" w:sz="4" w:space="0"/>
              <w:left w:val="nil"/>
              <w:bottom w:val="single" w:color="auto" w:sz="4" w:space="0"/>
              <w:right w:val="single" w:color="auto" w:sz="4" w:space="0"/>
            </w:tcBorders>
            <w:noWrap w:val="0"/>
            <w:vAlign w:val="center"/>
          </w:tcPr>
          <w:p w14:paraId="73BB88D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3B3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32" w:type="dxa"/>
            <w:vMerge w:val="continue"/>
            <w:tcBorders>
              <w:left w:val="single" w:color="auto" w:sz="4" w:space="0"/>
              <w:right w:val="single" w:color="auto" w:sz="4" w:space="0"/>
            </w:tcBorders>
            <w:noWrap w:val="0"/>
            <w:vAlign w:val="center"/>
          </w:tcPr>
          <w:p w14:paraId="53AC885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24D360C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44101E3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新增和更新的快递轻型配送车80%为纯电动或氢燃料电池汽车。</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新增和更新的轻型邮政车（机要通信车和郊区邮路盘驳邮政车除外）为纯电动或氢燃料电池汽车。</w:t>
            </w:r>
          </w:p>
        </w:tc>
        <w:tc>
          <w:tcPr>
            <w:tcW w:w="708" w:type="dxa"/>
            <w:tcBorders>
              <w:top w:val="single" w:color="auto" w:sz="4" w:space="0"/>
              <w:left w:val="nil"/>
              <w:bottom w:val="single" w:color="auto" w:sz="4" w:space="0"/>
              <w:right w:val="single" w:color="auto" w:sz="4" w:space="0"/>
            </w:tcBorders>
            <w:noWrap w:val="0"/>
            <w:vAlign w:val="center"/>
          </w:tcPr>
          <w:p w14:paraId="5241DB0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5622086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区邮政局</w:t>
            </w:r>
          </w:p>
        </w:tc>
        <w:tc>
          <w:tcPr>
            <w:tcW w:w="1209" w:type="dxa"/>
            <w:tcBorders>
              <w:top w:val="single" w:color="auto" w:sz="4" w:space="0"/>
              <w:left w:val="nil"/>
              <w:bottom w:val="single" w:color="auto" w:sz="4" w:space="0"/>
              <w:right w:val="single" w:color="auto" w:sz="4" w:space="0"/>
            </w:tcBorders>
            <w:noWrap w:val="0"/>
            <w:vAlign w:val="center"/>
          </w:tcPr>
          <w:p w14:paraId="0303F29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65F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32" w:type="dxa"/>
            <w:vMerge w:val="continue"/>
            <w:tcBorders>
              <w:left w:val="single" w:color="auto" w:sz="4" w:space="0"/>
              <w:right w:val="single" w:color="auto" w:sz="4" w:space="0"/>
            </w:tcBorders>
            <w:noWrap w:val="0"/>
            <w:vAlign w:val="center"/>
          </w:tcPr>
          <w:p w14:paraId="4CAE4CD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511B92F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15482B6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国有企业基本淘汰国四及以下排放标准的柴油车（应急抢险、扫雪铲冰车除外）。</w:t>
            </w:r>
          </w:p>
        </w:tc>
        <w:tc>
          <w:tcPr>
            <w:tcW w:w="708" w:type="dxa"/>
            <w:tcBorders>
              <w:top w:val="single" w:color="auto" w:sz="4" w:space="0"/>
              <w:left w:val="nil"/>
              <w:bottom w:val="single" w:color="auto" w:sz="4" w:space="0"/>
              <w:right w:val="single" w:color="auto" w:sz="4" w:space="0"/>
            </w:tcBorders>
            <w:noWrap w:val="0"/>
            <w:vAlign w:val="center"/>
          </w:tcPr>
          <w:p w14:paraId="097A3E8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0E4DC92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区国资委</w:t>
            </w:r>
          </w:p>
        </w:tc>
        <w:tc>
          <w:tcPr>
            <w:tcW w:w="1209" w:type="dxa"/>
            <w:tcBorders>
              <w:top w:val="single" w:color="auto" w:sz="4" w:space="0"/>
              <w:left w:val="nil"/>
              <w:bottom w:val="single" w:color="auto" w:sz="4" w:space="0"/>
              <w:right w:val="single" w:color="auto" w:sz="4" w:space="0"/>
            </w:tcBorders>
            <w:noWrap w:val="0"/>
            <w:vAlign w:val="center"/>
          </w:tcPr>
          <w:p w14:paraId="3560DFD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DBD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32" w:type="dxa"/>
            <w:vMerge w:val="continue"/>
            <w:tcBorders>
              <w:left w:val="single" w:color="auto" w:sz="4" w:space="0"/>
              <w:right w:val="single" w:color="auto" w:sz="4" w:space="0"/>
            </w:tcBorders>
            <w:noWrap w:val="0"/>
            <w:vAlign w:val="center"/>
          </w:tcPr>
          <w:p w14:paraId="648130B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4362C91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BCDAB2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新增和更新的环卫车（应急抢险、扫雪铲冰车除外）为纯电动或氢燃料电池汽车，年底前轻型环卫车基本实现新能源化。严格落实《环卫设施设备更新工作方案》要求，对使用8年以上的环卫车，在政策支持</w:t>
            </w:r>
            <w:r>
              <w:rPr>
                <w:rFonts w:hint="eastAsia" w:ascii="仿宋_GB2312" w:hAnsi="仿宋_GB2312" w:eastAsia="仿宋_GB2312" w:cs="仿宋_GB2312"/>
                <w:color w:val="000000"/>
                <w:kern w:val="0"/>
                <w:sz w:val="21"/>
                <w:szCs w:val="21"/>
                <w:lang w:eastAsia="zh-CN" w:bidi="ar"/>
              </w:rPr>
              <w:t>且</w:t>
            </w:r>
            <w:r>
              <w:rPr>
                <w:rFonts w:hint="eastAsia" w:ascii="仿宋_GB2312" w:hAnsi="仿宋_GB2312" w:eastAsia="仿宋_GB2312" w:cs="仿宋_GB2312"/>
                <w:color w:val="000000"/>
                <w:kern w:val="0"/>
                <w:sz w:val="21"/>
                <w:szCs w:val="21"/>
                <w:lang w:bidi="ar"/>
              </w:rPr>
              <w:t>有条件的情况下，更新为纯电动或氢燃料电池汽车。</w:t>
            </w:r>
          </w:p>
        </w:tc>
        <w:tc>
          <w:tcPr>
            <w:tcW w:w="708" w:type="dxa"/>
            <w:tcBorders>
              <w:top w:val="single" w:color="auto" w:sz="4" w:space="0"/>
              <w:left w:val="nil"/>
              <w:bottom w:val="single" w:color="auto" w:sz="4" w:space="0"/>
              <w:right w:val="single" w:color="auto" w:sz="4" w:space="0"/>
            </w:tcBorders>
            <w:noWrap w:val="0"/>
            <w:vAlign w:val="center"/>
          </w:tcPr>
          <w:p w14:paraId="706DA9E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4EF0A3A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区环境卫生服务中心</w:t>
            </w:r>
          </w:p>
        </w:tc>
        <w:tc>
          <w:tcPr>
            <w:tcW w:w="1209" w:type="dxa"/>
            <w:tcBorders>
              <w:top w:val="single" w:color="auto" w:sz="4" w:space="0"/>
              <w:left w:val="nil"/>
              <w:bottom w:val="single" w:color="auto" w:sz="4" w:space="0"/>
              <w:right w:val="single" w:color="auto" w:sz="4" w:space="0"/>
            </w:tcBorders>
            <w:noWrap w:val="0"/>
            <w:vAlign w:val="center"/>
          </w:tcPr>
          <w:p w14:paraId="3E774B0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9AC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432" w:type="dxa"/>
            <w:vMerge w:val="continue"/>
            <w:tcBorders>
              <w:left w:val="single" w:color="auto" w:sz="4" w:space="0"/>
              <w:right w:val="single" w:color="auto" w:sz="4" w:space="0"/>
            </w:tcBorders>
            <w:noWrap w:val="0"/>
            <w:vAlign w:val="center"/>
          </w:tcPr>
          <w:p w14:paraId="675D9DE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126F020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63927AF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新增和更新的公交车为新能源车，新能源公交车比例保持100%。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新增和更新的巡游出租车（个体车辆和社会保障车辆除外）为纯电动或氢燃料电池汽车，年底前巡游出租车基本实现电动化。</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鼓励新增和更新的网约车为新能源车。</w:t>
            </w:r>
          </w:p>
        </w:tc>
        <w:tc>
          <w:tcPr>
            <w:tcW w:w="708" w:type="dxa"/>
            <w:tcBorders>
              <w:top w:val="single" w:color="auto" w:sz="4" w:space="0"/>
              <w:left w:val="nil"/>
              <w:bottom w:val="single" w:color="auto" w:sz="4" w:space="0"/>
              <w:right w:val="single" w:color="auto" w:sz="4" w:space="0"/>
            </w:tcBorders>
            <w:noWrap w:val="0"/>
            <w:vAlign w:val="center"/>
          </w:tcPr>
          <w:p w14:paraId="3E711D1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bottom w:val="single" w:color="auto" w:sz="4" w:space="0"/>
              <w:right w:val="single" w:color="auto" w:sz="4" w:space="0"/>
            </w:tcBorders>
            <w:noWrap w:val="0"/>
            <w:vAlign w:val="center"/>
          </w:tcPr>
          <w:p w14:paraId="5E64ED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p>
        </w:tc>
        <w:tc>
          <w:tcPr>
            <w:tcW w:w="1209" w:type="dxa"/>
            <w:tcBorders>
              <w:top w:val="single" w:color="auto" w:sz="4" w:space="0"/>
              <w:left w:val="nil"/>
              <w:bottom w:val="single" w:color="auto" w:sz="4" w:space="0"/>
              <w:right w:val="single" w:color="auto" w:sz="4" w:space="0"/>
            </w:tcBorders>
            <w:noWrap w:val="0"/>
            <w:vAlign w:val="center"/>
          </w:tcPr>
          <w:p w14:paraId="733BE1D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0C85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32" w:type="dxa"/>
            <w:vMerge w:val="continue"/>
            <w:tcBorders>
              <w:left w:val="single" w:color="auto" w:sz="4" w:space="0"/>
              <w:right w:val="single" w:color="auto" w:sz="4" w:space="0"/>
            </w:tcBorders>
            <w:noWrap w:val="0"/>
            <w:vAlign w:val="center"/>
          </w:tcPr>
          <w:p w14:paraId="2FA3F7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29B940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4D43DB6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鼓励新增的包车客运车和更新的包车客运车为纯电动或氢燃料电池汽车。</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鼓励驾校C2培训车和考试用车为纯电动或氢燃料电池汽车。</w:t>
            </w:r>
          </w:p>
        </w:tc>
        <w:tc>
          <w:tcPr>
            <w:tcW w:w="708" w:type="dxa"/>
            <w:tcBorders>
              <w:top w:val="single" w:color="auto" w:sz="4" w:space="0"/>
              <w:left w:val="nil"/>
              <w:bottom w:val="single" w:color="auto" w:sz="4" w:space="0"/>
              <w:right w:val="single" w:color="auto" w:sz="4" w:space="0"/>
            </w:tcBorders>
            <w:noWrap w:val="0"/>
            <w:vAlign w:val="center"/>
          </w:tcPr>
          <w:p w14:paraId="631D8F6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right w:val="single" w:color="auto" w:sz="4" w:space="0"/>
            </w:tcBorders>
            <w:noWrap w:val="0"/>
            <w:vAlign w:val="center"/>
          </w:tcPr>
          <w:p w14:paraId="4C95880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区公安分局</w:t>
            </w:r>
          </w:p>
        </w:tc>
        <w:tc>
          <w:tcPr>
            <w:tcW w:w="1209" w:type="dxa"/>
            <w:tcBorders>
              <w:top w:val="single" w:color="auto" w:sz="4" w:space="0"/>
              <w:left w:val="nil"/>
              <w:right w:val="single" w:color="auto" w:sz="4" w:space="0"/>
            </w:tcBorders>
            <w:noWrap w:val="0"/>
            <w:vAlign w:val="center"/>
          </w:tcPr>
          <w:p w14:paraId="3EA18E4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71E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32" w:type="dxa"/>
            <w:vMerge w:val="continue"/>
            <w:tcBorders>
              <w:left w:val="single" w:color="auto" w:sz="4" w:space="0"/>
              <w:right w:val="single" w:color="auto" w:sz="4" w:space="0"/>
            </w:tcBorders>
            <w:noWrap w:val="0"/>
            <w:vAlign w:val="center"/>
          </w:tcPr>
          <w:p w14:paraId="15E811E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274D4F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278CE0A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鼓励新增和更新的旅游客运班线车为纯电动或氢燃料电池汽车。</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新增和更新的城市公园内摆渡车为纯电动或氢燃料电池汽车。</w:t>
            </w:r>
          </w:p>
        </w:tc>
        <w:tc>
          <w:tcPr>
            <w:tcW w:w="708" w:type="dxa"/>
            <w:tcBorders>
              <w:top w:val="single" w:color="auto" w:sz="4" w:space="0"/>
              <w:left w:val="nil"/>
              <w:bottom w:val="single" w:color="auto" w:sz="4" w:space="0"/>
              <w:right w:val="single" w:color="auto" w:sz="4" w:space="0"/>
            </w:tcBorders>
            <w:noWrap w:val="0"/>
            <w:vAlign w:val="center"/>
          </w:tcPr>
          <w:p w14:paraId="626ED75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top w:val="single" w:color="auto" w:sz="4" w:space="0"/>
              <w:left w:val="nil"/>
              <w:right w:val="single" w:color="auto" w:sz="4" w:space="0"/>
            </w:tcBorders>
            <w:noWrap w:val="0"/>
            <w:vAlign w:val="center"/>
          </w:tcPr>
          <w:p w14:paraId="3331979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区园林服务中心</w:t>
            </w:r>
          </w:p>
        </w:tc>
        <w:tc>
          <w:tcPr>
            <w:tcW w:w="1209" w:type="dxa"/>
            <w:tcBorders>
              <w:top w:val="single" w:color="auto" w:sz="4" w:space="0"/>
              <w:left w:val="nil"/>
              <w:right w:val="single" w:color="auto" w:sz="4" w:space="0"/>
            </w:tcBorders>
            <w:noWrap w:val="0"/>
            <w:vAlign w:val="center"/>
          </w:tcPr>
          <w:p w14:paraId="6592BB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01E4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432" w:type="dxa"/>
            <w:vMerge w:val="continue"/>
            <w:tcBorders>
              <w:left w:val="single" w:color="auto" w:sz="4" w:space="0"/>
              <w:right w:val="single" w:color="auto" w:sz="4" w:space="0"/>
            </w:tcBorders>
            <w:noWrap w:val="0"/>
            <w:vAlign w:val="center"/>
          </w:tcPr>
          <w:p w14:paraId="7D7D367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25DD056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4DA88BD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新开工工地优先使用纯电动、氢燃料电池或国六B排放标准的建筑垃圾车，基本不使用国四及以下排放标准的车。</w:t>
            </w:r>
          </w:p>
        </w:tc>
        <w:tc>
          <w:tcPr>
            <w:tcW w:w="708" w:type="dxa"/>
            <w:tcBorders>
              <w:top w:val="single" w:color="auto" w:sz="4" w:space="0"/>
              <w:left w:val="nil"/>
              <w:bottom w:val="single" w:color="auto" w:sz="4" w:space="0"/>
              <w:right w:val="single" w:color="auto" w:sz="4" w:space="0"/>
            </w:tcBorders>
            <w:noWrap w:val="0"/>
            <w:vAlign w:val="center"/>
          </w:tcPr>
          <w:p w14:paraId="4CF421B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C1DB94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p>
        </w:tc>
        <w:tc>
          <w:tcPr>
            <w:tcW w:w="1209" w:type="dxa"/>
            <w:tcBorders>
              <w:left w:val="nil"/>
              <w:right w:val="single" w:color="auto" w:sz="4" w:space="0"/>
            </w:tcBorders>
            <w:noWrap w:val="0"/>
            <w:vAlign w:val="center"/>
          </w:tcPr>
          <w:p w14:paraId="725621C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3F35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432" w:type="dxa"/>
            <w:tcBorders>
              <w:left w:val="single" w:color="auto" w:sz="4" w:space="0"/>
              <w:right w:val="single" w:color="auto" w:sz="4" w:space="0"/>
            </w:tcBorders>
            <w:noWrap w:val="0"/>
            <w:vAlign w:val="center"/>
          </w:tcPr>
          <w:p w14:paraId="7A62654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4</w:t>
            </w:r>
          </w:p>
        </w:tc>
        <w:tc>
          <w:tcPr>
            <w:tcW w:w="855" w:type="dxa"/>
            <w:tcBorders>
              <w:left w:val="nil"/>
              <w:right w:val="single" w:color="auto" w:sz="4" w:space="0"/>
            </w:tcBorders>
            <w:noWrap w:val="0"/>
            <w:vAlign w:val="center"/>
          </w:tcPr>
          <w:p w14:paraId="1D88D5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加快重点行业车新能源化</w:t>
            </w:r>
          </w:p>
        </w:tc>
        <w:tc>
          <w:tcPr>
            <w:tcW w:w="4488" w:type="dxa"/>
            <w:tcBorders>
              <w:top w:val="single" w:color="auto" w:sz="4" w:space="0"/>
              <w:left w:val="nil"/>
              <w:bottom w:val="single" w:color="auto" w:sz="4" w:space="0"/>
              <w:right w:val="single" w:color="auto" w:sz="4" w:space="0"/>
            </w:tcBorders>
            <w:noWrap w:val="0"/>
            <w:vAlign w:val="center"/>
          </w:tcPr>
          <w:p w14:paraId="30B2C9E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新增和更新的公务用车（特种专业技术用车和部分不宜配备纯电动的执法执勤用车除外）和区属企事业单位通勤用车为纯电动或氢燃料电池汽车。</w:t>
            </w:r>
          </w:p>
        </w:tc>
        <w:tc>
          <w:tcPr>
            <w:tcW w:w="708" w:type="dxa"/>
            <w:tcBorders>
              <w:top w:val="single" w:color="auto" w:sz="4" w:space="0"/>
              <w:left w:val="nil"/>
              <w:bottom w:val="single" w:color="auto" w:sz="4" w:space="0"/>
              <w:right w:val="single" w:color="auto" w:sz="4" w:space="0"/>
            </w:tcBorders>
            <w:noWrap w:val="0"/>
            <w:vAlign w:val="center"/>
          </w:tcPr>
          <w:p w14:paraId="1B72E9E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93CB32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区财政局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区机关事务中心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区国资委</w:t>
            </w:r>
          </w:p>
        </w:tc>
        <w:tc>
          <w:tcPr>
            <w:tcW w:w="1209" w:type="dxa"/>
            <w:tcBorders>
              <w:left w:val="nil"/>
              <w:right w:val="single" w:color="auto" w:sz="4" w:space="0"/>
            </w:tcBorders>
            <w:noWrap w:val="0"/>
            <w:vAlign w:val="center"/>
          </w:tcPr>
          <w:p w14:paraId="39D2FEA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r>
      <w:tr w14:paraId="1955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32" w:type="dxa"/>
            <w:vMerge w:val="restart"/>
            <w:tcBorders>
              <w:left w:val="single" w:color="auto" w:sz="4" w:space="0"/>
              <w:right w:val="single" w:color="auto" w:sz="4" w:space="0"/>
            </w:tcBorders>
            <w:noWrap w:val="0"/>
            <w:vAlign w:val="center"/>
          </w:tcPr>
          <w:p w14:paraId="1888714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5</w:t>
            </w:r>
          </w:p>
        </w:tc>
        <w:tc>
          <w:tcPr>
            <w:tcW w:w="855" w:type="dxa"/>
            <w:vMerge w:val="restart"/>
            <w:tcBorders>
              <w:left w:val="nil"/>
              <w:right w:val="single" w:color="auto" w:sz="4" w:space="0"/>
            </w:tcBorders>
            <w:noWrap w:val="0"/>
            <w:vAlign w:val="center"/>
          </w:tcPr>
          <w:p w14:paraId="068F163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推进非道路移动机械清洁化</w:t>
            </w:r>
          </w:p>
        </w:tc>
        <w:tc>
          <w:tcPr>
            <w:tcW w:w="4488" w:type="dxa"/>
            <w:tcBorders>
              <w:top w:val="single" w:color="auto" w:sz="4" w:space="0"/>
              <w:left w:val="nil"/>
              <w:bottom w:val="single" w:color="auto" w:sz="4" w:space="0"/>
              <w:right w:val="single" w:color="auto" w:sz="4" w:space="0"/>
            </w:tcBorders>
            <w:noWrap w:val="0"/>
            <w:vAlign w:val="center"/>
          </w:tcPr>
          <w:p w14:paraId="1135C7A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配合市级部门落实禁止使用高排放非道路移动机械区域有关政策。</w:t>
            </w:r>
          </w:p>
        </w:tc>
        <w:tc>
          <w:tcPr>
            <w:tcW w:w="708" w:type="dxa"/>
            <w:tcBorders>
              <w:top w:val="single" w:color="auto" w:sz="4" w:space="0"/>
              <w:left w:val="nil"/>
              <w:bottom w:val="single" w:color="auto" w:sz="4" w:space="0"/>
              <w:right w:val="single" w:color="auto" w:sz="4" w:space="0"/>
            </w:tcBorders>
            <w:noWrap w:val="0"/>
            <w:vAlign w:val="center"/>
          </w:tcPr>
          <w:p w14:paraId="0F54E98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2CF14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1E7F2E7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3359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trPr>
        <w:tc>
          <w:tcPr>
            <w:tcW w:w="432" w:type="dxa"/>
            <w:vMerge w:val="continue"/>
            <w:tcBorders>
              <w:left w:val="single" w:color="auto" w:sz="4" w:space="0"/>
              <w:right w:val="single" w:color="auto" w:sz="4" w:space="0"/>
            </w:tcBorders>
            <w:noWrap w:val="0"/>
            <w:vAlign w:val="center"/>
          </w:tcPr>
          <w:p w14:paraId="490DF23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7486939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03735D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住房城乡建设、城市管理、园林绿化、水务、交通、农业农村等部门加快推动本行业国二及以下（含编码登记为X阶段）排放标准的非道路移动机械淘汰，大力推动挖掘机、装载机、叉车、升降平台等四类重点机械新能源化。2025年新登记叉车、升降平台、挖掘机、装载机的新能源化率达到50%。</w:t>
            </w:r>
          </w:p>
        </w:tc>
        <w:tc>
          <w:tcPr>
            <w:tcW w:w="708" w:type="dxa"/>
            <w:tcBorders>
              <w:top w:val="single" w:color="auto" w:sz="4" w:space="0"/>
              <w:left w:val="nil"/>
              <w:bottom w:val="single" w:color="auto" w:sz="4" w:space="0"/>
              <w:right w:val="single" w:color="auto" w:sz="4" w:space="0"/>
            </w:tcBorders>
            <w:noWrap w:val="0"/>
            <w:vAlign w:val="center"/>
          </w:tcPr>
          <w:p w14:paraId="6CF38CE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6BB875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3FBC498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区农业农村局</w:t>
            </w:r>
          </w:p>
          <w:p w14:paraId="0E84C6F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区农业服务中心</w:t>
            </w:r>
          </w:p>
        </w:tc>
      </w:tr>
      <w:tr w14:paraId="5C91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432" w:type="dxa"/>
            <w:vMerge w:val="continue"/>
            <w:tcBorders>
              <w:left w:val="single" w:color="auto" w:sz="4" w:space="0"/>
              <w:right w:val="single" w:color="auto" w:sz="4" w:space="0"/>
            </w:tcBorders>
            <w:noWrap w:val="0"/>
            <w:vAlign w:val="center"/>
          </w:tcPr>
          <w:p w14:paraId="74717C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59C200B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5113441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落实北京市建设工程施工现场扬尘治理工地管理办法，将挖掘机、装载机、叉车、升降平台等机械新能源化要求纳入工地管理内容，交通、水务、园林绿化、城市管理等施工行业主管部门积极参照实施。</w:t>
            </w:r>
          </w:p>
        </w:tc>
        <w:tc>
          <w:tcPr>
            <w:tcW w:w="708" w:type="dxa"/>
            <w:tcBorders>
              <w:top w:val="single" w:color="auto" w:sz="4" w:space="0"/>
              <w:left w:val="nil"/>
              <w:bottom w:val="single" w:color="auto" w:sz="4" w:space="0"/>
              <w:right w:val="single" w:color="auto" w:sz="4" w:space="0"/>
            </w:tcBorders>
            <w:noWrap w:val="0"/>
            <w:vAlign w:val="center"/>
          </w:tcPr>
          <w:p w14:paraId="538C1D5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BFDD00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p>
        </w:tc>
        <w:tc>
          <w:tcPr>
            <w:tcW w:w="1209" w:type="dxa"/>
            <w:tcBorders>
              <w:left w:val="nil"/>
              <w:right w:val="single" w:color="auto" w:sz="4" w:space="0"/>
            </w:tcBorders>
            <w:noWrap w:val="0"/>
            <w:vAlign w:val="center"/>
          </w:tcPr>
          <w:p w14:paraId="4014A1B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4C2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32" w:type="dxa"/>
            <w:vMerge w:val="continue"/>
            <w:tcBorders>
              <w:left w:val="single" w:color="auto" w:sz="4" w:space="0"/>
              <w:right w:val="single" w:color="auto" w:sz="4" w:space="0"/>
            </w:tcBorders>
            <w:noWrap w:val="0"/>
            <w:vAlign w:val="center"/>
          </w:tcPr>
          <w:p w14:paraId="34CF862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7E6DF18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32E1B9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强化密闭空间施工机械新能源化要求，地下封闭区域工程、基坑气膜施工工地优先使用新能源机械。落实建设工程绿色技术规范或指导意见，工地内升降平台、叉车全面实现新能源化，2吨及以下装载机、6吨及以下挖掘机新能源化比率应逐年提高。</w:t>
            </w:r>
          </w:p>
        </w:tc>
        <w:tc>
          <w:tcPr>
            <w:tcW w:w="708" w:type="dxa"/>
            <w:tcBorders>
              <w:top w:val="single" w:color="auto" w:sz="4" w:space="0"/>
              <w:left w:val="nil"/>
              <w:bottom w:val="single" w:color="auto" w:sz="4" w:space="0"/>
              <w:right w:val="single" w:color="auto" w:sz="4" w:space="0"/>
            </w:tcBorders>
            <w:noWrap w:val="0"/>
            <w:vAlign w:val="center"/>
          </w:tcPr>
          <w:p w14:paraId="1D52866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D6939A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区住房城乡建设委</w:t>
            </w:r>
          </w:p>
          <w:p w14:paraId="063D1E8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4471EFD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54C8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432" w:type="dxa"/>
            <w:tcBorders>
              <w:left w:val="single" w:color="auto" w:sz="4" w:space="0"/>
              <w:right w:val="single" w:color="auto" w:sz="4" w:space="0"/>
            </w:tcBorders>
            <w:noWrap w:val="0"/>
            <w:vAlign w:val="center"/>
          </w:tcPr>
          <w:p w14:paraId="4EE133D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5</w:t>
            </w:r>
          </w:p>
        </w:tc>
        <w:tc>
          <w:tcPr>
            <w:tcW w:w="855" w:type="dxa"/>
            <w:tcBorders>
              <w:left w:val="nil"/>
              <w:right w:val="single" w:color="auto" w:sz="4" w:space="0"/>
            </w:tcBorders>
            <w:noWrap w:val="0"/>
            <w:vAlign w:val="center"/>
          </w:tcPr>
          <w:p w14:paraId="5E90C79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推进非道路移动机械清洁化</w:t>
            </w:r>
          </w:p>
        </w:tc>
        <w:tc>
          <w:tcPr>
            <w:tcW w:w="4488" w:type="dxa"/>
            <w:tcBorders>
              <w:top w:val="single" w:color="auto" w:sz="4" w:space="0"/>
              <w:left w:val="nil"/>
              <w:bottom w:val="single" w:color="auto" w:sz="4" w:space="0"/>
              <w:right w:val="single" w:color="auto" w:sz="4" w:space="0"/>
            </w:tcBorders>
            <w:noWrap w:val="0"/>
            <w:vAlign w:val="center"/>
          </w:tcPr>
          <w:p w14:paraId="6FC0FAA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住房城乡建设部门及时将非道路移动机械检查情况向市级单位报送，配合市级单位将使用未经信息编码登记或者不符合排放标准的非道路移动机械的建设单位或者施工单位记入信用信息记录。</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住房城乡建设、城市管理、园林绿化、水务、交通等部门督促施工单位对进出工程施工现场的非道路移动机械在“京环宝”小程序上进行进出场登记。</w:t>
            </w:r>
          </w:p>
        </w:tc>
        <w:tc>
          <w:tcPr>
            <w:tcW w:w="708" w:type="dxa"/>
            <w:tcBorders>
              <w:top w:val="single" w:color="auto" w:sz="4" w:space="0"/>
              <w:left w:val="nil"/>
              <w:bottom w:val="single" w:color="auto" w:sz="4" w:space="0"/>
              <w:right w:val="single" w:color="auto" w:sz="4" w:space="0"/>
            </w:tcBorders>
            <w:noWrap w:val="0"/>
            <w:vAlign w:val="center"/>
          </w:tcPr>
          <w:p w14:paraId="01E5EE1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4D7FADD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p>
        </w:tc>
        <w:tc>
          <w:tcPr>
            <w:tcW w:w="1209" w:type="dxa"/>
            <w:tcBorders>
              <w:left w:val="nil"/>
              <w:right w:val="single" w:color="auto" w:sz="4" w:space="0"/>
            </w:tcBorders>
            <w:noWrap w:val="0"/>
            <w:vAlign w:val="center"/>
          </w:tcPr>
          <w:p w14:paraId="72DD19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FD5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432" w:type="dxa"/>
            <w:vMerge w:val="restart"/>
            <w:tcBorders>
              <w:top w:val="single" w:color="auto" w:sz="4" w:space="0"/>
              <w:left w:val="single" w:color="auto" w:sz="4" w:space="0"/>
              <w:right w:val="single" w:color="auto" w:sz="4" w:space="0"/>
            </w:tcBorders>
            <w:noWrap w:val="0"/>
            <w:vAlign w:val="center"/>
          </w:tcPr>
          <w:p w14:paraId="5777856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6</w:t>
            </w:r>
          </w:p>
        </w:tc>
        <w:tc>
          <w:tcPr>
            <w:tcW w:w="855" w:type="dxa"/>
            <w:vMerge w:val="restart"/>
            <w:tcBorders>
              <w:top w:val="single" w:color="auto" w:sz="4" w:space="0"/>
              <w:left w:val="nil"/>
              <w:right w:val="single" w:color="auto" w:sz="4" w:space="0"/>
            </w:tcBorders>
            <w:noWrap w:val="0"/>
            <w:vAlign w:val="center"/>
          </w:tcPr>
          <w:p w14:paraId="67243AA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优化车（械）能源补给</w:t>
            </w:r>
          </w:p>
        </w:tc>
        <w:tc>
          <w:tcPr>
            <w:tcW w:w="4488" w:type="dxa"/>
            <w:tcBorders>
              <w:top w:val="single" w:color="auto" w:sz="4" w:space="0"/>
              <w:left w:val="nil"/>
              <w:bottom w:val="single" w:color="auto" w:sz="4" w:space="0"/>
              <w:right w:val="single" w:color="auto" w:sz="4" w:space="0"/>
            </w:tcBorders>
            <w:noWrap w:val="0"/>
            <w:vAlign w:val="center"/>
          </w:tcPr>
          <w:p w14:paraId="3D50AC3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快推进充电基础设施和加氢基础设施建设。推动电动汽车充电设施网络和服务体系建设，鼓励将停车位及充电设施电气化改造与老旧小区改造同步实施，鼓励单位内部充电设施对外开放。年底前实现平原地区公共充电设施平均服务半径小于3公里，平原地区换电站平均服务半径小于5公里。</w:t>
            </w:r>
          </w:p>
        </w:tc>
        <w:tc>
          <w:tcPr>
            <w:tcW w:w="708" w:type="dxa"/>
            <w:tcBorders>
              <w:top w:val="single" w:color="auto" w:sz="4" w:space="0"/>
              <w:left w:val="nil"/>
              <w:bottom w:val="single" w:color="auto" w:sz="4" w:space="0"/>
              <w:right w:val="single" w:color="auto" w:sz="4" w:space="0"/>
            </w:tcBorders>
            <w:noWrap w:val="0"/>
            <w:vAlign w:val="center"/>
          </w:tcPr>
          <w:p w14:paraId="7EBFACA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1046E1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区城市管理委</w:t>
            </w:r>
          </w:p>
          <w:p w14:paraId="36142FE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区经济和信息化局</w:t>
            </w:r>
          </w:p>
        </w:tc>
        <w:tc>
          <w:tcPr>
            <w:tcW w:w="1209" w:type="dxa"/>
            <w:tcBorders>
              <w:left w:val="nil"/>
              <w:right w:val="single" w:color="auto" w:sz="4" w:space="0"/>
            </w:tcBorders>
            <w:noWrap w:val="0"/>
            <w:vAlign w:val="center"/>
          </w:tcPr>
          <w:p w14:paraId="5832CD5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市规划自然资源委大兴分局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区财政局</w:t>
            </w:r>
          </w:p>
        </w:tc>
      </w:tr>
      <w:tr w14:paraId="193F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432" w:type="dxa"/>
            <w:vMerge w:val="continue"/>
            <w:tcBorders>
              <w:left w:val="single" w:color="auto" w:sz="4" w:space="0"/>
              <w:right w:val="single" w:color="auto" w:sz="4" w:space="0"/>
            </w:tcBorders>
            <w:noWrap w:val="0"/>
            <w:vAlign w:val="center"/>
          </w:tcPr>
          <w:p w14:paraId="7A1C401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5C190E9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6BA7541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配合市级部门依规协助建设单位做好施工工地电动机械用电增容报装工作，满足电动机械使用场景电力供给；对于现有场站内新增电动机械的用电增容需求，电力部门依据相关政策、规定协调予以研究保障。</w:t>
            </w:r>
          </w:p>
        </w:tc>
        <w:tc>
          <w:tcPr>
            <w:tcW w:w="708" w:type="dxa"/>
            <w:tcBorders>
              <w:top w:val="single" w:color="auto" w:sz="4" w:space="0"/>
              <w:left w:val="nil"/>
              <w:bottom w:val="single" w:color="auto" w:sz="4" w:space="0"/>
              <w:right w:val="single" w:color="auto" w:sz="4" w:space="0"/>
            </w:tcBorders>
            <w:noWrap w:val="0"/>
            <w:vAlign w:val="center"/>
          </w:tcPr>
          <w:p w14:paraId="1533F6B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D0057A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区供电公司</w:t>
            </w:r>
          </w:p>
        </w:tc>
        <w:tc>
          <w:tcPr>
            <w:tcW w:w="1209" w:type="dxa"/>
            <w:tcBorders>
              <w:left w:val="nil"/>
              <w:right w:val="single" w:color="auto" w:sz="4" w:space="0"/>
            </w:tcBorders>
            <w:noWrap w:val="0"/>
            <w:vAlign w:val="center"/>
          </w:tcPr>
          <w:p w14:paraId="5323E57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p>
        </w:tc>
      </w:tr>
      <w:tr w14:paraId="7856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432" w:type="dxa"/>
            <w:tcBorders>
              <w:left w:val="single" w:color="auto" w:sz="4" w:space="0"/>
              <w:bottom w:val="single" w:color="auto" w:sz="4" w:space="0"/>
              <w:right w:val="single" w:color="auto" w:sz="4" w:space="0"/>
            </w:tcBorders>
            <w:noWrap w:val="0"/>
            <w:vAlign w:val="center"/>
          </w:tcPr>
          <w:p w14:paraId="67E58FF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7</w:t>
            </w:r>
          </w:p>
        </w:tc>
        <w:tc>
          <w:tcPr>
            <w:tcW w:w="855" w:type="dxa"/>
            <w:tcBorders>
              <w:left w:val="nil"/>
              <w:bottom w:val="single" w:color="auto" w:sz="4" w:space="0"/>
              <w:right w:val="single" w:color="auto" w:sz="4" w:space="0"/>
            </w:tcBorders>
            <w:noWrap w:val="0"/>
            <w:vAlign w:val="center"/>
          </w:tcPr>
          <w:p w14:paraId="514FC77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严格在用车（械）管理</w:t>
            </w:r>
          </w:p>
        </w:tc>
        <w:tc>
          <w:tcPr>
            <w:tcW w:w="4488" w:type="dxa"/>
            <w:tcBorders>
              <w:top w:val="single" w:color="auto" w:sz="4" w:space="0"/>
              <w:left w:val="nil"/>
              <w:bottom w:val="single" w:color="auto" w:sz="4" w:space="0"/>
              <w:right w:val="single" w:color="auto" w:sz="4" w:space="0"/>
            </w:tcBorders>
            <w:noWrap w:val="0"/>
            <w:vAlign w:val="center"/>
          </w:tcPr>
          <w:p w14:paraId="3122285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公安交通管理、生态环境部门在进京路口和区内主要道路完成</w:t>
            </w:r>
            <w:r>
              <w:rPr>
                <w:rFonts w:hint="eastAsia" w:ascii="仿宋_GB2312" w:hAnsi="仿宋_GB2312" w:eastAsia="仿宋_GB2312" w:cs="仿宋_GB2312"/>
                <w:kern w:val="0"/>
                <w:sz w:val="21"/>
                <w:szCs w:val="21"/>
                <w:lang w:bidi="ar"/>
              </w:rPr>
              <w:t>17.75万辆次</w:t>
            </w:r>
            <w:r>
              <w:rPr>
                <w:rFonts w:hint="eastAsia" w:ascii="仿宋_GB2312" w:hAnsi="仿宋_GB2312" w:eastAsia="仿宋_GB2312" w:cs="仿宋_GB2312"/>
                <w:color w:val="000000"/>
                <w:kern w:val="0"/>
                <w:sz w:val="21"/>
                <w:szCs w:val="21"/>
                <w:lang w:bidi="ar"/>
              </w:rPr>
              <w:t>的重型柴油车和重型燃气车的人工检查，严格查处驾驶未按规定进行维修且未通过复检的机动车上道路行驶的违法行为。</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结合辖区机械登记台账，聚焦国二及以下排放标准机械进行执法检测，同时加大对国三及以上排放标准机械的检查力度。</w:t>
            </w:r>
          </w:p>
        </w:tc>
        <w:tc>
          <w:tcPr>
            <w:tcW w:w="708" w:type="dxa"/>
            <w:tcBorders>
              <w:top w:val="single" w:color="auto" w:sz="4" w:space="0"/>
              <w:left w:val="nil"/>
              <w:bottom w:val="single" w:color="auto" w:sz="4" w:space="0"/>
              <w:right w:val="single" w:color="auto" w:sz="4" w:space="0"/>
            </w:tcBorders>
            <w:noWrap w:val="0"/>
            <w:vAlign w:val="center"/>
          </w:tcPr>
          <w:p w14:paraId="43FEFDB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C0B8F6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区公安交通支队</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5DFE0F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372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432" w:type="dxa"/>
            <w:vMerge w:val="restart"/>
            <w:tcBorders>
              <w:top w:val="single" w:color="auto" w:sz="4" w:space="0"/>
              <w:left w:val="single" w:color="auto" w:sz="4" w:space="0"/>
              <w:right w:val="single" w:color="auto" w:sz="4" w:space="0"/>
            </w:tcBorders>
            <w:noWrap w:val="0"/>
            <w:vAlign w:val="center"/>
          </w:tcPr>
          <w:p w14:paraId="0D1D4DF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8</w:t>
            </w:r>
          </w:p>
        </w:tc>
        <w:tc>
          <w:tcPr>
            <w:tcW w:w="855" w:type="dxa"/>
            <w:vMerge w:val="restart"/>
            <w:tcBorders>
              <w:top w:val="single" w:color="auto" w:sz="4" w:space="0"/>
              <w:left w:val="nil"/>
              <w:right w:val="single" w:color="auto" w:sz="4" w:space="0"/>
            </w:tcBorders>
            <w:noWrap w:val="0"/>
            <w:vAlign w:val="center"/>
          </w:tcPr>
          <w:p w14:paraId="55A4799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加强油气油品监管</w:t>
            </w:r>
          </w:p>
        </w:tc>
        <w:tc>
          <w:tcPr>
            <w:tcW w:w="4488" w:type="dxa"/>
            <w:tcBorders>
              <w:top w:val="single" w:color="auto" w:sz="4" w:space="0"/>
              <w:left w:val="nil"/>
              <w:bottom w:val="single" w:color="auto" w:sz="4" w:space="0"/>
              <w:right w:val="single" w:color="auto" w:sz="4" w:space="0"/>
            </w:tcBorders>
            <w:noWrap w:val="0"/>
            <w:vAlign w:val="center"/>
          </w:tcPr>
          <w:p w14:paraId="37364B8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市场监管部门牵头对生产、销售环节的车用油品、氮氧化物还原剂、车用油品清净剂等产品质量开展监督抽查，加强实际使用环节的柴油抽检。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公安部门牵头坚决打击非标油，全面清理整顿无证无照或证照不全的自建油罐、流动加油车和黑加油站点。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生态环境部门牵头加强对储油库、油罐车、加油站油气排放执法检查。</w:t>
            </w:r>
          </w:p>
        </w:tc>
        <w:tc>
          <w:tcPr>
            <w:tcW w:w="708" w:type="dxa"/>
            <w:tcBorders>
              <w:top w:val="single" w:color="auto" w:sz="4" w:space="0"/>
              <w:left w:val="nil"/>
              <w:bottom w:val="single" w:color="auto" w:sz="4" w:space="0"/>
              <w:right w:val="single" w:color="auto" w:sz="4" w:space="0"/>
            </w:tcBorders>
            <w:noWrap w:val="0"/>
            <w:vAlign w:val="center"/>
          </w:tcPr>
          <w:p w14:paraId="14AC08C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A0B608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区市场监管局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区公安分局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35514E5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区应急局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区交通局</w:t>
            </w:r>
          </w:p>
        </w:tc>
      </w:tr>
      <w:tr w14:paraId="7A01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432" w:type="dxa"/>
            <w:vMerge w:val="continue"/>
            <w:tcBorders>
              <w:left w:val="single" w:color="auto" w:sz="4" w:space="0"/>
              <w:bottom w:val="single" w:color="auto" w:sz="4" w:space="0"/>
              <w:right w:val="single" w:color="auto" w:sz="4" w:space="0"/>
            </w:tcBorders>
            <w:noWrap w:val="0"/>
            <w:vAlign w:val="center"/>
          </w:tcPr>
          <w:p w14:paraId="68CDD97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2C4B094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4C14CA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督促加油站和储油库在夏季错峰装卸油，引导加油站出台鼓励夜间加油的措施。</w:t>
            </w:r>
          </w:p>
        </w:tc>
        <w:tc>
          <w:tcPr>
            <w:tcW w:w="708" w:type="dxa"/>
            <w:tcBorders>
              <w:top w:val="single" w:color="auto" w:sz="4" w:space="0"/>
              <w:left w:val="nil"/>
              <w:bottom w:val="single" w:color="auto" w:sz="4" w:space="0"/>
              <w:right w:val="single" w:color="auto" w:sz="4" w:space="0"/>
            </w:tcBorders>
            <w:noWrap w:val="0"/>
            <w:vAlign w:val="center"/>
          </w:tcPr>
          <w:p w14:paraId="2C78FEA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6-9月</w:t>
            </w:r>
          </w:p>
        </w:tc>
        <w:tc>
          <w:tcPr>
            <w:tcW w:w="1320" w:type="dxa"/>
            <w:tcBorders>
              <w:left w:val="nil"/>
              <w:right w:val="single" w:color="auto" w:sz="4" w:space="0"/>
            </w:tcBorders>
            <w:noWrap w:val="0"/>
            <w:vAlign w:val="center"/>
          </w:tcPr>
          <w:p w14:paraId="7C28514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区商务局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4CE7B38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3339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432" w:type="dxa"/>
            <w:vMerge w:val="restart"/>
            <w:tcBorders>
              <w:left w:val="single" w:color="auto" w:sz="4" w:space="0"/>
              <w:right w:val="single" w:color="auto" w:sz="4" w:space="0"/>
            </w:tcBorders>
            <w:noWrap w:val="0"/>
            <w:vAlign w:val="center"/>
          </w:tcPr>
          <w:p w14:paraId="378E4AB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9</w:t>
            </w:r>
          </w:p>
        </w:tc>
        <w:tc>
          <w:tcPr>
            <w:tcW w:w="855" w:type="dxa"/>
            <w:vMerge w:val="restart"/>
            <w:tcBorders>
              <w:left w:val="nil"/>
              <w:right w:val="single" w:color="auto" w:sz="4" w:space="0"/>
            </w:tcBorders>
            <w:noWrap w:val="0"/>
            <w:vAlign w:val="center"/>
          </w:tcPr>
          <w:p w14:paraId="2B3205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持续优化调整运输结构</w:t>
            </w:r>
          </w:p>
        </w:tc>
        <w:tc>
          <w:tcPr>
            <w:tcW w:w="4488" w:type="dxa"/>
            <w:tcBorders>
              <w:top w:val="single" w:color="auto" w:sz="4" w:space="0"/>
              <w:left w:val="nil"/>
              <w:bottom w:val="single" w:color="auto" w:sz="4" w:space="0"/>
              <w:right w:val="single" w:color="auto" w:sz="4" w:space="0"/>
            </w:tcBorders>
            <w:noWrap w:val="0"/>
            <w:vAlign w:val="center"/>
          </w:tcPr>
          <w:p w14:paraId="0DA40EE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严格落实市级制定的运输结构调整推进工作方案，推动铁路运输，提升矿建材料、钢材、商品车、能源等物资铁路运输比例。年底前，货物到发绿色运输（包括铁路和纯电动、氢燃料电池汽车）比重力争</w:t>
            </w:r>
            <w:r>
              <w:rPr>
                <w:rFonts w:hint="eastAsia" w:ascii="仿宋_GB2312" w:hAnsi="仿宋_GB2312" w:eastAsia="仿宋_GB2312" w:cs="仿宋_GB2312"/>
                <w:kern w:val="0"/>
                <w:sz w:val="21"/>
                <w:szCs w:val="21"/>
                <w:lang w:bidi="ar"/>
              </w:rPr>
              <w:t>达到市级要求。</w:t>
            </w:r>
          </w:p>
        </w:tc>
        <w:tc>
          <w:tcPr>
            <w:tcW w:w="708" w:type="dxa"/>
            <w:tcBorders>
              <w:top w:val="single" w:color="auto" w:sz="4" w:space="0"/>
              <w:left w:val="nil"/>
              <w:bottom w:val="single" w:color="auto" w:sz="4" w:space="0"/>
              <w:right w:val="single" w:color="auto" w:sz="4" w:space="0"/>
            </w:tcBorders>
            <w:noWrap w:val="0"/>
            <w:vAlign w:val="center"/>
          </w:tcPr>
          <w:p w14:paraId="537D843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E1B532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区经济和信息化局</w:t>
            </w:r>
          </w:p>
        </w:tc>
        <w:tc>
          <w:tcPr>
            <w:tcW w:w="1209" w:type="dxa"/>
            <w:tcBorders>
              <w:left w:val="nil"/>
              <w:right w:val="single" w:color="auto" w:sz="4" w:space="0"/>
            </w:tcBorders>
            <w:noWrap w:val="0"/>
            <w:vAlign w:val="center"/>
          </w:tcPr>
          <w:p w14:paraId="4F14F6C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w:t>
            </w:r>
          </w:p>
        </w:tc>
      </w:tr>
      <w:tr w14:paraId="0CDF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432" w:type="dxa"/>
            <w:vMerge w:val="continue"/>
            <w:tcBorders>
              <w:left w:val="single" w:color="auto" w:sz="4" w:space="0"/>
              <w:right w:val="single" w:color="auto" w:sz="4" w:space="0"/>
            </w:tcBorders>
            <w:noWrap w:val="0"/>
            <w:vAlign w:val="center"/>
          </w:tcPr>
          <w:p w14:paraId="2A9A4CB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722E2D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5C84FE3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配合市级部门，支持铁路货运场站依法依规有序开展物流服务经营活动，加强铁路干线运输与物流服务市场化对接，大力发展高效稳定的直达货运班列。</w:t>
            </w:r>
          </w:p>
        </w:tc>
        <w:tc>
          <w:tcPr>
            <w:tcW w:w="708" w:type="dxa"/>
            <w:tcBorders>
              <w:top w:val="single" w:color="auto" w:sz="4" w:space="0"/>
              <w:left w:val="nil"/>
              <w:bottom w:val="single" w:color="auto" w:sz="4" w:space="0"/>
              <w:right w:val="single" w:color="auto" w:sz="4" w:space="0"/>
            </w:tcBorders>
            <w:noWrap w:val="0"/>
            <w:vAlign w:val="center"/>
          </w:tcPr>
          <w:p w14:paraId="46E8C68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C4E94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区发展改革委</w:t>
            </w:r>
          </w:p>
        </w:tc>
        <w:tc>
          <w:tcPr>
            <w:tcW w:w="1209" w:type="dxa"/>
            <w:tcBorders>
              <w:left w:val="nil"/>
              <w:right w:val="single" w:color="auto" w:sz="4" w:space="0"/>
            </w:tcBorders>
            <w:noWrap w:val="0"/>
            <w:vAlign w:val="center"/>
          </w:tcPr>
          <w:p w14:paraId="2BE1D9C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市规划自然资源委大兴分局</w:t>
            </w:r>
          </w:p>
        </w:tc>
      </w:tr>
      <w:tr w14:paraId="4632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32" w:type="dxa"/>
            <w:vMerge w:val="continue"/>
            <w:tcBorders>
              <w:left w:val="single" w:color="auto" w:sz="4" w:space="0"/>
              <w:right w:val="single" w:color="auto" w:sz="4" w:space="0"/>
            </w:tcBorders>
            <w:noWrap w:val="0"/>
            <w:vAlign w:val="center"/>
          </w:tcPr>
          <w:p w14:paraId="01C559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1D8730E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6C6B82F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推动混凝土搅拌站逐步提高矿建材料的绿色运输比例，鼓励搅拌站经营者使用纯电动或氢燃料搅拌罐车运输混凝土。</w:t>
            </w:r>
          </w:p>
        </w:tc>
        <w:tc>
          <w:tcPr>
            <w:tcW w:w="708" w:type="dxa"/>
            <w:tcBorders>
              <w:top w:val="single" w:color="auto" w:sz="4" w:space="0"/>
              <w:left w:val="nil"/>
              <w:bottom w:val="single" w:color="auto" w:sz="4" w:space="0"/>
              <w:right w:val="single" w:color="auto" w:sz="4" w:space="0"/>
            </w:tcBorders>
            <w:noWrap w:val="0"/>
            <w:vAlign w:val="center"/>
          </w:tcPr>
          <w:p w14:paraId="047C328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55C4B27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区住房城乡建设委</w:t>
            </w:r>
          </w:p>
        </w:tc>
        <w:tc>
          <w:tcPr>
            <w:tcW w:w="1209" w:type="dxa"/>
            <w:tcBorders>
              <w:left w:val="nil"/>
              <w:right w:val="single" w:color="auto" w:sz="4" w:space="0"/>
            </w:tcBorders>
            <w:noWrap w:val="0"/>
            <w:vAlign w:val="center"/>
          </w:tcPr>
          <w:p w14:paraId="288CC54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区交通局</w:t>
            </w:r>
          </w:p>
        </w:tc>
      </w:tr>
      <w:tr w14:paraId="12D1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432" w:type="dxa"/>
            <w:vMerge w:val="continue"/>
            <w:tcBorders>
              <w:left w:val="single" w:color="auto" w:sz="4" w:space="0"/>
              <w:bottom w:val="single" w:color="auto" w:sz="4" w:space="0"/>
              <w:right w:val="single" w:color="auto" w:sz="4" w:space="0"/>
            </w:tcBorders>
            <w:noWrap w:val="0"/>
            <w:vAlign w:val="center"/>
          </w:tcPr>
          <w:p w14:paraId="57D5143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2712A05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68343E2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配合市级部门推动城市轨道交通非高峰时段开展物流配送，推进地铁运输快递工作。</w:t>
            </w:r>
          </w:p>
        </w:tc>
        <w:tc>
          <w:tcPr>
            <w:tcW w:w="708" w:type="dxa"/>
            <w:tcBorders>
              <w:top w:val="single" w:color="auto" w:sz="4" w:space="0"/>
              <w:left w:val="nil"/>
              <w:bottom w:val="single" w:color="auto" w:sz="4" w:space="0"/>
              <w:right w:val="single" w:color="auto" w:sz="4" w:space="0"/>
            </w:tcBorders>
            <w:noWrap w:val="0"/>
            <w:vAlign w:val="center"/>
          </w:tcPr>
          <w:p w14:paraId="0D11200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9EF44A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区邮政局</w:t>
            </w:r>
          </w:p>
        </w:tc>
        <w:tc>
          <w:tcPr>
            <w:tcW w:w="1209" w:type="dxa"/>
            <w:tcBorders>
              <w:left w:val="nil"/>
              <w:right w:val="single" w:color="auto" w:sz="4" w:space="0"/>
            </w:tcBorders>
            <w:noWrap w:val="0"/>
            <w:vAlign w:val="center"/>
          </w:tcPr>
          <w:p w14:paraId="34DA25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区商务局</w:t>
            </w:r>
          </w:p>
        </w:tc>
      </w:tr>
      <w:tr w14:paraId="35AE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9012" w:type="dxa"/>
            <w:gridSpan w:val="6"/>
            <w:tcBorders>
              <w:top w:val="single" w:color="auto" w:sz="4" w:space="0"/>
              <w:left w:val="single" w:color="auto" w:sz="4" w:space="0"/>
              <w:bottom w:val="single" w:color="auto" w:sz="4" w:space="0"/>
              <w:right w:val="single" w:color="auto" w:sz="4" w:space="0"/>
            </w:tcBorders>
            <w:noWrap w:val="0"/>
            <w:vAlign w:val="center"/>
          </w:tcPr>
          <w:p w14:paraId="351270F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三、以企业“含绿量”提升为主线，推动工程减排</w:t>
            </w:r>
          </w:p>
        </w:tc>
      </w:tr>
      <w:tr w14:paraId="789F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432" w:type="dxa"/>
            <w:vMerge w:val="restart"/>
            <w:tcBorders>
              <w:top w:val="single" w:color="auto" w:sz="4" w:space="0"/>
              <w:left w:val="single" w:color="auto" w:sz="4" w:space="0"/>
              <w:right w:val="single" w:color="auto" w:sz="4" w:space="0"/>
            </w:tcBorders>
            <w:noWrap w:val="0"/>
            <w:vAlign w:val="center"/>
          </w:tcPr>
          <w:p w14:paraId="2436281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10</w:t>
            </w:r>
          </w:p>
        </w:tc>
        <w:tc>
          <w:tcPr>
            <w:tcW w:w="855" w:type="dxa"/>
            <w:vMerge w:val="restart"/>
            <w:tcBorders>
              <w:top w:val="single" w:color="auto" w:sz="4" w:space="0"/>
              <w:left w:val="nil"/>
              <w:right w:val="single" w:color="auto" w:sz="4" w:space="0"/>
            </w:tcBorders>
            <w:noWrap w:val="0"/>
            <w:vAlign w:val="center"/>
          </w:tcPr>
          <w:p w14:paraId="5B04930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推动企业“含绿量”提升</w:t>
            </w:r>
          </w:p>
        </w:tc>
        <w:tc>
          <w:tcPr>
            <w:tcW w:w="4488" w:type="dxa"/>
            <w:tcBorders>
              <w:top w:val="single" w:color="auto" w:sz="4" w:space="0"/>
              <w:left w:val="nil"/>
              <w:bottom w:val="single" w:color="auto" w:sz="4" w:space="0"/>
              <w:right w:val="single" w:color="auto" w:sz="4" w:space="0"/>
            </w:tcBorders>
            <w:noWrap w:val="0"/>
            <w:vAlign w:val="center"/>
          </w:tcPr>
          <w:p w14:paraId="33B7789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推进重点行业企业绿色升级，结合实际加大减排力度，2025年绿色企业比率平均不低于30%。</w:t>
            </w:r>
          </w:p>
        </w:tc>
        <w:tc>
          <w:tcPr>
            <w:tcW w:w="708" w:type="dxa"/>
            <w:tcBorders>
              <w:top w:val="single" w:color="auto" w:sz="4" w:space="0"/>
              <w:left w:val="nil"/>
              <w:bottom w:val="single" w:color="auto" w:sz="4" w:space="0"/>
              <w:right w:val="single" w:color="auto" w:sz="4" w:space="0"/>
            </w:tcBorders>
            <w:noWrap w:val="0"/>
            <w:vAlign w:val="center"/>
          </w:tcPr>
          <w:p w14:paraId="7BB792F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4646297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4D1E9C5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区城市管理委</w:t>
            </w:r>
          </w:p>
          <w:p w14:paraId="7F1D6CF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区经济和信息化局</w:t>
            </w:r>
          </w:p>
          <w:p w14:paraId="7ECFFDB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p>
        </w:tc>
      </w:tr>
      <w:tr w14:paraId="569A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432" w:type="dxa"/>
            <w:vMerge w:val="continue"/>
            <w:tcBorders>
              <w:left w:val="single" w:color="auto" w:sz="4" w:space="0"/>
              <w:right w:val="single" w:color="auto" w:sz="4" w:space="0"/>
            </w:tcBorders>
            <w:noWrap w:val="0"/>
            <w:vAlign w:val="center"/>
          </w:tcPr>
          <w:p w14:paraId="633A7B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58DA9C9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1A7C872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开展清洁生产审核和技术改造升级，推动节能、降耗、减污、增效。深入实施强制性清洁生产审核下沉管理，按照全市统一部署全面承担强制性清洁生产审核单位名单制定和评估、技术改造、验收等工作。在督促VOCs年排放量1吨以上重点企业按周期实施清洁生产审核的基础上，可结合区域特点和管理需求依法确定审核范围。</w:t>
            </w:r>
          </w:p>
        </w:tc>
        <w:tc>
          <w:tcPr>
            <w:tcW w:w="708" w:type="dxa"/>
            <w:tcBorders>
              <w:top w:val="single" w:color="auto" w:sz="4" w:space="0"/>
              <w:left w:val="nil"/>
              <w:bottom w:val="single" w:color="auto" w:sz="4" w:space="0"/>
              <w:right w:val="single" w:color="auto" w:sz="4" w:space="0"/>
            </w:tcBorders>
            <w:noWrap w:val="0"/>
            <w:vAlign w:val="center"/>
          </w:tcPr>
          <w:p w14:paraId="7DEE9BE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6F0067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3A48567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区发展改革委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区经济和信息化局</w:t>
            </w:r>
          </w:p>
        </w:tc>
        <w:tc>
          <w:tcPr>
            <w:tcW w:w="1209" w:type="dxa"/>
            <w:tcBorders>
              <w:left w:val="nil"/>
              <w:right w:val="single" w:color="auto" w:sz="4" w:space="0"/>
            </w:tcBorders>
            <w:noWrap w:val="0"/>
            <w:vAlign w:val="center"/>
          </w:tcPr>
          <w:p w14:paraId="171DBD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8A3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432" w:type="dxa"/>
            <w:vMerge w:val="continue"/>
            <w:tcBorders>
              <w:left w:val="single" w:color="auto" w:sz="4" w:space="0"/>
              <w:right w:val="single" w:color="auto" w:sz="4" w:space="0"/>
            </w:tcBorders>
            <w:noWrap w:val="0"/>
            <w:vAlign w:val="center"/>
          </w:tcPr>
          <w:p w14:paraId="5BAC8F4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72453AE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9B50A6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组织企业开展环保技术改造升级，实施重点行业“一厂一策”精细化治理。落实锅炉使用单位环保绩效分级管理，组织锅炉使用单位进行环保绩效评级和提级改造，力争年底前B级及以上锅炉使用单位达到70家以上。</w:t>
            </w:r>
          </w:p>
        </w:tc>
        <w:tc>
          <w:tcPr>
            <w:tcW w:w="708" w:type="dxa"/>
            <w:tcBorders>
              <w:top w:val="single" w:color="auto" w:sz="4" w:space="0"/>
              <w:left w:val="nil"/>
              <w:bottom w:val="single" w:color="auto" w:sz="4" w:space="0"/>
              <w:right w:val="single" w:color="auto" w:sz="4" w:space="0"/>
            </w:tcBorders>
            <w:noWrap w:val="0"/>
            <w:vAlign w:val="center"/>
          </w:tcPr>
          <w:p w14:paraId="4E631FA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52B410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4EE0AC1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p>
        </w:tc>
        <w:tc>
          <w:tcPr>
            <w:tcW w:w="1209" w:type="dxa"/>
            <w:tcBorders>
              <w:left w:val="nil"/>
              <w:right w:val="single" w:color="auto" w:sz="4" w:space="0"/>
            </w:tcBorders>
            <w:noWrap w:val="0"/>
            <w:vAlign w:val="center"/>
          </w:tcPr>
          <w:p w14:paraId="524E2B2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区经济和信息化局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区财政局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市规划自然资源委大兴分局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p>
        </w:tc>
      </w:tr>
      <w:tr w14:paraId="283F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32" w:type="dxa"/>
            <w:vMerge w:val="continue"/>
            <w:tcBorders>
              <w:left w:val="single" w:color="auto" w:sz="4" w:space="0"/>
              <w:right w:val="single" w:color="auto" w:sz="4" w:space="0"/>
            </w:tcBorders>
            <w:noWrap w:val="0"/>
            <w:vAlign w:val="center"/>
          </w:tcPr>
          <w:p w14:paraId="4B9B61D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p>
        </w:tc>
        <w:tc>
          <w:tcPr>
            <w:tcW w:w="855" w:type="dxa"/>
            <w:vMerge w:val="continue"/>
            <w:tcBorders>
              <w:left w:val="nil"/>
              <w:right w:val="single" w:color="auto" w:sz="4" w:space="0"/>
            </w:tcBorders>
            <w:noWrap w:val="0"/>
            <w:vAlign w:val="center"/>
          </w:tcPr>
          <w:p w14:paraId="790263A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p>
        </w:tc>
        <w:tc>
          <w:tcPr>
            <w:tcW w:w="4488" w:type="dxa"/>
            <w:tcBorders>
              <w:top w:val="single" w:color="auto" w:sz="4" w:space="0"/>
              <w:left w:val="nil"/>
              <w:bottom w:val="single" w:color="auto" w:sz="4" w:space="0"/>
              <w:right w:val="single" w:color="auto" w:sz="4" w:space="0"/>
            </w:tcBorders>
            <w:noWrap w:val="0"/>
            <w:vAlign w:val="center"/>
          </w:tcPr>
          <w:p w14:paraId="1D67053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鼓励企业和项目开展绿色绩效评价，推进加强汽车制造等行业创绿先行先试，建立完善绿色企业和绿色项目库。</w:t>
            </w:r>
          </w:p>
        </w:tc>
        <w:tc>
          <w:tcPr>
            <w:tcW w:w="708" w:type="dxa"/>
            <w:tcBorders>
              <w:top w:val="single" w:color="auto" w:sz="4" w:space="0"/>
              <w:left w:val="nil"/>
              <w:bottom w:val="single" w:color="auto" w:sz="4" w:space="0"/>
              <w:right w:val="single" w:color="auto" w:sz="4" w:space="0"/>
            </w:tcBorders>
            <w:noWrap w:val="0"/>
            <w:vAlign w:val="center"/>
          </w:tcPr>
          <w:p w14:paraId="2461BFF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44295F5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228A05C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区经济和信息化局</w:t>
            </w:r>
          </w:p>
        </w:tc>
      </w:tr>
      <w:tr w14:paraId="18A0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432" w:type="dxa"/>
            <w:vMerge w:val="continue"/>
            <w:tcBorders>
              <w:left w:val="single" w:color="auto" w:sz="4" w:space="0"/>
              <w:right w:val="single" w:color="auto" w:sz="4" w:space="0"/>
            </w:tcBorders>
            <w:noWrap w:val="0"/>
            <w:vAlign w:val="center"/>
          </w:tcPr>
          <w:p w14:paraId="7FE7F48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p>
        </w:tc>
        <w:tc>
          <w:tcPr>
            <w:tcW w:w="855" w:type="dxa"/>
            <w:vMerge w:val="continue"/>
            <w:tcBorders>
              <w:left w:val="nil"/>
              <w:right w:val="single" w:color="auto" w:sz="4" w:space="0"/>
            </w:tcBorders>
            <w:noWrap w:val="0"/>
            <w:vAlign w:val="center"/>
          </w:tcPr>
          <w:p w14:paraId="7E12BF7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p>
        </w:tc>
        <w:tc>
          <w:tcPr>
            <w:tcW w:w="4488" w:type="dxa"/>
            <w:tcBorders>
              <w:top w:val="single" w:color="auto" w:sz="4" w:space="0"/>
              <w:left w:val="nil"/>
              <w:bottom w:val="single" w:color="auto" w:sz="4" w:space="0"/>
              <w:right w:val="single" w:color="auto" w:sz="4" w:space="0"/>
            </w:tcBorders>
            <w:noWrap w:val="0"/>
            <w:vAlign w:val="center"/>
          </w:tcPr>
          <w:p w14:paraId="2C04EA6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全面推行绿色制造，鼓励汽车制造、生物医药、电子等重点行业企业开展绿色诊断服务。积极组织企业申报国家级绿色工厂、绿色供应链管理企业。完成一般制造业企业疏解退出提质8家。</w:t>
            </w:r>
          </w:p>
        </w:tc>
        <w:tc>
          <w:tcPr>
            <w:tcW w:w="708" w:type="dxa"/>
            <w:tcBorders>
              <w:top w:val="single" w:color="auto" w:sz="4" w:space="0"/>
              <w:left w:val="nil"/>
              <w:bottom w:val="single" w:color="auto" w:sz="4" w:space="0"/>
              <w:right w:val="single" w:color="auto" w:sz="4" w:space="0"/>
            </w:tcBorders>
            <w:noWrap w:val="0"/>
            <w:vAlign w:val="center"/>
          </w:tcPr>
          <w:p w14:paraId="7618951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DF9493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区经济和信息化局</w:t>
            </w:r>
          </w:p>
        </w:tc>
        <w:tc>
          <w:tcPr>
            <w:tcW w:w="1209" w:type="dxa"/>
            <w:tcBorders>
              <w:left w:val="nil"/>
              <w:right w:val="single" w:color="auto" w:sz="4" w:space="0"/>
            </w:tcBorders>
            <w:noWrap w:val="0"/>
            <w:vAlign w:val="center"/>
          </w:tcPr>
          <w:p w14:paraId="622F919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w:t>
            </w:r>
          </w:p>
        </w:tc>
      </w:tr>
      <w:tr w14:paraId="66F1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432" w:type="dxa"/>
            <w:vMerge w:val="continue"/>
            <w:tcBorders>
              <w:left w:val="single" w:color="auto" w:sz="4" w:space="0"/>
              <w:bottom w:val="single" w:color="auto" w:sz="4" w:space="0"/>
              <w:right w:val="single" w:color="auto" w:sz="4" w:space="0"/>
            </w:tcBorders>
            <w:noWrap w:val="0"/>
            <w:vAlign w:val="center"/>
          </w:tcPr>
          <w:p w14:paraId="16F5019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p>
        </w:tc>
        <w:tc>
          <w:tcPr>
            <w:tcW w:w="855" w:type="dxa"/>
            <w:vMerge w:val="continue"/>
            <w:tcBorders>
              <w:left w:val="nil"/>
              <w:bottom w:val="single" w:color="auto" w:sz="4" w:space="0"/>
              <w:right w:val="single" w:color="auto" w:sz="4" w:space="0"/>
            </w:tcBorders>
            <w:noWrap w:val="0"/>
            <w:vAlign w:val="center"/>
          </w:tcPr>
          <w:p w14:paraId="107C04F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p>
        </w:tc>
        <w:tc>
          <w:tcPr>
            <w:tcW w:w="4488" w:type="dxa"/>
            <w:tcBorders>
              <w:top w:val="single" w:color="auto" w:sz="4" w:space="0"/>
              <w:left w:val="nil"/>
              <w:bottom w:val="single" w:color="auto" w:sz="4" w:space="0"/>
              <w:right w:val="single" w:color="auto" w:sz="4" w:space="0"/>
            </w:tcBorders>
            <w:noWrap w:val="0"/>
            <w:vAlign w:val="center"/>
          </w:tcPr>
          <w:p w14:paraId="6C83491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对标空气重污染应急环保绩效评级要求，督促重点行业企业实施治理改造、管理升级等措施；D级企业保持清零，A级（绩效引领）、B级企业占比达到15%左右。</w:t>
            </w:r>
          </w:p>
        </w:tc>
        <w:tc>
          <w:tcPr>
            <w:tcW w:w="708" w:type="dxa"/>
            <w:tcBorders>
              <w:top w:val="single" w:color="auto" w:sz="4" w:space="0"/>
              <w:left w:val="nil"/>
              <w:bottom w:val="single" w:color="auto" w:sz="4" w:space="0"/>
              <w:right w:val="single" w:color="auto" w:sz="4" w:space="0"/>
            </w:tcBorders>
            <w:noWrap w:val="0"/>
            <w:vAlign w:val="center"/>
          </w:tcPr>
          <w:p w14:paraId="759722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F35990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5253E75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区经济和信息化局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区委宣传部</w:t>
            </w:r>
          </w:p>
        </w:tc>
        <w:tc>
          <w:tcPr>
            <w:tcW w:w="1209" w:type="dxa"/>
            <w:tcBorders>
              <w:left w:val="nil"/>
              <w:right w:val="single" w:color="auto" w:sz="4" w:space="0"/>
            </w:tcBorders>
            <w:noWrap w:val="0"/>
            <w:vAlign w:val="center"/>
          </w:tcPr>
          <w:p w14:paraId="6493C5E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w:t>
            </w:r>
          </w:p>
        </w:tc>
      </w:tr>
      <w:tr w14:paraId="454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4" w:hRule="atLeast"/>
        </w:trPr>
        <w:tc>
          <w:tcPr>
            <w:tcW w:w="432" w:type="dxa"/>
            <w:vMerge w:val="restart"/>
            <w:tcBorders>
              <w:top w:val="single" w:color="auto" w:sz="4" w:space="0"/>
              <w:left w:val="single" w:color="auto" w:sz="4" w:space="0"/>
              <w:right w:val="single" w:color="auto" w:sz="4" w:space="0"/>
            </w:tcBorders>
            <w:noWrap w:val="0"/>
            <w:vAlign w:val="center"/>
          </w:tcPr>
          <w:p w14:paraId="40F589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11</w:t>
            </w:r>
          </w:p>
        </w:tc>
        <w:tc>
          <w:tcPr>
            <w:tcW w:w="855" w:type="dxa"/>
            <w:vMerge w:val="restart"/>
            <w:tcBorders>
              <w:top w:val="single" w:color="auto" w:sz="4" w:space="0"/>
              <w:left w:val="nil"/>
              <w:right w:val="single" w:color="auto" w:sz="4" w:space="0"/>
            </w:tcBorders>
            <w:noWrap w:val="0"/>
            <w:vAlign w:val="center"/>
          </w:tcPr>
          <w:p w14:paraId="29B8F51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推广使用低VOCs含量产品</w:t>
            </w:r>
          </w:p>
        </w:tc>
        <w:tc>
          <w:tcPr>
            <w:tcW w:w="4488" w:type="dxa"/>
            <w:tcBorders>
              <w:top w:val="single" w:color="auto" w:sz="4" w:space="0"/>
              <w:left w:val="nil"/>
              <w:bottom w:val="single" w:color="auto" w:sz="4" w:space="0"/>
              <w:right w:val="single" w:color="auto" w:sz="4" w:space="0"/>
            </w:tcBorders>
            <w:noWrap w:val="0"/>
            <w:vAlign w:val="center"/>
          </w:tcPr>
          <w:p w14:paraId="7054E15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行业主管部门推进本行业使用含VOCs产品源头替代。工业企业涂装工序应使用符合国家和北京市标准的低VOCs含量涂料，推广使用水基、本体型等低VOCs含量胶粘剂；建筑施工、室外构筑物防护和道路交通标识等其他涂装作业，推广使用水性、高固体分、无溶剂、粉末等涂料和水基、本体型等低VOCs含量胶粘剂；印刷行业全面推进低VOCs产品使用和替代，确保含VOCs原辅材料的VOCs含量满足北京市标准要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政府采购项目在同等条件下应优先使用低VOCs含量产品。</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严格控制生产和使用高VOCs含量涂料、油墨、胶粘剂、清洗剂等建设项目。</w:t>
            </w:r>
          </w:p>
        </w:tc>
        <w:tc>
          <w:tcPr>
            <w:tcW w:w="708" w:type="dxa"/>
            <w:tcBorders>
              <w:top w:val="single" w:color="auto" w:sz="4" w:space="0"/>
              <w:left w:val="nil"/>
              <w:bottom w:val="single" w:color="auto" w:sz="4" w:space="0"/>
              <w:right w:val="single" w:color="auto" w:sz="4" w:space="0"/>
            </w:tcBorders>
            <w:noWrap w:val="0"/>
            <w:vAlign w:val="center"/>
          </w:tcPr>
          <w:p w14:paraId="6AF1B52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F313C7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区经济和信息化局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区住房城乡建设委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区交通局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区公路分局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区委宣传部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区财政局</w:t>
            </w:r>
          </w:p>
          <w:p w14:paraId="223F558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bidi="ar"/>
              </w:rPr>
              <w:t>区生态环境局</w:t>
            </w:r>
          </w:p>
        </w:tc>
        <w:tc>
          <w:tcPr>
            <w:tcW w:w="1209" w:type="dxa"/>
            <w:tcBorders>
              <w:left w:val="nil"/>
              <w:right w:val="single" w:color="auto" w:sz="4" w:space="0"/>
            </w:tcBorders>
            <w:noWrap w:val="0"/>
            <w:vAlign w:val="center"/>
          </w:tcPr>
          <w:p w14:paraId="502FA21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E8C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trPr>
        <w:tc>
          <w:tcPr>
            <w:tcW w:w="432" w:type="dxa"/>
            <w:vMerge w:val="continue"/>
            <w:tcBorders>
              <w:left w:val="single" w:color="auto" w:sz="4" w:space="0"/>
              <w:right w:val="single" w:color="auto" w:sz="4" w:space="0"/>
            </w:tcBorders>
            <w:noWrap w:val="0"/>
            <w:vAlign w:val="center"/>
          </w:tcPr>
          <w:p w14:paraId="13464FD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181F9E6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65E8AEC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市场监管部门对本区生产、销售的涂料、胶粘剂、清洗剂、油墨等含VOCs产品开展抽检，加大对防水、地坪、防腐、防火等涂料，及密封胶等胶粘剂产品的抽检力度，全年抽样检测量不低于20组；VOCs含量抽检结果共享至住房城乡建设、城市管理、交通、生态环境等部门，抽检不合格的产品及时向社会公示。</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住房城乡建设、城市管理、交通等行业主管部门组织对建筑类涂料与胶粘剂台账、检测报告等材料开展定期检查，并按照不低于15%的比例对施工工地开展抽检，检查和抽检结果按季度共享至生态环境部门，对发现的含VOCs原辅材料检测超标线索移交市场监管部门。</w:t>
            </w:r>
          </w:p>
        </w:tc>
        <w:tc>
          <w:tcPr>
            <w:tcW w:w="708" w:type="dxa"/>
            <w:tcBorders>
              <w:top w:val="single" w:color="auto" w:sz="4" w:space="0"/>
              <w:left w:val="nil"/>
              <w:bottom w:val="single" w:color="auto" w:sz="4" w:space="0"/>
              <w:right w:val="single" w:color="auto" w:sz="4" w:space="0"/>
            </w:tcBorders>
            <w:noWrap w:val="0"/>
            <w:vAlign w:val="center"/>
          </w:tcPr>
          <w:p w14:paraId="2AAE0C1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83E3DA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区市场监管局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p>
        </w:tc>
        <w:tc>
          <w:tcPr>
            <w:tcW w:w="1209" w:type="dxa"/>
            <w:tcBorders>
              <w:left w:val="nil"/>
              <w:right w:val="single" w:color="auto" w:sz="4" w:space="0"/>
            </w:tcBorders>
            <w:noWrap w:val="0"/>
            <w:vAlign w:val="center"/>
          </w:tcPr>
          <w:p w14:paraId="23EBA72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7F27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432" w:type="dxa"/>
            <w:vMerge w:val="restart"/>
            <w:tcBorders>
              <w:left w:val="single" w:color="auto" w:sz="4" w:space="0"/>
              <w:right w:val="single" w:color="auto" w:sz="4" w:space="0"/>
            </w:tcBorders>
            <w:noWrap w:val="0"/>
            <w:vAlign w:val="center"/>
          </w:tcPr>
          <w:p w14:paraId="21FA172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12</w:t>
            </w:r>
          </w:p>
        </w:tc>
        <w:tc>
          <w:tcPr>
            <w:tcW w:w="855" w:type="dxa"/>
            <w:vMerge w:val="restart"/>
            <w:tcBorders>
              <w:left w:val="nil"/>
              <w:right w:val="single" w:color="auto" w:sz="4" w:space="0"/>
            </w:tcBorders>
            <w:noWrap w:val="0"/>
            <w:vAlign w:val="center"/>
          </w:tcPr>
          <w:p w14:paraId="4B9899D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深化重点行业治理</w:t>
            </w:r>
          </w:p>
        </w:tc>
        <w:tc>
          <w:tcPr>
            <w:tcW w:w="4488" w:type="dxa"/>
            <w:tcBorders>
              <w:top w:val="single" w:color="auto" w:sz="4" w:space="0"/>
              <w:left w:val="nil"/>
              <w:bottom w:val="single" w:color="auto" w:sz="4" w:space="0"/>
              <w:right w:val="single" w:color="auto" w:sz="4" w:space="0"/>
            </w:tcBorders>
            <w:noWrap w:val="0"/>
            <w:vAlign w:val="center"/>
          </w:tcPr>
          <w:p w14:paraId="5C1E7D6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围绕石化、医药制造、工业涂装、印刷、汽车制造、半导体及电子等重点行业，对照相关行业排放标准及无组织排放控制要求，以提升治理设施“三率”（VOCs废气收集率、治理设施同步运行率和去除率）为目标，常态化组织开展排查整治。</w:t>
            </w:r>
          </w:p>
        </w:tc>
        <w:tc>
          <w:tcPr>
            <w:tcW w:w="708" w:type="dxa"/>
            <w:tcBorders>
              <w:top w:val="single" w:color="auto" w:sz="4" w:space="0"/>
              <w:left w:val="nil"/>
              <w:bottom w:val="single" w:color="auto" w:sz="4" w:space="0"/>
              <w:right w:val="single" w:color="auto" w:sz="4" w:space="0"/>
            </w:tcBorders>
            <w:noWrap w:val="0"/>
            <w:vAlign w:val="center"/>
          </w:tcPr>
          <w:p w14:paraId="3F24AAF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23F4DC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1D507C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AC8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32" w:type="dxa"/>
            <w:vMerge w:val="continue"/>
            <w:tcBorders>
              <w:left w:val="single" w:color="auto" w:sz="4" w:space="0"/>
              <w:right w:val="single" w:color="auto" w:sz="4" w:space="0"/>
            </w:tcBorders>
            <w:noWrap w:val="0"/>
            <w:vAlign w:val="center"/>
          </w:tcPr>
          <w:p w14:paraId="6A629AE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3F59F6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21E218B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配合市级部门开展印刷行业低VOCs物料源头替代情形下末端治理设施适应性研究。</w:t>
            </w:r>
          </w:p>
        </w:tc>
        <w:tc>
          <w:tcPr>
            <w:tcW w:w="708" w:type="dxa"/>
            <w:tcBorders>
              <w:top w:val="single" w:color="auto" w:sz="4" w:space="0"/>
              <w:left w:val="nil"/>
              <w:bottom w:val="single" w:color="auto" w:sz="4" w:space="0"/>
              <w:right w:val="single" w:color="auto" w:sz="4" w:space="0"/>
            </w:tcBorders>
            <w:noWrap w:val="0"/>
            <w:vAlign w:val="center"/>
          </w:tcPr>
          <w:p w14:paraId="35B3B38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FE9BB9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13A0ECE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30D6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32" w:type="dxa"/>
            <w:vMerge w:val="continue"/>
            <w:tcBorders>
              <w:left w:val="single" w:color="auto" w:sz="4" w:space="0"/>
              <w:right w:val="single" w:color="auto" w:sz="4" w:space="0"/>
            </w:tcBorders>
            <w:noWrap w:val="0"/>
            <w:vAlign w:val="center"/>
          </w:tcPr>
          <w:p w14:paraId="5226DA5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545B6A4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FBD636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组织落实北京市《汽车维修业大气污染物排放标准》，加强汽修企业全环节监管，加快推进汽修行业创绿升级，绿色企业比率力争达到</w:t>
            </w:r>
            <w:r>
              <w:rPr>
                <w:rFonts w:hint="eastAsia" w:ascii="仿宋_GB2312" w:hAnsi="仿宋_GB2312" w:eastAsia="仿宋_GB2312" w:cs="仿宋_GB2312"/>
                <w:kern w:val="0"/>
                <w:sz w:val="21"/>
                <w:szCs w:val="21"/>
                <w:lang w:bidi="ar"/>
              </w:rPr>
              <w:t>市级要求。</w:t>
            </w:r>
          </w:p>
        </w:tc>
        <w:tc>
          <w:tcPr>
            <w:tcW w:w="708" w:type="dxa"/>
            <w:tcBorders>
              <w:top w:val="single" w:color="auto" w:sz="4" w:space="0"/>
              <w:left w:val="nil"/>
              <w:bottom w:val="single" w:color="auto" w:sz="4" w:space="0"/>
              <w:right w:val="single" w:color="auto" w:sz="4" w:space="0"/>
            </w:tcBorders>
            <w:noWrap w:val="0"/>
            <w:vAlign w:val="center"/>
          </w:tcPr>
          <w:p w14:paraId="0C9737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DC880E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3F98520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88D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32" w:type="dxa"/>
            <w:vMerge w:val="continue"/>
            <w:tcBorders>
              <w:left w:val="single" w:color="auto" w:sz="4" w:space="0"/>
              <w:right w:val="single" w:color="auto" w:sz="4" w:space="0"/>
            </w:tcBorders>
            <w:noWrap w:val="0"/>
            <w:vAlign w:val="center"/>
          </w:tcPr>
          <w:p w14:paraId="34BCDEB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0381AF2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42DBDBB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落实《北京市沥青混合料搅拌站绿色生产技术指南》，结合新一轮绿色评级工作，组织开展治理提升。配合市级部门开展沥青路面材料全生命周期减污降碳技术研究与应用。在项目设计、审核、施工等环节推广使用温拌沥青，推动新建公路和城市道路基本应用温拌沥青，道路养护项目逐步提升温拌沥青使用比例。年底前，温拌沥青使用比例提升15%。推进沥青混合料绿色运输，沥青混合料密闭式新能源车运输比例达到市级要求。</w:t>
            </w:r>
          </w:p>
        </w:tc>
        <w:tc>
          <w:tcPr>
            <w:tcW w:w="708" w:type="dxa"/>
            <w:tcBorders>
              <w:top w:val="single" w:color="auto" w:sz="4" w:space="0"/>
              <w:left w:val="nil"/>
              <w:bottom w:val="single" w:color="auto" w:sz="4" w:space="0"/>
              <w:right w:val="single" w:color="auto" w:sz="4" w:space="0"/>
            </w:tcBorders>
            <w:noWrap w:val="0"/>
            <w:vAlign w:val="center"/>
          </w:tcPr>
          <w:p w14:paraId="24B8135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8D5DE8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34C975E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p>
        </w:tc>
        <w:tc>
          <w:tcPr>
            <w:tcW w:w="1209" w:type="dxa"/>
            <w:tcBorders>
              <w:left w:val="nil"/>
              <w:right w:val="single" w:color="auto" w:sz="4" w:space="0"/>
            </w:tcBorders>
            <w:noWrap w:val="0"/>
            <w:vAlign w:val="center"/>
          </w:tcPr>
          <w:p w14:paraId="6C04325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区城市管理委</w:t>
            </w:r>
          </w:p>
          <w:p w14:paraId="108DE59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区公路分局</w:t>
            </w:r>
          </w:p>
          <w:p w14:paraId="37AD712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区住房城乡建设委</w:t>
            </w:r>
          </w:p>
          <w:p w14:paraId="163F435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区发展改革委</w:t>
            </w:r>
          </w:p>
        </w:tc>
      </w:tr>
      <w:tr w14:paraId="334E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432" w:type="dxa"/>
            <w:vMerge w:val="continue"/>
            <w:tcBorders>
              <w:left w:val="single" w:color="auto" w:sz="4" w:space="0"/>
              <w:right w:val="single" w:color="auto" w:sz="4" w:space="0"/>
            </w:tcBorders>
            <w:noWrap w:val="0"/>
            <w:vAlign w:val="center"/>
          </w:tcPr>
          <w:p w14:paraId="6F9272A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5E44E2D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6334C27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巩固2024年接诉即办“每月一题”餐饮油烟治理工作成效，继续推行重点点位包案机制，组织开展治理提升100家餐饮企业。生态环境、商务、市场监管等部门和镇、街道、产业园区协同做好餐饮油烟源头引导。</w:t>
            </w:r>
          </w:p>
        </w:tc>
        <w:tc>
          <w:tcPr>
            <w:tcW w:w="708" w:type="dxa"/>
            <w:tcBorders>
              <w:top w:val="single" w:color="auto" w:sz="4" w:space="0"/>
              <w:left w:val="nil"/>
              <w:bottom w:val="single" w:color="auto" w:sz="4" w:space="0"/>
              <w:right w:val="single" w:color="auto" w:sz="4" w:space="0"/>
            </w:tcBorders>
            <w:noWrap w:val="0"/>
            <w:vAlign w:val="center"/>
          </w:tcPr>
          <w:p w14:paraId="680EC15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773805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43DBEFF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区商务局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区市场监管局</w:t>
            </w:r>
          </w:p>
        </w:tc>
        <w:tc>
          <w:tcPr>
            <w:tcW w:w="1209" w:type="dxa"/>
            <w:tcBorders>
              <w:left w:val="nil"/>
              <w:right w:val="single" w:color="auto" w:sz="4" w:space="0"/>
            </w:tcBorders>
            <w:noWrap w:val="0"/>
            <w:vAlign w:val="center"/>
          </w:tcPr>
          <w:p w14:paraId="1EE5F36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r>
      <w:tr w14:paraId="2F4C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432" w:type="dxa"/>
            <w:vMerge w:val="restart"/>
            <w:tcBorders>
              <w:left w:val="single" w:color="auto" w:sz="4" w:space="0"/>
              <w:right w:val="single" w:color="auto" w:sz="4" w:space="0"/>
            </w:tcBorders>
            <w:noWrap w:val="0"/>
            <w:vAlign w:val="center"/>
          </w:tcPr>
          <w:p w14:paraId="44B4402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13</w:t>
            </w:r>
          </w:p>
        </w:tc>
        <w:tc>
          <w:tcPr>
            <w:tcW w:w="855" w:type="dxa"/>
            <w:vMerge w:val="restart"/>
            <w:tcBorders>
              <w:left w:val="nil"/>
              <w:right w:val="single" w:color="auto" w:sz="4" w:space="0"/>
            </w:tcBorders>
            <w:noWrap w:val="0"/>
            <w:vAlign w:val="center"/>
          </w:tcPr>
          <w:p w14:paraId="46BAD54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重点产业园区绿色升级</w:t>
            </w:r>
          </w:p>
        </w:tc>
        <w:tc>
          <w:tcPr>
            <w:tcW w:w="4488" w:type="dxa"/>
            <w:tcBorders>
              <w:top w:val="single" w:color="auto" w:sz="4" w:space="0"/>
              <w:left w:val="nil"/>
              <w:bottom w:val="single" w:color="auto" w:sz="4" w:space="0"/>
              <w:right w:val="single" w:color="auto" w:sz="4" w:space="0"/>
            </w:tcBorders>
            <w:noWrap w:val="0"/>
            <w:vAlign w:val="center"/>
          </w:tcPr>
          <w:p w14:paraId="6812A54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加强重点产业园区、产业聚集地VOCs精准溯源和精细化管控，重点开展无组织排放排查治理，推动VOCs高值点位得到有效整治。</w:t>
            </w:r>
          </w:p>
        </w:tc>
        <w:tc>
          <w:tcPr>
            <w:tcW w:w="708" w:type="dxa"/>
            <w:tcBorders>
              <w:top w:val="single" w:color="auto" w:sz="4" w:space="0"/>
              <w:left w:val="nil"/>
              <w:bottom w:val="single" w:color="auto" w:sz="4" w:space="0"/>
              <w:right w:val="single" w:color="auto" w:sz="4" w:space="0"/>
            </w:tcBorders>
            <w:noWrap w:val="0"/>
            <w:vAlign w:val="center"/>
          </w:tcPr>
          <w:p w14:paraId="11BEA77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6A620F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421AEA4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r>
      <w:tr w14:paraId="034C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32" w:type="dxa"/>
            <w:vMerge w:val="continue"/>
            <w:tcBorders>
              <w:left w:val="single" w:color="auto" w:sz="4" w:space="0"/>
              <w:right w:val="single" w:color="auto" w:sz="4" w:space="0"/>
            </w:tcBorders>
            <w:noWrap w:val="0"/>
            <w:vAlign w:val="center"/>
          </w:tcPr>
          <w:p w14:paraId="5C30EC9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2699DC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138337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大兴区临空港工业区VOCs环境浓度力争较监测基准年下降10%以上。</w:t>
            </w:r>
          </w:p>
        </w:tc>
        <w:tc>
          <w:tcPr>
            <w:tcW w:w="708" w:type="dxa"/>
            <w:tcBorders>
              <w:top w:val="single" w:color="auto" w:sz="4" w:space="0"/>
              <w:left w:val="nil"/>
              <w:bottom w:val="single" w:color="auto" w:sz="4" w:space="0"/>
              <w:right w:val="single" w:color="auto" w:sz="4" w:space="0"/>
            </w:tcBorders>
            <w:noWrap w:val="0"/>
            <w:vAlign w:val="center"/>
          </w:tcPr>
          <w:p w14:paraId="6BF6998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50B0210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01A24E9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575A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32" w:type="dxa"/>
            <w:tcBorders>
              <w:left w:val="single" w:color="auto" w:sz="4" w:space="0"/>
              <w:right w:val="single" w:color="auto" w:sz="4" w:space="0"/>
            </w:tcBorders>
            <w:noWrap w:val="0"/>
            <w:vAlign w:val="center"/>
          </w:tcPr>
          <w:p w14:paraId="37A29B9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14</w:t>
            </w:r>
          </w:p>
        </w:tc>
        <w:tc>
          <w:tcPr>
            <w:tcW w:w="855" w:type="dxa"/>
            <w:tcBorders>
              <w:left w:val="nil"/>
              <w:right w:val="single" w:color="auto" w:sz="4" w:space="0"/>
            </w:tcBorders>
            <w:noWrap w:val="0"/>
            <w:vAlign w:val="center"/>
          </w:tcPr>
          <w:p w14:paraId="4BF6C9F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推进清洁燃料替代</w:t>
            </w:r>
          </w:p>
        </w:tc>
        <w:tc>
          <w:tcPr>
            <w:tcW w:w="4488" w:type="dxa"/>
            <w:tcBorders>
              <w:top w:val="single" w:color="auto" w:sz="4" w:space="0"/>
              <w:left w:val="nil"/>
              <w:bottom w:val="single" w:color="auto" w:sz="4" w:space="0"/>
              <w:right w:val="single" w:color="auto" w:sz="4" w:space="0"/>
            </w:tcBorders>
            <w:noWrap w:val="0"/>
            <w:vAlign w:val="center"/>
          </w:tcPr>
          <w:p w14:paraId="777BDA8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巩固基本“无煤化”成果，确保群众清洁温暖过冬。</w:t>
            </w:r>
          </w:p>
        </w:tc>
        <w:tc>
          <w:tcPr>
            <w:tcW w:w="708" w:type="dxa"/>
            <w:tcBorders>
              <w:top w:val="single" w:color="auto" w:sz="4" w:space="0"/>
              <w:left w:val="nil"/>
              <w:bottom w:val="single" w:color="auto" w:sz="4" w:space="0"/>
              <w:right w:val="single" w:color="auto" w:sz="4" w:space="0"/>
            </w:tcBorders>
            <w:noWrap w:val="0"/>
            <w:vAlign w:val="center"/>
          </w:tcPr>
          <w:p w14:paraId="0431E1E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7F405E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区农业农村局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p>
        </w:tc>
        <w:tc>
          <w:tcPr>
            <w:tcW w:w="1209" w:type="dxa"/>
            <w:tcBorders>
              <w:left w:val="nil"/>
              <w:right w:val="single" w:color="auto" w:sz="4" w:space="0"/>
            </w:tcBorders>
            <w:noWrap w:val="0"/>
            <w:vAlign w:val="center"/>
          </w:tcPr>
          <w:p w14:paraId="692D5B3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30A2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9012" w:type="dxa"/>
            <w:gridSpan w:val="6"/>
            <w:tcBorders>
              <w:top w:val="single" w:color="auto" w:sz="4" w:space="0"/>
              <w:left w:val="single" w:color="auto" w:sz="4" w:space="0"/>
              <w:bottom w:val="single" w:color="auto" w:sz="4" w:space="0"/>
              <w:right w:val="single" w:color="auto" w:sz="4" w:space="0"/>
            </w:tcBorders>
            <w:noWrap w:val="0"/>
            <w:vAlign w:val="center"/>
          </w:tcPr>
          <w:p w14:paraId="00A9EDD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四、以城市精细治理为抓手，推动管理减排</w:t>
            </w:r>
          </w:p>
        </w:tc>
      </w:tr>
      <w:tr w14:paraId="7F56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32" w:type="dxa"/>
            <w:vMerge w:val="restart"/>
            <w:tcBorders>
              <w:top w:val="single" w:color="auto" w:sz="4" w:space="0"/>
              <w:left w:val="single" w:color="auto" w:sz="4" w:space="0"/>
              <w:right w:val="single" w:color="auto" w:sz="4" w:space="0"/>
            </w:tcBorders>
            <w:noWrap w:val="0"/>
            <w:vAlign w:val="center"/>
          </w:tcPr>
          <w:p w14:paraId="5C983B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15</w:t>
            </w:r>
          </w:p>
        </w:tc>
        <w:tc>
          <w:tcPr>
            <w:tcW w:w="855" w:type="dxa"/>
            <w:vMerge w:val="restart"/>
            <w:tcBorders>
              <w:top w:val="single" w:color="auto" w:sz="4" w:space="0"/>
              <w:left w:val="nil"/>
              <w:right w:val="single" w:color="auto" w:sz="4" w:space="0"/>
            </w:tcBorders>
            <w:noWrap w:val="0"/>
            <w:vAlign w:val="center"/>
          </w:tcPr>
          <w:p w14:paraId="7889323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落实扬尘管控责任</w:t>
            </w:r>
          </w:p>
        </w:tc>
        <w:tc>
          <w:tcPr>
            <w:tcW w:w="4488" w:type="dxa"/>
            <w:tcBorders>
              <w:top w:val="single" w:color="auto" w:sz="4" w:space="0"/>
              <w:left w:val="nil"/>
              <w:bottom w:val="single" w:color="auto" w:sz="4" w:space="0"/>
              <w:right w:val="single" w:color="auto" w:sz="4" w:space="0"/>
            </w:tcBorders>
            <w:noWrap w:val="0"/>
            <w:vAlign w:val="center"/>
          </w:tcPr>
          <w:p w14:paraId="1B7784A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降尘量控制在5吨/平方公里·月左右（扣除沙尘影响）。</w:t>
            </w:r>
          </w:p>
        </w:tc>
        <w:tc>
          <w:tcPr>
            <w:tcW w:w="708" w:type="dxa"/>
            <w:tcBorders>
              <w:top w:val="single" w:color="auto" w:sz="4" w:space="0"/>
              <w:left w:val="nil"/>
              <w:bottom w:val="single" w:color="auto" w:sz="4" w:space="0"/>
              <w:right w:val="single" w:color="auto" w:sz="4" w:space="0"/>
            </w:tcBorders>
            <w:noWrap w:val="0"/>
            <w:vAlign w:val="center"/>
          </w:tcPr>
          <w:p w14:paraId="47ACDAE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3C41D1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2C72BB8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4D13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32" w:type="dxa"/>
            <w:vMerge w:val="continue"/>
            <w:tcBorders>
              <w:left w:val="single" w:color="auto" w:sz="4" w:space="0"/>
              <w:right w:val="single" w:color="auto" w:sz="4" w:space="0"/>
            </w:tcBorders>
            <w:noWrap w:val="0"/>
            <w:vAlign w:val="center"/>
          </w:tcPr>
          <w:p w14:paraId="5CD09CA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26C7D0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143234F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各镇、街道、产业园区管委会降尘量控制在5吨/平方公里·月（扣除沙尘影响）。</w:t>
            </w:r>
          </w:p>
        </w:tc>
        <w:tc>
          <w:tcPr>
            <w:tcW w:w="708" w:type="dxa"/>
            <w:tcBorders>
              <w:top w:val="single" w:color="auto" w:sz="4" w:space="0"/>
              <w:left w:val="nil"/>
              <w:bottom w:val="single" w:color="auto" w:sz="4" w:space="0"/>
              <w:right w:val="single" w:color="auto" w:sz="4" w:space="0"/>
            </w:tcBorders>
            <w:noWrap w:val="0"/>
            <w:vAlign w:val="center"/>
          </w:tcPr>
          <w:p w14:paraId="69B0B34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D94A1A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c>
          <w:tcPr>
            <w:tcW w:w="1209" w:type="dxa"/>
            <w:tcBorders>
              <w:left w:val="nil"/>
              <w:right w:val="single" w:color="auto" w:sz="4" w:space="0"/>
            </w:tcBorders>
            <w:noWrap w:val="0"/>
            <w:vAlign w:val="center"/>
          </w:tcPr>
          <w:p w14:paraId="66C4175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1FE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32" w:type="dxa"/>
            <w:vMerge w:val="continue"/>
            <w:tcBorders>
              <w:left w:val="single" w:color="auto" w:sz="4" w:space="0"/>
              <w:right w:val="single" w:color="auto" w:sz="4" w:space="0"/>
            </w:tcBorders>
            <w:noWrap w:val="0"/>
            <w:vAlign w:val="center"/>
          </w:tcPr>
          <w:p w14:paraId="26BB5D2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0E2F69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593B28D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持续开展区级道路尘负荷、降尘量等监测，并定期推送相关情况。</w:t>
            </w:r>
          </w:p>
        </w:tc>
        <w:tc>
          <w:tcPr>
            <w:tcW w:w="708" w:type="dxa"/>
            <w:tcBorders>
              <w:top w:val="single" w:color="auto" w:sz="4" w:space="0"/>
              <w:left w:val="nil"/>
              <w:bottom w:val="single" w:color="auto" w:sz="4" w:space="0"/>
              <w:right w:val="single" w:color="auto" w:sz="4" w:space="0"/>
            </w:tcBorders>
            <w:noWrap w:val="0"/>
            <w:vAlign w:val="center"/>
          </w:tcPr>
          <w:p w14:paraId="54BABDF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2725E3A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4CFD915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07B9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2" w:type="dxa"/>
            <w:vMerge w:val="continue"/>
            <w:tcBorders>
              <w:left w:val="single" w:color="auto" w:sz="4" w:space="0"/>
              <w:right w:val="single" w:color="auto" w:sz="4" w:space="0"/>
            </w:tcBorders>
            <w:noWrap w:val="0"/>
            <w:vAlign w:val="center"/>
          </w:tcPr>
          <w:p w14:paraId="0042BFC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2588B2F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2F71951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完善新城地区大气精细化治理工作方案，带动促进区域大气环境质量改善。</w:t>
            </w:r>
          </w:p>
        </w:tc>
        <w:tc>
          <w:tcPr>
            <w:tcW w:w="708" w:type="dxa"/>
            <w:tcBorders>
              <w:top w:val="single" w:color="auto" w:sz="4" w:space="0"/>
              <w:left w:val="nil"/>
              <w:bottom w:val="single" w:color="auto" w:sz="4" w:space="0"/>
              <w:right w:val="single" w:color="auto" w:sz="4" w:space="0"/>
            </w:tcBorders>
            <w:noWrap w:val="0"/>
            <w:vAlign w:val="center"/>
          </w:tcPr>
          <w:p w14:paraId="3075053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5DC68DF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2D8AE82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C4E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432" w:type="dxa"/>
            <w:vMerge w:val="continue"/>
            <w:tcBorders>
              <w:left w:val="single" w:color="auto" w:sz="4" w:space="0"/>
              <w:right w:val="single" w:color="auto" w:sz="4" w:space="0"/>
            </w:tcBorders>
            <w:noWrap w:val="0"/>
            <w:vAlign w:val="center"/>
          </w:tcPr>
          <w:p w14:paraId="6AAF8E9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4F7B59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EAEEC1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以3-5月为重点开展扬尘专项治理百日攻坚行动，围绕施工扬尘、道路扬尘、裸地扬尘、外来沙尘等，加强“四尘”共治，提高城市精细化管理水平。</w:t>
            </w:r>
          </w:p>
        </w:tc>
        <w:tc>
          <w:tcPr>
            <w:tcW w:w="708" w:type="dxa"/>
            <w:tcBorders>
              <w:top w:val="single" w:color="auto" w:sz="4" w:space="0"/>
              <w:left w:val="nil"/>
              <w:bottom w:val="single" w:color="auto" w:sz="4" w:space="0"/>
              <w:right w:val="single" w:color="auto" w:sz="4" w:space="0"/>
            </w:tcBorders>
            <w:noWrap w:val="0"/>
            <w:vAlign w:val="center"/>
          </w:tcPr>
          <w:p w14:paraId="3ADB929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0FD0296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70EC4F2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p>
        </w:tc>
        <w:tc>
          <w:tcPr>
            <w:tcW w:w="1209" w:type="dxa"/>
            <w:tcBorders>
              <w:left w:val="nil"/>
              <w:right w:val="single" w:color="auto" w:sz="4" w:space="0"/>
            </w:tcBorders>
            <w:noWrap w:val="0"/>
            <w:vAlign w:val="center"/>
          </w:tcPr>
          <w:p w14:paraId="6E01C0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5F4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432" w:type="dxa"/>
            <w:vMerge w:val="continue"/>
            <w:tcBorders>
              <w:left w:val="single" w:color="auto" w:sz="4" w:space="0"/>
              <w:right w:val="single" w:color="auto" w:sz="4" w:space="0"/>
            </w:tcBorders>
            <w:noWrap w:val="0"/>
            <w:vAlign w:val="center"/>
          </w:tcPr>
          <w:p w14:paraId="551A628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765DE71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147081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加大扬尘管控力度，实现扬尘百日攻坚期间道路、各行业工地（场站）出入口道路尘负荷持续下降。</w:t>
            </w:r>
          </w:p>
        </w:tc>
        <w:tc>
          <w:tcPr>
            <w:tcW w:w="708" w:type="dxa"/>
            <w:tcBorders>
              <w:top w:val="single" w:color="auto" w:sz="4" w:space="0"/>
              <w:left w:val="nil"/>
              <w:bottom w:val="single" w:color="auto" w:sz="4" w:space="0"/>
              <w:right w:val="single" w:color="auto" w:sz="4" w:space="0"/>
            </w:tcBorders>
            <w:noWrap w:val="0"/>
            <w:vAlign w:val="center"/>
          </w:tcPr>
          <w:p w14:paraId="712B859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67FDD89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区住房城乡建设委</w:t>
            </w:r>
          </w:p>
          <w:p w14:paraId="52FC126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p>
        </w:tc>
        <w:tc>
          <w:tcPr>
            <w:tcW w:w="1209" w:type="dxa"/>
            <w:tcBorders>
              <w:left w:val="nil"/>
              <w:right w:val="single" w:color="auto" w:sz="4" w:space="0"/>
            </w:tcBorders>
            <w:noWrap w:val="0"/>
            <w:vAlign w:val="center"/>
          </w:tcPr>
          <w:p w14:paraId="5513F15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CE5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32" w:type="dxa"/>
            <w:vMerge w:val="restart"/>
            <w:tcBorders>
              <w:left w:val="single" w:color="auto" w:sz="4" w:space="0"/>
              <w:right w:val="single" w:color="auto" w:sz="4" w:space="0"/>
            </w:tcBorders>
            <w:noWrap w:val="0"/>
            <w:vAlign w:val="center"/>
          </w:tcPr>
          <w:p w14:paraId="038E5E8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16</w:t>
            </w:r>
          </w:p>
        </w:tc>
        <w:tc>
          <w:tcPr>
            <w:tcW w:w="855" w:type="dxa"/>
            <w:vMerge w:val="restart"/>
            <w:tcBorders>
              <w:left w:val="nil"/>
              <w:right w:val="single" w:color="auto" w:sz="4" w:space="0"/>
            </w:tcBorders>
            <w:noWrap w:val="0"/>
            <w:vAlign w:val="center"/>
          </w:tcPr>
          <w:p w14:paraId="55946A6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强化施工扬尘管控</w:t>
            </w:r>
          </w:p>
        </w:tc>
        <w:tc>
          <w:tcPr>
            <w:tcW w:w="4488" w:type="dxa"/>
            <w:tcBorders>
              <w:top w:val="single" w:color="auto" w:sz="4" w:space="0"/>
              <w:left w:val="nil"/>
              <w:bottom w:val="single" w:color="auto" w:sz="4" w:space="0"/>
              <w:right w:val="single" w:color="auto" w:sz="4" w:space="0"/>
            </w:tcBorders>
            <w:noWrap w:val="0"/>
            <w:vAlign w:val="center"/>
          </w:tcPr>
          <w:p w14:paraId="45C172D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color w:val="000000"/>
                <w:kern w:val="0"/>
                <w:sz w:val="21"/>
                <w:szCs w:val="21"/>
                <w:lang w:bidi="ar"/>
              </w:rPr>
              <w:t>进一步推动施工工地创绿创优。落实北京市建设工程施工现场扬尘治理工地管理办法和绿色施工技术规范或指导意见，进一步提高扬尘管控要求。</w:t>
            </w:r>
          </w:p>
        </w:tc>
        <w:tc>
          <w:tcPr>
            <w:tcW w:w="708" w:type="dxa"/>
            <w:tcBorders>
              <w:top w:val="single" w:color="auto" w:sz="4" w:space="0"/>
              <w:left w:val="nil"/>
              <w:bottom w:val="single" w:color="auto" w:sz="4" w:space="0"/>
              <w:right w:val="single" w:color="auto" w:sz="4" w:space="0"/>
            </w:tcBorders>
            <w:noWrap w:val="0"/>
            <w:vAlign w:val="center"/>
          </w:tcPr>
          <w:p w14:paraId="06AA6CF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CE5C72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p>
        </w:tc>
        <w:tc>
          <w:tcPr>
            <w:tcW w:w="1209" w:type="dxa"/>
            <w:tcBorders>
              <w:left w:val="nil"/>
              <w:right w:val="single" w:color="auto" w:sz="4" w:space="0"/>
            </w:tcBorders>
            <w:noWrap w:val="0"/>
            <w:vAlign w:val="center"/>
          </w:tcPr>
          <w:p w14:paraId="23B8255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54BE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32" w:type="dxa"/>
            <w:vMerge w:val="continue"/>
            <w:tcBorders>
              <w:left w:val="single" w:color="auto" w:sz="4" w:space="0"/>
              <w:right w:val="single" w:color="auto" w:sz="4" w:space="0"/>
            </w:tcBorders>
            <w:noWrap w:val="0"/>
            <w:vAlign w:val="center"/>
          </w:tcPr>
          <w:p w14:paraId="5FD8ECB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08C4FD2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B42016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color w:val="000000"/>
                <w:kern w:val="0"/>
                <w:sz w:val="21"/>
                <w:szCs w:val="21"/>
                <w:lang w:bidi="ar"/>
              </w:rPr>
              <w:t>落实强化绿色施工措施，推广基坑气膜等先进技术，在地基与基础工程、主体结构工程施工中，原则上符合基坑气膜使用标准的新建工程，推荐使用基坑气膜。</w:t>
            </w:r>
          </w:p>
        </w:tc>
        <w:tc>
          <w:tcPr>
            <w:tcW w:w="708" w:type="dxa"/>
            <w:tcBorders>
              <w:top w:val="single" w:color="auto" w:sz="4" w:space="0"/>
              <w:left w:val="nil"/>
              <w:bottom w:val="single" w:color="auto" w:sz="4" w:space="0"/>
              <w:right w:val="single" w:color="auto" w:sz="4" w:space="0"/>
            </w:tcBorders>
            <w:noWrap w:val="0"/>
            <w:vAlign w:val="center"/>
          </w:tcPr>
          <w:p w14:paraId="65AFE97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8DF6D7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p>
        </w:tc>
        <w:tc>
          <w:tcPr>
            <w:tcW w:w="1209" w:type="dxa"/>
            <w:tcBorders>
              <w:left w:val="nil"/>
              <w:right w:val="single" w:color="auto" w:sz="4" w:space="0"/>
            </w:tcBorders>
            <w:noWrap w:val="0"/>
            <w:vAlign w:val="center"/>
          </w:tcPr>
          <w:p w14:paraId="4CE7B85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区发展改革委</w:t>
            </w:r>
          </w:p>
        </w:tc>
      </w:tr>
      <w:tr w14:paraId="3432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432" w:type="dxa"/>
            <w:vMerge w:val="continue"/>
            <w:tcBorders>
              <w:left w:val="single" w:color="auto" w:sz="4" w:space="0"/>
              <w:right w:val="single" w:color="auto" w:sz="4" w:space="0"/>
            </w:tcBorders>
            <w:noWrap w:val="0"/>
            <w:vAlign w:val="center"/>
          </w:tcPr>
          <w:p w14:paraId="5E8D562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1BDE3CB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A3A8B8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color w:val="000000"/>
                <w:kern w:val="0"/>
                <w:sz w:val="21"/>
                <w:szCs w:val="21"/>
                <w:lang w:bidi="ar"/>
              </w:rPr>
              <w:t>按照市级要求加强施工扬尘视频监管平台、建筑垃圾运输车辆管理系统平台、交通管理等系统平台运用。</w:t>
            </w:r>
          </w:p>
        </w:tc>
        <w:tc>
          <w:tcPr>
            <w:tcW w:w="708" w:type="dxa"/>
            <w:tcBorders>
              <w:top w:val="single" w:color="auto" w:sz="4" w:space="0"/>
              <w:left w:val="nil"/>
              <w:bottom w:val="single" w:color="auto" w:sz="4" w:space="0"/>
              <w:right w:val="single" w:color="auto" w:sz="4" w:space="0"/>
            </w:tcBorders>
            <w:noWrap w:val="0"/>
            <w:vAlign w:val="center"/>
          </w:tcPr>
          <w:p w14:paraId="501BF09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6A179C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区交通局</w:t>
            </w:r>
          </w:p>
        </w:tc>
        <w:tc>
          <w:tcPr>
            <w:tcW w:w="1209" w:type="dxa"/>
            <w:tcBorders>
              <w:left w:val="nil"/>
              <w:right w:val="single" w:color="auto" w:sz="4" w:space="0"/>
            </w:tcBorders>
            <w:noWrap w:val="0"/>
            <w:vAlign w:val="center"/>
          </w:tcPr>
          <w:p w14:paraId="6D13CE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r>
      <w:tr w14:paraId="6DEE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432" w:type="dxa"/>
            <w:vMerge w:val="continue"/>
            <w:tcBorders>
              <w:left w:val="single" w:color="auto" w:sz="4" w:space="0"/>
              <w:right w:val="single" w:color="auto" w:sz="4" w:space="0"/>
            </w:tcBorders>
            <w:noWrap w:val="0"/>
            <w:vAlign w:val="center"/>
          </w:tcPr>
          <w:p w14:paraId="3022241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1C612C3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4E8C36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color w:val="000000"/>
                <w:kern w:val="0"/>
                <w:sz w:val="21"/>
                <w:szCs w:val="21"/>
                <w:lang w:bidi="ar"/>
              </w:rPr>
              <w:t>开展建筑垃圾专项整治工作，建筑垃圾生产加工设备鼓励实现厂房密闭或结构式密闭，建筑垃圾及再生材料堆体区鼓励采用厂房或基坑气膜等方式实现全密闭。</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住房城乡建设、交通、园林绿化、水务等工程建设主管部门协商工程建设施工单位，少使用、不使用或主动更换违法行为较多的建筑垃圾运输单位。</w:t>
            </w:r>
          </w:p>
        </w:tc>
        <w:tc>
          <w:tcPr>
            <w:tcW w:w="708" w:type="dxa"/>
            <w:tcBorders>
              <w:top w:val="single" w:color="auto" w:sz="4" w:space="0"/>
              <w:left w:val="nil"/>
              <w:bottom w:val="single" w:color="auto" w:sz="4" w:space="0"/>
              <w:right w:val="single" w:color="auto" w:sz="4" w:space="0"/>
            </w:tcBorders>
            <w:noWrap w:val="0"/>
            <w:vAlign w:val="center"/>
          </w:tcPr>
          <w:p w14:paraId="14AE745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472B681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p>
        </w:tc>
        <w:tc>
          <w:tcPr>
            <w:tcW w:w="1209" w:type="dxa"/>
            <w:tcBorders>
              <w:left w:val="nil"/>
              <w:right w:val="single" w:color="auto" w:sz="4" w:space="0"/>
            </w:tcBorders>
            <w:noWrap w:val="0"/>
            <w:vAlign w:val="center"/>
          </w:tcPr>
          <w:p w14:paraId="12CBD44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9C9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432" w:type="dxa"/>
            <w:vMerge w:val="continue"/>
            <w:tcBorders>
              <w:left w:val="single" w:color="auto" w:sz="4" w:space="0"/>
              <w:right w:val="single" w:color="auto" w:sz="4" w:space="0"/>
            </w:tcBorders>
            <w:noWrap w:val="0"/>
            <w:vAlign w:val="center"/>
          </w:tcPr>
          <w:p w14:paraId="7203477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823B49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6E915A8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开展洗轮机规范使用专项行动，进一步强化洗轮设施专项检查。落实洗轮机设置规范，督促各类施工企业落实绿色施工各项要求，做好工地（场站）洗轮机规范安装工作，把好扬尘“出口”，拒绝带泥上路行驶。</w:t>
            </w:r>
          </w:p>
        </w:tc>
        <w:tc>
          <w:tcPr>
            <w:tcW w:w="708" w:type="dxa"/>
            <w:tcBorders>
              <w:top w:val="single" w:color="auto" w:sz="4" w:space="0"/>
              <w:left w:val="nil"/>
              <w:bottom w:val="single" w:color="auto" w:sz="4" w:space="0"/>
              <w:right w:val="single" w:color="auto" w:sz="4" w:space="0"/>
            </w:tcBorders>
            <w:noWrap w:val="0"/>
            <w:vAlign w:val="center"/>
          </w:tcPr>
          <w:p w14:paraId="6CF5D07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5ED4DFC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区城管执法局</w:t>
            </w:r>
          </w:p>
        </w:tc>
        <w:tc>
          <w:tcPr>
            <w:tcW w:w="1209" w:type="dxa"/>
            <w:tcBorders>
              <w:left w:val="nil"/>
              <w:right w:val="single" w:color="auto" w:sz="4" w:space="0"/>
            </w:tcBorders>
            <w:noWrap w:val="0"/>
            <w:vAlign w:val="center"/>
          </w:tcPr>
          <w:p w14:paraId="3AB1152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r>
      <w:tr w14:paraId="146A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32" w:type="dxa"/>
            <w:vMerge w:val="continue"/>
            <w:tcBorders>
              <w:left w:val="single" w:color="auto" w:sz="4" w:space="0"/>
              <w:bottom w:val="single" w:color="auto" w:sz="4" w:space="0"/>
              <w:right w:val="single" w:color="auto" w:sz="4" w:space="0"/>
            </w:tcBorders>
            <w:noWrap w:val="0"/>
            <w:vAlign w:val="center"/>
          </w:tcPr>
          <w:p w14:paraId="3C56B9D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3BB62B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9CFC4F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充分发挥施工扬尘环保税调控作用，区住房城乡建设委、区城管执法局与区税务局进一步完善“绿牌”工地表彰和施工扬尘处罚等信息共享机制，实现纳税主体和施工主体信息畅通，确保依法足额征收施工扬尘环保税。</w:t>
            </w:r>
          </w:p>
        </w:tc>
        <w:tc>
          <w:tcPr>
            <w:tcW w:w="708" w:type="dxa"/>
            <w:tcBorders>
              <w:top w:val="single" w:color="auto" w:sz="4" w:space="0"/>
              <w:left w:val="nil"/>
              <w:bottom w:val="single" w:color="auto" w:sz="4" w:space="0"/>
              <w:right w:val="single" w:color="auto" w:sz="4" w:space="0"/>
            </w:tcBorders>
            <w:noWrap w:val="0"/>
            <w:vAlign w:val="center"/>
          </w:tcPr>
          <w:p w14:paraId="4DE7453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673DE08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区税务局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区城管执法局</w:t>
            </w:r>
          </w:p>
        </w:tc>
        <w:tc>
          <w:tcPr>
            <w:tcW w:w="1209" w:type="dxa"/>
            <w:tcBorders>
              <w:left w:val="nil"/>
              <w:right w:val="single" w:color="auto" w:sz="4" w:space="0"/>
            </w:tcBorders>
            <w:noWrap w:val="0"/>
            <w:vAlign w:val="center"/>
          </w:tcPr>
          <w:p w14:paraId="24591A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r>
      <w:tr w14:paraId="03CC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432" w:type="dxa"/>
            <w:vMerge w:val="restart"/>
            <w:tcBorders>
              <w:top w:val="single" w:color="auto" w:sz="4" w:space="0"/>
              <w:left w:val="single" w:color="auto" w:sz="4" w:space="0"/>
              <w:right w:val="single" w:color="auto" w:sz="4" w:space="0"/>
            </w:tcBorders>
            <w:noWrap w:val="0"/>
            <w:vAlign w:val="center"/>
          </w:tcPr>
          <w:p w14:paraId="29A36DF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17</w:t>
            </w:r>
          </w:p>
        </w:tc>
        <w:tc>
          <w:tcPr>
            <w:tcW w:w="855" w:type="dxa"/>
            <w:vMerge w:val="restart"/>
            <w:tcBorders>
              <w:top w:val="single" w:color="auto" w:sz="4" w:space="0"/>
              <w:left w:val="nil"/>
              <w:right w:val="single" w:color="auto" w:sz="4" w:space="0"/>
            </w:tcBorders>
            <w:noWrap w:val="0"/>
            <w:vAlign w:val="center"/>
          </w:tcPr>
          <w:p w14:paraId="7957949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严格道路扬尘监管</w:t>
            </w:r>
          </w:p>
        </w:tc>
        <w:tc>
          <w:tcPr>
            <w:tcW w:w="4488" w:type="dxa"/>
            <w:tcBorders>
              <w:top w:val="single" w:color="auto" w:sz="4" w:space="0"/>
              <w:left w:val="nil"/>
              <w:bottom w:val="single" w:color="auto" w:sz="4" w:space="0"/>
              <w:right w:val="single" w:color="auto" w:sz="4" w:space="0"/>
            </w:tcBorders>
            <w:noWrap w:val="0"/>
            <w:vAlign w:val="center"/>
          </w:tcPr>
          <w:p w14:paraId="0963E62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加大道路清扫保洁力度，城市道路机械化作业率达到97%。</w:t>
            </w:r>
          </w:p>
        </w:tc>
        <w:tc>
          <w:tcPr>
            <w:tcW w:w="708" w:type="dxa"/>
            <w:tcBorders>
              <w:top w:val="single" w:color="auto" w:sz="4" w:space="0"/>
              <w:left w:val="nil"/>
              <w:bottom w:val="single" w:color="auto" w:sz="4" w:space="0"/>
              <w:right w:val="single" w:color="auto" w:sz="4" w:space="0"/>
            </w:tcBorders>
            <w:noWrap w:val="0"/>
            <w:vAlign w:val="center"/>
          </w:tcPr>
          <w:p w14:paraId="177AA77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6AD0AE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区环境卫生服务中心</w:t>
            </w:r>
          </w:p>
        </w:tc>
        <w:tc>
          <w:tcPr>
            <w:tcW w:w="1209" w:type="dxa"/>
            <w:tcBorders>
              <w:left w:val="nil"/>
              <w:right w:val="single" w:color="auto" w:sz="4" w:space="0"/>
            </w:tcBorders>
            <w:noWrap w:val="0"/>
            <w:vAlign w:val="center"/>
          </w:tcPr>
          <w:p w14:paraId="1838DD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5FB4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8" w:hRule="atLeast"/>
        </w:trPr>
        <w:tc>
          <w:tcPr>
            <w:tcW w:w="432" w:type="dxa"/>
            <w:vMerge w:val="continue"/>
            <w:tcBorders>
              <w:left w:val="single" w:color="auto" w:sz="4" w:space="0"/>
              <w:bottom w:val="single" w:color="auto" w:sz="4" w:space="0"/>
              <w:right w:val="single" w:color="auto" w:sz="4" w:space="0"/>
            </w:tcBorders>
            <w:noWrap w:val="0"/>
            <w:vAlign w:val="center"/>
          </w:tcPr>
          <w:p w14:paraId="08A6ECC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0D89F58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D4B469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持续开展道路“消劣”专项行动。及时整改提升，实现差等级道路动态消除。</w:t>
            </w:r>
          </w:p>
        </w:tc>
        <w:tc>
          <w:tcPr>
            <w:tcW w:w="708" w:type="dxa"/>
            <w:tcBorders>
              <w:top w:val="single" w:color="auto" w:sz="4" w:space="0"/>
              <w:left w:val="nil"/>
              <w:bottom w:val="single" w:color="auto" w:sz="4" w:space="0"/>
              <w:right w:val="single" w:color="auto" w:sz="4" w:space="0"/>
            </w:tcBorders>
            <w:noWrap w:val="0"/>
            <w:vAlign w:val="center"/>
          </w:tcPr>
          <w:p w14:paraId="122717C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493A2A8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区环境卫生服务中心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c>
          <w:tcPr>
            <w:tcW w:w="1209" w:type="dxa"/>
            <w:tcBorders>
              <w:left w:val="nil"/>
              <w:right w:val="single" w:color="auto" w:sz="4" w:space="0"/>
            </w:tcBorders>
            <w:noWrap w:val="0"/>
            <w:vAlign w:val="center"/>
          </w:tcPr>
          <w:p w14:paraId="6303305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7D3B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432" w:type="dxa"/>
            <w:vMerge w:val="restart"/>
            <w:tcBorders>
              <w:top w:val="single" w:color="auto" w:sz="4" w:space="0"/>
              <w:left w:val="single" w:color="auto" w:sz="4" w:space="0"/>
              <w:right w:val="single" w:color="auto" w:sz="4" w:space="0"/>
            </w:tcBorders>
            <w:noWrap w:val="0"/>
            <w:vAlign w:val="center"/>
          </w:tcPr>
          <w:p w14:paraId="3BD4433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18</w:t>
            </w:r>
          </w:p>
        </w:tc>
        <w:tc>
          <w:tcPr>
            <w:tcW w:w="855" w:type="dxa"/>
            <w:vMerge w:val="restart"/>
            <w:tcBorders>
              <w:top w:val="single" w:color="auto" w:sz="4" w:space="0"/>
              <w:left w:val="nil"/>
              <w:right w:val="single" w:color="auto" w:sz="4" w:space="0"/>
            </w:tcBorders>
            <w:noWrap w:val="0"/>
            <w:vAlign w:val="center"/>
          </w:tcPr>
          <w:p w14:paraId="7CDB806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优化裸地扬尘监管</w:t>
            </w:r>
          </w:p>
        </w:tc>
        <w:tc>
          <w:tcPr>
            <w:tcW w:w="4488" w:type="dxa"/>
            <w:tcBorders>
              <w:top w:val="single" w:color="auto" w:sz="4" w:space="0"/>
              <w:left w:val="nil"/>
              <w:bottom w:val="single" w:color="auto" w:sz="4" w:space="0"/>
              <w:right w:val="single" w:color="auto" w:sz="4" w:space="0"/>
            </w:tcBorders>
            <w:noWrap w:val="0"/>
            <w:vAlign w:val="center"/>
          </w:tcPr>
          <w:p w14:paraId="107B3F6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深入推进“揭网见绿”专项行动，有序推进分类揭网、多元见绿。</w:t>
            </w:r>
          </w:p>
        </w:tc>
        <w:tc>
          <w:tcPr>
            <w:tcW w:w="708" w:type="dxa"/>
            <w:tcBorders>
              <w:top w:val="single" w:color="auto" w:sz="4" w:space="0"/>
              <w:left w:val="nil"/>
              <w:bottom w:val="single" w:color="auto" w:sz="4" w:space="0"/>
              <w:right w:val="single" w:color="auto" w:sz="4" w:space="0"/>
            </w:tcBorders>
            <w:noWrap w:val="0"/>
            <w:vAlign w:val="center"/>
          </w:tcPr>
          <w:p w14:paraId="5D21673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17F0D0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区园林绿化局</w:t>
            </w:r>
          </w:p>
        </w:tc>
        <w:tc>
          <w:tcPr>
            <w:tcW w:w="1209" w:type="dxa"/>
            <w:tcBorders>
              <w:left w:val="nil"/>
              <w:right w:val="single" w:color="auto" w:sz="4" w:space="0"/>
            </w:tcBorders>
            <w:noWrap w:val="0"/>
            <w:vAlign w:val="center"/>
          </w:tcPr>
          <w:p w14:paraId="5454ABB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05DC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432" w:type="dxa"/>
            <w:vMerge w:val="continue"/>
            <w:tcBorders>
              <w:left w:val="single" w:color="auto" w:sz="4" w:space="0"/>
              <w:bottom w:val="single" w:color="auto" w:sz="4" w:space="0"/>
              <w:right w:val="single" w:color="auto" w:sz="4" w:space="0"/>
            </w:tcBorders>
            <w:noWrap w:val="0"/>
            <w:vAlign w:val="center"/>
          </w:tcPr>
          <w:p w14:paraId="59589E8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499B334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1E7B31E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因地制宜、分类施策，实现裸地动态整治。</w:t>
            </w:r>
          </w:p>
        </w:tc>
        <w:tc>
          <w:tcPr>
            <w:tcW w:w="708" w:type="dxa"/>
            <w:tcBorders>
              <w:top w:val="single" w:color="auto" w:sz="4" w:space="0"/>
              <w:left w:val="nil"/>
              <w:bottom w:val="single" w:color="auto" w:sz="4" w:space="0"/>
              <w:right w:val="single" w:color="auto" w:sz="4" w:space="0"/>
            </w:tcBorders>
            <w:noWrap w:val="0"/>
            <w:vAlign w:val="center"/>
          </w:tcPr>
          <w:p w14:paraId="07DDDD0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250A8A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c>
          <w:tcPr>
            <w:tcW w:w="1209" w:type="dxa"/>
            <w:tcBorders>
              <w:left w:val="nil"/>
              <w:right w:val="single" w:color="auto" w:sz="4" w:space="0"/>
            </w:tcBorders>
            <w:noWrap w:val="0"/>
            <w:vAlign w:val="center"/>
          </w:tcPr>
          <w:p w14:paraId="6D80ED9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353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32" w:type="dxa"/>
            <w:vMerge w:val="restart"/>
            <w:tcBorders>
              <w:top w:val="single" w:color="auto" w:sz="4" w:space="0"/>
              <w:left w:val="single" w:color="auto" w:sz="4" w:space="0"/>
              <w:right w:val="single" w:color="auto" w:sz="4" w:space="0"/>
            </w:tcBorders>
            <w:noWrap w:val="0"/>
            <w:vAlign w:val="center"/>
          </w:tcPr>
          <w:p w14:paraId="27F9003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19</w:t>
            </w:r>
          </w:p>
        </w:tc>
        <w:tc>
          <w:tcPr>
            <w:tcW w:w="855" w:type="dxa"/>
            <w:vMerge w:val="restart"/>
            <w:tcBorders>
              <w:top w:val="single" w:color="auto" w:sz="4" w:space="0"/>
              <w:left w:val="nil"/>
              <w:right w:val="single" w:color="auto" w:sz="4" w:space="0"/>
            </w:tcBorders>
            <w:noWrap w:val="0"/>
            <w:vAlign w:val="center"/>
          </w:tcPr>
          <w:p w14:paraId="41CC61D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加强面源污染管控</w:t>
            </w:r>
          </w:p>
        </w:tc>
        <w:tc>
          <w:tcPr>
            <w:tcW w:w="4488" w:type="dxa"/>
            <w:tcBorders>
              <w:top w:val="single" w:color="auto" w:sz="4" w:space="0"/>
              <w:left w:val="nil"/>
              <w:bottom w:val="single" w:color="auto" w:sz="4" w:space="0"/>
              <w:right w:val="single" w:color="auto" w:sz="4" w:space="0"/>
            </w:tcBorders>
            <w:noWrap w:val="0"/>
            <w:vAlign w:val="center"/>
          </w:tcPr>
          <w:p w14:paraId="18C327D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年底前，完成1个畜禽养殖业氨排放控制试点项目，实现规模养殖场氨排放总量比2020年下降10吨。</w:t>
            </w:r>
          </w:p>
        </w:tc>
        <w:tc>
          <w:tcPr>
            <w:tcW w:w="708" w:type="dxa"/>
            <w:tcBorders>
              <w:top w:val="single" w:color="auto" w:sz="4" w:space="0"/>
              <w:left w:val="nil"/>
              <w:bottom w:val="single" w:color="auto" w:sz="4" w:space="0"/>
              <w:right w:val="single" w:color="auto" w:sz="4" w:space="0"/>
            </w:tcBorders>
            <w:noWrap w:val="0"/>
            <w:vAlign w:val="center"/>
          </w:tcPr>
          <w:p w14:paraId="7D7212C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028EFF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2793904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区农业农村局</w:t>
            </w:r>
          </w:p>
        </w:tc>
        <w:tc>
          <w:tcPr>
            <w:tcW w:w="1209" w:type="dxa"/>
            <w:tcBorders>
              <w:left w:val="nil"/>
              <w:right w:val="single" w:color="auto" w:sz="4" w:space="0"/>
            </w:tcBorders>
            <w:noWrap w:val="0"/>
            <w:vAlign w:val="center"/>
          </w:tcPr>
          <w:p w14:paraId="2CD02AB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926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32" w:type="dxa"/>
            <w:vMerge w:val="continue"/>
            <w:tcBorders>
              <w:left w:val="single" w:color="auto" w:sz="4" w:space="0"/>
              <w:right w:val="single" w:color="auto" w:sz="4" w:space="0"/>
            </w:tcBorders>
            <w:noWrap w:val="0"/>
            <w:vAlign w:val="center"/>
          </w:tcPr>
          <w:p w14:paraId="2ACFF89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5E3D5CB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2AE8810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农业农村部门加强秸秆综合利用，城管执法部门及镇、街道综合执法队依法处罚秸秆露天焚烧。</w:t>
            </w:r>
          </w:p>
        </w:tc>
        <w:tc>
          <w:tcPr>
            <w:tcW w:w="708" w:type="dxa"/>
            <w:tcBorders>
              <w:top w:val="single" w:color="auto" w:sz="4" w:space="0"/>
              <w:left w:val="nil"/>
              <w:bottom w:val="single" w:color="auto" w:sz="4" w:space="0"/>
              <w:right w:val="single" w:color="auto" w:sz="4" w:space="0"/>
            </w:tcBorders>
            <w:noWrap w:val="0"/>
            <w:vAlign w:val="center"/>
          </w:tcPr>
          <w:p w14:paraId="475DADD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20831C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区农业农村局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区城管执法局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相关镇人民政府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相关街道办事处</w:t>
            </w:r>
          </w:p>
        </w:tc>
        <w:tc>
          <w:tcPr>
            <w:tcW w:w="1209" w:type="dxa"/>
            <w:tcBorders>
              <w:left w:val="nil"/>
              <w:right w:val="single" w:color="auto" w:sz="4" w:space="0"/>
            </w:tcBorders>
            <w:noWrap w:val="0"/>
            <w:vAlign w:val="center"/>
          </w:tcPr>
          <w:p w14:paraId="3555546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区农业服务中心</w:t>
            </w:r>
          </w:p>
        </w:tc>
      </w:tr>
      <w:tr w14:paraId="1A26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432" w:type="dxa"/>
            <w:vMerge w:val="continue"/>
            <w:tcBorders>
              <w:left w:val="single" w:color="auto" w:sz="4" w:space="0"/>
              <w:right w:val="single" w:color="auto" w:sz="4" w:space="0"/>
            </w:tcBorders>
            <w:noWrap w:val="0"/>
            <w:vAlign w:val="center"/>
          </w:tcPr>
          <w:p w14:paraId="52CD979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865311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58BE7FA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严格落实《北京市烟花爆竹安全管理规定》和本区关于强化禁止、限制燃放烟花爆竹等规定。</w:t>
            </w:r>
          </w:p>
        </w:tc>
        <w:tc>
          <w:tcPr>
            <w:tcW w:w="708" w:type="dxa"/>
            <w:tcBorders>
              <w:top w:val="single" w:color="auto" w:sz="4" w:space="0"/>
              <w:left w:val="nil"/>
              <w:bottom w:val="single" w:color="auto" w:sz="4" w:space="0"/>
              <w:right w:val="single" w:color="auto" w:sz="4" w:space="0"/>
            </w:tcBorders>
            <w:noWrap w:val="0"/>
            <w:vAlign w:val="center"/>
          </w:tcPr>
          <w:p w14:paraId="2A73ED2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3224842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区公安分局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区应急局</w:t>
            </w:r>
          </w:p>
        </w:tc>
        <w:tc>
          <w:tcPr>
            <w:tcW w:w="1209" w:type="dxa"/>
            <w:tcBorders>
              <w:left w:val="nil"/>
              <w:right w:val="single" w:color="auto" w:sz="4" w:space="0"/>
            </w:tcBorders>
            <w:noWrap w:val="0"/>
            <w:vAlign w:val="center"/>
          </w:tcPr>
          <w:p w14:paraId="5C44146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16B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432" w:type="dxa"/>
            <w:vMerge w:val="continue"/>
            <w:tcBorders>
              <w:left w:val="single" w:color="auto" w:sz="4" w:space="0"/>
              <w:bottom w:val="single" w:color="auto" w:sz="4" w:space="0"/>
              <w:right w:val="single" w:color="auto" w:sz="4" w:space="0"/>
            </w:tcBorders>
            <w:noWrap w:val="0"/>
            <w:vAlign w:val="center"/>
          </w:tcPr>
          <w:p w14:paraId="16D43FD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663CF07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D35CBC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持续做好消耗臭氧层物质企业备案管理，加强对未备案及使用淘汰物质违法行为的执法检查。加强恶臭、有毒有害大气污染物防控。</w:t>
            </w:r>
          </w:p>
        </w:tc>
        <w:tc>
          <w:tcPr>
            <w:tcW w:w="708" w:type="dxa"/>
            <w:tcBorders>
              <w:top w:val="single" w:color="auto" w:sz="4" w:space="0"/>
              <w:left w:val="nil"/>
              <w:bottom w:val="single" w:color="auto" w:sz="4" w:space="0"/>
              <w:right w:val="single" w:color="auto" w:sz="4" w:space="0"/>
            </w:tcBorders>
            <w:noWrap w:val="0"/>
            <w:vAlign w:val="center"/>
          </w:tcPr>
          <w:p w14:paraId="3D110AC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7944A5D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13D033B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B64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432" w:type="dxa"/>
            <w:tcBorders>
              <w:top w:val="single" w:color="auto" w:sz="4" w:space="0"/>
              <w:left w:val="single" w:color="auto" w:sz="4" w:space="0"/>
              <w:bottom w:val="single" w:color="auto" w:sz="4" w:space="0"/>
              <w:right w:val="single" w:color="auto" w:sz="4" w:space="0"/>
            </w:tcBorders>
            <w:noWrap w:val="0"/>
            <w:vAlign w:val="center"/>
          </w:tcPr>
          <w:p w14:paraId="522CD22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20</w:t>
            </w:r>
          </w:p>
        </w:tc>
        <w:tc>
          <w:tcPr>
            <w:tcW w:w="855" w:type="dxa"/>
            <w:tcBorders>
              <w:top w:val="single" w:color="auto" w:sz="4" w:space="0"/>
              <w:left w:val="nil"/>
              <w:bottom w:val="single" w:color="auto" w:sz="4" w:space="0"/>
              <w:right w:val="single" w:color="auto" w:sz="4" w:space="0"/>
            </w:tcBorders>
            <w:noWrap w:val="0"/>
            <w:vAlign w:val="center"/>
          </w:tcPr>
          <w:p w14:paraId="5ACBA5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加强噪声污染治理</w:t>
            </w:r>
          </w:p>
        </w:tc>
        <w:tc>
          <w:tcPr>
            <w:tcW w:w="4488" w:type="dxa"/>
            <w:tcBorders>
              <w:top w:val="single" w:color="auto" w:sz="4" w:space="0"/>
              <w:left w:val="nil"/>
              <w:bottom w:val="single" w:color="auto" w:sz="4" w:space="0"/>
              <w:right w:val="single" w:color="auto" w:sz="4" w:space="0"/>
            </w:tcBorders>
            <w:noWrap w:val="0"/>
            <w:vAlign w:val="center"/>
          </w:tcPr>
          <w:p w14:paraId="6889636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2025年国控站点功能区声环境质量夜间达标率平均值达到国家要求。</w:t>
            </w:r>
          </w:p>
        </w:tc>
        <w:tc>
          <w:tcPr>
            <w:tcW w:w="708" w:type="dxa"/>
            <w:tcBorders>
              <w:top w:val="single" w:color="auto" w:sz="4" w:space="0"/>
              <w:left w:val="nil"/>
              <w:bottom w:val="single" w:color="auto" w:sz="4" w:space="0"/>
              <w:right w:val="single" w:color="auto" w:sz="4" w:space="0"/>
            </w:tcBorders>
            <w:noWrap w:val="0"/>
            <w:vAlign w:val="center"/>
          </w:tcPr>
          <w:p w14:paraId="681A7E4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BDDD5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149D4D0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EBA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432" w:type="dxa"/>
            <w:tcBorders>
              <w:top w:val="single" w:color="auto" w:sz="4" w:space="0"/>
              <w:left w:val="single" w:color="auto" w:sz="4" w:space="0"/>
              <w:bottom w:val="single" w:color="auto" w:sz="4" w:space="0"/>
              <w:right w:val="single" w:color="auto" w:sz="4" w:space="0"/>
            </w:tcBorders>
            <w:noWrap w:val="0"/>
            <w:vAlign w:val="center"/>
          </w:tcPr>
          <w:p w14:paraId="46297E0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21</w:t>
            </w:r>
          </w:p>
        </w:tc>
        <w:tc>
          <w:tcPr>
            <w:tcW w:w="855" w:type="dxa"/>
            <w:tcBorders>
              <w:top w:val="single" w:color="auto" w:sz="4" w:space="0"/>
              <w:left w:val="nil"/>
              <w:bottom w:val="single" w:color="auto" w:sz="4" w:space="0"/>
              <w:right w:val="single" w:color="auto" w:sz="4" w:space="0"/>
            </w:tcBorders>
            <w:noWrap w:val="0"/>
            <w:vAlign w:val="center"/>
          </w:tcPr>
          <w:p w14:paraId="1DEAC27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提升生态环境类接诉即办工作成效和能力</w:t>
            </w:r>
          </w:p>
        </w:tc>
        <w:tc>
          <w:tcPr>
            <w:tcW w:w="4488" w:type="dxa"/>
            <w:tcBorders>
              <w:top w:val="single" w:color="auto" w:sz="4" w:space="0"/>
              <w:left w:val="nil"/>
              <w:bottom w:val="single" w:color="auto" w:sz="4" w:space="0"/>
              <w:right w:val="single" w:color="auto" w:sz="4" w:space="0"/>
            </w:tcBorders>
            <w:noWrap w:val="0"/>
            <w:vAlign w:val="center"/>
          </w:tcPr>
          <w:p w14:paraId="0D14AA1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708" w:type="dxa"/>
            <w:tcBorders>
              <w:top w:val="single" w:color="auto" w:sz="4" w:space="0"/>
              <w:left w:val="nil"/>
              <w:bottom w:val="single" w:color="auto" w:sz="4" w:space="0"/>
              <w:right w:val="single" w:color="auto" w:sz="4" w:space="0"/>
            </w:tcBorders>
            <w:noWrap w:val="0"/>
            <w:vAlign w:val="center"/>
          </w:tcPr>
          <w:p w14:paraId="0374101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0FE6828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566AF44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eastAsia="zh-CN" w:bidi="ar"/>
              </w:rPr>
              <w:t>区城市管理指挥</w:t>
            </w:r>
            <w:r>
              <w:rPr>
                <w:rFonts w:hint="eastAsia" w:ascii="仿宋_GB2312" w:hAnsi="仿宋_GB2312" w:eastAsia="仿宋_GB2312" w:cs="仿宋_GB2312"/>
                <w:color w:val="000000"/>
                <w:kern w:val="0"/>
                <w:sz w:val="21"/>
                <w:szCs w:val="21"/>
                <w:lang w:bidi="ar"/>
              </w:rPr>
              <w:t>中心</w:t>
            </w:r>
          </w:p>
        </w:tc>
      </w:tr>
      <w:tr w14:paraId="3FC2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12" w:type="dxa"/>
            <w:gridSpan w:val="6"/>
            <w:tcBorders>
              <w:top w:val="single" w:color="auto" w:sz="4" w:space="0"/>
              <w:left w:val="single" w:color="auto" w:sz="4" w:space="0"/>
              <w:bottom w:val="single" w:color="auto" w:sz="4" w:space="0"/>
              <w:right w:val="single" w:color="auto" w:sz="4" w:space="0"/>
            </w:tcBorders>
            <w:noWrap w:val="0"/>
            <w:vAlign w:val="center"/>
          </w:tcPr>
          <w:p w14:paraId="3F9B22B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五、开展“含绿量”提升区级示范，推动创新引领</w:t>
            </w:r>
          </w:p>
        </w:tc>
      </w:tr>
      <w:tr w14:paraId="528E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32" w:type="dxa"/>
            <w:vMerge w:val="restart"/>
            <w:tcBorders>
              <w:top w:val="single" w:color="auto" w:sz="4" w:space="0"/>
              <w:left w:val="single" w:color="auto" w:sz="4" w:space="0"/>
              <w:right w:val="single" w:color="auto" w:sz="4" w:space="0"/>
            </w:tcBorders>
            <w:noWrap w:val="0"/>
            <w:vAlign w:val="center"/>
          </w:tcPr>
          <w:p w14:paraId="58D52D1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22</w:t>
            </w:r>
          </w:p>
        </w:tc>
        <w:tc>
          <w:tcPr>
            <w:tcW w:w="855" w:type="dxa"/>
            <w:vMerge w:val="restart"/>
            <w:tcBorders>
              <w:top w:val="single" w:color="auto" w:sz="4" w:space="0"/>
              <w:left w:val="nil"/>
              <w:right w:val="single" w:color="auto" w:sz="4" w:space="0"/>
            </w:tcBorders>
            <w:noWrap w:val="0"/>
            <w:vAlign w:val="center"/>
          </w:tcPr>
          <w:p w14:paraId="49BC092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机动车（械）“含绿量”提升示范项目</w:t>
            </w:r>
          </w:p>
        </w:tc>
        <w:tc>
          <w:tcPr>
            <w:tcW w:w="4488" w:type="dxa"/>
            <w:tcBorders>
              <w:top w:val="single" w:color="auto" w:sz="4" w:space="0"/>
              <w:left w:val="nil"/>
              <w:bottom w:val="single" w:color="auto" w:sz="4" w:space="0"/>
              <w:right w:val="single" w:color="auto" w:sz="4" w:space="0"/>
            </w:tcBorders>
            <w:noWrap w:val="0"/>
            <w:vAlign w:val="center"/>
          </w:tcPr>
          <w:p w14:paraId="7D640DE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推进大兴京南物流园区机动车、机械清洁化。</w:t>
            </w:r>
          </w:p>
        </w:tc>
        <w:tc>
          <w:tcPr>
            <w:tcW w:w="708" w:type="dxa"/>
            <w:tcBorders>
              <w:top w:val="single" w:color="auto" w:sz="4" w:space="0"/>
              <w:left w:val="nil"/>
              <w:bottom w:val="single" w:color="auto" w:sz="4" w:space="0"/>
              <w:right w:val="single" w:color="auto" w:sz="4" w:space="0"/>
            </w:tcBorders>
            <w:noWrap w:val="0"/>
            <w:vAlign w:val="center"/>
          </w:tcPr>
          <w:p w14:paraId="4154611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FC8D53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天宫院街道办事处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653260B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364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32" w:type="dxa"/>
            <w:vMerge w:val="continue"/>
            <w:tcBorders>
              <w:left w:val="single" w:color="auto" w:sz="4" w:space="0"/>
              <w:right w:val="single" w:color="auto" w:sz="4" w:space="0"/>
            </w:tcBorders>
            <w:noWrap w:val="0"/>
            <w:vAlign w:val="center"/>
          </w:tcPr>
          <w:p w14:paraId="2F8DCF3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100532B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AAEEFC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鼓励重点企业等用车单位通过与运输企业（个人）签订合作协议等方式实现绿色运输。</w:t>
            </w:r>
          </w:p>
        </w:tc>
        <w:tc>
          <w:tcPr>
            <w:tcW w:w="708" w:type="dxa"/>
            <w:tcBorders>
              <w:top w:val="single" w:color="auto" w:sz="4" w:space="0"/>
              <w:left w:val="nil"/>
              <w:bottom w:val="single" w:color="auto" w:sz="4" w:space="0"/>
              <w:right w:val="single" w:color="auto" w:sz="4" w:space="0"/>
            </w:tcBorders>
            <w:noWrap w:val="0"/>
            <w:vAlign w:val="center"/>
          </w:tcPr>
          <w:p w14:paraId="267F3D3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CF02DC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区商务局</w:t>
            </w:r>
          </w:p>
        </w:tc>
        <w:tc>
          <w:tcPr>
            <w:tcW w:w="1209" w:type="dxa"/>
            <w:tcBorders>
              <w:left w:val="nil"/>
              <w:right w:val="single" w:color="auto" w:sz="4" w:space="0"/>
            </w:tcBorders>
            <w:noWrap w:val="0"/>
            <w:vAlign w:val="center"/>
          </w:tcPr>
          <w:p w14:paraId="1BF46B0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CDC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432" w:type="dxa"/>
            <w:vMerge w:val="continue"/>
            <w:tcBorders>
              <w:left w:val="single" w:color="auto" w:sz="4" w:space="0"/>
              <w:right w:val="single" w:color="auto" w:sz="4" w:space="0"/>
            </w:tcBorders>
            <w:noWrap w:val="0"/>
            <w:vAlign w:val="center"/>
          </w:tcPr>
          <w:p w14:paraId="494F38E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102A6C6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44EEFA3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因地制宜加快推动轻型商超配送车更新为纯电动或氢燃料电池汽车。</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参照《关于本市五环路内新能源物流配送车辆优先通行的通告》，探索研究五环外新能源物流配送车辆优先通行政策。</w:t>
            </w:r>
          </w:p>
        </w:tc>
        <w:tc>
          <w:tcPr>
            <w:tcW w:w="708" w:type="dxa"/>
            <w:tcBorders>
              <w:top w:val="single" w:color="auto" w:sz="4" w:space="0"/>
              <w:left w:val="nil"/>
              <w:bottom w:val="single" w:color="auto" w:sz="4" w:space="0"/>
              <w:right w:val="single" w:color="auto" w:sz="4" w:space="0"/>
            </w:tcBorders>
            <w:noWrap w:val="0"/>
            <w:vAlign w:val="center"/>
          </w:tcPr>
          <w:p w14:paraId="10AC88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5C5772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区商务局</w:t>
            </w:r>
          </w:p>
        </w:tc>
        <w:tc>
          <w:tcPr>
            <w:tcW w:w="1209" w:type="dxa"/>
            <w:tcBorders>
              <w:left w:val="nil"/>
              <w:right w:val="single" w:color="auto" w:sz="4" w:space="0"/>
            </w:tcBorders>
            <w:noWrap w:val="0"/>
            <w:vAlign w:val="center"/>
          </w:tcPr>
          <w:p w14:paraId="35CF035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7EA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432" w:type="dxa"/>
            <w:vMerge w:val="continue"/>
            <w:tcBorders>
              <w:left w:val="single" w:color="auto" w:sz="4" w:space="0"/>
              <w:bottom w:val="single" w:color="auto" w:sz="4" w:space="0"/>
              <w:right w:val="single" w:color="auto" w:sz="4" w:space="0"/>
            </w:tcBorders>
            <w:noWrap w:val="0"/>
            <w:vAlign w:val="center"/>
          </w:tcPr>
          <w:p w14:paraId="71486AD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0731DB3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EDC8DB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按照市级部门要求，政府投资类项目以及国有企业自有资金项目，落实招标人将施工过程中新能源机械使用情况作为加分项的相关政策。</w:t>
            </w:r>
          </w:p>
        </w:tc>
        <w:tc>
          <w:tcPr>
            <w:tcW w:w="708" w:type="dxa"/>
            <w:tcBorders>
              <w:top w:val="single" w:color="auto" w:sz="4" w:space="0"/>
              <w:left w:val="nil"/>
              <w:bottom w:val="single" w:color="auto" w:sz="4" w:space="0"/>
              <w:right w:val="single" w:color="auto" w:sz="4" w:space="0"/>
            </w:tcBorders>
            <w:noWrap w:val="0"/>
            <w:vAlign w:val="center"/>
          </w:tcPr>
          <w:p w14:paraId="12C6BDA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63F70C2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区国资委</w:t>
            </w:r>
          </w:p>
        </w:tc>
        <w:tc>
          <w:tcPr>
            <w:tcW w:w="1209" w:type="dxa"/>
            <w:tcBorders>
              <w:left w:val="nil"/>
              <w:right w:val="single" w:color="auto" w:sz="4" w:space="0"/>
            </w:tcBorders>
            <w:noWrap w:val="0"/>
            <w:vAlign w:val="center"/>
          </w:tcPr>
          <w:p w14:paraId="028AE64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B22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432" w:type="dxa"/>
            <w:tcBorders>
              <w:top w:val="single" w:color="auto" w:sz="4" w:space="0"/>
              <w:left w:val="single" w:color="auto" w:sz="4" w:space="0"/>
              <w:bottom w:val="single" w:color="auto" w:sz="4" w:space="0"/>
              <w:right w:val="single" w:color="auto" w:sz="4" w:space="0"/>
            </w:tcBorders>
            <w:noWrap w:val="0"/>
            <w:vAlign w:val="center"/>
          </w:tcPr>
          <w:p w14:paraId="0FEB62C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23</w:t>
            </w:r>
          </w:p>
        </w:tc>
        <w:tc>
          <w:tcPr>
            <w:tcW w:w="855" w:type="dxa"/>
            <w:tcBorders>
              <w:top w:val="single" w:color="auto" w:sz="4" w:space="0"/>
              <w:left w:val="nil"/>
              <w:bottom w:val="single" w:color="auto" w:sz="4" w:space="0"/>
              <w:right w:val="single" w:color="auto" w:sz="4" w:space="0"/>
            </w:tcBorders>
            <w:noWrap w:val="0"/>
            <w:vAlign w:val="center"/>
          </w:tcPr>
          <w:p w14:paraId="212E107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企业“含绿量”提升示范项目</w:t>
            </w:r>
          </w:p>
        </w:tc>
        <w:tc>
          <w:tcPr>
            <w:tcW w:w="4488" w:type="dxa"/>
            <w:tcBorders>
              <w:top w:val="single" w:color="auto" w:sz="4" w:space="0"/>
              <w:left w:val="nil"/>
              <w:bottom w:val="single" w:color="auto" w:sz="4" w:space="0"/>
              <w:right w:val="single" w:color="auto" w:sz="4" w:space="0"/>
            </w:tcBorders>
            <w:noWrap w:val="0"/>
            <w:vAlign w:val="center"/>
          </w:tcPr>
          <w:p w14:paraId="437E122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组织实施印刷行业治理设施智慧化监控试点。</w:t>
            </w:r>
          </w:p>
        </w:tc>
        <w:tc>
          <w:tcPr>
            <w:tcW w:w="708" w:type="dxa"/>
            <w:tcBorders>
              <w:top w:val="single" w:color="auto" w:sz="4" w:space="0"/>
              <w:left w:val="nil"/>
              <w:bottom w:val="single" w:color="auto" w:sz="4" w:space="0"/>
              <w:right w:val="single" w:color="auto" w:sz="4" w:space="0"/>
            </w:tcBorders>
            <w:noWrap w:val="0"/>
            <w:vAlign w:val="center"/>
          </w:tcPr>
          <w:p w14:paraId="003DBE5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35F2DA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4A4EE16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C7A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432" w:type="dxa"/>
            <w:tcBorders>
              <w:top w:val="single" w:color="auto" w:sz="4" w:space="0"/>
              <w:left w:val="single" w:color="auto" w:sz="4" w:space="0"/>
              <w:bottom w:val="single" w:color="auto" w:sz="4" w:space="0"/>
              <w:right w:val="single" w:color="auto" w:sz="4" w:space="0"/>
            </w:tcBorders>
            <w:noWrap w:val="0"/>
            <w:vAlign w:val="center"/>
          </w:tcPr>
          <w:p w14:paraId="6FAE07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24</w:t>
            </w:r>
          </w:p>
        </w:tc>
        <w:tc>
          <w:tcPr>
            <w:tcW w:w="855" w:type="dxa"/>
            <w:tcBorders>
              <w:top w:val="single" w:color="auto" w:sz="4" w:space="0"/>
              <w:left w:val="nil"/>
              <w:bottom w:val="single" w:color="auto" w:sz="4" w:space="0"/>
              <w:right w:val="single" w:color="auto" w:sz="4" w:space="0"/>
            </w:tcBorders>
            <w:noWrap w:val="0"/>
            <w:vAlign w:val="center"/>
          </w:tcPr>
          <w:p w14:paraId="43E17D7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清洁能源示范项目</w:t>
            </w:r>
          </w:p>
        </w:tc>
        <w:tc>
          <w:tcPr>
            <w:tcW w:w="4488" w:type="dxa"/>
            <w:tcBorders>
              <w:top w:val="single" w:color="auto" w:sz="4" w:space="0"/>
              <w:left w:val="nil"/>
              <w:bottom w:val="single" w:color="auto" w:sz="4" w:space="0"/>
              <w:right w:val="single" w:color="auto" w:sz="4" w:space="0"/>
            </w:tcBorders>
            <w:noWrap w:val="0"/>
            <w:vAlign w:val="center"/>
          </w:tcPr>
          <w:p w14:paraId="60603E5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继续支持老旧燃气壁挂炉用户开展消费品以旧换新，鼓励更换为一级能效设备。</w:t>
            </w:r>
          </w:p>
        </w:tc>
        <w:tc>
          <w:tcPr>
            <w:tcW w:w="708" w:type="dxa"/>
            <w:tcBorders>
              <w:top w:val="single" w:color="auto" w:sz="4" w:space="0"/>
              <w:left w:val="nil"/>
              <w:bottom w:val="single" w:color="auto" w:sz="4" w:space="0"/>
              <w:right w:val="single" w:color="auto" w:sz="4" w:space="0"/>
            </w:tcBorders>
            <w:noWrap w:val="0"/>
            <w:vAlign w:val="center"/>
          </w:tcPr>
          <w:p w14:paraId="290E733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5E21555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区商务局</w:t>
            </w:r>
          </w:p>
        </w:tc>
        <w:tc>
          <w:tcPr>
            <w:tcW w:w="1209" w:type="dxa"/>
            <w:tcBorders>
              <w:left w:val="nil"/>
              <w:right w:val="single" w:color="auto" w:sz="4" w:space="0"/>
            </w:tcBorders>
            <w:noWrap w:val="0"/>
            <w:vAlign w:val="center"/>
          </w:tcPr>
          <w:p w14:paraId="1B2C4C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p>
        </w:tc>
      </w:tr>
      <w:tr w14:paraId="57E3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432" w:type="dxa"/>
            <w:vMerge w:val="restart"/>
            <w:tcBorders>
              <w:top w:val="single" w:color="auto" w:sz="4" w:space="0"/>
              <w:left w:val="single" w:color="auto" w:sz="4" w:space="0"/>
              <w:right w:val="single" w:color="auto" w:sz="4" w:space="0"/>
            </w:tcBorders>
            <w:noWrap w:val="0"/>
            <w:vAlign w:val="center"/>
          </w:tcPr>
          <w:p w14:paraId="44E62D5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25</w:t>
            </w:r>
          </w:p>
        </w:tc>
        <w:tc>
          <w:tcPr>
            <w:tcW w:w="855" w:type="dxa"/>
            <w:vMerge w:val="restart"/>
            <w:tcBorders>
              <w:top w:val="single" w:color="auto" w:sz="4" w:space="0"/>
              <w:left w:val="nil"/>
              <w:right w:val="single" w:color="auto" w:sz="4" w:space="0"/>
            </w:tcBorders>
            <w:noWrap w:val="0"/>
            <w:vAlign w:val="center"/>
          </w:tcPr>
          <w:p w14:paraId="5B7D6B5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城市精细化治理示范项目</w:t>
            </w:r>
          </w:p>
        </w:tc>
        <w:tc>
          <w:tcPr>
            <w:tcW w:w="4488" w:type="dxa"/>
            <w:tcBorders>
              <w:top w:val="single" w:color="auto" w:sz="4" w:space="0"/>
              <w:left w:val="nil"/>
              <w:bottom w:val="single" w:color="auto" w:sz="4" w:space="0"/>
              <w:right w:val="single" w:color="auto" w:sz="4" w:space="0"/>
            </w:tcBorders>
            <w:noWrap w:val="0"/>
            <w:vAlign w:val="center"/>
          </w:tcPr>
          <w:p w14:paraId="2AFE295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本区行政区域内的建设工程，在地基与基础工程、主体结构工程施工中倡导使用气膜技术，推动大气与噪声污染协同治理。</w:t>
            </w:r>
          </w:p>
        </w:tc>
        <w:tc>
          <w:tcPr>
            <w:tcW w:w="708" w:type="dxa"/>
            <w:tcBorders>
              <w:top w:val="single" w:color="auto" w:sz="4" w:space="0"/>
              <w:left w:val="nil"/>
              <w:bottom w:val="single" w:color="auto" w:sz="4" w:space="0"/>
              <w:right w:val="single" w:color="auto" w:sz="4" w:space="0"/>
            </w:tcBorders>
            <w:noWrap w:val="0"/>
            <w:vAlign w:val="center"/>
          </w:tcPr>
          <w:p w14:paraId="0E3F89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A8560D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p>
        </w:tc>
        <w:tc>
          <w:tcPr>
            <w:tcW w:w="1209" w:type="dxa"/>
            <w:tcBorders>
              <w:left w:val="nil"/>
              <w:right w:val="single" w:color="auto" w:sz="4" w:space="0"/>
            </w:tcBorders>
            <w:noWrap w:val="0"/>
            <w:vAlign w:val="center"/>
          </w:tcPr>
          <w:p w14:paraId="4093C9C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4C4D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432" w:type="dxa"/>
            <w:vMerge w:val="continue"/>
            <w:tcBorders>
              <w:left w:val="single" w:color="auto" w:sz="4" w:space="0"/>
              <w:right w:val="single" w:color="auto" w:sz="4" w:space="0"/>
            </w:tcBorders>
            <w:noWrap w:val="0"/>
            <w:vAlign w:val="center"/>
          </w:tcPr>
          <w:p w14:paraId="095AAF6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0D41A28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6C47DC5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大夜间施工证明服务指导力度。按照房屋建筑和市政基础设施工程施工现场绿色文明施工考核评价办法要求,配合市级部门对夜间施工扰民投诉数量情况进行考核。加大违法夜间施工查处力度。组织实施3项重点点位施工噪声治理。</w:t>
            </w:r>
          </w:p>
        </w:tc>
        <w:tc>
          <w:tcPr>
            <w:tcW w:w="708" w:type="dxa"/>
            <w:tcBorders>
              <w:top w:val="single" w:color="auto" w:sz="4" w:space="0"/>
              <w:left w:val="nil"/>
              <w:bottom w:val="single" w:color="auto" w:sz="4" w:space="0"/>
              <w:right w:val="single" w:color="auto" w:sz="4" w:space="0"/>
            </w:tcBorders>
            <w:noWrap w:val="0"/>
            <w:vAlign w:val="center"/>
          </w:tcPr>
          <w:p w14:paraId="53E7CE3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000D96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区生态环境局</w:t>
            </w:r>
          </w:p>
          <w:p w14:paraId="2F95552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区城管执法局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相关镇人民政府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相关街道办事处</w:t>
            </w:r>
          </w:p>
        </w:tc>
        <w:tc>
          <w:tcPr>
            <w:tcW w:w="1209" w:type="dxa"/>
            <w:tcBorders>
              <w:left w:val="nil"/>
              <w:right w:val="single" w:color="auto" w:sz="4" w:space="0"/>
            </w:tcBorders>
            <w:noWrap w:val="0"/>
            <w:vAlign w:val="center"/>
          </w:tcPr>
          <w:p w14:paraId="70B0771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76C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432" w:type="dxa"/>
            <w:vMerge w:val="continue"/>
            <w:tcBorders>
              <w:left w:val="single" w:color="auto" w:sz="4" w:space="0"/>
              <w:right w:val="single" w:color="auto" w:sz="4" w:space="0"/>
            </w:tcBorders>
            <w:noWrap w:val="0"/>
            <w:vAlign w:val="center"/>
          </w:tcPr>
          <w:p w14:paraId="1753732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66200AC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2EA8AE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按照北京市交通运输专项补助资金、轨道交通噪声治理资金等资金管理办法要求，制定并报送交通噪声缓解年度治理计划。组织实施1项重点路段交通噪声治理。</w:t>
            </w:r>
          </w:p>
        </w:tc>
        <w:tc>
          <w:tcPr>
            <w:tcW w:w="708" w:type="dxa"/>
            <w:tcBorders>
              <w:top w:val="single" w:color="auto" w:sz="4" w:space="0"/>
              <w:left w:val="nil"/>
              <w:bottom w:val="single" w:color="auto" w:sz="4" w:space="0"/>
              <w:right w:val="single" w:color="auto" w:sz="4" w:space="0"/>
            </w:tcBorders>
            <w:noWrap w:val="0"/>
            <w:vAlign w:val="center"/>
          </w:tcPr>
          <w:p w14:paraId="656A0E0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36E870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区住房城乡建设委（区重大办）</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兴丰街道办事处</w:t>
            </w:r>
          </w:p>
        </w:tc>
        <w:tc>
          <w:tcPr>
            <w:tcW w:w="1209" w:type="dxa"/>
            <w:tcBorders>
              <w:left w:val="nil"/>
              <w:right w:val="single" w:color="auto" w:sz="4" w:space="0"/>
            </w:tcBorders>
            <w:noWrap w:val="0"/>
            <w:vAlign w:val="center"/>
          </w:tcPr>
          <w:p w14:paraId="6F1E2A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区财政局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区公安分局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区公安交通支队</w:t>
            </w:r>
          </w:p>
        </w:tc>
      </w:tr>
      <w:tr w14:paraId="467B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432" w:type="dxa"/>
            <w:vMerge w:val="continue"/>
            <w:tcBorders>
              <w:left w:val="single" w:color="auto" w:sz="4" w:space="0"/>
              <w:right w:val="single" w:color="auto" w:sz="4" w:space="0"/>
            </w:tcBorders>
            <w:noWrap w:val="0"/>
            <w:vAlign w:val="center"/>
          </w:tcPr>
          <w:p w14:paraId="6B82AD7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7F6627E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400FA97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组织实施1项重点点位商业固定设备噪声治理。</w:t>
            </w:r>
          </w:p>
        </w:tc>
        <w:tc>
          <w:tcPr>
            <w:tcW w:w="708" w:type="dxa"/>
            <w:tcBorders>
              <w:top w:val="single" w:color="auto" w:sz="4" w:space="0"/>
              <w:left w:val="nil"/>
              <w:bottom w:val="single" w:color="auto" w:sz="4" w:space="0"/>
              <w:right w:val="single" w:color="auto" w:sz="4" w:space="0"/>
            </w:tcBorders>
            <w:noWrap w:val="0"/>
            <w:vAlign w:val="center"/>
          </w:tcPr>
          <w:p w14:paraId="2D0A584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7ACE41E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4B1127B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相关镇人民政府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相关街道办事处</w:t>
            </w:r>
          </w:p>
        </w:tc>
      </w:tr>
      <w:tr w14:paraId="1F07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432" w:type="dxa"/>
            <w:vMerge w:val="continue"/>
            <w:tcBorders>
              <w:left w:val="single" w:color="auto" w:sz="4" w:space="0"/>
              <w:bottom w:val="single" w:color="auto" w:sz="4" w:space="0"/>
              <w:right w:val="single" w:color="auto" w:sz="4" w:space="0"/>
            </w:tcBorders>
            <w:noWrap w:val="0"/>
            <w:vAlign w:val="center"/>
          </w:tcPr>
          <w:p w14:paraId="02F6D72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0D77CD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2E62F13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组织实施3项重点点位公共场所文体娱乐活动噪声治理。</w:t>
            </w:r>
          </w:p>
        </w:tc>
        <w:tc>
          <w:tcPr>
            <w:tcW w:w="708" w:type="dxa"/>
            <w:tcBorders>
              <w:top w:val="single" w:color="auto" w:sz="4" w:space="0"/>
              <w:left w:val="nil"/>
              <w:bottom w:val="single" w:color="auto" w:sz="4" w:space="0"/>
              <w:right w:val="single" w:color="auto" w:sz="4" w:space="0"/>
            </w:tcBorders>
            <w:noWrap w:val="0"/>
            <w:vAlign w:val="center"/>
          </w:tcPr>
          <w:p w14:paraId="138E812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6265664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区公安分局</w:t>
            </w:r>
          </w:p>
        </w:tc>
        <w:tc>
          <w:tcPr>
            <w:tcW w:w="1209" w:type="dxa"/>
            <w:tcBorders>
              <w:left w:val="nil"/>
              <w:right w:val="single" w:color="auto" w:sz="4" w:space="0"/>
            </w:tcBorders>
            <w:noWrap w:val="0"/>
            <w:vAlign w:val="center"/>
          </w:tcPr>
          <w:p w14:paraId="2EEBABF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相关镇人民政府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相关街道办事处</w:t>
            </w:r>
          </w:p>
          <w:p w14:paraId="209DE18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区住房城乡建设委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区委宣传部（区文明办）</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区体育局</w:t>
            </w:r>
          </w:p>
        </w:tc>
      </w:tr>
      <w:tr w14:paraId="7683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12" w:type="dxa"/>
            <w:gridSpan w:val="6"/>
            <w:tcBorders>
              <w:top w:val="single" w:color="auto" w:sz="4" w:space="0"/>
              <w:left w:val="single" w:color="auto" w:sz="4" w:space="0"/>
              <w:bottom w:val="single" w:color="auto" w:sz="4" w:space="0"/>
              <w:right w:val="single" w:color="auto" w:sz="4" w:space="0"/>
            </w:tcBorders>
            <w:noWrap w:val="0"/>
            <w:vAlign w:val="center"/>
          </w:tcPr>
          <w:p w14:paraId="22BC582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黑体" w:hAnsi="黑体" w:eastAsia="黑体" w:cs="黑体"/>
                <w:sz w:val="21"/>
                <w:szCs w:val="21"/>
              </w:rPr>
              <w:t>六、加强大气环境治理保障支撑</w:t>
            </w:r>
          </w:p>
        </w:tc>
      </w:tr>
      <w:tr w14:paraId="4036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432" w:type="dxa"/>
            <w:vMerge w:val="restart"/>
            <w:tcBorders>
              <w:top w:val="single" w:color="auto" w:sz="4" w:space="0"/>
              <w:left w:val="single" w:color="auto" w:sz="4" w:space="0"/>
              <w:right w:val="single" w:color="auto" w:sz="4" w:space="0"/>
            </w:tcBorders>
            <w:noWrap w:val="0"/>
            <w:vAlign w:val="center"/>
          </w:tcPr>
          <w:p w14:paraId="3FC5750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26</w:t>
            </w:r>
          </w:p>
        </w:tc>
        <w:tc>
          <w:tcPr>
            <w:tcW w:w="855" w:type="dxa"/>
            <w:vMerge w:val="restart"/>
            <w:tcBorders>
              <w:top w:val="single" w:color="auto" w:sz="4" w:space="0"/>
              <w:left w:val="nil"/>
              <w:right w:val="single" w:color="auto" w:sz="4" w:space="0"/>
            </w:tcBorders>
            <w:noWrap w:val="0"/>
            <w:vAlign w:val="center"/>
          </w:tcPr>
          <w:p w14:paraId="471A501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加强区域联防联控</w:t>
            </w:r>
          </w:p>
        </w:tc>
        <w:tc>
          <w:tcPr>
            <w:tcW w:w="4488" w:type="dxa"/>
            <w:tcBorders>
              <w:top w:val="single" w:color="auto" w:sz="4" w:space="0"/>
              <w:left w:val="nil"/>
              <w:bottom w:val="single" w:color="auto" w:sz="4" w:space="0"/>
              <w:right w:val="single" w:color="auto" w:sz="4" w:space="0"/>
            </w:tcBorders>
            <w:noWrap w:val="0"/>
            <w:vAlign w:val="center"/>
          </w:tcPr>
          <w:p w14:paraId="1FC7582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按照全市统一部署，区域协同落实京津冀大气污染防治联防联控工作，强化协调沟通、信息共享、定期会商、联动执法等机制，共同开展秋冬季大气污染综合治理攻坚行动，强化秋冬季执法，开展重大活动空气质量保障。</w:t>
            </w:r>
          </w:p>
        </w:tc>
        <w:tc>
          <w:tcPr>
            <w:tcW w:w="708" w:type="dxa"/>
            <w:tcBorders>
              <w:top w:val="single" w:color="auto" w:sz="4" w:space="0"/>
              <w:left w:val="nil"/>
              <w:bottom w:val="single" w:color="auto" w:sz="4" w:space="0"/>
              <w:right w:val="single" w:color="auto" w:sz="4" w:space="0"/>
            </w:tcBorders>
            <w:noWrap w:val="0"/>
            <w:vAlign w:val="center"/>
          </w:tcPr>
          <w:p w14:paraId="7683E31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3776A38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5CF799A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88A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432" w:type="dxa"/>
            <w:vMerge w:val="continue"/>
            <w:tcBorders>
              <w:left w:val="single" w:color="auto" w:sz="4" w:space="0"/>
              <w:right w:val="single" w:color="auto" w:sz="4" w:space="0"/>
            </w:tcBorders>
            <w:noWrap w:val="0"/>
            <w:vAlign w:val="center"/>
          </w:tcPr>
          <w:p w14:paraId="434A8AD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37D6239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4FE2CBE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在重大活动保障、重污染天气应对过程等重点时段，组织落实各项减排措施，并加强监督检查执法。</w:t>
            </w:r>
          </w:p>
        </w:tc>
        <w:tc>
          <w:tcPr>
            <w:tcW w:w="708" w:type="dxa"/>
            <w:tcBorders>
              <w:top w:val="single" w:color="auto" w:sz="4" w:space="0"/>
              <w:left w:val="nil"/>
              <w:bottom w:val="single" w:color="auto" w:sz="4" w:space="0"/>
              <w:right w:val="single" w:color="auto" w:sz="4" w:space="0"/>
            </w:tcBorders>
            <w:noWrap w:val="0"/>
            <w:vAlign w:val="center"/>
          </w:tcPr>
          <w:p w14:paraId="16F8322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2BD9A05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14BD604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区应急局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区空气重污染应急指挥部成员单位</w:t>
            </w:r>
          </w:p>
        </w:tc>
      </w:tr>
      <w:tr w14:paraId="06D4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432" w:type="dxa"/>
            <w:vMerge w:val="continue"/>
            <w:tcBorders>
              <w:left w:val="single" w:color="auto" w:sz="4" w:space="0"/>
              <w:right w:val="single" w:color="auto" w:sz="4" w:space="0"/>
            </w:tcBorders>
            <w:noWrap w:val="0"/>
            <w:vAlign w:val="center"/>
          </w:tcPr>
          <w:p w14:paraId="0D24409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1B77197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519F47B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夯实空气重污染应急基础，动态更新涉气企业全清单、应急减排清单。落实绩效评级办法，推动企业绿色化水平持续提升。</w:t>
            </w:r>
          </w:p>
        </w:tc>
        <w:tc>
          <w:tcPr>
            <w:tcW w:w="708" w:type="dxa"/>
            <w:tcBorders>
              <w:top w:val="single" w:color="auto" w:sz="4" w:space="0"/>
              <w:left w:val="nil"/>
              <w:bottom w:val="single" w:color="auto" w:sz="4" w:space="0"/>
              <w:right w:val="single" w:color="auto" w:sz="4" w:space="0"/>
            </w:tcBorders>
            <w:noWrap w:val="0"/>
            <w:vAlign w:val="center"/>
          </w:tcPr>
          <w:p w14:paraId="195DA1B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7BA4E04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区经济和信息化局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区交通局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区委宣传部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区住房城乡建设委</w:t>
            </w:r>
          </w:p>
        </w:tc>
        <w:tc>
          <w:tcPr>
            <w:tcW w:w="1209" w:type="dxa"/>
            <w:tcBorders>
              <w:left w:val="nil"/>
              <w:right w:val="single" w:color="auto" w:sz="4" w:space="0"/>
            </w:tcBorders>
            <w:noWrap w:val="0"/>
            <w:vAlign w:val="center"/>
          </w:tcPr>
          <w:p w14:paraId="545051A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区空气重污染应急指挥部成员单位</w:t>
            </w:r>
          </w:p>
        </w:tc>
      </w:tr>
      <w:tr w14:paraId="216C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432" w:type="dxa"/>
            <w:vMerge w:val="continue"/>
            <w:tcBorders>
              <w:left w:val="single" w:color="auto" w:sz="4" w:space="0"/>
              <w:right w:val="single" w:color="auto" w:sz="4" w:space="0"/>
            </w:tcBorders>
            <w:noWrap w:val="0"/>
            <w:vAlign w:val="center"/>
          </w:tcPr>
          <w:p w14:paraId="099DAF3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249C86A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5B62A87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按照市级要求，对京津冀三地交界地区两侧20公里以内的涉气重点行业新建项目开展环评一致性会商。</w:t>
            </w:r>
          </w:p>
        </w:tc>
        <w:tc>
          <w:tcPr>
            <w:tcW w:w="708" w:type="dxa"/>
            <w:tcBorders>
              <w:top w:val="single" w:color="auto" w:sz="4" w:space="0"/>
              <w:left w:val="nil"/>
              <w:bottom w:val="single" w:color="auto" w:sz="4" w:space="0"/>
              <w:right w:val="single" w:color="auto" w:sz="4" w:space="0"/>
            </w:tcBorders>
            <w:noWrap w:val="0"/>
            <w:vAlign w:val="center"/>
          </w:tcPr>
          <w:p w14:paraId="3E88670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46F3727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FF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7F291E5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临空经济区大兴片区管委会</w:t>
            </w:r>
          </w:p>
        </w:tc>
        <w:tc>
          <w:tcPr>
            <w:tcW w:w="1209" w:type="dxa"/>
            <w:tcBorders>
              <w:left w:val="nil"/>
              <w:right w:val="single" w:color="auto" w:sz="4" w:space="0"/>
            </w:tcBorders>
            <w:noWrap w:val="0"/>
            <w:vAlign w:val="center"/>
          </w:tcPr>
          <w:p w14:paraId="322F018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w:t>
            </w:r>
          </w:p>
        </w:tc>
      </w:tr>
      <w:tr w14:paraId="3C70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32" w:type="dxa"/>
            <w:vMerge w:val="continue"/>
            <w:tcBorders>
              <w:left w:val="single" w:color="auto" w:sz="4" w:space="0"/>
              <w:bottom w:val="single" w:color="auto" w:sz="4" w:space="0"/>
              <w:right w:val="single" w:color="auto" w:sz="4" w:space="0"/>
            </w:tcBorders>
            <w:noWrap w:val="0"/>
            <w:vAlign w:val="center"/>
          </w:tcPr>
          <w:p w14:paraId="7B3F328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3E4102C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18DF907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落实交界地区联合应对机制。与廊坊市强化信息共享、环境违法问题线索移交、联合执法、重污染联合响应等，配合市级部门落实交界地区大气环境污染违法案件联合快速处置机制。</w:t>
            </w:r>
          </w:p>
        </w:tc>
        <w:tc>
          <w:tcPr>
            <w:tcW w:w="708" w:type="dxa"/>
            <w:tcBorders>
              <w:top w:val="single" w:color="auto" w:sz="4" w:space="0"/>
              <w:left w:val="nil"/>
              <w:bottom w:val="single" w:color="auto" w:sz="4" w:space="0"/>
              <w:right w:val="single" w:color="auto" w:sz="4" w:space="0"/>
            </w:tcBorders>
            <w:noWrap w:val="0"/>
            <w:vAlign w:val="center"/>
          </w:tcPr>
          <w:p w14:paraId="52C7F20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320" w:type="dxa"/>
            <w:tcBorders>
              <w:left w:val="nil"/>
              <w:right w:val="single" w:color="auto" w:sz="4" w:space="0"/>
            </w:tcBorders>
            <w:noWrap w:val="0"/>
            <w:vAlign w:val="center"/>
          </w:tcPr>
          <w:p w14:paraId="7A83BAB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2227DB9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44EC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432" w:type="dxa"/>
            <w:vMerge w:val="restart"/>
            <w:tcBorders>
              <w:top w:val="single" w:color="auto" w:sz="4" w:space="0"/>
              <w:left w:val="single" w:color="auto" w:sz="4" w:space="0"/>
              <w:right w:val="single" w:color="auto" w:sz="4" w:space="0"/>
            </w:tcBorders>
            <w:noWrap w:val="0"/>
            <w:vAlign w:val="center"/>
          </w:tcPr>
          <w:p w14:paraId="5FAD37E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27</w:t>
            </w:r>
          </w:p>
        </w:tc>
        <w:tc>
          <w:tcPr>
            <w:tcW w:w="855" w:type="dxa"/>
            <w:vMerge w:val="restart"/>
            <w:tcBorders>
              <w:top w:val="single" w:color="auto" w:sz="4" w:space="0"/>
              <w:left w:val="nil"/>
              <w:right w:val="single" w:color="auto" w:sz="4" w:space="0"/>
            </w:tcBorders>
            <w:noWrap w:val="0"/>
            <w:vAlign w:val="center"/>
          </w:tcPr>
          <w:p w14:paraId="1F2A48D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加强科技标准支撑</w:t>
            </w:r>
          </w:p>
        </w:tc>
        <w:tc>
          <w:tcPr>
            <w:tcW w:w="4488" w:type="dxa"/>
            <w:tcBorders>
              <w:top w:val="single" w:color="auto" w:sz="4" w:space="0"/>
              <w:left w:val="nil"/>
              <w:bottom w:val="single" w:color="auto" w:sz="4" w:space="0"/>
              <w:right w:val="single" w:color="auto" w:sz="4" w:space="0"/>
            </w:tcBorders>
            <w:noWrap w:val="0"/>
            <w:vAlign w:val="center"/>
          </w:tcPr>
          <w:p w14:paraId="7893085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配合市级部门开展京津冀环境综合治理国家科技重大专项项目“超大城市大气污染精准防治与智慧决策支撑研究与示范”研究。</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配合市级部门探索区域内含VOCs生产生活类产品溯源管理机制。</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配合市级部门积极推进非道路移动机械清洁化关键技术、超大城市沥青路面建材烟气污染物全过程减排及资源化等领域的试点项目。</w:t>
            </w:r>
          </w:p>
        </w:tc>
        <w:tc>
          <w:tcPr>
            <w:tcW w:w="708" w:type="dxa"/>
            <w:tcBorders>
              <w:top w:val="single" w:color="auto" w:sz="4" w:space="0"/>
              <w:left w:val="nil"/>
              <w:bottom w:val="single" w:color="auto" w:sz="4" w:space="0"/>
              <w:right w:val="single" w:color="auto" w:sz="4" w:space="0"/>
            </w:tcBorders>
            <w:noWrap w:val="0"/>
            <w:vAlign w:val="center"/>
          </w:tcPr>
          <w:p w14:paraId="2E1A6BC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EEC943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区市场监管局</w:t>
            </w:r>
          </w:p>
        </w:tc>
        <w:tc>
          <w:tcPr>
            <w:tcW w:w="1209" w:type="dxa"/>
            <w:tcBorders>
              <w:left w:val="nil"/>
              <w:right w:val="single" w:color="auto" w:sz="4" w:space="0"/>
            </w:tcBorders>
            <w:noWrap w:val="0"/>
            <w:vAlign w:val="center"/>
          </w:tcPr>
          <w:p w14:paraId="348179D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区公路分局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p>
        </w:tc>
      </w:tr>
      <w:tr w14:paraId="6007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32" w:type="dxa"/>
            <w:vMerge w:val="continue"/>
            <w:tcBorders>
              <w:left w:val="single" w:color="auto" w:sz="4" w:space="0"/>
              <w:bottom w:val="single" w:color="auto" w:sz="4" w:space="0"/>
              <w:right w:val="single" w:color="auto" w:sz="4" w:space="0"/>
            </w:tcBorders>
            <w:noWrap w:val="0"/>
            <w:vAlign w:val="center"/>
          </w:tcPr>
          <w:p w14:paraId="63A4597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p>
        </w:tc>
        <w:tc>
          <w:tcPr>
            <w:tcW w:w="855" w:type="dxa"/>
            <w:vMerge w:val="continue"/>
            <w:tcBorders>
              <w:left w:val="nil"/>
              <w:bottom w:val="single" w:color="auto" w:sz="4" w:space="0"/>
              <w:right w:val="single" w:color="auto" w:sz="4" w:space="0"/>
            </w:tcBorders>
            <w:noWrap w:val="0"/>
            <w:vAlign w:val="center"/>
          </w:tcPr>
          <w:p w14:paraId="2FD89BA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p>
        </w:tc>
        <w:tc>
          <w:tcPr>
            <w:tcW w:w="4488" w:type="dxa"/>
            <w:tcBorders>
              <w:top w:val="single" w:color="auto" w:sz="4" w:space="0"/>
              <w:left w:val="nil"/>
              <w:bottom w:val="single" w:color="auto" w:sz="4" w:space="0"/>
              <w:right w:val="single" w:color="auto" w:sz="4" w:space="0"/>
            </w:tcBorders>
            <w:noWrap w:val="0"/>
            <w:vAlign w:val="center"/>
          </w:tcPr>
          <w:p w14:paraId="352D07F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分析局地风场对污染物的影响，开展环境气象评估指数等气象条件指数的定量分析，持续优化空气质量气象预报。</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基于人工智能技术提升大兴区空气质量预报的精确度和时效性。</w:t>
            </w:r>
          </w:p>
        </w:tc>
        <w:tc>
          <w:tcPr>
            <w:tcW w:w="708" w:type="dxa"/>
            <w:tcBorders>
              <w:top w:val="single" w:color="auto" w:sz="4" w:space="0"/>
              <w:left w:val="nil"/>
              <w:bottom w:val="single" w:color="auto" w:sz="4" w:space="0"/>
              <w:right w:val="single" w:color="auto" w:sz="4" w:space="0"/>
            </w:tcBorders>
            <w:noWrap w:val="0"/>
            <w:vAlign w:val="center"/>
          </w:tcPr>
          <w:p w14:paraId="6568C9C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3B576A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区气象局</w:t>
            </w:r>
          </w:p>
        </w:tc>
        <w:tc>
          <w:tcPr>
            <w:tcW w:w="1209" w:type="dxa"/>
            <w:tcBorders>
              <w:left w:val="nil"/>
              <w:right w:val="single" w:color="auto" w:sz="4" w:space="0"/>
            </w:tcBorders>
            <w:noWrap w:val="0"/>
            <w:vAlign w:val="center"/>
          </w:tcPr>
          <w:p w14:paraId="2AF2A50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w:t>
            </w:r>
          </w:p>
        </w:tc>
      </w:tr>
      <w:tr w14:paraId="2A35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32" w:type="dxa"/>
            <w:vMerge w:val="restart"/>
            <w:tcBorders>
              <w:top w:val="single" w:color="auto" w:sz="4" w:space="0"/>
              <w:left w:val="single" w:color="auto" w:sz="4" w:space="0"/>
              <w:right w:val="single" w:color="auto" w:sz="4" w:space="0"/>
            </w:tcBorders>
            <w:noWrap w:val="0"/>
            <w:vAlign w:val="center"/>
          </w:tcPr>
          <w:p w14:paraId="747E456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28</w:t>
            </w:r>
          </w:p>
        </w:tc>
        <w:tc>
          <w:tcPr>
            <w:tcW w:w="855" w:type="dxa"/>
            <w:vMerge w:val="restart"/>
            <w:tcBorders>
              <w:top w:val="single" w:color="auto" w:sz="4" w:space="0"/>
              <w:left w:val="nil"/>
              <w:right w:val="single" w:color="auto" w:sz="4" w:space="0"/>
            </w:tcBorders>
            <w:noWrap w:val="0"/>
            <w:vAlign w:val="center"/>
          </w:tcPr>
          <w:p w14:paraId="57CC771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强化监测能力建设</w:t>
            </w:r>
          </w:p>
        </w:tc>
        <w:tc>
          <w:tcPr>
            <w:tcW w:w="4488" w:type="dxa"/>
            <w:tcBorders>
              <w:top w:val="single" w:color="auto" w:sz="4" w:space="0"/>
              <w:left w:val="nil"/>
              <w:bottom w:val="single" w:color="auto" w:sz="4" w:space="0"/>
              <w:right w:val="single" w:color="auto" w:sz="4" w:space="0"/>
            </w:tcBorders>
            <w:noWrap w:val="0"/>
            <w:vAlign w:val="center"/>
          </w:tcPr>
          <w:p w14:paraId="15A0079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提升生态环境监测基础站监测能力，大力推进特色监测能力。</w:t>
            </w:r>
          </w:p>
        </w:tc>
        <w:tc>
          <w:tcPr>
            <w:tcW w:w="708" w:type="dxa"/>
            <w:tcBorders>
              <w:top w:val="single" w:color="auto" w:sz="4" w:space="0"/>
              <w:left w:val="nil"/>
              <w:bottom w:val="single" w:color="auto" w:sz="4" w:space="0"/>
              <w:right w:val="single" w:color="auto" w:sz="4" w:space="0"/>
            </w:tcBorders>
            <w:noWrap w:val="0"/>
            <w:vAlign w:val="center"/>
          </w:tcPr>
          <w:p w14:paraId="17A44AD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F4E7DD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71D2D92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41A6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32" w:type="dxa"/>
            <w:vMerge w:val="continue"/>
            <w:tcBorders>
              <w:left w:val="single" w:color="auto" w:sz="4" w:space="0"/>
              <w:right w:val="single" w:color="auto" w:sz="4" w:space="0"/>
            </w:tcBorders>
            <w:noWrap w:val="0"/>
            <w:vAlign w:val="center"/>
          </w:tcPr>
          <w:p w14:paraId="3DE4181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right w:val="single" w:color="auto" w:sz="4" w:space="0"/>
            </w:tcBorders>
            <w:noWrap w:val="0"/>
            <w:vAlign w:val="center"/>
          </w:tcPr>
          <w:p w14:paraId="45ACDBA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0655340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全面推进用电在线监控技术应用，加强对生产设施及污染治理设施运行状况的分析诊断。</w:t>
            </w:r>
          </w:p>
        </w:tc>
        <w:tc>
          <w:tcPr>
            <w:tcW w:w="708" w:type="dxa"/>
            <w:tcBorders>
              <w:top w:val="single" w:color="auto" w:sz="4" w:space="0"/>
              <w:left w:val="nil"/>
              <w:bottom w:val="single" w:color="auto" w:sz="4" w:space="0"/>
              <w:right w:val="single" w:color="auto" w:sz="4" w:space="0"/>
            </w:tcBorders>
            <w:noWrap w:val="0"/>
            <w:vAlign w:val="center"/>
          </w:tcPr>
          <w:p w14:paraId="435627F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5B6E82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6186161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7D76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432" w:type="dxa"/>
            <w:vMerge w:val="continue"/>
            <w:tcBorders>
              <w:left w:val="single" w:color="auto" w:sz="4" w:space="0"/>
              <w:bottom w:val="single" w:color="auto" w:sz="4" w:space="0"/>
              <w:right w:val="single" w:color="auto" w:sz="4" w:space="0"/>
            </w:tcBorders>
            <w:noWrap w:val="0"/>
            <w:vAlign w:val="center"/>
          </w:tcPr>
          <w:p w14:paraId="4934552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217AE91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7930E47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配合市级部门健全智能化大气监测网络，更新监测基础设施，加大固定资产投资保障力度，完善基于现代感知技术和大数据技术的大气环境监测网络，强化PM2.5、TSP监测站网管理，更新升级空气质量“天、空、地”三维立体监测网络。</w:t>
            </w:r>
          </w:p>
        </w:tc>
        <w:tc>
          <w:tcPr>
            <w:tcW w:w="708" w:type="dxa"/>
            <w:tcBorders>
              <w:top w:val="single" w:color="auto" w:sz="4" w:space="0"/>
              <w:left w:val="nil"/>
              <w:bottom w:val="single" w:color="auto" w:sz="4" w:space="0"/>
              <w:right w:val="single" w:color="auto" w:sz="4" w:space="0"/>
            </w:tcBorders>
            <w:noWrap w:val="0"/>
            <w:vAlign w:val="center"/>
          </w:tcPr>
          <w:p w14:paraId="3835FF0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5AFCBF3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14FA010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26A7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32" w:type="dxa"/>
            <w:vMerge w:val="restart"/>
            <w:tcBorders>
              <w:top w:val="single" w:color="auto" w:sz="4" w:space="0"/>
              <w:left w:val="single" w:color="auto" w:sz="4" w:space="0"/>
              <w:right w:val="single" w:color="auto" w:sz="4" w:space="0"/>
            </w:tcBorders>
            <w:noWrap w:val="0"/>
            <w:vAlign w:val="center"/>
          </w:tcPr>
          <w:p w14:paraId="0775190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29</w:t>
            </w:r>
          </w:p>
        </w:tc>
        <w:tc>
          <w:tcPr>
            <w:tcW w:w="855" w:type="dxa"/>
            <w:vMerge w:val="restart"/>
            <w:tcBorders>
              <w:top w:val="single" w:color="auto" w:sz="4" w:space="0"/>
              <w:left w:val="nil"/>
              <w:right w:val="single" w:color="auto" w:sz="4" w:space="0"/>
            </w:tcBorders>
            <w:noWrap w:val="0"/>
            <w:vAlign w:val="center"/>
          </w:tcPr>
          <w:p w14:paraId="6874205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发挥经济政策激励引导作用</w:t>
            </w:r>
          </w:p>
        </w:tc>
        <w:tc>
          <w:tcPr>
            <w:tcW w:w="4488" w:type="dxa"/>
            <w:tcBorders>
              <w:top w:val="single" w:color="auto" w:sz="4" w:space="0"/>
              <w:left w:val="nil"/>
              <w:bottom w:val="single" w:color="auto" w:sz="4" w:space="0"/>
              <w:right w:val="single" w:color="auto" w:sz="4" w:space="0"/>
            </w:tcBorders>
            <w:noWrap w:val="0"/>
            <w:vAlign w:val="center"/>
          </w:tcPr>
          <w:p w14:paraId="37B578D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在建筑、交通、新能源、技术创新等重点领域，对符合条件的企业，给予信贷、债券、保险等绿色金融支持。绿色绩效评价结果作为经济政策激励的重要参考。</w:t>
            </w:r>
          </w:p>
        </w:tc>
        <w:tc>
          <w:tcPr>
            <w:tcW w:w="708" w:type="dxa"/>
            <w:tcBorders>
              <w:top w:val="single" w:color="auto" w:sz="4" w:space="0"/>
              <w:left w:val="nil"/>
              <w:bottom w:val="single" w:color="auto" w:sz="4" w:space="0"/>
              <w:right w:val="single" w:color="auto" w:sz="4" w:space="0"/>
            </w:tcBorders>
            <w:noWrap w:val="0"/>
            <w:vAlign w:val="center"/>
          </w:tcPr>
          <w:p w14:paraId="75D1AA0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2EB8403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区发展改革委</w:t>
            </w:r>
          </w:p>
        </w:tc>
        <w:tc>
          <w:tcPr>
            <w:tcW w:w="1209" w:type="dxa"/>
            <w:tcBorders>
              <w:left w:val="nil"/>
              <w:right w:val="single" w:color="auto" w:sz="4" w:space="0"/>
            </w:tcBorders>
            <w:noWrap w:val="0"/>
            <w:vAlign w:val="center"/>
          </w:tcPr>
          <w:p w14:paraId="42E0B7D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r>
      <w:tr w14:paraId="05E0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2" w:type="dxa"/>
            <w:vMerge w:val="continue"/>
            <w:tcBorders>
              <w:left w:val="single" w:color="auto" w:sz="4" w:space="0"/>
              <w:bottom w:val="single" w:color="auto" w:sz="4" w:space="0"/>
              <w:right w:val="single" w:color="auto" w:sz="4" w:space="0"/>
            </w:tcBorders>
            <w:noWrap w:val="0"/>
            <w:vAlign w:val="center"/>
          </w:tcPr>
          <w:p w14:paraId="01D7133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66FBD0F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2D8E7FC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加强资金统筹，加强项目储备与资金使用管理，并结合辖区实际，相应加大区级财政投入力度。</w:t>
            </w:r>
          </w:p>
        </w:tc>
        <w:tc>
          <w:tcPr>
            <w:tcW w:w="708" w:type="dxa"/>
            <w:tcBorders>
              <w:top w:val="single" w:color="auto" w:sz="4" w:space="0"/>
              <w:left w:val="nil"/>
              <w:bottom w:val="single" w:color="auto" w:sz="4" w:space="0"/>
              <w:right w:val="single" w:color="auto" w:sz="4" w:space="0"/>
            </w:tcBorders>
            <w:noWrap w:val="0"/>
            <w:vAlign w:val="center"/>
          </w:tcPr>
          <w:p w14:paraId="3040229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39C0797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区财政局</w:t>
            </w:r>
          </w:p>
        </w:tc>
        <w:tc>
          <w:tcPr>
            <w:tcW w:w="1209" w:type="dxa"/>
            <w:tcBorders>
              <w:left w:val="nil"/>
              <w:right w:val="single" w:color="auto" w:sz="4" w:space="0"/>
            </w:tcBorders>
            <w:noWrap w:val="0"/>
            <w:vAlign w:val="center"/>
          </w:tcPr>
          <w:p w14:paraId="558754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6564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432" w:type="dxa"/>
            <w:vMerge w:val="restart"/>
            <w:tcBorders>
              <w:top w:val="single" w:color="auto" w:sz="4" w:space="0"/>
              <w:left w:val="single" w:color="auto" w:sz="4" w:space="0"/>
              <w:right w:val="single" w:color="auto" w:sz="4" w:space="0"/>
            </w:tcBorders>
            <w:noWrap w:val="0"/>
            <w:vAlign w:val="center"/>
          </w:tcPr>
          <w:p w14:paraId="792C760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30</w:t>
            </w:r>
          </w:p>
        </w:tc>
        <w:tc>
          <w:tcPr>
            <w:tcW w:w="855" w:type="dxa"/>
            <w:vMerge w:val="restart"/>
            <w:tcBorders>
              <w:top w:val="single" w:color="auto" w:sz="4" w:space="0"/>
              <w:left w:val="nil"/>
              <w:right w:val="single" w:color="auto" w:sz="4" w:space="0"/>
            </w:tcBorders>
            <w:noWrap w:val="0"/>
            <w:vAlign w:val="center"/>
          </w:tcPr>
          <w:p w14:paraId="3C13B2F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强化督导和监管执法</w:t>
            </w:r>
          </w:p>
        </w:tc>
        <w:tc>
          <w:tcPr>
            <w:tcW w:w="4488" w:type="dxa"/>
            <w:tcBorders>
              <w:top w:val="single" w:color="auto" w:sz="4" w:space="0"/>
              <w:left w:val="nil"/>
              <w:bottom w:val="single" w:color="auto" w:sz="4" w:space="0"/>
              <w:right w:val="single" w:color="auto" w:sz="4" w:space="0"/>
            </w:tcBorders>
            <w:noWrap w:val="0"/>
            <w:vAlign w:val="center"/>
          </w:tcPr>
          <w:p w14:paraId="507A55D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全面实行排污许可制。重点审核空气重污染应急减排要求等内容是否按规定记载；对重点行业排污许可证质量、2024年度排污许可证执行报告开展常态化审核，审核总数分别不少于持证单位总数的三分之一；2024年度排污许可执行报告按时提交率达到</w:t>
            </w:r>
            <w:r>
              <w:rPr>
                <w:rFonts w:hint="eastAsia" w:ascii="仿宋_GB2312" w:hAnsi="仿宋_GB2312" w:eastAsia="仿宋_GB2312" w:cs="仿宋_GB2312"/>
                <w:kern w:val="0"/>
                <w:sz w:val="21"/>
                <w:szCs w:val="21"/>
                <w:lang w:bidi="ar"/>
              </w:rPr>
              <w:t>98%以上</w:t>
            </w:r>
            <w:r>
              <w:rPr>
                <w:rFonts w:hint="eastAsia" w:ascii="仿宋_GB2312" w:hAnsi="仿宋_GB2312" w:eastAsia="仿宋_GB2312" w:cs="仿宋_GB2312"/>
                <w:color w:val="000000"/>
                <w:kern w:val="0"/>
                <w:sz w:val="21"/>
                <w:szCs w:val="21"/>
                <w:lang w:bidi="ar"/>
              </w:rPr>
              <w:t>；按时完成火电等重点行业排污许可与生态环境统计衔接融合工作。督促排污单位依法披露环境信息。</w:t>
            </w:r>
          </w:p>
        </w:tc>
        <w:tc>
          <w:tcPr>
            <w:tcW w:w="708" w:type="dxa"/>
            <w:tcBorders>
              <w:top w:val="single" w:color="auto" w:sz="4" w:space="0"/>
              <w:left w:val="nil"/>
              <w:bottom w:val="single" w:color="auto" w:sz="4" w:space="0"/>
              <w:right w:val="single" w:color="auto" w:sz="4" w:space="0"/>
            </w:tcBorders>
            <w:noWrap w:val="0"/>
            <w:vAlign w:val="center"/>
          </w:tcPr>
          <w:p w14:paraId="06E0870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034D337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209" w:type="dxa"/>
            <w:tcBorders>
              <w:left w:val="nil"/>
              <w:right w:val="single" w:color="auto" w:sz="4" w:space="0"/>
            </w:tcBorders>
            <w:noWrap w:val="0"/>
            <w:vAlign w:val="center"/>
          </w:tcPr>
          <w:p w14:paraId="6835BB0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r w14:paraId="1D12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432" w:type="dxa"/>
            <w:vMerge w:val="continue"/>
            <w:tcBorders>
              <w:left w:val="single" w:color="auto" w:sz="4" w:space="0"/>
              <w:bottom w:val="single" w:color="auto" w:sz="4" w:space="0"/>
              <w:right w:val="single" w:color="auto" w:sz="4" w:space="0"/>
            </w:tcBorders>
            <w:noWrap w:val="0"/>
            <w:vAlign w:val="center"/>
          </w:tcPr>
          <w:p w14:paraId="53F5B81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855" w:type="dxa"/>
            <w:vMerge w:val="continue"/>
            <w:tcBorders>
              <w:left w:val="nil"/>
              <w:bottom w:val="single" w:color="auto" w:sz="4" w:space="0"/>
              <w:right w:val="single" w:color="auto" w:sz="4" w:space="0"/>
            </w:tcBorders>
            <w:noWrap w:val="0"/>
            <w:vAlign w:val="center"/>
          </w:tcPr>
          <w:p w14:paraId="778DCEE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p>
        </w:tc>
        <w:tc>
          <w:tcPr>
            <w:tcW w:w="4488" w:type="dxa"/>
            <w:tcBorders>
              <w:top w:val="single" w:color="auto" w:sz="4" w:space="0"/>
              <w:left w:val="nil"/>
              <w:bottom w:val="single" w:color="auto" w:sz="4" w:space="0"/>
              <w:right w:val="single" w:color="auto" w:sz="4" w:space="0"/>
            </w:tcBorders>
            <w:noWrap w:val="0"/>
            <w:vAlign w:val="center"/>
          </w:tcPr>
          <w:p w14:paraId="3934015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生态环境部门结合季节特点，以VOCs和NOx为重点，加强对涉气固定源的执法检查。按照全市统一部署，落实“点穴式”执法工作，以空气质量排名靠后区域为重点，按要求开展交叉执法，帮扶属地提高管理能力和水平。强化污染源自动监控、热点网格、加油站油气回收在线、餐饮在线等非现场执法检查和科技执法手段应用，年底前非现场检查量占比超</w:t>
            </w:r>
            <w:r>
              <w:rPr>
                <w:rFonts w:hint="eastAsia" w:ascii="仿宋_GB2312" w:hAnsi="仿宋_GB2312" w:eastAsia="仿宋_GB2312" w:cs="仿宋_GB2312"/>
                <w:kern w:val="0"/>
                <w:sz w:val="21"/>
                <w:szCs w:val="21"/>
                <w:lang w:bidi="ar"/>
              </w:rPr>
              <w:t>过40%</w:t>
            </w:r>
            <w:r>
              <w:rPr>
                <w:rFonts w:hint="eastAsia" w:ascii="仿宋_GB2312" w:hAnsi="仿宋_GB2312" w:eastAsia="仿宋_GB2312" w:cs="仿宋_GB2312"/>
                <w:color w:val="000000"/>
                <w:kern w:val="0"/>
                <w:sz w:val="21"/>
                <w:szCs w:val="21"/>
                <w:lang w:bidi="ar"/>
              </w:rPr>
              <w:t>。针对采暖季锅炉、柴油车（械）等重点领域开展专项执法。</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公安交通管理、城管执法等部门和镇、街道综合执法队依据职责，组织开展贯穿全年的环境问题专项执法检查，加强对移动源、施工工地和露天焚烧等问题的执法检查。</w:t>
            </w:r>
          </w:p>
        </w:tc>
        <w:tc>
          <w:tcPr>
            <w:tcW w:w="708" w:type="dxa"/>
            <w:tcBorders>
              <w:top w:val="single" w:color="auto" w:sz="4" w:space="0"/>
              <w:left w:val="nil"/>
              <w:bottom w:val="single" w:color="auto" w:sz="4" w:space="0"/>
              <w:right w:val="single" w:color="auto" w:sz="4" w:space="0"/>
            </w:tcBorders>
            <w:noWrap w:val="0"/>
            <w:vAlign w:val="center"/>
          </w:tcPr>
          <w:p w14:paraId="712B201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320" w:type="dxa"/>
            <w:tcBorders>
              <w:left w:val="nil"/>
              <w:right w:val="single" w:color="auto" w:sz="4" w:space="0"/>
            </w:tcBorders>
            <w:noWrap w:val="0"/>
            <w:vAlign w:val="center"/>
          </w:tcPr>
          <w:p w14:paraId="1FF05BB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区公安交通支队</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区城管执法局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c>
          <w:tcPr>
            <w:tcW w:w="1209" w:type="dxa"/>
            <w:tcBorders>
              <w:left w:val="nil"/>
              <w:right w:val="single" w:color="auto" w:sz="4" w:space="0"/>
            </w:tcBorders>
            <w:noWrap w:val="0"/>
            <w:vAlign w:val="center"/>
          </w:tcPr>
          <w:p w14:paraId="38A7AEC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w:t>
            </w:r>
          </w:p>
        </w:tc>
      </w:tr>
    </w:tbl>
    <w:p w14:paraId="5C4661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F4EC42-2E22-45B8-A718-00717EB2EC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3E596CA-DE88-460C-A7CE-884BB396315A}"/>
  </w:font>
  <w:font w:name="方正小标宋简体">
    <w:panose1 w:val="02000000000000000000"/>
    <w:charset w:val="86"/>
    <w:family w:val="script"/>
    <w:pitch w:val="default"/>
    <w:sig w:usb0="00000001" w:usb1="080E0000" w:usb2="00000000" w:usb3="00000000" w:csb0="00040000" w:csb1="00000000"/>
    <w:embedRegular r:id="rId3" w:fontKey="{DB13135D-6FEF-4CBD-84CC-7F561668BDD2}"/>
  </w:font>
  <w:font w:name="仿宋_GB2312">
    <w:panose1 w:val="02010609030101010101"/>
    <w:charset w:val="86"/>
    <w:family w:val="auto"/>
    <w:pitch w:val="default"/>
    <w:sig w:usb0="00000001" w:usb1="080E0000" w:usb2="00000000" w:usb3="00000000" w:csb0="00040000" w:csb1="00000000"/>
    <w:embedRegular r:id="rId4" w:fontKey="{D8F5A4F0-FE07-428B-A060-DC946EB429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6E08"/>
    <w:rsid w:val="4B7B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Calibri" w:hAnsi="Calibri" w:cs="黑体"/>
      <w:szCs w:val="22"/>
    </w:rPr>
  </w:style>
  <w:style w:type="paragraph" w:styleId="3">
    <w:name w:val="Body Text Indent"/>
    <w:basedOn w:val="1"/>
    <w:unhideWhenUsed/>
    <w:qFormat/>
    <w:uiPriority w:val="99"/>
    <w:pPr>
      <w:spacing w:after="120"/>
      <w:ind w:left="420" w:leftChars="200"/>
    </w:pPr>
  </w:style>
  <w:style w:type="paragraph" w:styleId="4">
    <w:name w:val="Body Text"/>
    <w:basedOn w:val="1"/>
    <w:next w:val="5"/>
    <w:unhideWhenUsed/>
    <w:qFormat/>
    <w:uiPriority w:val="99"/>
    <w:pPr>
      <w:spacing w:after="120" w:afterLines="0"/>
    </w:pPr>
    <w:rPr>
      <w:szCs w:val="20"/>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Plain Text"/>
    <w:basedOn w:val="1"/>
    <w:qFormat/>
    <w:uiPriority w:val="0"/>
    <w:rPr>
      <w:rFonts w:ascii="宋体" w:hAnsi="Courier New"/>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2025-03-17T06:06:00Z</dcterms:created>
  <dc:creator>王亚楠</dc:creator>
  <cp:lastModifiedBy>王亚楠</cp:lastModifiedBy>
  <dcterms:modified xsi:type="dcterms:W3CDTF">2025-03-17T06:06:52Z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E824C4B7B9634059A4B8D4C27CB74387_11</vt:lpwstr>
  </property>
  <property fmtid="{D5CDD505-2E9C-101B-9397-08002B2CF9AE}" pid="4" name="KSOTemplateDocerSaveRecord">
    <vt:lpwstr>eyJoZGlkIjoiZWFmODEzMjhjYzAyOGQ2M2M1OWQ1ODAyZTg4N2UwN2UiLCJ1c2VySWQiOiIxNjE1MzA0NDk4In0=</vt:lpwstr>
  </property>
</Properties>
</file>