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EEA010">
      <w:pPr>
        <w:pStyle w:val="6"/>
        <w:rPr>
          <w:rFonts w:hint="eastAsia" w:ascii="黑体" w:hAnsi="黑体" w:eastAsia="黑体" w:cs="黑体"/>
          <w:sz w:val="32"/>
          <w:szCs w:val="32"/>
        </w:rPr>
      </w:pPr>
      <w:r>
        <w:rPr>
          <w:rFonts w:hint="eastAsia" w:ascii="黑体" w:hAnsi="黑体" w:eastAsia="黑体" w:cs="黑体"/>
          <w:sz w:val="32"/>
          <w:szCs w:val="32"/>
        </w:rPr>
        <w:t>附件3</w:t>
      </w:r>
    </w:p>
    <w:p w14:paraId="1BDC0384">
      <w:pPr>
        <w:pStyle w:val="6"/>
        <w:keepNext w:val="0"/>
        <w:keepLines w:val="0"/>
        <w:pageBreakBefore w:val="0"/>
        <w:widowControl w:val="0"/>
        <w:kinsoku/>
        <w:wordWrap/>
        <w:overflowPunct/>
        <w:topLinePunct w:val="0"/>
        <w:autoSpaceDE/>
        <w:autoSpaceDN/>
        <w:bidi w:val="0"/>
        <w:adjustRightInd/>
        <w:snapToGrid w:val="0"/>
        <w:spacing w:before="313" w:beforeLines="100" w:line="240" w:lineRule="auto"/>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大兴区净土保卫战2025年行动计划</w:t>
      </w:r>
      <w:bookmarkEnd w:id="0"/>
    </w:p>
    <w:tbl>
      <w:tblPr>
        <w:tblStyle w:val="7"/>
        <w:tblpPr w:leftFromText="181" w:rightFromText="181" w:vertAnchor="text" w:horzAnchor="page" w:tblpX="1588"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14"/>
        <w:gridCol w:w="3438"/>
        <w:gridCol w:w="738"/>
        <w:gridCol w:w="1800"/>
        <w:gridCol w:w="1656"/>
      </w:tblGrid>
      <w:tr w14:paraId="5A99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648" w:type="dxa"/>
            <w:tcBorders>
              <w:top w:val="single" w:color="auto" w:sz="4" w:space="0"/>
              <w:left w:val="single" w:color="auto" w:sz="4" w:space="0"/>
              <w:bottom w:val="single" w:color="auto" w:sz="4" w:space="0"/>
              <w:right w:val="single" w:color="auto" w:sz="4" w:space="0"/>
            </w:tcBorders>
            <w:noWrap w:val="0"/>
            <w:vAlign w:val="center"/>
          </w:tcPr>
          <w:p w14:paraId="16C125D5">
            <w:pPr>
              <w:keepNext w:val="0"/>
              <w:keepLines w:val="0"/>
              <w:suppressLineNumbers w:val="0"/>
              <w:tabs>
                <w:tab w:val="left" w:pos="3961"/>
              </w:tabs>
              <w:bidi w:val="0"/>
              <w:spacing w:before="0" w:beforeAutospacing="0" w:after="0" w:afterAutospacing="0"/>
              <w:ind w:left="0" w:right="0"/>
              <w:jc w:val="left"/>
              <w:rPr>
                <w:rFonts w:hint="eastAsia" w:ascii="黑体" w:hAnsi="黑体" w:eastAsia="黑体" w:cs="黑体"/>
                <w:sz w:val="21"/>
                <w:szCs w:val="21"/>
              </w:rPr>
            </w:pPr>
            <w:r>
              <w:rPr>
                <w:rFonts w:hint="eastAsia" w:ascii="黑体" w:hAnsi="黑体" w:eastAsia="黑体" w:cs="黑体"/>
                <w:szCs w:val="20"/>
                <w:lang w:val="en-US" w:eastAsia="zh-CN"/>
              </w:rPr>
              <w:t>序号</w:t>
            </w:r>
            <w:r>
              <w:rPr>
                <w:rFonts w:hint="eastAsia" w:ascii="黑体" w:hAnsi="黑体" w:eastAsia="黑体" w:cs="黑体"/>
                <w:szCs w:val="20"/>
                <w:lang w:eastAsia="zh-CN"/>
              </w:rPr>
              <w:tab/>
            </w:r>
            <w:r>
              <w:rPr>
                <w:rFonts w:hint="eastAsia" w:ascii="黑体" w:hAnsi="黑体" w:eastAsia="黑体" w:cs="黑体"/>
                <w:szCs w:val="20"/>
                <w:lang w:eastAsia="zh-CN"/>
              </w:rPr>
              <w:tab/>
            </w:r>
          </w:p>
        </w:tc>
        <w:tc>
          <w:tcPr>
            <w:tcW w:w="714" w:type="dxa"/>
            <w:tcBorders>
              <w:top w:val="single" w:color="auto" w:sz="4" w:space="0"/>
              <w:left w:val="nil"/>
              <w:bottom w:val="single" w:color="auto" w:sz="4" w:space="0"/>
              <w:right w:val="single" w:color="auto" w:sz="4" w:space="0"/>
            </w:tcBorders>
            <w:noWrap w:val="0"/>
            <w:vAlign w:val="center"/>
          </w:tcPr>
          <w:p w14:paraId="3E0389D4">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重点任务</w:t>
            </w:r>
          </w:p>
        </w:tc>
        <w:tc>
          <w:tcPr>
            <w:tcW w:w="3438" w:type="dxa"/>
            <w:tcBorders>
              <w:top w:val="single" w:color="auto" w:sz="4" w:space="0"/>
              <w:left w:val="nil"/>
              <w:bottom w:val="single" w:color="auto" w:sz="4" w:space="0"/>
              <w:right w:val="single" w:color="auto" w:sz="4" w:space="0"/>
            </w:tcBorders>
            <w:noWrap w:val="0"/>
            <w:vAlign w:val="center"/>
          </w:tcPr>
          <w:p w14:paraId="72AC583A">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工作措施</w:t>
            </w:r>
          </w:p>
        </w:tc>
        <w:tc>
          <w:tcPr>
            <w:tcW w:w="738" w:type="dxa"/>
            <w:tcBorders>
              <w:top w:val="single" w:color="auto" w:sz="4" w:space="0"/>
              <w:left w:val="nil"/>
              <w:bottom w:val="single" w:color="auto" w:sz="4" w:space="0"/>
              <w:right w:val="single" w:color="auto" w:sz="4" w:space="0"/>
            </w:tcBorders>
            <w:noWrap w:val="0"/>
            <w:vAlign w:val="center"/>
          </w:tcPr>
          <w:p w14:paraId="5E4777D1">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完成时限</w:t>
            </w:r>
          </w:p>
        </w:tc>
        <w:tc>
          <w:tcPr>
            <w:tcW w:w="1800" w:type="dxa"/>
            <w:tcBorders>
              <w:top w:val="single" w:color="auto" w:sz="4" w:space="0"/>
              <w:left w:val="nil"/>
              <w:bottom w:val="single" w:color="auto" w:sz="4" w:space="0"/>
              <w:right w:val="single" w:color="auto" w:sz="4" w:space="0"/>
            </w:tcBorders>
            <w:noWrap w:val="0"/>
            <w:vAlign w:val="center"/>
          </w:tcPr>
          <w:p w14:paraId="5E802E0D">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牵头单位</w:t>
            </w:r>
          </w:p>
        </w:tc>
        <w:tc>
          <w:tcPr>
            <w:tcW w:w="1656" w:type="dxa"/>
            <w:tcBorders>
              <w:top w:val="single" w:color="auto" w:sz="4" w:space="0"/>
              <w:left w:val="nil"/>
              <w:bottom w:val="single" w:color="auto" w:sz="4" w:space="0"/>
              <w:right w:val="single" w:color="auto" w:sz="4" w:space="0"/>
            </w:tcBorders>
            <w:noWrap w:val="0"/>
            <w:vAlign w:val="center"/>
          </w:tcPr>
          <w:p w14:paraId="395A7965">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协办单位</w:t>
            </w:r>
          </w:p>
        </w:tc>
      </w:tr>
      <w:tr w14:paraId="3309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94" w:type="dxa"/>
            <w:gridSpan w:val="6"/>
            <w:tcBorders>
              <w:top w:val="single" w:color="auto" w:sz="4" w:space="0"/>
              <w:left w:val="single" w:color="auto" w:sz="4" w:space="0"/>
              <w:bottom w:val="single" w:color="auto" w:sz="4" w:space="0"/>
              <w:right w:val="single" w:color="auto" w:sz="4" w:space="0"/>
            </w:tcBorders>
            <w:noWrap w:val="0"/>
            <w:vAlign w:val="center"/>
          </w:tcPr>
          <w:p w14:paraId="7DF0726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kern w:val="0"/>
                <w:sz w:val="21"/>
                <w:szCs w:val="21"/>
                <w:lang w:bidi="ar"/>
              </w:rPr>
              <w:t>一、土壤污染防治目标</w:t>
            </w:r>
          </w:p>
        </w:tc>
      </w:tr>
      <w:tr w14:paraId="608B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7" w:hRule="exact"/>
        </w:trPr>
        <w:tc>
          <w:tcPr>
            <w:tcW w:w="648" w:type="dxa"/>
            <w:tcBorders>
              <w:top w:val="single" w:color="auto" w:sz="4" w:space="0"/>
              <w:left w:val="single" w:color="auto" w:sz="4" w:space="0"/>
              <w:bottom w:val="single" w:color="auto" w:sz="4" w:space="0"/>
              <w:right w:val="single" w:color="auto" w:sz="4" w:space="0"/>
            </w:tcBorders>
            <w:noWrap w:val="0"/>
            <w:vAlign w:val="center"/>
          </w:tcPr>
          <w:p w14:paraId="15476086">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62764D3E">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目标任务</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728E1418">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bCs/>
                <w:kern w:val="0"/>
                <w:sz w:val="21"/>
                <w:szCs w:val="21"/>
              </w:rPr>
              <w:t>建设用地和农用地土壤环境风险得到有效管控，土壤环境质量保持良好。</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1AE63D4">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002BBDFC">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39EB58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58026C1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区农业农村局</w:t>
            </w:r>
          </w:p>
          <w:p w14:paraId="4B984B6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p w14:paraId="140B172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p w14:paraId="366B031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8D7DB70">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区农业服务中心</w:t>
            </w:r>
          </w:p>
          <w:p w14:paraId="6CD97588">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p w14:paraId="48A4F040">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区城市管理委</w:t>
            </w:r>
          </w:p>
          <w:p w14:paraId="61BC3A12">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p w14:paraId="3D9FF586">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tc>
      </w:tr>
      <w:tr w14:paraId="3A66D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94" w:type="dxa"/>
            <w:gridSpan w:val="6"/>
            <w:tcBorders>
              <w:top w:val="single" w:color="auto" w:sz="4" w:space="0"/>
              <w:left w:val="single" w:color="auto" w:sz="4" w:space="0"/>
              <w:bottom w:val="single" w:color="auto" w:sz="4" w:space="0"/>
              <w:right w:val="single" w:color="auto" w:sz="4" w:space="0"/>
            </w:tcBorders>
            <w:noWrap w:val="0"/>
            <w:vAlign w:val="center"/>
          </w:tcPr>
          <w:p w14:paraId="7E1ABB2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kern w:val="0"/>
                <w:sz w:val="21"/>
                <w:szCs w:val="21"/>
                <w:lang w:bidi="ar"/>
              </w:rPr>
              <w:t>二、有效保障建设用地安全利用</w:t>
            </w:r>
          </w:p>
        </w:tc>
      </w:tr>
      <w:tr w14:paraId="5662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exact"/>
        </w:trPr>
        <w:tc>
          <w:tcPr>
            <w:tcW w:w="648" w:type="dxa"/>
            <w:vMerge w:val="restart"/>
            <w:tcBorders>
              <w:top w:val="single" w:color="auto" w:sz="4" w:space="0"/>
              <w:left w:val="single" w:color="auto" w:sz="4" w:space="0"/>
              <w:right w:val="single" w:color="auto" w:sz="4" w:space="0"/>
            </w:tcBorders>
            <w:noWrap w:val="0"/>
            <w:vAlign w:val="center"/>
          </w:tcPr>
          <w:p w14:paraId="4A06B148">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bidi="ar"/>
              </w:rPr>
              <w:t>2</w:t>
            </w:r>
          </w:p>
        </w:tc>
        <w:tc>
          <w:tcPr>
            <w:tcW w:w="714" w:type="dxa"/>
            <w:vMerge w:val="restart"/>
            <w:tcBorders>
              <w:top w:val="single" w:color="auto" w:sz="4" w:space="0"/>
              <w:left w:val="single" w:color="auto" w:sz="4" w:space="0"/>
              <w:right w:val="single" w:color="auto" w:sz="4" w:space="0"/>
            </w:tcBorders>
            <w:noWrap w:val="0"/>
            <w:vAlign w:val="center"/>
          </w:tcPr>
          <w:p w14:paraId="3252BC4A">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持续开展土壤污染防治现状调查</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0889A388">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全面管控优先监管地块。开展关停退出工业企业原址用地筛查，3月底、9月底更新优先监管地块清单，</w:t>
            </w:r>
            <w:r>
              <w:rPr>
                <w:rFonts w:hint="eastAsia" w:ascii="仿宋_GB2312" w:hAnsi="仿宋_GB2312" w:eastAsia="仿宋_GB2312" w:cs="仿宋_GB2312"/>
                <w:sz w:val="21"/>
                <w:szCs w:val="21"/>
              </w:rPr>
              <w:t>并开展重点监测</w:t>
            </w:r>
            <w:r>
              <w:rPr>
                <w:rFonts w:hint="eastAsia" w:ascii="仿宋_GB2312" w:hAnsi="仿宋_GB2312" w:eastAsia="仿宋_GB2312" w:cs="仿宋_GB2312"/>
                <w:kern w:val="0"/>
                <w:sz w:val="21"/>
                <w:szCs w:val="21"/>
              </w:rPr>
              <w:t>；根据重点监测评估结果，督促土壤污染责任人或土地使用权人落实制度控制、工程控制等措施，并通过环境监测监控污染扩散及其对周边敏感目标的影响。</w:t>
            </w:r>
          </w:p>
          <w:p w14:paraId="07974158">
            <w:pPr>
              <w:keepNext w:val="0"/>
              <w:keepLines w:val="0"/>
              <w:suppressLineNumbers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优先监管地块污染管控率≥95%。</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D5945C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年底</w:t>
            </w:r>
          </w:p>
          <w:p w14:paraId="087E11B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285BE1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628F8A8">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p w14:paraId="177557A7">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p w14:paraId="4F9C489D">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p w14:paraId="760C2F56">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相关镇人民政府</w:t>
            </w:r>
          </w:p>
          <w:p w14:paraId="0D92B05E">
            <w:pPr>
              <w:keepNext w:val="0"/>
              <w:keepLines w:val="0"/>
              <w:widowControl/>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相关街道办事处</w:t>
            </w:r>
          </w:p>
        </w:tc>
      </w:tr>
      <w:tr w14:paraId="3AE3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5" w:hRule="exact"/>
        </w:trPr>
        <w:tc>
          <w:tcPr>
            <w:tcW w:w="648" w:type="dxa"/>
            <w:vMerge w:val="continue"/>
            <w:tcBorders>
              <w:left w:val="single" w:color="auto" w:sz="4" w:space="0"/>
              <w:bottom w:val="single" w:color="auto" w:sz="4" w:space="0"/>
              <w:right w:val="single" w:color="auto" w:sz="4" w:space="0"/>
            </w:tcBorders>
            <w:noWrap w:val="0"/>
            <w:vAlign w:val="center"/>
          </w:tcPr>
          <w:p w14:paraId="63BF5F4A">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bottom w:val="single" w:color="auto" w:sz="4" w:space="0"/>
              <w:right w:val="single" w:color="auto" w:sz="4" w:space="0"/>
            </w:tcBorders>
            <w:noWrap w:val="0"/>
            <w:vAlign w:val="center"/>
          </w:tcPr>
          <w:p w14:paraId="0E4EBD14">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022C546">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持续推进土壤环境现状数据汇集。基本建立新、改、扩建建设项目土壤环境现状调查成果台账。</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CAC8E0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1056A02B">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9524C4">
            <w:pPr>
              <w:keepNext w:val="0"/>
              <w:keepLines w:val="0"/>
              <w:suppressLineNumbers w:val="0"/>
              <w:snapToGrid w:val="0"/>
              <w:spacing w:before="0" w:beforeAutospacing="0" w:after="0" w:afterAutospacing="0"/>
              <w:ind w:left="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7D713BC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p w14:paraId="3D5BA4C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r>
      <w:tr w14:paraId="7152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exact"/>
        </w:trPr>
        <w:tc>
          <w:tcPr>
            <w:tcW w:w="648" w:type="dxa"/>
            <w:vMerge w:val="restart"/>
            <w:tcBorders>
              <w:top w:val="single" w:color="auto" w:sz="4" w:space="0"/>
              <w:left w:val="single" w:color="auto" w:sz="4" w:space="0"/>
              <w:right w:val="single" w:color="auto" w:sz="4" w:space="0"/>
            </w:tcBorders>
            <w:noWrap w:val="0"/>
            <w:vAlign w:val="center"/>
          </w:tcPr>
          <w:p w14:paraId="7ED97EAF">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3</w:t>
            </w:r>
          </w:p>
        </w:tc>
        <w:tc>
          <w:tcPr>
            <w:tcW w:w="714" w:type="dxa"/>
            <w:vMerge w:val="restart"/>
            <w:tcBorders>
              <w:top w:val="single" w:color="auto" w:sz="4" w:space="0"/>
              <w:left w:val="single" w:color="auto" w:sz="4" w:space="0"/>
              <w:right w:val="single" w:color="auto" w:sz="4" w:space="0"/>
            </w:tcBorders>
            <w:noWrap w:val="0"/>
            <w:vAlign w:val="center"/>
          </w:tcPr>
          <w:p w14:paraId="45F4BCE3">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kern w:val="0"/>
                <w:sz w:val="21"/>
                <w:szCs w:val="21"/>
                <w:lang w:bidi="ar"/>
              </w:rPr>
              <w:t>加强工业企业土壤污染源头防控</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5DD3358D">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强化相关行业企业管理。组织已投产的化工、电子、制药、汽车制造行业企业完成土壤污染隐患排查，实现全覆盖，根据排查结果整改提升。开展已关闭加油站土壤污染风险摸底排查，逐步消除风险隐患。</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7CFD27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0207DE1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D10D01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E1B243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val="en-US" w:eastAsia="zh-CN" w:bidi="ar-SA"/>
              </w:rPr>
              <w:t>市规划自然资源</w:t>
            </w:r>
            <w:r>
              <w:rPr>
                <w:rFonts w:hint="eastAsia" w:ascii="仿宋_GB2312" w:hAnsi="仿宋_GB2312" w:eastAsia="仿宋_GB2312" w:cs="仿宋_GB2312"/>
                <w:kern w:val="0"/>
                <w:sz w:val="21"/>
                <w:szCs w:val="21"/>
              </w:rPr>
              <w:t>委大兴分局</w:t>
            </w:r>
          </w:p>
          <w:p w14:paraId="772C1686">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临空经济区大兴片</w:t>
            </w:r>
            <w:r>
              <w:rPr>
                <w:rFonts w:hint="eastAsia" w:ascii="仿宋_GB2312" w:hAnsi="仿宋_GB2312" w:eastAsia="仿宋_GB2312" w:cs="仿宋_GB2312"/>
                <w:sz w:val="21"/>
                <w:szCs w:val="21"/>
              </w:rPr>
              <w:t>区管委会</w:t>
            </w:r>
          </w:p>
          <w:p w14:paraId="41EE89D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tc>
      </w:tr>
      <w:tr w14:paraId="601F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3" w:hRule="exact"/>
        </w:trPr>
        <w:tc>
          <w:tcPr>
            <w:tcW w:w="648" w:type="dxa"/>
            <w:vMerge w:val="continue"/>
            <w:tcBorders>
              <w:left w:val="single" w:color="auto" w:sz="4" w:space="0"/>
              <w:right w:val="single" w:color="auto" w:sz="4" w:space="0"/>
            </w:tcBorders>
            <w:noWrap w:val="0"/>
            <w:vAlign w:val="center"/>
          </w:tcPr>
          <w:p w14:paraId="120615A4">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54D6253E">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3FB48802">
            <w:pPr>
              <w:keepNext w:val="0"/>
              <w:keepLines w:val="0"/>
              <w:suppressLineNumbers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强化重点单位环境管理。更新土壤污染重点监管单位名录，应纳尽纳。督促土壤重点单位按照排污许可证规定和标准规范落实控制有毒有害物质排放、土壤污染隐患排查、自行监测等要求。完善重点场所和设施设备清单，全面查清隐患并落实整改，隐患排查整改合格率达到90%以上。以优化提升监测方案为重点，提升自行监测工作质量。</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E43F08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42A1DC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24DE05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7DAE12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tc>
      </w:tr>
      <w:tr w14:paraId="09D34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exact"/>
        </w:trPr>
        <w:tc>
          <w:tcPr>
            <w:tcW w:w="648" w:type="dxa"/>
            <w:vMerge w:val="continue"/>
            <w:tcBorders>
              <w:left w:val="single" w:color="auto" w:sz="4" w:space="0"/>
              <w:right w:val="single" w:color="auto" w:sz="4" w:space="0"/>
            </w:tcBorders>
            <w:noWrap w:val="0"/>
            <w:vAlign w:val="center"/>
          </w:tcPr>
          <w:p w14:paraId="5BEF1E7E">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45D27CBE">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531D1074">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按照生态环境部新技术指南，编制土壤污染重点监管单位周边土壤和地下水监测方案。对地下水迁移影响型土壤重点单位周边开展土壤和地下水监测。</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9F088F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42089A0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EC282C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CE50EA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7AA5B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exact"/>
        </w:trPr>
        <w:tc>
          <w:tcPr>
            <w:tcW w:w="648" w:type="dxa"/>
            <w:vMerge w:val="continue"/>
            <w:tcBorders>
              <w:left w:val="single" w:color="auto" w:sz="4" w:space="0"/>
              <w:right w:val="single" w:color="auto" w:sz="4" w:space="0"/>
            </w:tcBorders>
            <w:noWrap w:val="0"/>
            <w:vAlign w:val="center"/>
          </w:tcPr>
          <w:p w14:paraId="01D035BB">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094C3B1A">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0040B84">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预防工业园区土壤环境污染。督促市级以上工业园区管理机构按照土壤污染防治方案,开展土壤和地下水监测、结果评价及风险防控。</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2C1AE8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35872F7E">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7E5E04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大兴经济开发区</w:t>
            </w:r>
          </w:p>
          <w:p w14:paraId="0C85CE3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管委会</w:t>
            </w:r>
          </w:p>
          <w:p w14:paraId="67B64A9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大兴生物医药基地</w:t>
            </w:r>
          </w:p>
          <w:p w14:paraId="2A8BE51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管委会</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72661AD7">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0162281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tc>
      </w:tr>
      <w:tr w14:paraId="7489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exact"/>
        </w:trPr>
        <w:tc>
          <w:tcPr>
            <w:tcW w:w="648" w:type="dxa"/>
            <w:vMerge w:val="restart"/>
            <w:tcBorders>
              <w:left w:val="single" w:color="auto" w:sz="4" w:space="0"/>
              <w:right w:val="single" w:color="auto" w:sz="4" w:space="0"/>
            </w:tcBorders>
            <w:noWrap w:val="0"/>
            <w:vAlign w:val="center"/>
          </w:tcPr>
          <w:p w14:paraId="1814FE0B">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bidi="ar"/>
              </w:rPr>
              <w:t>4</w:t>
            </w:r>
          </w:p>
        </w:tc>
        <w:tc>
          <w:tcPr>
            <w:tcW w:w="714" w:type="dxa"/>
            <w:vMerge w:val="restart"/>
            <w:tcBorders>
              <w:left w:val="single" w:color="auto" w:sz="4" w:space="0"/>
              <w:right w:val="single" w:color="auto" w:sz="4" w:space="0"/>
            </w:tcBorders>
            <w:noWrap w:val="0"/>
            <w:vAlign w:val="center"/>
          </w:tcPr>
          <w:p w14:paraId="261E47ED">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科学管控建设用地风险</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572FEA99">
            <w:pPr>
              <w:keepNext w:val="0"/>
              <w:keepLines w:val="0"/>
              <w:suppressLineNumbers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削减受污染建设用地面积。科学实施土壤污染风险管控、修复，加快建设用地土壤污染风险管控和修复名录内地块风险管控、修复及效果评估。强化土壤污染风险管控和修复过程监督管理，开展污染地块专项检查。</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7C8CD5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年底前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8ADBEE8">
            <w:pPr>
              <w:keepNext w:val="0"/>
              <w:keepLines w:val="0"/>
              <w:suppressLineNumbers w:val="0"/>
              <w:snapToGrid w:val="0"/>
              <w:spacing w:before="0" w:beforeAutospacing="0" w:after="0" w:afterAutospacing="0"/>
              <w:ind w:left="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60E642EF">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3754A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exact"/>
        </w:trPr>
        <w:tc>
          <w:tcPr>
            <w:tcW w:w="648" w:type="dxa"/>
            <w:vMerge w:val="continue"/>
            <w:tcBorders>
              <w:left w:val="single" w:color="auto" w:sz="4" w:space="0"/>
              <w:right w:val="single" w:color="auto" w:sz="4" w:space="0"/>
            </w:tcBorders>
            <w:noWrap w:val="0"/>
            <w:vAlign w:val="center"/>
          </w:tcPr>
          <w:p w14:paraId="0B97D11A">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10180ABF">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675F2AF4">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强化土壤污染风险管控和修复过程监督管理，针对开挖深度较大的修复项目，加强土壤污染治理监督检查和施工安全监督检查。</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3B5ABF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3EBED3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077BC7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6466D66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7248C41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r>
      <w:tr w14:paraId="1CB8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3" w:hRule="exact"/>
        </w:trPr>
        <w:tc>
          <w:tcPr>
            <w:tcW w:w="648" w:type="dxa"/>
            <w:vMerge w:val="restart"/>
            <w:tcBorders>
              <w:left w:val="single" w:color="auto" w:sz="4" w:space="0"/>
              <w:right w:val="single" w:color="auto" w:sz="4" w:space="0"/>
            </w:tcBorders>
            <w:noWrap w:val="0"/>
            <w:vAlign w:val="center"/>
          </w:tcPr>
          <w:p w14:paraId="727EC184">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bidi="ar"/>
              </w:rPr>
              <w:t>5</w:t>
            </w:r>
          </w:p>
        </w:tc>
        <w:tc>
          <w:tcPr>
            <w:tcW w:w="714" w:type="dxa"/>
            <w:vMerge w:val="restart"/>
            <w:tcBorders>
              <w:left w:val="single" w:color="auto" w:sz="4" w:space="0"/>
              <w:right w:val="single" w:color="auto" w:sz="4" w:space="0"/>
            </w:tcBorders>
            <w:noWrap w:val="0"/>
            <w:vAlign w:val="center"/>
          </w:tcPr>
          <w:p w14:paraId="4C690BD6">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完善建设用地再开发利用监管机制</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2BEB9A81">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规划自然资源部门、生态环境部门加强联动，落实“先调查、先治理、再供地（出让、划拨、协议出让）”的原则，保障“净地”出让。</w:t>
            </w:r>
          </w:p>
          <w:p w14:paraId="6555CBEC">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重点建设用地安全利用率达到100%，或者达到95%以上且当年依法处罚、整改到位。</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3BA7140">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36307FF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EC21E3D">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4DA9C65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p w14:paraId="2F86D41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临空经济区大兴片区管委会</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E70FAE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区农村集体土地交易服务中心</w:t>
            </w:r>
          </w:p>
          <w:p w14:paraId="300D3BB5">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rPr>
              <w:t>区住房城乡建设委</w:t>
            </w:r>
          </w:p>
        </w:tc>
      </w:tr>
      <w:tr w14:paraId="16D5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exact"/>
        </w:trPr>
        <w:tc>
          <w:tcPr>
            <w:tcW w:w="648" w:type="dxa"/>
            <w:vMerge w:val="continue"/>
            <w:tcBorders>
              <w:left w:val="single" w:color="auto" w:sz="4" w:space="0"/>
              <w:right w:val="single" w:color="auto" w:sz="4" w:space="0"/>
            </w:tcBorders>
            <w:noWrap w:val="0"/>
            <w:vAlign w:val="center"/>
          </w:tcPr>
          <w:p w14:paraId="676AAF88">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19E3DBE3">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2AC3F668">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防控拟收储地块土壤污染风险。拟收储地块应符合《北京市土壤污染防治条例》相关规定，依法开展土壤污染状况调查和治理，且满足土壤安全利用要求。</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483CFA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DB9A04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市规划自然资源委大兴分局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9BD48DC">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区生态环境局</w:t>
            </w:r>
          </w:p>
        </w:tc>
      </w:tr>
      <w:tr w14:paraId="1CF85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exact"/>
        </w:trPr>
        <w:tc>
          <w:tcPr>
            <w:tcW w:w="648" w:type="dxa"/>
            <w:vMerge w:val="continue"/>
            <w:tcBorders>
              <w:left w:val="single" w:color="auto" w:sz="4" w:space="0"/>
              <w:right w:val="single" w:color="auto" w:sz="4" w:space="0"/>
            </w:tcBorders>
            <w:noWrap w:val="0"/>
            <w:vAlign w:val="center"/>
          </w:tcPr>
          <w:p w14:paraId="72BA586A">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50239973">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7E83A353">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受污染建设用地采取工程阻隔等措施实施风险管控达到安全利用目标的，在核发建设工程规划许可证时，加强方案审查，避免后续开发建设对工程阻隔造成破坏。</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4E62CE4">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736F638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7D023B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市规划自然资源委大兴分局</w:t>
            </w:r>
          </w:p>
          <w:p w14:paraId="1FAD6A59">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临空经济区大兴片区管委会</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0910FB2">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7BF11133">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tc>
      </w:tr>
      <w:tr w14:paraId="2A7F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8994" w:type="dxa"/>
            <w:gridSpan w:val="6"/>
            <w:tcBorders>
              <w:left w:val="single" w:color="auto" w:sz="4" w:space="0"/>
              <w:right w:val="single" w:color="auto" w:sz="4" w:space="0"/>
            </w:tcBorders>
            <w:noWrap w:val="0"/>
            <w:vAlign w:val="center"/>
          </w:tcPr>
          <w:p w14:paraId="0AD8E5E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r>
              <w:rPr>
                <w:rFonts w:hint="eastAsia" w:ascii="黑体" w:hAnsi="黑体" w:eastAsia="黑体" w:cs="黑体"/>
                <w:kern w:val="0"/>
                <w:sz w:val="21"/>
                <w:szCs w:val="21"/>
                <w:lang w:bidi="ar"/>
              </w:rPr>
              <w:t>三、有效保障农用地安全利用</w:t>
            </w:r>
          </w:p>
        </w:tc>
      </w:tr>
      <w:tr w14:paraId="08A6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exact"/>
        </w:trPr>
        <w:tc>
          <w:tcPr>
            <w:tcW w:w="648" w:type="dxa"/>
            <w:vMerge w:val="restart"/>
            <w:tcBorders>
              <w:left w:val="single" w:color="auto" w:sz="4" w:space="0"/>
              <w:right w:val="single" w:color="auto" w:sz="4" w:space="0"/>
            </w:tcBorders>
            <w:noWrap w:val="0"/>
            <w:vAlign w:val="center"/>
          </w:tcPr>
          <w:p w14:paraId="07223ACE">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6</w:t>
            </w:r>
          </w:p>
        </w:tc>
        <w:tc>
          <w:tcPr>
            <w:tcW w:w="714" w:type="dxa"/>
            <w:vMerge w:val="restart"/>
            <w:tcBorders>
              <w:left w:val="single" w:color="auto" w:sz="4" w:space="0"/>
              <w:right w:val="single" w:color="auto" w:sz="4" w:space="0"/>
            </w:tcBorders>
            <w:noWrap w:val="0"/>
            <w:vAlign w:val="center"/>
          </w:tcPr>
          <w:p w14:paraId="65D19B70">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深入推进农用地分类管理</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793F909B">
            <w:pPr>
              <w:keepNext w:val="0"/>
              <w:keepLines w:val="0"/>
              <w:suppressLineNumbers w:val="0"/>
              <w:spacing w:before="0" w:beforeAutospacing="0" w:after="0" w:afterAutospacing="0"/>
              <w:ind w:left="0" w:right="0"/>
              <w:rPr>
                <w:rFonts w:hint="eastAsia" w:ascii="仿宋_GB2312" w:hAnsi="仿宋_GB2312" w:eastAsia="仿宋_GB2312" w:cs="仿宋_GB2312"/>
                <w:bCs/>
                <w:color w:val="000000"/>
                <w:kern w:val="0"/>
                <w:sz w:val="21"/>
                <w:szCs w:val="21"/>
              </w:rPr>
            </w:pPr>
            <w:r>
              <w:rPr>
                <w:rFonts w:hint="eastAsia" w:ascii="仿宋_GB2312" w:hAnsi="仿宋_GB2312" w:eastAsia="仿宋_GB2312" w:cs="仿宋_GB2312"/>
                <w:sz w:val="21"/>
                <w:szCs w:val="21"/>
              </w:rPr>
              <w:t>更新农用地类别。根据土地利用变更、土壤和农产品协同监测结果等，完成一轮耕地、园地土壤环境质量类别调整，更新清单，并继续实施耕地、园地分类管理。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C4B7694">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487AE6F8">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5F96D44">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5ADD35A8">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E340BA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4E23244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tc>
      </w:tr>
      <w:tr w14:paraId="7BB8E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exact"/>
        </w:trPr>
        <w:tc>
          <w:tcPr>
            <w:tcW w:w="648" w:type="dxa"/>
            <w:vMerge w:val="continue"/>
            <w:tcBorders>
              <w:left w:val="single" w:color="auto" w:sz="4" w:space="0"/>
              <w:right w:val="single" w:color="auto" w:sz="4" w:space="0"/>
            </w:tcBorders>
            <w:noWrap w:val="0"/>
            <w:vAlign w:val="center"/>
          </w:tcPr>
          <w:p w14:paraId="7EC626B6">
            <w:pPr>
              <w:keepNext w:val="0"/>
              <w:keepLines w:val="0"/>
              <w:widowControl/>
              <w:suppressLineNumbers w:val="0"/>
              <w:autoSpaceDE w:val="0"/>
              <w:snapToGrid w:val="0"/>
              <w:spacing w:before="0" w:beforeAutospacing="0" w:after="0" w:afterAutospacing="0"/>
              <w:ind w:left="-105" w:leftChars="-50" w:right="-105" w:rightChars="-50"/>
              <w:jc w:val="left"/>
              <w:rPr>
                <w:rFonts w:hint="eastAsia" w:ascii="仿宋_GB2312" w:hAnsi="仿宋_GB2312" w:eastAsia="仿宋_GB2312" w:cs="仿宋_GB2312"/>
                <w:color w:val="000000"/>
                <w:kern w:val="0"/>
                <w:sz w:val="21"/>
                <w:szCs w:val="21"/>
              </w:rPr>
            </w:pPr>
          </w:p>
        </w:tc>
        <w:tc>
          <w:tcPr>
            <w:tcW w:w="714" w:type="dxa"/>
            <w:vMerge w:val="continue"/>
            <w:tcBorders>
              <w:left w:val="single" w:color="auto" w:sz="4" w:space="0"/>
              <w:right w:val="single" w:color="auto" w:sz="4" w:space="0"/>
            </w:tcBorders>
            <w:noWrap w:val="0"/>
            <w:vAlign w:val="center"/>
          </w:tcPr>
          <w:p w14:paraId="01987F5C">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3B00DFD2">
            <w:pPr>
              <w:keepNext w:val="0"/>
              <w:keepLines w:val="0"/>
              <w:suppressLineNumbers w:val="0"/>
              <w:spacing w:before="0" w:beforeAutospacing="0" w:after="0" w:afterAutospacing="0"/>
              <w:ind w:left="0" w:right="0"/>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防控涉重金属重点行业污染。完成涉重金属行业企业、含电镀工序企业排查，防止污染农用地。</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84B293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352D4B37">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A1B92A1">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FF71266">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区经济和信息化局</w:t>
            </w:r>
          </w:p>
        </w:tc>
      </w:tr>
      <w:tr w14:paraId="6560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6" w:hRule="exact"/>
        </w:trPr>
        <w:tc>
          <w:tcPr>
            <w:tcW w:w="648" w:type="dxa"/>
            <w:tcBorders>
              <w:left w:val="single" w:color="auto" w:sz="4" w:space="0"/>
              <w:right w:val="single" w:color="auto" w:sz="4" w:space="0"/>
            </w:tcBorders>
            <w:noWrap w:val="0"/>
            <w:vAlign w:val="center"/>
          </w:tcPr>
          <w:p w14:paraId="6B2916D3">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7</w:t>
            </w:r>
          </w:p>
        </w:tc>
        <w:tc>
          <w:tcPr>
            <w:tcW w:w="714" w:type="dxa"/>
            <w:tcBorders>
              <w:left w:val="single" w:color="auto" w:sz="4" w:space="0"/>
              <w:right w:val="single" w:color="auto" w:sz="4" w:space="0"/>
            </w:tcBorders>
            <w:noWrap w:val="0"/>
            <w:vAlign w:val="center"/>
          </w:tcPr>
          <w:p w14:paraId="5EE859DE">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促进农用地土壤质量提升</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0881D8CF">
            <w:pPr>
              <w:pStyle w:val="6"/>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bCs/>
                <w:color w:val="000000"/>
                <w:kern w:val="0"/>
                <w:sz w:val="21"/>
                <w:szCs w:val="21"/>
                <w:lang w:bidi="ar"/>
              </w:rPr>
            </w:pPr>
            <w:r>
              <w:rPr>
                <w:rFonts w:hint="eastAsia" w:ascii="仿宋_GB2312" w:hAnsi="仿宋_GB2312" w:eastAsia="仿宋_GB2312" w:cs="仿宋_GB2312"/>
                <w:bCs/>
                <w:kern w:val="0"/>
                <w:sz w:val="21"/>
                <w:szCs w:val="21"/>
                <w:lang w:val="en-US" w:eastAsia="zh-CN" w:bidi="ar-SA"/>
              </w:rPr>
              <w:t>完成市级下达的高标准农田建设任务以及农田节水灌溉工程建设和节水改造任务，推广水肥一体化等节水、抗旱技术。农田灌溉用水有效利用系数达到0.753。对现有高标准农田水井水质开展监测。</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A55D58E">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年底</w:t>
            </w:r>
          </w:p>
          <w:p w14:paraId="09B64CC2">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7070089">
            <w:pPr>
              <w:keepNext w:val="0"/>
              <w:keepLines w:val="0"/>
              <w:widowControl/>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区农业农村局</w:t>
            </w:r>
          </w:p>
          <w:p w14:paraId="317836E1">
            <w:pPr>
              <w:keepNext w:val="0"/>
              <w:keepLines w:val="0"/>
              <w:widowControl/>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区水务局</w:t>
            </w:r>
          </w:p>
          <w:p w14:paraId="2121E084">
            <w:pPr>
              <w:pStyle w:val="4"/>
              <w:keepNext w:val="0"/>
              <w:keepLines w:val="0"/>
              <w:suppressLineNumbers w:val="0"/>
              <w:spacing w:before="0" w:beforeAutospacing="0" w:afterAutospacing="0"/>
              <w:ind w:left="210" w:right="21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73A6DCC">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p>
          <w:p w14:paraId="0C89565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相关街道办事处</w:t>
            </w:r>
          </w:p>
        </w:tc>
      </w:tr>
      <w:tr w14:paraId="56451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9" w:hRule="exact"/>
        </w:trPr>
        <w:tc>
          <w:tcPr>
            <w:tcW w:w="648" w:type="dxa"/>
            <w:vMerge w:val="restart"/>
            <w:tcBorders>
              <w:left w:val="single" w:color="auto" w:sz="4" w:space="0"/>
              <w:right w:val="single" w:color="auto" w:sz="4" w:space="0"/>
            </w:tcBorders>
            <w:noWrap w:val="0"/>
            <w:vAlign w:val="center"/>
          </w:tcPr>
          <w:p w14:paraId="5CDE23E2">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bidi="ar"/>
              </w:rPr>
              <w:t>8</w:t>
            </w:r>
          </w:p>
        </w:tc>
        <w:tc>
          <w:tcPr>
            <w:tcW w:w="714" w:type="dxa"/>
            <w:vMerge w:val="restart"/>
            <w:tcBorders>
              <w:left w:val="single" w:color="auto" w:sz="4" w:space="0"/>
              <w:right w:val="single" w:color="auto" w:sz="4" w:space="0"/>
            </w:tcBorders>
            <w:noWrap w:val="0"/>
            <w:vAlign w:val="center"/>
          </w:tcPr>
          <w:p w14:paraId="43E29289">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加强面源污染治理</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3CE7399C">
            <w:pPr>
              <w:keepNext w:val="0"/>
              <w:keepLines w:val="0"/>
              <w:suppressLineNumbers w:val="0"/>
              <w:spacing w:before="0" w:beforeAutospacing="0" w:after="0" w:afterAutospacing="0"/>
              <w:ind w:left="0" w:right="0"/>
              <w:rPr>
                <w:rFonts w:hint="eastAsia" w:ascii="仿宋_GB2312" w:hAnsi="仿宋_GB2312" w:eastAsia="仿宋_GB2312" w:cs="仿宋_GB2312"/>
                <w:bCs/>
                <w:kern w:val="0"/>
                <w:sz w:val="21"/>
                <w:szCs w:val="21"/>
              </w:rPr>
            </w:pPr>
            <w:r>
              <w:rPr>
                <w:rFonts w:hint="eastAsia" w:ascii="仿宋_GB2312" w:hAnsi="仿宋_GB2312" w:eastAsia="仿宋_GB2312" w:cs="仿宋_GB2312"/>
                <w:kern w:val="0"/>
                <w:sz w:val="21"/>
                <w:szCs w:val="21"/>
              </w:rPr>
              <w:t>治理农业面源污染。扎实推进农药化肥减量化，测土配方施肥技术覆盖率保持在98%以上，主要粮食作物化肥利用率达到43%以上，农药利用率保持在45%以上，主要农作物病虫害绿色防控覆盖率达到77%以上，小麦玉米粮食作物统防统治覆盖率达到56%以上。深化农膜和农药包装废弃物回收处置，农膜回收率达到95%以上，农药包装废弃物回收率达到90%以上，地膜残留量实现零增长，继续抓好全生物降解地膜示范推广。</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BD6A801">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253BF093">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2290AE">
            <w:pPr>
              <w:pStyle w:val="4"/>
              <w:keepNext w:val="0"/>
              <w:keepLines w:val="0"/>
              <w:suppressLineNumbers w:val="0"/>
              <w:spacing w:before="0" w:beforeAutospacing="0" w:afterAutospacing="0"/>
              <w:ind w:left="210" w:right="21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区农业服务中心</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70E3C6B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1E65CA78">
            <w:pPr>
              <w:keepNext w:val="0"/>
              <w:keepLines w:val="0"/>
              <w:suppressLineNumbers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区生态环境局</w:t>
            </w:r>
          </w:p>
        </w:tc>
      </w:tr>
      <w:tr w14:paraId="134D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exact"/>
        </w:trPr>
        <w:tc>
          <w:tcPr>
            <w:tcW w:w="648" w:type="dxa"/>
            <w:vMerge w:val="continue"/>
            <w:tcBorders>
              <w:left w:val="single" w:color="auto" w:sz="4" w:space="0"/>
              <w:right w:val="single" w:color="auto" w:sz="4" w:space="0"/>
            </w:tcBorders>
            <w:noWrap w:val="0"/>
            <w:vAlign w:val="center"/>
          </w:tcPr>
          <w:p w14:paraId="037BE968">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7A3EB1D3">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36E63775">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治理园林绿化面源污染。分类分区分级推进园林绿化农药减量，完成市级下达的绿色防治技术示范任务。</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55A22F6">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4B19566D">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FBF2977">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DBBDF64">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区园林服务中心</w:t>
            </w:r>
          </w:p>
        </w:tc>
      </w:tr>
      <w:tr w14:paraId="52894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48" w:type="dxa"/>
            <w:vMerge w:val="continue"/>
            <w:tcBorders>
              <w:left w:val="single" w:color="auto" w:sz="4" w:space="0"/>
              <w:right w:val="single" w:color="auto" w:sz="4" w:space="0"/>
            </w:tcBorders>
            <w:noWrap w:val="0"/>
            <w:vAlign w:val="center"/>
          </w:tcPr>
          <w:p w14:paraId="538A9965">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70500EEF">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4D2084D2">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推进农作物秸秆循环利用，秸秆综合利用率保持在99%以上。</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ED74F0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0E93158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24E358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7B8995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区农业服务中心</w:t>
            </w:r>
          </w:p>
        </w:tc>
      </w:tr>
      <w:tr w14:paraId="5744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exact"/>
        </w:trPr>
        <w:tc>
          <w:tcPr>
            <w:tcW w:w="648" w:type="dxa"/>
            <w:vMerge w:val="continue"/>
            <w:tcBorders>
              <w:left w:val="single" w:color="auto" w:sz="4" w:space="0"/>
              <w:right w:val="single" w:color="auto" w:sz="4" w:space="0"/>
            </w:tcBorders>
            <w:noWrap w:val="0"/>
            <w:vAlign w:val="center"/>
          </w:tcPr>
          <w:p w14:paraId="0F4681EF">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lang w:bidi="ar"/>
              </w:rPr>
            </w:pPr>
          </w:p>
        </w:tc>
        <w:tc>
          <w:tcPr>
            <w:tcW w:w="714" w:type="dxa"/>
            <w:vMerge w:val="continue"/>
            <w:tcBorders>
              <w:left w:val="single" w:color="auto" w:sz="4" w:space="0"/>
              <w:right w:val="single" w:color="auto" w:sz="4" w:space="0"/>
            </w:tcBorders>
            <w:noWrap w:val="0"/>
            <w:vAlign w:val="center"/>
          </w:tcPr>
          <w:p w14:paraId="5C73A9C5">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09C00817">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资源化利用畜禽粪污。规模养殖场粪污处理设施装备配套率持续保持100%，畜禽粪污综合利用率达95%以上。</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0A113C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1D056D11">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7B0D43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B8B5CB4">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区生态环境局</w:t>
            </w:r>
          </w:p>
        </w:tc>
      </w:tr>
      <w:tr w14:paraId="2378E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exact"/>
        </w:trPr>
        <w:tc>
          <w:tcPr>
            <w:tcW w:w="648" w:type="dxa"/>
            <w:vMerge w:val="restart"/>
            <w:tcBorders>
              <w:left w:val="single" w:color="auto" w:sz="4" w:space="0"/>
              <w:right w:val="single" w:color="auto" w:sz="4" w:space="0"/>
            </w:tcBorders>
            <w:noWrap w:val="0"/>
            <w:vAlign w:val="center"/>
          </w:tcPr>
          <w:p w14:paraId="712F3131">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9</w:t>
            </w:r>
          </w:p>
        </w:tc>
        <w:tc>
          <w:tcPr>
            <w:tcW w:w="714" w:type="dxa"/>
            <w:vMerge w:val="restart"/>
            <w:tcBorders>
              <w:left w:val="single" w:color="auto" w:sz="4" w:space="0"/>
              <w:right w:val="single" w:color="auto" w:sz="4" w:space="0"/>
            </w:tcBorders>
            <w:noWrap w:val="0"/>
            <w:vAlign w:val="center"/>
          </w:tcPr>
          <w:p w14:paraId="13751650">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推进农村环境整治</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31AE4584">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深入推进农村环境整治。完成农村环境整治任务，持续巩固整治成效，实现“三基本”。落实农村环境整治常态化摸排调研要求，对发现的问题，及时组织核实整改。</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AE27690">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36438EC0">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90284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4DF12EA0">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1EBBC61F">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p w14:paraId="17483A56">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CA9CDA8">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各镇人民政府</w:t>
            </w:r>
          </w:p>
        </w:tc>
      </w:tr>
      <w:tr w14:paraId="6939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9" w:hRule="exact"/>
        </w:trPr>
        <w:tc>
          <w:tcPr>
            <w:tcW w:w="648" w:type="dxa"/>
            <w:vMerge w:val="continue"/>
            <w:tcBorders>
              <w:left w:val="single" w:color="auto" w:sz="4" w:space="0"/>
              <w:right w:val="single" w:color="auto" w:sz="4" w:space="0"/>
            </w:tcBorders>
            <w:noWrap w:val="0"/>
            <w:vAlign w:val="center"/>
          </w:tcPr>
          <w:p w14:paraId="7CEC0DB2">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p>
        </w:tc>
        <w:tc>
          <w:tcPr>
            <w:tcW w:w="714" w:type="dxa"/>
            <w:vMerge w:val="continue"/>
            <w:tcBorders>
              <w:left w:val="single" w:color="auto" w:sz="4" w:space="0"/>
              <w:right w:val="single" w:color="auto" w:sz="4" w:space="0"/>
            </w:tcBorders>
            <w:noWrap w:val="0"/>
            <w:vAlign w:val="center"/>
          </w:tcPr>
          <w:p w14:paraId="0CC9A597">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FCCF0F5">
            <w:pPr>
              <w:pStyle w:val="6"/>
              <w:keepNext w:val="0"/>
              <w:keepLines w:val="0"/>
              <w:widowControl/>
              <w:suppressLineNumbers w:val="0"/>
              <w:snapToGrid w:val="0"/>
              <w:spacing w:before="0" w:beforeAutospacing="0" w:after="0" w:afterAutospacing="0"/>
              <w:ind w:left="0" w:right="0"/>
              <w:rPr>
                <w:rFonts w:hint="eastAsia" w:ascii="仿宋_GB2312" w:hAnsi="仿宋_GB2312" w:eastAsia="仿宋_GB2312" w:cs="仿宋_GB2312"/>
                <w:bCs/>
                <w:kern w:val="0"/>
                <w:sz w:val="21"/>
                <w:szCs w:val="21"/>
                <w:lang w:bidi="ar"/>
              </w:rPr>
            </w:pPr>
            <w:r>
              <w:rPr>
                <w:rFonts w:hint="eastAsia" w:ascii="仿宋_GB2312" w:hAnsi="仿宋_GB2312" w:eastAsia="仿宋_GB2312" w:cs="仿宋_GB2312"/>
                <w:bCs/>
                <w:kern w:val="0"/>
                <w:sz w:val="21"/>
                <w:szCs w:val="21"/>
                <w:lang w:val="en-US" w:eastAsia="zh-CN" w:bidi="ar-SA"/>
              </w:rPr>
              <w:t>落实“查、治、管”一体推进农村黑臭水体治理。按照市级农村黑臭水体清单，区相关部门建立闭环工作机制，组织排查问题线索，动态更新监管清单，制定治理方案，分级分类开展治理及成效自评，实施挂账销号，强化长效管护，对发现的问题组织整改，严防返黑返臭。</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CA8E756">
            <w:pPr>
              <w:keepNext w:val="0"/>
              <w:keepLines w:val="0"/>
              <w:suppressLineNumbers w:val="0"/>
              <w:autoSpaceDE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年底</w:t>
            </w:r>
          </w:p>
          <w:p w14:paraId="3B215978">
            <w:pPr>
              <w:keepNext w:val="0"/>
              <w:keepLines w:val="0"/>
              <w:suppressLineNumbers w:val="0"/>
              <w:autoSpaceDE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bidi="ar"/>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813D77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3D79A52D">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区水务局</w:t>
            </w:r>
          </w:p>
          <w:p w14:paraId="5B5FBCAB">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bCs/>
                <w:kern w:val="0"/>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07679D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区公路分局</w:t>
            </w:r>
          </w:p>
          <w:p w14:paraId="4DC34C6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p>
          <w:p w14:paraId="053A137F">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sz w:val="21"/>
                <w:szCs w:val="21"/>
              </w:rPr>
              <w:t>相关镇人民政府</w:t>
            </w:r>
          </w:p>
        </w:tc>
      </w:tr>
      <w:tr w14:paraId="1BECE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exact"/>
        </w:trPr>
        <w:tc>
          <w:tcPr>
            <w:tcW w:w="648" w:type="dxa"/>
            <w:tcBorders>
              <w:left w:val="single" w:color="auto" w:sz="4" w:space="0"/>
              <w:right w:val="single" w:color="auto" w:sz="4" w:space="0"/>
            </w:tcBorders>
            <w:noWrap w:val="0"/>
            <w:vAlign w:val="center"/>
          </w:tcPr>
          <w:p w14:paraId="6483E923">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10</w:t>
            </w:r>
          </w:p>
        </w:tc>
        <w:tc>
          <w:tcPr>
            <w:tcW w:w="714" w:type="dxa"/>
            <w:tcBorders>
              <w:left w:val="single" w:color="auto" w:sz="4" w:space="0"/>
              <w:right w:val="single" w:color="auto" w:sz="4" w:space="0"/>
            </w:tcBorders>
            <w:noWrap w:val="0"/>
            <w:vAlign w:val="center"/>
          </w:tcPr>
          <w:p w14:paraId="550DED3D">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形成第三次全国土壤普查成果</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290EE6A2">
            <w:pPr>
              <w:pStyle w:val="6"/>
              <w:keepNext w:val="0"/>
              <w:keepLines w:val="0"/>
              <w:suppressLineNumbers w:val="0"/>
              <w:snapToGrid w:val="0"/>
              <w:spacing w:before="0" w:beforeAutospacing="0" w:after="0" w:afterAutospacing="0"/>
              <w:ind w:left="0" w:right="0"/>
              <w:rPr>
                <w:rFonts w:hint="eastAsia" w:ascii="仿宋_GB2312" w:hAnsi="仿宋_GB2312" w:eastAsia="仿宋_GB2312" w:cs="仿宋_GB2312"/>
                <w:bCs/>
                <w:kern w:val="0"/>
                <w:sz w:val="21"/>
                <w:szCs w:val="21"/>
                <w:lang w:bidi="ar"/>
              </w:rPr>
            </w:pPr>
            <w:r>
              <w:rPr>
                <w:rFonts w:hint="eastAsia" w:ascii="仿宋_GB2312" w:hAnsi="仿宋_GB2312" w:eastAsia="仿宋_GB2312" w:cs="仿宋_GB2312"/>
                <w:bCs/>
                <w:kern w:val="0"/>
                <w:sz w:val="21"/>
                <w:szCs w:val="21"/>
                <w:lang w:val="en-US" w:eastAsia="zh-CN" w:bidi="ar-SA"/>
              </w:rPr>
              <w:t>完成第三次全国土壤普查，形成工作成果。</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3A07AB6">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5F5E967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A9A5C6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FB52D1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区园林绿化局</w:t>
            </w:r>
          </w:p>
          <w:p w14:paraId="4203ACA3">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7DB4E293">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区发展改革委</w:t>
            </w:r>
          </w:p>
          <w:p w14:paraId="7B01FE6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区财政局</w:t>
            </w:r>
          </w:p>
          <w:p w14:paraId="332D198B">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4E66ACE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区统计局</w:t>
            </w:r>
          </w:p>
        </w:tc>
      </w:tr>
      <w:tr w14:paraId="69D1A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trPr>
        <w:tc>
          <w:tcPr>
            <w:tcW w:w="8994" w:type="dxa"/>
            <w:gridSpan w:val="6"/>
            <w:tcBorders>
              <w:left w:val="single" w:color="auto" w:sz="4" w:space="0"/>
              <w:right w:val="single" w:color="auto" w:sz="4" w:space="0"/>
            </w:tcBorders>
            <w:noWrap w:val="0"/>
            <w:vAlign w:val="center"/>
          </w:tcPr>
          <w:p w14:paraId="2D743B4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bidi="ar"/>
              </w:rPr>
            </w:pPr>
            <w:r>
              <w:rPr>
                <w:rFonts w:hint="eastAsia" w:ascii="黑体" w:hAnsi="黑体" w:eastAsia="黑体" w:cs="黑体"/>
                <w:sz w:val="21"/>
                <w:szCs w:val="21"/>
                <w:lang w:bidi="ar"/>
              </w:rPr>
              <w:t>四、持续完善未利用地保护管理</w:t>
            </w:r>
          </w:p>
        </w:tc>
      </w:tr>
      <w:tr w14:paraId="0E48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exact"/>
        </w:trPr>
        <w:tc>
          <w:tcPr>
            <w:tcW w:w="648" w:type="dxa"/>
            <w:tcBorders>
              <w:left w:val="single" w:color="auto" w:sz="4" w:space="0"/>
              <w:right w:val="single" w:color="auto" w:sz="4" w:space="0"/>
            </w:tcBorders>
            <w:noWrap w:val="0"/>
            <w:vAlign w:val="center"/>
          </w:tcPr>
          <w:p w14:paraId="5F15B23C">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11</w:t>
            </w:r>
          </w:p>
        </w:tc>
        <w:tc>
          <w:tcPr>
            <w:tcW w:w="714" w:type="dxa"/>
            <w:tcBorders>
              <w:left w:val="single" w:color="auto" w:sz="4" w:space="0"/>
              <w:right w:val="single" w:color="auto" w:sz="4" w:space="0"/>
            </w:tcBorders>
            <w:noWrap w:val="0"/>
            <w:vAlign w:val="center"/>
          </w:tcPr>
          <w:p w14:paraId="1798576C">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完善未利用地闭合管控</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4796C269">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bCs/>
                <w:kern w:val="0"/>
                <w:sz w:val="21"/>
                <w:szCs w:val="21"/>
              </w:rPr>
            </w:pPr>
            <w:r>
              <w:rPr>
                <w:rFonts w:hint="eastAsia" w:ascii="仿宋_GB2312" w:hAnsi="仿宋_GB2312" w:eastAsia="仿宋_GB2312" w:cs="仿宋_GB2312"/>
                <w:bCs/>
                <w:kern w:val="0"/>
                <w:sz w:val="21"/>
                <w:szCs w:val="21"/>
              </w:rPr>
              <w:t>更新本区未利用地地块管理台账，完善对未利用地的监督管理。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38A428D">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54497DF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31A95B8">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074EEF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r>
      <w:tr w14:paraId="1E05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exact"/>
        </w:trPr>
        <w:tc>
          <w:tcPr>
            <w:tcW w:w="648" w:type="dxa"/>
            <w:tcBorders>
              <w:left w:val="single" w:color="auto" w:sz="4" w:space="0"/>
              <w:right w:val="single" w:color="auto" w:sz="4" w:space="0"/>
            </w:tcBorders>
            <w:noWrap w:val="0"/>
            <w:vAlign w:val="center"/>
          </w:tcPr>
          <w:p w14:paraId="05D580C0">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12</w:t>
            </w:r>
          </w:p>
        </w:tc>
        <w:tc>
          <w:tcPr>
            <w:tcW w:w="714" w:type="dxa"/>
            <w:tcBorders>
              <w:left w:val="single" w:color="auto" w:sz="4" w:space="0"/>
              <w:right w:val="single" w:color="auto" w:sz="4" w:space="0"/>
            </w:tcBorders>
            <w:noWrap w:val="0"/>
            <w:vAlign w:val="center"/>
          </w:tcPr>
          <w:p w14:paraId="340E3FA2">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kern w:val="0"/>
                <w:sz w:val="21"/>
                <w:szCs w:val="21"/>
                <w:lang w:bidi="ar"/>
              </w:rPr>
              <w:t>防控未利用地土壤污染</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7BB9AF87">
            <w:pPr>
              <w:pStyle w:val="6"/>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bCs/>
                <w:kern w:val="0"/>
                <w:sz w:val="21"/>
                <w:szCs w:val="21"/>
                <w:lang w:val="en-US" w:eastAsia="zh-CN" w:bidi="ar-SA"/>
              </w:rPr>
              <w:t>加强未利用地保护。组织对未利用地定期开展巡查，推进未利用地土壤环境监测。巡查检查、监测等发现存在土壤污染风险的，采取有效措施防控风险并控制开发利用。未利用地被污染的，督促土壤污染责任人清除污染、实施修复。</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66BC31F">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4DC0CC81">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4958F25">
            <w:pPr>
              <w:keepNext w:val="0"/>
              <w:keepLines w:val="0"/>
              <w:suppressLineNumbers w:val="0"/>
              <w:snapToGrid w:val="0"/>
              <w:spacing w:before="0" w:beforeAutospacing="0" w:after="0" w:afterAutospacing="0"/>
              <w:ind w:left="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11D55D4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p>
          <w:p w14:paraId="3F47E12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6033A4E">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p>
          <w:p w14:paraId="27D5857F">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相关街道办事处</w:t>
            </w:r>
          </w:p>
          <w:p w14:paraId="70CBDCBE">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相关产业园区管委会</w:t>
            </w:r>
          </w:p>
        </w:tc>
      </w:tr>
      <w:tr w14:paraId="60418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8994" w:type="dxa"/>
            <w:gridSpan w:val="6"/>
            <w:tcBorders>
              <w:left w:val="single" w:color="auto" w:sz="4" w:space="0"/>
              <w:right w:val="single" w:color="auto" w:sz="4" w:space="0"/>
            </w:tcBorders>
            <w:noWrap w:val="0"/>
            <w:vAlign w:val="center"/>
          </w:tcPr>
          <w:p w14:paraId="40A838D8">
            <w:pPr>
              <w:keepNext w:val="0"/>
              <w:keepLines w:val="0"/>
              <w:suppressLineNumbers w:val="0"/>
              <w:adjustRightInd w:val="0"/>
              <w:snapToGrid w:val="0"/>
              <w:spacing w:before="0" w:beforeAutospacing="0" w:after="0" w:afterAutospacing="0" w:line="240" w:lineRule="exact"/>
              <w:ind w:left="-105" w:leftChars="-50" w:right="-105" w:rightChars="-50"/>
              <w:jc w:val="center"/>
              <w:rPr>
                <w:rFonts w:hint="eastAsia" w:ascii="仿宋_GB2312" w:hAnsi="仿宋_GB2312" w:eastAsia="仿宋_GB2312" w:cs="仿宋_GB2312"/>
                <w:sz w:val="21"/>
                <w:szCs w:val="21"/>
                <w:lang w:bidi="ar"/>
              </w:rPr>
            </w:pPr>
            <w:r>
              <w:rPr>
                <w:rFonts w:hint="eastAsia" w:ascii="黑体" w:hAnsi="黑体" w:eastAsia="黑体" w:cs="黑体"/>
                <w:sz w:val="21"/>
                <w:szCs w:val="21"/>
                <w:lang w:bidi="ar"/>
              </w:rPr>
              <w:t>五、完善土壤污染防治体系</w:t>
            </w:r>
          </w:p>
        </w:tc>
      </w:tr>
      <w:tr w14:paraId="689D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5" w:hRule="exact"/>
        </w:trPr>
        <w:tc>
          <w:tcPr>
            <w:tcW w:w="648" w:type="dxa"/>
            <w:tcBorders>
              <w:left w:val="single" w:color="auto" w:sz="4" w:space="0"/>
              <w:right w:val="single" w:color="auto" w:sz="4" w:space="0"/>
            </w:tcBorders>
            <w:noWrap w:val="0"/>
            <w:vAlign w:val="center"/>
          </w:tcPr>
          <w:p w14:paraId="4E4C6127">
            <w:pPr>
              <w:keepNext w:val="0"/>
              <w:keepLines w:val="0"/>
              <w:suppressLineNumbers w:val="0"/>
              <w:adjustRightInd w:val="0"/>
              <w:snapToGrid w:val="0"/>
              <w:spacing w:before="0" w:beforeAutospacing="0" w:after="0" w:afterAutospacing="0" w:line="240" w:lineRule="exact"/>
              <w:ind w:left="-105" w:leftChars="-50" w:right="-105" w:rightChars="-5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kern w:val="0"/>
                <w:sz w:val="21"/>
                <w:szCs w:val="21"/>
                <w:lang w:bidi="ar"/>
              </w:rPr>
              <w:t>13</w:t>
            </w:r>
          </w:p>
        </w:tc>
        <w:tc>
          <w:tcPr>
            <w:tcW w:w="714" w:type="dxa"/>
            <w:tcBorders>
              <w:left w:val="single" w:color="auto" w:sz="4" w:space="0"/>
              <w:right w:val="single" w:color="auto" w:sz="4" w:space="0"/>
            </w:tcBorders>
            <w:noWrap w:val="0"/>
            <w:vAlign w:val="center"/>
          </w:tcPr>
          <w:p w14:paraId="449EC60C">
            <w:pPr>
              <w:keepNext w:val="0"/>
              <w:keepLines w:val="0"/>
              <w:suppressLineNumbers w:val="0"/>
              <w:adjustRightInd w:val="0"/>
              <w:snapToGrid w:val="0"/>
              <w:spacing w:before="0" w:beforeAutospacing="0" w:after="0" w:afterAutospacing="0" w:line="240" w:lineRule="exact"/>
              <w:ind w:left="-105" w:leftChars="-50" w:right="-105" w:rightChars="-50"/>
              <w:jc w:val="center"/>
              <w:rPr>
                <w:rFonts w:hint="eastAsia" w:ascii="仿宋_GB2312" w:hAnsi="仿宋_GB2312" w:eastAsia="仿宋_GB2312" w:cs="仿宋_GB2312"/>
                <w:sz w:val="21"/>
                <w:szCs w:val="21"/>
                <w:lang w:bidi="ar"/>
              </w:rPr>
            </w:pPr>
            <w:r>
              <w:rPr>
                <w:rFonts w:hint="eastAsia" w:ascii="仿宋_GB2312" w:hAnsi="仿宋_GB2312" w:eastAsia="仿宋_GB2312" w:cs="仿宋_GB2312"/>
                <w:kern w:val="0"/>
                <w:sz w:val="21"/>
                <w:szCs w:val="21"/>
                <w:lang w:bidi="ar"/>
              </w:rPr>
              <w:t>完善管理体系</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A88F0A6">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推动国土空间规划、土地用途管制、土壤环境管理等多源数据共享，形成土壤污染源头防控“一张图”。</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8B90BF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w:t>
            </w:r>
          </w:p>
          <w:p w14:paraId="5B48F280">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374830">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p>
          <w:p w14:paraId="0D9D8A2F">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0553AF3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DE5373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1C0F8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trPr>
        <w:tc>
          <w:tcPr>
            <w:tcW w:w="8994" w:type="dxa"/>
            <w:gridSpan w:val="6"/>
            <w:tcBorders>
              <w:left w:val="single" w:color="auto" w:sz="4" w:space="0"/>
              <w:right w:val="single" w:color="auto" w:sz="4" w:space="0"/>
            </w:tcBorders>
            <w:noWrap w:val="0"/>
            <w:vAlign w:val="center"/>
          </w:tcPr>
          <w:p w14:paraId="2895F9B8">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bidi="ar"/>
              </w:rPr>
            </w:pPr>
            <w:r>
              <w:rPr>
                <w:rFonts w:hint="eastAsia" w:ascii="黑体" w:hAnsi="黑体" w:eastAsia="黑体" w:cs="黑体"/>
                <w:sz w:val="21"/>
                <w:szCs w:val="21"/>
                <w:lang w:bidi="ar"/>
              </w:rPr>
              <w:t>六、加强固体废物管理</w:t>
            </w:r>
          </w:p>
        </w:tc>
      </w:tr>
      <w:tr w14:paraId="5AF0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exact"/>
        </w:trPr>
        <w:tc>
          <w:tcPr>
            <w:tcW w:w="648" w:type="dxa"/>
            <w:tcBorders>
              <w:left w:val="single" w:color="auto" w:sz="4" w:space="0"/>
              <w:right w:val="single" w:color="auto" w:sz="4" w:space="0"/>
            </w:tcBorders>
            <w:noWrap w:val="0"/>
            <w:vAlign w:val="center"/>
          </w:tcPr>
          <w:p w14:paraId="6C5B435F">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14</w:t>
            </w:r>
          </w:p>
        </w:tc>
        <w:tc>
          <w:tcPr>
            <w:tcW w:w="714" w:type="dxa"/>
            <w:tcBorders>
              <w:left w:val="single" w:color="auto" w:sz="4" w:space="0"/>
              <w:right w:val="single" w:color="auto" w:sz="4" w:space="0"/>
            </w:tcBorders>
            <w:noWrap w:val="0"/>
            <w:vAlign w:val="center"/>
          </w:tcPr>
          <w:p w14:paraId="06F9F977">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提升危险废物收运处置能力</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5B62079">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完善“小箱进大箱”等工作机制，健全小微医疗机构医废收运体系。</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40EFB6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56DE4C17">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377424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52FCD59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区卫生健康委</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65AD8BA">
            <w:pPr>
              <w:keepNext w:val="0"/>
              <w:keepLines w:val="0"/>
              <w:suppressLineNumbers w:val="0"/>
              <w:adjustRightInd w:val="0"/>
              <w:snapToGrid w:val="0"/>
              <w:spacing w:before="0" w:beforeAutospacing="0" w:after="0" w:afterAutospacing="0" w:line="216" w:lineRule="auto"/>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区发展改革委</w:t>
            </w:r>
          </w:p>
          <w:p w14:paraId="2ADB0973">
            <w:pPr>
              <w:keepNext w:val="0"/>
              <w:keepLines w:val="0"/>
              <w:suppressLineNumbers w:val="0"/>
              <w:adjustRightInd w:val="0"/>
              <w:snapToGrid w:val="0"/>
              <w:spacing w:before="0" w:beforeAutospacing="0" w:after="0" w:afterAutospacing="0" w:line="216" w:lineRule="auto"/>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区交通局</w:t>
            </w:r>
          </w:p>
          <w:p w14:paraId="6B53A98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区公安分局</w:t>
            </w:r>
          </w:p>
        </w:tc>
      </w:tr>
      <w:tr w14:paraId="2F20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9" w:hRule="exact"/>
        </w:trPr>
        <w:tc>
          <w:tcPr>
            <w:tcW w:w="648" w:type="dxa"/>
            <w:tcBorders>
              <w:left w:val="single" w:color="auto" w:sz="4" w:space="0"/>
              <w:right w:val="single" w:color="auto" w:sz="4" w:space="0"/>
            </w:tcBorders>
            <w:noWrap w:val="0"/>
            <w:vAlign w:val="center"/>
          </w:tcPr>
          <w:p w14:paraId="49C2F330">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15</w:t>
            </w:r>
          </w:p>
        </w:tc>
        <w:tc>
          <w:tcPr>
            <w:tcW w:w="714" w:type="dxa"/>
            <w:tcBorders>
              <w:left w:val="single" w:color="auto" w:sz="4" w:space="0"/>
              <w:right w:val="single" w:color="auto" w:sz="4" w:space="0"/>
            </w:tcBorders>
            <w:noWrap w:val="0"/>
            <w:vAlign w:val="center"/>
          </w:tcPr>
          <w:p w14:paraId="165628EE">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推动“无废城市”建设</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251AF57B">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开展本区“无废城市”建设前期研究工作。结合实际，开展“无废园区”“无废校园”“无废街镇”等“无废细胞”建设。配合市级部门推动各生活垃圾焚烧企业飞灰填埋量零增长。</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F18E3A5">
            <w:pPr>
              <w:keepNext w:val="0"/>
              <w:keepLines w:val="0"/>
              <w:suppressLineNumbers w:val="0"/>
              <w:autoSpaceDE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r>
              <w:rPr>
                <w:rFonts w:hint="eastAsia" w:ascii="仿宋_GB2312" w:hAnsi="仿宋_GB2312" w:eastAsia="仿宋_GB2312" w:cs="仿宋_GB2312"/>
                <w:kern w:val="0"/>
                <w:sz w:val="21"/>
                <w:szCs w:val="21"/>
                <w:lang w:bidi="ar"/>
              </w:rPr>
              <w:t>年底</w:t>
            </w:r>
          </w:p>
          <w:p w14:paraId="0E3FB645">
            <w:pPr>
              <w:keepNext w:val="0"/>
              <w:keepLines w:val="0"/>
              <w:suppressLineNumbers w:val="0"/>
              <w:autoSpaceDE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148F4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6703E748">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lang w:bidi="ar"/>
              </w:rPr>
              <w:t>区城市管理委</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5AFCC01B">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区经济和信息化局</w:t>
            </w:r>
          </w:p>
        </w:tc>
      </w:tr>
      <w:tr w14:paraId="57279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48" w:type="dxa"/>
            <w:vMerge w:val="restart"/>
            <w:tcBorders>
              <w:left w:val="single" w:color="auto" w:sz="4" w:space="0"/>
              <w:right w:val="single" w:color="auto" w:sz="4" w:space="0"/>
            </w:tcBorders>
            <w:noWrap w:val="0"/>
            <w:vAlign w:val="center"/>
          </w:tcPr>
          <w:p w14:paraId="067B9B2D">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16</w:t>
            </w:r>
          </w:p>
        </w:tc>
        <w:tc>
          <w:tcPr>
            <w:tcW w:w="714" w:type="dxa"/>
            <w:vMerge w:val="restart"/>
            <w:tcBorders>
              <w:left w:val="single" w:color="auto" w:sz="4" w:space="0"/>
              <w:right w:val="single" w:color="auto" w:sz="4" w:space="0"/>
            </w:tcBorders>
            <w:noWrap w:val="0"/>
            <w:vAlign w:val="center"/>
          </w:tcPr>
          <w:p w14:paraId="16F4EC04">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lang w:bidi="ar"/>
              </w:rPr>
              <w:t>加强新污染物治理</w:t>
            </w: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13C7000">
            <w:pPr>
              <w:keepNext w:val="0"/>
              <w:keepLines w:val="0"/>
              <w:widowControl/>
              <w:suppressLineNumbers w:val="0"/>
              <w:snapToGrid w:val="0"/>
              <w:spacing w:before="0" w:beforeAutospacing="0" w:after="0" w:afterAutospacing="0"/>
              <w:ind w:left="0" w:right="0"/>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完成2025年度化学物质环境信息统计调查工作。</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950DDD6">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3月</w:t>
            </w:r>
          </w:p>
          <w:p w14:paraId="2A7E6FB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kern w:val="0"/>
                <w:sz w:val="21"/>
                <w:szCs w:val="21"/>
              </w:rPr>
              <w:t>底</w:t>
            </w:r>
            <w:r>
              <w:rPr>
                <w:rFonts w:hint="eastAsia" w:ascii="仿宋_GB2312" w:hAnsi="仿宋_GB2312" w:eastAsia="仿宋_GB2312" w:cs="仿宋_GB2312"/>
                <w:kern w:val="0"/>
                <w:sz w:val="21"/>
                <w:szCs w:val="21"/>
                <w:lang w:eastAsia="zh-CN"/>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149F9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29794F20">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1F44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exact"/>
        </w:trPr>
        <w:tc>
          <w:tcPr>
            <w:tcW w:w="648" w:type="dxa"/>
            <w:vMerge w:val="continue"/>
            <w:tcBorders>
              <w:left w:val="single" w:color="auto" w:sz="4" w:space="0"/>
              <w:right w:val="single" w:color="auto" w:sz="4" w:space="0"/>
            </w:tcBorders>
            <w:noWrap w:val="0"/>
            <w:vAlign w:val="center"/>
          </w:tcPr>
          <w:p w14:paraId="7E7B57FC">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p>
        </w:tc>
        <w:tc>
          <w:tcPr>
            <w:tcW w:w="714" w:type="dxa"/>
            <w:vMerge w:val="continue"/>
            <w:tcBorders>
              <w:left w:val="single" w:color="auto" w:sz="4" w:space="0"/>
              <w:right w:val="single" w:color="auto" w:sz="4" w:space="0"/>
            </w:tcBorders>
            <w:noWrap w:val="0"/>
            <w:vAlign w:val="center"/>
          </w:tcPr>
          <w:p w14:paraId="00781E89">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EA90F22">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规范抗生素类药品使用管理。加强抗菌药物临床应用管理，开展抗菌药物及细菌耐药性监测；严格落实零售药店凭处方销售处方药类抗菌药物。</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8F1FF0A">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5476E413">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4B61CAA">
            <w:pPr>
              <w:keepNext w:val="0"/>
              <w:keepLines w:val="0"/>
              <w:suppressLineNumbers w:val="0"/>
              <w:adjustRightInd w:val="0"/>
              <w:snapToGrid w:val="0"/>
              <w:spacing w:before="0" w:beforeAutospacing="0" w:after="0" w:afterAutospacing="0" w:line="216" w:lineRule="auto"/>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区卫生健康委</w:t>
            </w:r>
          </w:p>
          <w:p w14:paraId="1BF5A6A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区市场监管局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3F5B035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w:t>
            </w:r>
          </w:p>
        </w:tc>
      </w:tr>
      <w:tr w14:paraId="045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exact"/>
        </w:trPr>
        <w:tc>
          <w:tcPr>
            <w:tcW w:w="648" w:type="dxa"/>
            <w:vMerge w:val="continue"/>
            <w:tcBorders>
              <w:left w:val="single" w:color="auto" w:sz="4" w:space="0"/>
              <w:right w:val="single" w:color="auto" w:sz="4" w:space="0"/>
            </w:tcBorders>
            <w:noWrap w:val="0"/>
            <w:vAlign w:val="center"/>
          </w:tcPr>
          <w:p w14:paraId="6ED84622">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p>
        </w:tc>
        <w:tc>
          <w:tcPr>
            <w:tcW w:w="714" w:type="dxa"/>
            <w:vMerge w:val="continue"/>
            <w:tcBorders>
              <w:left w:val="single" w:color="auto" w:sz="4" w:space="0"/>
              <w:right w:val="single" w:color="auto" w:sz="4" w:space="0"/>
            </w:tcBorders>
            <w:noWrap w:val="0"/>
            <w:vAlign w:val="center"/>
          </w:tcPr>
          <w:p w14:paraId="129A1AC2">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5B1BC9C5">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实施兽用抗菌药使用减量化行动；开展兽药质量监督抽检、动物源细菌耐药性监测；强化兽药使用监督管理，提升养殖环节规范用药水平。</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234721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07937C5F">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B6868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10668073">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w:t>
            </w:r>
          </w:p>
        </w:tc>
      </w:tr>
      <w:tr w14:paraId="04D51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exact"/>
        </w:trPr>
        <w:tc>
          <w:tcPr>
            <w:tcW w:w="648" w:type="dxa"/>
            <w:vMerge w:val="continue"/>
            <w:tcBorders>
              <w:left w:val="single" w:color="auto" w:sz="4" w:space="0"/>
              <w:right w:val="single" w:color="auto" w:sz="4" w:space="0"/>
            </w:tcBorders>
            <w:noWrap w:val="0"/>
            <w:vAlign w:val="center"/>
          </w:tcPr>
          <w:p w14:paraId="5F6DAD25">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p>
        </w:tc>
        <w:tc>
          <w:tcPr>
            <w:tcW w:w="714" w:type="dxa"/>
            <w:vMerge w:val="continue"/>
            <w:tcBorders>
              <w:left w:val="single" w:color="auto" w:sz="4" w:space="0"/>
              <w:right w:val="single" w:color="auto" w:sz="4" w:space="0"/>
            </w:tcBorders>
            <w:noWrap w:val="0"/>
            <w:vAlign w:val="center"/>
          </w:tcPr>
          <w:p w14:paraId="31F145FD">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2840580C">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严格管控具有环境持久性、生物累积性等特性的高毒高风险农药及助剂。推广应用高效低风险农药，稳步推进高毒高风险农药淘汰和替代。开展农药使用风险隐患排查，提高使用者科学安全用药意识和水平。</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0AA41FE">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72B047C">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F89B50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区农业农村局</w:t>
            </w:r>
          </w:p>
          <w:p w14:paraId="29298528">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区园林绿化局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460F0E8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区农业服务中心</w:t>
            </w:r>
          </w:p>
          <w:p w14:paraId="2ECB6F8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区园林服务中心</w:t>
            </w:r>
          </w:p>
        </w:tc>
      </w:tr>
      <w:tr w14:paraId="737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6" w:hRule="exact"/>
        </w:trPr>
        <w:tc>
          <w:tcPr>
            <w:tcW w:w="648" w:type="dxa"/>
            <w:vMerge w:val="continue"/>
            <w:tcBorders>
              <w:left w:val="single" w:color="auto" w:sz="4" w:space="0"/>
              <w:right w:val="single" w:color="auto" w:sz="4" w:space="0"/>
            </w:tcBorders>
            <w:noWrap w:val="0"/>
            <w:vAlign w:val="center"/>
          </w:tcPr>
          <w:p w14:paraId="3CC8687B">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p>
        </w:tc>
        <w:tc>
          <w:tcPr>
            <w:tcW w:w="714" w:type="dxa"/>
            <w:vMerge w:val="continue"/>
            <w:tcBorders>
              <w:left w:val="single" w:color="auto" w:sz="4" w:space="0"/>
              <w:right w:val="single" w:color="auto" w:sz="4" w:space="0"/>
            </w:tcBorders>
            <w:noWrap w:val="0"/>
            <w:vAlign w:val="center"/>
          </w:tcPr>
          <w:p w14:paraId="225DB3F6">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0903FCCC">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按照市级要求，持续推进涉优先控制化学品、重点管控新污染物企业全面实施强制清洁生产审核。组织开展涉优先控制化学品、重点管控新污染物企业以及新化学物质环境管理登记专项执法检查。探索开展重点管控新污染物环境风险管控措施落实情况跨部门联合检查。</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412CBC2">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084EBE2D">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38D481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区生态环境局</w:t>
            </w:r>
          </w:p>
          <w:p w14:paraId="347CD36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区市场监管局</w:t>
            </w:r>
          </w:p>
          <w:p w14:paraId="343F234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区住房城乡建设委</w:t>
            </w:r>
          </w:p>
          <w:p w14:paraId="274A6C1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区农业农村局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7956C169">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区发展改革委</w:t>
            </w:r>
          </w:p>
        </w:tc>
      </w:tr>
      <w:tr w14:paraId="15734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7" w:hRule="exact"/>
        </w:trPr>
        <w:tc>
          <w:tcPr>
            <w:tcW w:w="648" w:type="dxa"/>
            <w:vMerge w:val="continue"/>
            <w:tcBorders>
              <w:left w:val="single" w:color="auto" w:sz="4" w:space="0"/>
              <w:bottom w:val="single" w:color="auto" w:sz="4" w:space="0"/>
              <w:right w:val="single" w:color="auto" w:sz="4" w:space="0"/>
            </w:tcBorders>
            <w:noWrap w:val="0"/>
            <w:vAlign w:val="center"/>
          </w:tcPr>
          <w:p w14:paraId="26177DE3">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lang w:bidi="ar"/>
              </w:rPr>
            </w:pPr>
          </w:p>
        </w:tc>
        <w:tc>
          <w:tcPr>
            <w:tcW w:w="714" w:type="dxa"/>
            <w:vMerge w:val="continue"/>
            <w:tcBorders>
              <w:left w:val="single" w:color="auto" w:sz="4" w:space="0"/>
              <w:bottom w:val="single" w:color="auto" w:sz="4" w:space="0"/>
              <w:right w:val="single" w:color="auto" w:sz="4" w:space="0"/>
            </w:tcBorders>
            <w:noWrap w:val="0"/>
            <w:vAlign w:val="center"/>
          </w:tcPr>
          <w:p w14:paraId="644D1B25">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kern w:val="0"/>
                <w:sz w:val="21"/>
                <w:szCs w:val="21"/>
                <w:lang w:bidi="ar"/>
              </w:rPr>
            </w:pPr>
          </w:p>
        </w:tc>
        <w:tc>
          <w:tcPr>
            <w:tcW w:w="3438" w:type="dxa"/>
            <w:tcBorders>
              <w:top w:val="single" w:color="auto" w:sz="4" w:space="0"/>
              <w:left w:val="single" w:color="auto" w:sz="4" w:space="0"/>
              <w:bottom w:val="single" w:color="auto" w:sz="4" w:space="0"/>
              <w:right w:val="single" w:color="auto" w:sz="4" w:space="0"/>
            </w:tcBorders>
            <w:noWrap w:val="0"/>
            <w:vAlign w:val="center"/>
          </w:tcPr>
          <w:p w14:paraId="111EB677">
            <w:pPr>
              <w:keepNext w:val="0"/>
              <w:keepLines w:val="0"/>
              <w:suppressLineNumbers w:val="0"/>
              <w:adjustRightInd w:val="0"/>
              <w:snapToGrid w:val="0"/>
              <w:spacing w:before="0" w:beforeAutospacing="0" w:after="0" w:afterAutospacing="0"/>
              <w:ind w:left="0" w:right="0"/>
              <w:rPr>
                <w:rFonts w:hint="eastAsia" w:ascii="仿宋_GB2312" w:hAnsi="仿宋_GB2312" w:eastAsia="仿宋_GB2312" w:cs="仿宋_GB2312"/>
                <w:kern w:val="0"/>
                <w:sz w:val="21"/>
                <w:szCs w:val="21"/>
              </w:rPr>
            </w:pPr>
            <w:r>
              <w:rPr>
                <w:rFonts w:hint="eastAsia" w:ascii="仿宋_GB2312" w:hAnsi="仿宋_GB2312" w:eastAsia="仿宋_GB2312" w:cs="仿宋_GB2312"/>
                <w:sz w:val="21"/>
                <w:szCs w:val="21"/>
              </w:rPr>
              <w:t>加强产品新污染物含量检测。依据相关国家标准，对修正液、修正带等产品中的氯代烃等物质进行限量检测，对抽查发现的不合格产品依法进行处理。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1816505">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年底</w:t>
            </w:r>
          </w:p>
          <w:p w14:paraId="22E0287D">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前</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78F6AAB">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kern w:val="0"/>
                <w:sz w:val="21"/>
                <w:szCs w:val="21"/>
              </w:rPr>
              <w:t>区市场监管局</w:t>
            </w:r>
          </w:p>
        </w:tc>
        <w:tc>
          <w:tcPr>
            <w:tcW w:w="1656" w:type="dxa"/>
            <w:tcBorders>
              <w:top w:val="single" w:color="auto" w:sz="4" w:space="0"/>
              <w:left w:val="single" w:color="auto" w:sz="4" w:space="0"/>
              <w:bottom w:val="single" w:color="auto" w:sz="4" w:space="0"/>
              <w:right w:val="single" w:color="auto" w:sz="4" w:space="0"/>
            </w:tcBorders>
            <w:noWrap w:val="0"/>
            <w:vAlign w:val="center"/>
          </w:tcPr>
          <w:p w14:paraId="0DE0FB03">
            <w:pPr>
              <w:keepNext w:val="0"/>
              <w:keepLines w:val="0"/>
              <w:suppressLineNumbers w:val="0"/>
              <w:adjustRightInd w:val="0"/>
              <w:snapToGrid w:val="0"/>
              <w:spacing w:before="0" w:beforeAutospacing="0" w:after="0" w:afterAutospacing="0"/>
              <w:ind w:left="-105" w:leftChars="-50" w:right="-105" w:rightChars="-5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bl>
    <w:p w14:paraId="7E1A8DA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B19043-F24C-47B6-B755-5DDDAADE69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ABA46E1-2DC2-4B58-8CE4-A639D9B44D6C}"/>
  </w:font>
  <w:font w:name="方正小标宋简体">
    <w:panose1 w:val="02000000000000000000"/>
    <w:charset w:val="86"/>
    <w:family w:val="script"/>
    <w:pitch w:val="default"/>
    <w:sig w:usb0="00000001" w:usb1="080E0000" w:usb2="00000000" w:usb3="00000000" w:csb0="00040000" w:csb1="00000000"/>
    <w:embedRegular r:id="rId3" w:fontKey="{2EFCAF96-D317-4EE8-BD87-4993AA3E378C}"/>
  </w:font>
  <w:font w:name="仿宋_GB2312">
    <w:panose1 w:val="02010609030101010101"/>
    <w:charset w:val="86"/>
    <w:family w:val="auto"/>
    <w:pitch w:val="default"/>
    <w:sig w:usb0="00000001" w:usb1="080E0000" w:usb2="00000000" w:usb3="00000000" w:csb0="00040000" w:csb1="00000000"/>
    <w:embedRegular r:id="rId4" w:fontKey="{339273DC-AAF4-4A5D-9154-1DA0E049229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464F6"/>
    <w:rsid w:val="1344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99"/>
    <w:pPr>
      <w:spacing w:after="120" w:afterLines="0"/>
    </w:pPr>
    <w:rPr>
      <w:szCs w:val="20"/>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Plain Text"/>
    <w:basedOn w:val="1"/>
    <w:qFormat/>
    <w:uiPriority w:val="0"/>
    <w:rPr>
      <w:rFonts w:ascii="宋体" w:hAnsi="Courier New"/>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2025-03-17T06:07:00Z</dcterms:created>
  <dc:creator>王亚楠</dc:creator>
  <cp:lastModifiedBy>王亚楠</cp:lastModifiedBy>
  <dcterms:modified xsi:type="dcterms:W3CDTF">2025-03-17T06:07:58Z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23CC6BC51AA840228E1386315D8E2142_11</vt:lpwstr>
  </property>
  <property fmtid="{D5CDD505-2E9C-101B-9397-08002B2CF9AE}" pid="4" name="KSOTemplateDocerSaveRecord">
    <vt:lpwstr>eyJoZGlkIjoiZWFmODEzMjhjYzAyOGQ2M2M1OWQ1ODAyZTg4N2UwN2UiLCJ1c2VySWQiOiIxNjE1MzA0NDk4In0=</vt:lpwstr>
  </property>
</Properties>
</file>