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用人单位吸纳礼贤户籍劳动力就业一次性奖励人员汇总表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28"/>
        </w:rPr>
        <w:t>企业名称：                                                                   填表日期：</w:t>
      </w:r>
    </w:p>
    <w:tbl>
      <w:tblPr>
        <w:tblStyle w:val="6"/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45"/>
        <w:gridCol w:w="2565"/>
        <w:gridCol w:w="3045"/>
        <w:gridCol w:w="1605"/>
        <w:gridCol w:w="1446"/>
        <w:gridCol w:w="192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就业失业登记证号码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合同日期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户籍地（村街）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 w:cs="Times New Roman"/>
                <w:b/>
                <w:bCs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264D747E"/>
    <w:rsid w:val="264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2024-02-29T08:12:00Z</dcterms:created>
  <dc:creator>米露</dc:creator>
  <cp:lastModifiedBy>米露</cp:lastModifiedBy>
  <dcterms:modified xsi:type="dcterms:W3CDTF">2024-02-29T08:12:59Z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2FD20AB580644661B19B0ED0F918D0E6_11</vt:lpwstr>
  </property>
</Properties>
</file>