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北京市大兴区应急管理局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" w:firstLineChars="200"/>
        <w:jc w:val="both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red"/>
        </w:rPr>
      </w:pPr>
      <w:r>
        <w:rPr>
          <w:rFonts w:hint="eastAsia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按照区政府《大兴区20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年政务公开工作要点》通知的要求，紧密结合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应急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工作实际，不断创新信息公开形式，规范信息公开内容，突出信息公开工作重点，提升信息公开工作水平。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pacing w:val="8"/>
          <w:kern w:val="0"/>
          <w:sz w:val="32"/>
          <w:szCs w:val="32"/>
        </w:rPr>
        <w:t>加强组织领导</w:t>
      </w: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我局成立了以局长为组长，主管领导、科室负责人为成员的信息公开工作领导小组，配备了1名兼职工作人员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spacing w:val="8"/>
          <w:kern w:val="0"/>
          <w:sz w:val="32"/>
          <w:szCs w:val="32"/>
        </w:rPr>
        <w:t>丰富公开内容</w:t>
      </w: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一是实行办事公开，将领导分工、科室职责涉及局业务工作的行政许可流程及事项等进行了信息公开，进一步推进网上办事，以信息公开推进便民服务。二是实行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业务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信息公开，将局业务工作动态信息、涉及行政工作的财务事项、招投标信息进行公开公示，做到资金安排公开透明，用到实处。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三是动态调整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本局的政府信息公开指南、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机构职权信息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，推进了本局政府信息公开工作的制度化和规范化。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pacing w:val="8"/>
          <w:kern w:val="0"/>
          <w:sz w:val="32"/>
          <w:szCs w:val="32"/>
        </w:rPr>
        <w:t>强化管理，建立长效机制</w:t>
      </w: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建立局信息公开工作制度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信息公开保密审查工作制度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本单位政府新闻发言人制度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本单位政策公开答疑机制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本单位公开信息前安全审查制度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本单位政务公开工作人员变更报备机制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本单位依申请公开办理工作制度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等制度，制度内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明确信息公开工作职责、发布程序、公开方式和发布时限等，定期收集整理公开信息。明确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办理流程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，确保信息公开口径统一、及时、便捷，工作落实到位。加强政务公开的基础设施建设，通过网站、安全生产报、互动大屏幕、微信等方式进行公开，更好地为经济社会发展和人民群众服务。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spacing w:val="8"/>
          <w:kern w:val="0"/>
          <w:sz w:val="32"/>
          <w:szCs w:val="32"/>
        </w:rPr>
        <w:t>主动公开情况</w:t>
      </w: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发布政务信息就是向社会公开区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应急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局工作内容，让公众知情、参与和监督，以“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应公开尽公开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”为原则，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本年度在区政府网站公开政府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216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条。本年内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修订完成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政府信息公开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全清单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推进重点领域信息公开。落实财政资金信息公开要求，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将部门预决算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和政府采购信息进行公开。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主动公开安全生产行政执法信息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安全生产行政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执法文书进行公开。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落实行政许可和行政处罚信息实行“双公示”要求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，将危险化学品经营许可信息和安全生产行政处罚文书进行公开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，增强安全生产监管透明度。完善生产安全事故及应急信息发布工作。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spacing w:val="8"/>
          <w:kern w:val="0"/>
          <w:sz w:val="32"/>
          <w:szCs w:val="32"/>
        </w:rPr>
        <w:t>依申请公开情况</w:t>
      </w: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年度，本局共接到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件政府信息公开申请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，均已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按期答复，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无行政复议或行政诉讼情况。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86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30"/>
        <w:gridCol w:w="2175"/>
        <w:gridCol w:w="1887"/>
        <w:gridCol w:w="1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本年新公开数量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＋26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采购总金额（万元，保留四位小数）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929.9082</w:t>
            </w:r>
          </w:p>
        </w:tc>
      </w:tr>
    </w:tbl>
    <w:p>
      <w:pPr>
        <w:spacing w:line="560" w:lineRule="exact"/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90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restart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（一）予以公开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（三）不予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公开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1.属于国家秘密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2.其他法律行政法规禁止公开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3.危及“三安全一稳定”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4.保护第三方合法权益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5.属于三类内部事务信息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6.属于四类过程性信息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7.属于行政执法案卷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8.属于行政查询事项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（四）无法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提供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1.本机关不掌握相关政府信息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2.没有现成信息需要另行制作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3.补正后申请内容仍不明确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（五）不予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处理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1.信访举报投诉类申请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3.要求提供公开出版物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4.无正当理由大量反复申请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5.要求行政机关确认或重新出具已获取信息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（六）其他处理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（七）总计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874" w:type="dxa"/>
            <w:gridSpan w:val="5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  <w:p>
            <w:pPr>
              <w:jc w:val="center"/>
            </w:pPr>
            <w:r>
              <w:rPr>
                <w:rFonts w:hint="eastAsia"/>
              </w:rPr>
              <w:t>维</w:t>
            </w:r>
          </w:p>
          <w:p>
            <w:pPr>
              <w:jc w:val="center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年，本局政府信息公开工作取得了成绩，但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也存在一些问题，一是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内容以业务动态为主，内容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相对单一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；二是信息公开和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依申请公开政府信息的程序不够规范。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这些问题都需要我们认真研究，切实解决，结合工作中存在的不足，重点从以下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个方面加以改进：一是进一步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丰富信息公开内容，加大主动公开力度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。遵循公开为原则、不公开为例外准则，尽可能扩大信息公开的范围，进一步规范和完善主动公开内容，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加强微信等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政务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新媒体的学习和应用，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重点推进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应急和安全生产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领域以及与人民群众利益关系密切的事项的公开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；二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是进一步完善信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息公开机制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。建立和完善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北京市大兴区应急管理局政府信息公开安全审查制度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》和《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北京市大兴区应急管理局政府信息依申请公开工作制度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》等制度。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强化执行信息公开审查工作机制，对拟公开的政府信息进行安全审查，严格落实主管领导审查责任制。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优化依申请公开办理流程，进一步规范依法受理政府信息公开申请渠道及程序，提升依申请公开工作的办理效率。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spacing w:after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无。</w:t>
      </w:r>
    </w:p>
    <w:p>
      <w:pPr>
        <w:pStyle w:val="3"/>
        <w:rPr>
          <w:rFonts w:hint="eastAsia"/>
        </w:rPr>
      </w:pPr>
    </w:p>
    <w:p>
      <w:pPr>
        <w:pStyle w:val="2"/>
        <w:rPr>
          <w:rFonts w:hint="eastAsia"/>
          <w:color w:val="00B0F0"/>
        </w:rPr>
      </w:pPr>
    </w:p>
    <w:p>
      <w:pPr>
        <w:widowControl/>
        <w:spacing w:line="560" w:lineRule="exact"/>
        <w:jc w:val="center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142BB"/>
    <w:rsid w:val="00E96B5A"/>
    <w:rsid w:val="061142BB"/>
    <w:rsid w:val="0CD24448"/>
    <w:rsid w:val="1CD3324E"/>
    <w:rsid w:val="1FFA27E3"/>
    <w:rsid w:val="201C1983"/>
    <w:rsid w:val="2D307AE6"/>
    <w:rsid w:val="30403A5D"/>
    <w:rsid w:val="31936A10"/>
    <w:rsid w:val="36132DD5"/>
    <w:rsid w:val="3A124B26"/>
    <w:rsid w:val="40C15F38"/>
    <w:rsid w:val="44E17490"/>
    <w:rsid w:val="454E7796"/>
    <w:rsid w:val="4A325EA9"/>
    <w:rsid w:val="4F1A7850"/>
    <w:rsid w:val="53063B83"/>
    <w:rsid w:val="55E12F3F"/>
    <w:rsid w:val="56783A49"/>
    <w:rsid w:val="58E62730"/>
    <w:rsid w:val="59043B66"/>
    <w:rsid w:val="608A5668"/>
    <w:rsid w:val="63B57F3E"/>
    <w:rsid w:val="666572A3"/>
    <w:rsid w:val="67D02D2D"/>
    <w:rsid w:val="755672FB"/>
    <w:rsid w:val="75C33514"/>
    <w:rsid w:val="7A59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toc 3"/>
    <w:basedOn w:val="1"/>
    <w:next w:val="1"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555555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555555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paragraph" w:customStyle="1" w:styleId="15">
    <w:name w:val="普通(网站) Char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2020-12-16T01:40:00Z</dcterms:created>
  <dc:creator>应急局公文</dc:creator>
  <cp:lastModifiedBy>信息公开科</cp:lastModifiedBy>
  <dcterms:modified xsi:type="dcterms:W3CDTF">2021-01-11T11:30:01Z</dcterms:modified>
  <dc:title>北京市大兴区应急管理局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