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北京市大兴区农业农村局</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2020年政府信息公开工作年度报告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both"/>
        <w:textAlignment w:val="auto"/>
        <w:outlineLvl w:val="9"/>
        <w:rPr>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我局认真贯彻落实《条例》和区政务服务局的各项要求，依法深入推进政府信息和政务公开，进一步加强政府信息公开工作，不断提升政府信息公开的能力和水平，努力保障公众对政府工作的知情权。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hint="eastAsia" w:ascii="仿宋_GB2312" w:hAnsi="宋体" w:eastAsia="仿宋_GB2312" w:cs="宋体"/>
          <w:color w:val="auto"/>
          <w:spacing w:val="8"/>
          <w:kern w:val="0"/>
          <w:sz w:val="32"/>
          <w:szCs w:val="32"/>
          <w:lang w:val="en-US" w:eastAsia="zh-CN"/>
        </w:rPr>
      </w:pPr>
      <w:r>
        <w:rPr>
          <w:rFonts w:hint="eastAsia" w:ascii="楷体_GB2312" w:hAnsi="楷体_GB2312" w:eastAsia="楷体_GB2312" w:cs="楷体_GB2312"/>
          <w:spacing w:val="8"/>
          <w:kern w:val="0"/>
          <w:sz w:val="32"/>
          <w:szCs w:val="32"/>
          <w:lang w:eastAsia="zh-CN"/>
        </w:rPr>
        <w:t>一是积极推进政府信息主动公开。</w:t>
      </w:r>
      <w:r>
        <w:rPr>
          <w:rFonts w:hint="eastAsia" w:ascii="仿宋_GB2312" w:hAnsi="宋体" w:eastAsia="仿宋_GB2312" w:cs="宋体"/>
          <w:spacing w:val="8"/>
          <w:kern w:val="0"/>
          <w:sz w:val="32"/>
          <w:szCs w:val="32"/>
          <w:lang w:eastAsia="zh-CN"/>
        </w:rPr>
        <w:t>坚持“公开为原则，不公开为例外”，结合</w:t>
      </w:r>
      <w:r>
        <w:rPr>
          <w:rFonts w:hint="eastAsia" w:ascii="仿宋_GB2312" w:hAnsi="宋体" w:eastAsia="仿宋_GB2312" w:cs="宋体"/>
          <w:spacing w:val="8"/>
          <w:kern w:val="0"/>
          <w:sz w:val="32"/>
          <w:szCs w:val="32"/>
        </w:rPr>
        <w:t>《中华人民共和国政府信息公开条例》</w:t>
      </w:r>
      <w:r>
        <w:rPr>
          <w:rFonts w:hint="eastAsia" w:ascii="仿宋_GB2312" w:hAnsi="宋体" w:eastAsia="仿宋_GB2312" w:cs="宋体"/>
          <w:spacing w:val="8"/>
          <w:kern w:val="0"/>
          <w:sz w:val="32"/>
          <w:szCs w:val="32"/>
          <w:lang w:eastAsia="zh-CN"/>
        </w:rPr>
        <w:t>，</w:t>
      </w:r>
      <w:r>
        <w:rPr>
          <w:rFonts w:hint="eastAsia" w:ascii="仿宋_GB2312" w:hAnsi="仿宋_GB2312" w:eastAsia="仿宋_GB2312" w:cs="仿宋_GB2312"/>
          <w:color w:val="000000"/>
          <w:sz w:val="32"/>
          <w:szCs w:val="32"/>
          <w:lang w:val="zh-CN" w:eastAsia="zh-CN"/>
        </w:rPr>
        <w:t>《</w:t>
      </w:r>
      <w:r>
        <w:rPr>
          <w:rFonts w:hint="eastAsia" w:ascii="仿宋_GB2312" w:hAnsi="仿宋_GB2312" w:eastAsia="仿宋_GB2312" w:cs="仿宋_GB2312"/>
          <w:color w:val="000000"/>
          <w:sz w:val="32"/>
          <w:szCs w:val="32"/>
          <w:lang w:val="en-US" w:eastAsia="zh-CN"/>
        </w:rPr>
        <w:t>北京市大兴区2020年政务公开工作要点</w:t>
      </w:r>
      <w:r>
        <w:rPr>
          <w:rFonts w:hint="eastAsia" w:ascii="仿宋_GB2312" w:hAnsi="仿宋_GB2312" w:eastAsia="仿宋_GB2312" w:cs="仿宋_GB2312"/>
          <w:color w:val="000000"/>
          <w:sz w:val="32"/>
          <w:szCs w:val="32"/>
          <w:lang w:val="zh-CN" w:eastAsia="zh-CN"/>
        </w:rPr>
        <w:t>》，</w:t>
      </w:r>
      <w:r>
        <w:rPr>
          <w:rFonts w:hint="eastAsia" w:ascii="仿宋_GB2312" w:hAnsi="宋体" w:eastAsia="仿宋_GB2312" w:cs="宋体"/>
          <w:spacing w:val="8"/>
          <w:kern w:val="0"/>
          <w:sz w:val="32"/>
          <w:szCs w:val="32"/>
          <w:lang w:eastAsia="zh-CN"/>
        </w:rPr>
        <w:t>主动推进政府信息公开。截至</w:t>
      </w:r>
      <w:r>
        <w:rPr>
          <w:rFonts w:hint="eastAsia" w:ascii="仿宋_GB2312" w:hAnsi="宋体" w:eastAsia="仿宋_GB2312" w:cs="宋体"/>
          <w:spacing w:val="8"/>
          <w:kern w:val="0"/>
          <w:sz w:val="32"/>
          <w:szCs w:val="32"/>
          <w:lang w:val="en-US" w:eastAsia="zh-CN"/>
        </w:rPr>
        <w:t>2020年底，我局累计主动公开政府信息</w:t>
      </w:r>
      <w:r>
        <w:rPr>
          <w:rFonts w:hint="eastAsia" w:ascii="仿宋_GB2312" w:hAnsi="宋体" w:eastAsia="仿宋_GB2312" w:cs="宋体"/>
          <w:color w:val="auto"/>
          <w:spacing w:val="8"/>
          <w:kern w:val="0"/>
          <w:sz w:val="32"/>
          <w:szCs w:val="32"/>
          <w:lang w:val="en-US" w:eastAsia="zh-CN"/>
        </w:rPr>
        <w:t>1192条</w:t>
      </w:r>
      <w:r>
        <w:rPr>
          <w:rFonts w:hint="eastAsia" w:ascii="仿宋_GB2312" w:hAnsi="宋体" w:eastAsia="仿宋_GB2312" w:cs="宋体"/>
          <w:spacing w:val="8"/>
          <w:kern w:val="0"/>
          <w:sz w:val="32"/>
          <w:szCs w:val="32"/>
          <w:lang w:val="en-US" w:eastAsia="zh-CN"/>
        </w:rPr>
        <w:t>。其中，上报大兴动态信息</w:t>
      </w:r>
      <w:r>
        <w:rPr>
          <w:rFonts w:hint="eastAsia" w:ascii="仿宋_GB2312" w:hAnsi="宋体" w:eastAsia="仿宋_GB2312" w:cs="宋体"/>
          <w:color w:val="auto"/>
          <w:spacing w:val="8"/>
          <w:kern w:val="0"/>
          <w:sz w:val="32"/>
          <w:szCs w:val="32"/>
          <w:lang w:val="en-US" w:eastAsia="zh-CN"/>
        </w:rPr>
        <w:t>171条；通知公告信息8条；政府文件6条；政策解读6条；双随机13条；双公示33条；公开指南1条；机构职权12条；意见征集5条；预决算2条；重点民生和实事4条；政府采购3条；政务开放日1条；执法公示1条；通过政务微信公开信息363条，通过政务微博公开信息563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二是切实做好政府信息依申请公开。</w:t>
      </w:r>
      <w:r>
        <w:rPr>
          <w:rFonts w:hint="eastAsia" w:ascii="仿宋_GB2312" w:hAnsi="华文中宋" w:eastAsia="仿宋_GB2312"/>
          <w:sz w:val="32"/>
          <w:szCs w:val="32"/>
        </w:rPr>
        <w:t>本局</w:t>
      </w:r>
      <w:r>
        <w:rPr>
          <w:rFonts w:hint="eastAsia" w:ascii="仿宋_GB2312" w:hAnsi="宋体" w:eastAsia="仿宋_GB2312" w:cs="宋体"/>
          <w:kern w:val="0"/>
          <w:sz w:val="32"/>
          <w:szCs w:val="32"/>
        </w:rPr>
        <w:t>自《条例》实施之日起正式受理</w:t>
      </w:r>
      <w:r>
        <w:rPr>
          <w:rFonts w:hint="eastAsia" w:ascii="仿宋_GB2312" w:hAnsi="华文中宋" w:eastAsia="仿宋_GB2312"/>
          <w:sz w:val="32"/>
          <w:szCs w:val="32"/>
        </w:rPr>
        <w:t>公民、法人或者其他组织根据自身生产、生活、科研等特殊需要提出的政府信息公开申请。为落实《条例》确定的政府信息依申请公开制度，本局</w:t>
      </w:r>
      <w:r>
        <w:rPr>
          <w:rFonts w:hint="eastAsia" w:ascii="仿宋_GB2312" w:hAnsi="宋体" w:eastAsia="仿宋_GB2312" w:cs="宋体"/>
          <w:kern w:val="0"/>
          <w:sz w:val="32"/>
          <w:szCs w:val="32"/>
        </w:rPr>
        <w:t>继续完善政府信息公开申请受理场所，并</w:t>
      </w:r>
      <w:r>
        <w:rPr>
          <w:rFonts w:hint="eastAsia" w:ascii="仿宋_GB2312" w:hAnsi="宋体" w:eastAsia="仿宋_GB2312" w:cs="宋体"/>
          <w:kern w:val="0"/>
          <w:sz w:val="32"/>
          <w:szCs w:val="32"/>
          <w:lang w:eastAsia="zh-CN"/>
        </w:rPr>
        <w:t>随时更新最新</w:t>
      </w:r>
      <w:r>
        <w:rPr>
          <w:rFonts w:hint="eastAsia" w:ascii="仿宋_GB2312" w:hAnsi="宋体" w:eastAsia="仿宋_GB2312" w:cs="宋体"/>
          <w:kern w:val="0"/>
          <w:sz w:val="32"/>
          <w:szCs w:val="32"/>
        </w:rPr>
        <w:t>政府信息公开受理机构联系方式</w:t>
      </w:r>
      <w:r>
        <w:rPr>
          <w:rFonts w:hint="eastAsia" w:ascii="仿宋_GB2312" w:hAnsi="宋体" w:eastAsia="仿宋_GB2312" w:cs="宋体"/>
          <w:kern w:val="0"/>
          <w:sz w:val="32"/>
          <w:szCs w:val="32"/>
          <w:lang w:eastAsia="zh-CN"/>
        </w:rPr>
        <w:t>，畅通政府信息渠道。</w:t>
      </w:r>
      <w:r>
        <w:rPr>
          <w:rFonts w:hint="eastAsia" w:ascii="仿宋_GB2312" w:hAnsi="仿宋_GB2312" w:eastAsia="仿宋_GB2312" w:cs="仿宋_GB2312"/>
          <w:color w:val="000000"/>
          <w:sz w:val="32"/>
          <w:szCs w:val="32"/>
          <w:lang w:val="en-US" w:eastAsia="zh-CN"/>
        </w:rPr>
        <w:t>2020年，我</w:t>
      </w:r>
      <w:r>
        <w:rPr>
          <w:rFonts w:hint="eastAsia" w:ascii="仿宋_GB2312" w:hAnsi="华文中宋" w:eastAsia="仿宋_GB2312"/>
          <w:sz w:val="32"/>
          <w:szCs w:val="32"/>
        </w:rPr>
        <w:t>局未接到政府信息公开申请。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spacing w:val="8"/>
          <w:kern w:val="0"/>
          <w:sz w:val="32"/>
          <w:szCs w:val="32"/>
        </w:rPr>
      </w:pPr>
      <w:r>
        <w:rPr>
          <w:rFonts w:hint="eastAsia" w:ascii="楷体_GB2312" w:hAnsi="楷体_GB2312" w:eastAsia="楷体_GB2312" w:cs="楷体_GB2312"/>
          <w:kern w:val="0"/>
          <w:sz w:val="32"/>
          <w:szCs w:val="32"/>
          <w:lang w:eastAsia="zh-CN"/>
        </w:rPr>
        <w:t>三是</w:t>
      </w:r>
      <w:r>
        <w:rPr>
          <w:rFonts w:hint="eastAsia" w:ascii="楷体_GB2312" w:hAnsi="楷体_GB2312" w:eastAsia="楷体_GB2312" w:cs="楷体_GB2312"/>
          <w:kern w:val="0"/>
          <w:sz w:val="32"/>
          <w:szCs w:val="32"/>
        </w:rPr>
        <w:t>政府信息资源的规范化、标准化管理情况</w:t>
      </w:r>
      <w:r>
        <w:rPr>
          <w:rFonts w:hint="eastAsia" w:ascii="楷体_GB2312" w:hAnsi="楷体_GB2312" w:eastAsia="楷体_GB2312" w:cs="楷体_GB2312"/>
          <w:kern w:val="0"/>
          <w:sz w:val="32"/>
          <w:szCs w:val="32"/>
          <w:lang w:eastAsia="zh-CN"/>
        </w:rPr>
        <w:t>。</w:t>
      </w:r>
      <w:r>
        <w:rPr>
          <w:rFonts w:hint="eastAsia" w:ascii="仿宋_GB2312" w:hAnsi="宋体" w:eastAsia="仿宋_GB2312" w:cs="宋体"/>
          <w:kern w:val="0"/>
          <w:sz w:val="32"/>
          <w:szCs w:val="32"/>
          <w:lang w:val="en-US" w:eastAsia="zh-CN"/>
        </w:rPr>
        <w:t>自大兴区政府信息公开工作正式开展以来，区农业农村局领导高度重视，明确政府信息公开工作的主管领导、负责部门和联系人。做到有领导分管、有科室牵头、有专人负责，各部门紧密配合，确保政务公开工作制度化、规范化、标准化。我局微信公众号（甜美大兴）、新浪微博（大兴三农）日常运营均由专人负责，日常信息由信息员撰写，并由科长、保密员、主管领导对文章内容层层把关。截至目前，运营状况良好，微信拥有粉丝21703人，微博拥有粉丝29598人，未出现不更新，回应差、恶意炒作等现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7"/>
        <w:tblW w:w="8613" w:type="dxa"/>
        <w:jc w:val="center"/>
        <w:tblInd w:w="0" w:type="dxa"/>
        <w:tblLayout w:type="fixed"/>
        <w:tblCellMar>
          <w:top w:w="0" w:type="dxa"/>
          <w:left w:w="108" w:type="dxa"/>
          <w:bottom w:w="0" w:type="dxa"/>
          <w:right w:w="108" w:type="dxa"/>
        </w:tblCellMar>
      </w:tblPr>
      <w:tblGrid>
        <w:gridCol w:w="1572"/>
        <w:gridCol w:w="1230"/>
        <w:gridCol w:w="2175"/>
        <w:gridCol w:w="1887"/>
        <w:gridCol w:w="1749"/>
      </w:tblGrid>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pPr>
            <w:r>
              <w:rPr>
                <w:rFonts w:hint="eastAsia"/>
              </w:rPr>
              <w:t>第二十条第（一）项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本年新制作数量</w:t>
            </w:r>
          </w:p>
        </w:tc>
        <w:tc>
          <w:tcPr>
            <w:tcW w:w="1887"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本年新公开数量</w:t>
            </w:r>
          </w:p>
        </w:tc>
        <w:tc>
          <w:tcPr>
            <w:tcW w:w="1749"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对外公开总数量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规章</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规范性文件</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2</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2</w:t>
            </w:r>
          </w:p>
        </w:tc>
        <w:tc>
          <w:tcPr>
            <w:tcW w:w="1749"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18</w:t>
            </w:r>
            <w:bookmarkStart w:id="0" w:name="_GoBack"/>
            <w:bookmarkEnd w:id="0"/>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rPr>
                <w:rFonts w:hint="eastAsia"/>
              </w:rPr>
            </w:pPr>
            <w:r>
              <w:rPr>
                <w:rFonts w:hint="eastAsia"/>
              </w:rPr>
              <w:t>第二十条第（五）项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本年增/减</w:t>
            </w:r>
          </w:p>
        </w:tc>
        <w:tc>
          <w:tcPr>
            <w:tcW w:w="1749"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处理决定数量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行政许可</w:t>
            </w:r>
          </w:p>
        </w:tc>
        <w:tc>
          <w:tcPr>
            <w:tcW w:w="2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color w:val="000000"/>
                <w:kern w:val="0"/>
                <w:sz w:val="24"/>
                <w:szCs w:val="24"/>
                <w:u w:val="none"/>
                <w:lang w:val="en-US" w:eastAsia="zh-CN" w:bidi="ar"/>
              </w:rPr>
              <w:t>23</w:t>
            </w:r>
          </w:p>
        </w:tc>
        <w:tc>
          <w:tcPr>
            <w:tcW w:w="18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color w:val="000000"/>
                <w:kern w:val="0"/>
                <w:sz w:val="24"/>
                <w:szCs w:val="24"/>
                <w:u w:val="none"/>
                <w:lang w:val="en-US" w:eastAsia="zh-CN" w:bidi="ar"/>
              </w:rPr>
              <w:t>+1</w:t>
            </w:r>
          </w:p>
        </w:tc>
        <w:tc>
          <w:tcPr>
            <w:tcW w:w="17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color w:val="000000"/>
                <w:kern w:val="0"/>
                <w:sz w:val="24"/>
                <w:szCs w:val="24"/>
                <w:u w:val="none"/>
                <w:lang w:val="en-US" w:eastAsia="zh-CN" w:bidi="ar"/>
              </w:rPr>
              <w:t>131</w:t>
            </w:r>
          </w:p>
        </w:tc>
      </w:tr>
      <w:tr>
        <w:tblPrEx>
          <w:tblLayout w:type="fixed"/>
          <w:tblCellMar>
            <w:top w:w="0" w:type="dxa"/>
            <w:left w:w="108" w:type="dxa"/>
            <w:bottom w:w="0" w:type="dxa"/>
            <w:right w:w="108" w:type="dxa"/>
          </w:tblCellMar>
        </w:tblPrEx>
        <w:trPr>
          <w:trHeight w:val="454" w:hRule="atLeast"/>
          <w:jc w:val="center"/>
        </w:trPr>
        <w:tc>
          <w:tcPr>
            <w:tcW w:w="1572" w:type="dxa"/>
            <w:vMerge w:val="restart"/>
            <w:tcBorders>
              <w:top w:val="nil"/>
              <w:left w:val="single" w:color="auto" w:sz="4" w:space="0"/>
              <w:right w:val="single" w:color="auto" w:sz="4" w:space="0"/>
            </w:tcBorders>
            <w:shd w:val="clear" w:color="auto" w:fill="9CC2E5"/>
            <w:vAlign w:val="center"/>
          </w:tcPr>
          <w:p>
            <w:pPr>
              <w:jc w:val="center"/>
              <w:rPr>
                <w:rFonts w:hint="eastAsia"/>
              </w:rPr>
            </w:pPr>
            <w:r>
              <w:rPr>
                <w:rFonts w:hint="eastAsia"/>
              </w:rPr>
              <w:t>其他对外管理服务事项</w:t>
            </w:r>
          </w:p>
        </w:tc>
        <w:tc>
          <w:tcPr>
            <w:tcW w:w="1230" w:type="dxa"/>
            <w:tcBorders>
              <w:top w:val="nil"/>
              <w:left w:val="single" w:color="auto" w:sz="4" w:space="0"/>
              <w:bottom w:val="single" w:color="000000" w:sz="4" w:space="0"/>
              <w:right w:val="single" w:color="auto" w:sz="4" w:space="0"/>
            </w:tcBorders>
            <w:shd w:val="clear" w:color="auto" w:fill="9CC2E5"/>
            <w:vAlign w:val="center"/>
          </w:tcPr>
          <w:p>
            <w:pPr>
              <w:jc w:val="center"/>
              <w:rPr>
                <w:rFonts w:hint="eastAsia"/>
              </w:rPr>
            </w:pPr>
            <w:r>
              <w:rPr>
                <w:rFonts w:hint="eastAsia"/>
              </w:rPr>
              <w:t>行政</w:t>
            </w:r>
            <w:r>
              <w:t>检查</w:t>
            </w:r>
          </w:p>
        </w:tc>
        <w:tc>
          <w:tcPr>
            <w:tcW w:w="2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color w:val="000000"/>
                <w:kern w:val="0"/>
                <w:sz w:val="24"/>
                <w:szCs w:val="24"/>
                <w:u w:val="none"/>
                <w:lang w:val="en-US" w:eastAsia="zh-CN" w:bidi="ar"/>
              </w:rPr>
              <w:t>1</w:t>
            </w:r>
          </w:p>
        </w:tc>
        <w:tc>
          <w:tcPr>
            <w:tcW w:w="18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color w:val="000000"/>
                <w:kern w:val="0"/>
                <w:sz w:val="24"/>
                <w:szCs w:val="24"/>
                <w:u w:val="none"/>
                <w:lang w:val="en-US" w:eastAsia="zh-CN" w:bidi="ar"/>
              </w:rPr>
              <w:t>+22</w:t>
            </w:r>
          </w:p>
        </w:tc>
        <w:tc>
          <w:tcPr>
            <w:tcW w:w="17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19013</w:t>
            </w:r>
          </w:p>
        </w:tc>
      </w:tr>
      <w:tr>
        <w:tblPrEx>
          <w:tblLayout w:type="fixed"/>
          <w:tblCellMar>
            <w:top w:w="0" w:type="dxa"/>
            <w:left w:w="108" w:type="dxa"/>
            <w:bottom w:w="0" w:type="dxa"/>
            <w:right w:w="108" w:type="dxa"/>
          </w:tblCellMar>
        </w:tblPrEx>
        <w:trPr>
          <w:trHeight w:val="454" w:hRule="atLeast"/>
          <w:jc w:val="center"/>
        </w:trPr>
        <w:tc>
          <w:tcPr>
            <w:tcW w:w="1572" w:type="dxa"/>
            <w:vMerge w:val="continue"/>
            <w:tcBorders>
              <w:left w:val="single" w:color="auto" w:sz="4" w:space="0"/>
              <w:bottom w:val="single" w:color="000000" w:sz="4" w:space="0"/>
              <w:right w:val="single" w:color="auto" w:sz="4" w:space="0"/>
            </w:tcBorders>
            <w:shd w:val="clear" w:color="auto" w:fill="9CC2E5"/>
            <w:vAlign w:val="center"/>
          </w:tcPr>
          <w:p>
            <w:pPr>
              <w:jc w:val="center"/>
              <w:rPr>
                <w:rFonts w:hint="eastAsia"/>
              </w:rPr>
            </w:pPr>
          </w:p>
        </w:tc>
        <w:tc>
          <w:tcPr>
            <w:tcW w:w="1230" w:type="dxa"/>
            <w:tcBorders>
              <w:top w:val="nil"/>
              <w:left w:val="single" w:color="auto" w:sz="4" w:space="0"/>
              <w:bottom w:val="single" w:color="000000" w:sz="4" w:space="0"/>
              <w:right w:val="single" w:color="auto" w:sz="4" w:space="0"/>
            </w:tcBorders>
            <w:shd w:val="clear" w:color="auto" w:fill="9CC2E5"/>
            <w:vAlign w:val="center"/>
          </w:tcPr>
          <w:p>
            <w:pPr>
              <w:jc w:val="center"/>
              <w:rPr>
                <w:rFonts w:hint="eastAsia"/>
              </w:rPr>
            </w:pPr>
            <w:r>
              <w:rPr>
                <w:rFonts w:hint="eastAsia"/>
              </w:rPr>
              <w:t>行政</w:t>
            </w:r>
            <w:r>
              <w:t>确认</w:t>
            </w:r>
          </w:p>
        </w:tc>
        <w:tc>
          <w:tcPr>
            <w:tcW w:w="2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color w:val="000000"/>
                <w:kern w:val="0"/>
                <w:sz w:val="24"/>
                <w:szCs w:val="24"/>
                <w:u w:val="none"/>
                <w:lang w:val="en-US" w:eastAsia="zh-CN" w:bidi="ar"/>
              </w:rPr>
              <w:t>8</w:t>
            </w:r>
          </w:p>
        </w:tc>
        <w:tc>
          <w:tcPr>
            <w:tcW w:w="18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color w:val="000000"/>
                <w:kern w:val="0"/>
                <w:sz w:val="24"/>
                <w:szCs w:val="24"/>
                <w:u w:val="none"/>
                <w:lang w:val="en-US" w:eastAsia="zh-CN" w:bidi="ar"/>
              </w:rPr>
              <w:t>-5</w:t>
            </w:r>
          </w:p>
        </w:tc>
        <w:tc>
          <w:tcPr>
            <w:tcW w:w="17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color w:val="000000"/>
                <w:kern w:val="0"/>
                <w:sz w:val="24"/>
                <w:szCs w:val="24"/>
                <w:u w:val="none"/>
                <w:lang w:val="en-US" w:eastAsia="zh-CN" w:bidi="ar"/>
              </w:rPr>
              <w:t>0</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rPr>
                <w:rFonts w:hint="eastAsia"/>
              </w:rPr>
            </w:pPr>
            <w:r>
              <w:rPr>
                <w:rFonts w:hint="eastAsia"/>
              </w:rPr>
              <w:t>第二十条第（六）项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本年增/减</w:t>
            </w:r>
          </w:p>
        </w:tc>
        <w:tc>
          <w:tcPr>
            <w:tcW w:w="1749"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处理决定数量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行政处罚</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416</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116</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行政强制</w:t>
            </w:r>
          </w:p>
        </w:tc>
        <w:tc>
          <w:tcPr>
            <w:tcW w:w="217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color w:val="000000"/>
                <w:kern w:val="0"/>
                <w:sz w:val="24"/>
                <w:szCs w:val="24"/>
                <w:u w:val="none"/>
                <w:lang w:val="en-US" w:eastAsia="zh-CN" w:bidi="ar"/>
              </w:rPr>
              <w:t>24</w:t>
            </w:r>
          </w:p>
        </w:tc>
        <w:tc>
          <w:tcPr>
            <w:tcW w:w="18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color w:val="000000"/>
                <w:kern w:val="0"/>
                <w:sz w:val="24"/>
                <w:szCs w:val="24"/>
                <w:u w:val="none"/>
                <w:lang w:val="en-US" w:eastAsia="zh-CN" w:bidi="ar"/>
              </w:rPr>
              <w:t>-1</w:t>
            </w:r>
          </w:p>
        </w:tc>
        <w:tc>
          <w:tcPr>
            <w:tcW w:w="17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color w:val="000000"/>
                <w:kern w:val="0"/>
                <w:sz w:val="24"/>
                <w:szCs w:val="24"/>
                <w:u w:val="none"/>
                <w:lang w:val="en-US" w:eastAsia="zh-CN" w:bidi="ar"/>
              </w:rPr>
              <w:t>1</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000000" w:sz="8" w:space="0"/>
              <w:right w:val="single" w:color="auto" w:sz="4" w:space="0"/>
            </w:tcBorders>
            <w:shd w:val="clear" w:color="auto" w:fill="5B9BD5"/>
            <w:vAlign w:val="center"/>
          </w:tcPr>
          <w:p>
            <w:pPr>
              <w:jc w:val="center"/>
              <w:rPr>
                <w:rFonts w:hint="eastAsia"/>
              </w:rPr>
            </w:pPr>
            <w:r>
              <w:rPr>
                <w:rFonts w:hint="eastAsia"/>
              </w:rPr>
              <w:t>第二十条第（八）项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000000" w:sz="8"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single" w:color="000000" w:sz="8" w:space="0"/>
              <w:left w:val="nil"/>
              <w:bottom w:val="single" w:color="auto" w:sz="4" w:space="0"/>
              <w:right w:val="single" w:color="auto" w:sz="4" w:space="0"/>
            </w:tcBorders>
            <w:shd w:val="clear" w:color="auto" w:fill="BDD6EE"/>
            <w:vAlign w:val="center"/>
          </w:tcPr>
          <w:p>
            <w:pPr>
              <w:jc w:val="center"/>
              <w:rPr>
                <w:rFonts w:hint="eastAsia"/>
              </w:rPr>
            </w:pPr>
            <w:r>
              <w:rPr>
                <w:rFonts w:hint="eastAsia"/>
              </w:rPr>
              <w:t>上一年项目数量</w:t>
            </w:r>
          </w:p>
        </w:tc>
        <w:tc>
          <w:tcPr>
            <w:tcW w:w="3636" w:type="dxa"/>
            <w:gridSpan w:val="2"/>
            <w:tcBorders>
              <w:top w:val="single" w:color="000000" w:sz="8" w:space="0"/>
              <w:left w:val="nil"/>
              <w:bottom w:val="single" w:color="auto" w:sz="4" w:space="0"/>
              <w:right w:val="single" w:color="000000" w:sz="4" w:space="0"/>
            </w:tcBorders>
            <w:shd w:val="clear" w:color="auto" w:fill="BDD6EE"/>
            <w:vAlign w:val="center"/>
          </w:tcPr>
          <w:p>
            <w:pPr>
              <w:jc w:val="center"/>
              <w:rPr>
                <w:rFonts w:hint="eastAsia"/>
              </w:rPr>
            </w:pPr>
            <w:r>
              <w:rPr>
                <w:rFonts w:hint="eastAsia"/>
              </w:rPr>
              <w:t>本年增/减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行政事业性收费</w:t>
            </w:r>
          </w:p>
        </w:tc>
        <w:tc>
          <w:tcPr>
            <w:tcW w:w="2175" w:type="dxa"/>
            <w:tcBorders>
              <w:top w:val="single" w:color="auto" w:sz="4" w:space="0"/>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3636" w:type="dxa"/>
            <w:gridSpan w:val="2"/>
            <w:tcBorders>
              <w:top w:val="single" w:color="auto" w:sz="4" w:space="0"/>
              <w:left w:val="nil"/>
              <w:bottom w:val="single" w:color="auto" w:sz="4" w:space="0"/>
              <w:right w:val="single" w:color="000000" w:sz="4" w:space="0"/>
            </w:tcBorders>
            <w:vAlign w:val="center"/>
          </w:tcPr>
          <w:p>
            <w:pPr>
              <w:jc w:val="center"/>
              <w:rPr>
                <w:rFonts w:hint="eastAsia"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rPr>
                <w:rFonts w:hint="eastAsia"/>
              </w:rPr>
            </w:pPr>
            <w:r>
              <w:rPr>
                <w:rFonts w:hint="eastAsia"/>
              </w:rPr>
              <w:t>第二十条第（九）项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采购项目数量</w:t>
            </w:r>
          </w:p>
        </w:tc>
        <w:tc>
          <w:tcPr>
            <w:tcW w:w="3636" w:type="dxa"/>
            <w:gridSpan w:val="2"/>
            <w:tcBorders>
              <w:top w:val="single" w:color="auto" w:sz="4" w:space="0"/>
              <w:left w:val="nil"/>
              <w:bottom w:val="single" w:color="auto" w:sz="4" w:space="0"/>
              <w:right w:val="single" w:color="000000" w:sz="4" w:space="0"/>
            </w:tcBorders>
            <w:shd w:val="clear" w:color="auto" w:fill="BDD6EE"/>
            <w:vAlign w:val="center"/>
          </w:tcPr>
          <w:p>
            <w:pPr>
              <w:jc w:val="center"/>
              <w:rPr>
                <w:rFonts w:hint="eastAsia"/>
              </w:rPr>
            </w:pPr>
            <w:r>
              <w:rPr>
                <w:rFonts w:hint="eastAsia"/>
              </w:rPr>
              <w:t>采购总金额（万元，保留四位小数）</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政府集中采购</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10</w:t>
            </w:r>
          </w:p>
        </w:tc>
        <w:tc>
          <w:tcPr>
            <w:tcW w:w="3636" w:type="dxa"/>
            <w:gridSpan w:val="2"/>
            <w:tcBorders>
              <w:top w:val="single" w:color="auto" w:sz="4" w:space="0"/>
              <w:left w:val="nil"/>
              <w:bottom w:val="single" w:color="auto" w:sz="4" w:space="0"/>
              <w:right w:val="single" w:color="000000" w:sz="4" w:space="0"/>
            </w:tcBorders>
            <w:vAlign w:val="center"/>
          </w:tcPr>
          <w:p>
            <w:pPr>
              <w:jc w:val="center"/>
            </w:pPr>
            <w:r>
              <w:rPr>
                <w:rFonts w:hint="eastAsia"/>
              </w:rPr>
              <w:t>822.12</w:t>
            </w:r>
            <w:r>
              <w:rPr>
                <w:rFonts w:hint="eastAsia"/>
                <w:lang w:val="en-US" w:eastAsia="zh-CN"/>
              </w:rPr>
              <w:t>00</w:t>
            </w:r>
          </w:p>
        </w:tc>
      </w:tr>
    </w:tbl>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7"/>
        <w:tblW w:w="9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9"/>
        <w:gridCol w:w="856"/>
        <w:gridCol w:w="2957"/>
        <w:gridCol w:w="709"/>
        <w:gridCol w:w="709"/>
        <w:gridCol w:w="709"/>
        <w:gridCol w:w="708"/>
        <w:gridCol w:w="709"/>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2" w:hRule="atLeast"/>
          <w:jc w:val="center"/>
        </w:trPr>
        <w:tc>
          <w:tcPr>
            <w:tcW w:w="4212" w:type="dxa"/>
            <w:gridSpan w:val="3"/>
            <w:vMerge w:val="restart"/>
            <w:shd w:val="clear" w:color="auto" w:fill="5B9BD5"/>
            <w:tcMar>
              <w:top w:w="0" w:type="dxa"/>
              <w:left w:w="108" w:type="dxa"/>
              <w:bottom w:w="0" w:type="dxa"/>
              <w:right w:w="108" w:type="dxa"/>
            </w:tcMar>
            <w:vAlign w:val="center"/>
          </w:tcPr>
          <w:p>
            <w:r>
              <w:rPr>
                <w:rFonts w:hint="eastAsia"/>
              </w:rPr>
              <w:t>（本列数据的勾稽关系为：第一项加第二项之和，等于第三项加第四项之和）</w:t>
            </w:r>
          </w:p>
        </w:tc>
        <w:tc>
          <w:tcPr>
            <w:tcW w:w="4820" w:type="dxa"/>
            <w:gridSpan w:val="7"/>
            <w:shd w:val="clear" w:color="auto" w:fill="5B9BD5"/>
            <w:tcMar>
              <w:top w:w="0" w:type="dxa"/>
              <w:left w:w="108" w:type="dxa"/>
              <w:bottom w:w="0" w:type="dxa"/>
              <w:right w:w="108" w:type="dxa"/>
            </w:tcMar>
            <w:vAlign w:val="center"/>
          </w:tcPr>
          <w:p>
            <w:pPr>
              <w:jc w:val="center"/>
            </w:pPr>
            <w:r>
              <w:rPr>
                <w:rFonts w:hint="eastAsia"/>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4" w:hRule="atLeast"/>
          <w:jc w:val="center"/>
        </w:trPr>
        <w:tc>
          <w:tcPr>
            <w:tcW w:w="4212" w:type="dxa"/>
            <w:gridSpan w:val="3"/>
            <w:vMerge w:val="continue"/>
            <w:shd w:val="clear" w:color="auto" w:fill="5B9BD5"/>
            <w:tcMar>
              <w:top w:w="0" w:type="dxa"/>
              <w:left w:w="108" w:type="dxa"/>
              <w:bottom w:w="0" w:type="dxa"/>
              <w:right w:w="108" w:type="dxa"/>
            </w:tcMar>
            <w:vAlign w:val="center"/>
          </w:tcPr>
          <w:p>
            <w:pPr>
              <w:rPr>
                <w:rFonts w:hint="eastAsia"/>
              </w:rPr>
            </w:pPr>
          </w:p>
        </w:tc>
        <w:tc>
          <w:tcPr>
            <w:tcW w:w="709" w:type="dxa"/>
            <w:vMerge w:val="restart"/>
            <w:shd w:val="clear" w:color="auto" w:fill="5B9BD5"/>
            <w:tcMar>
              <w:top w:w="0" w:type="dxa"/>
              <w:left w:w="108" w:type="dxa"/>
              <w:bottom w:w="0" w:type="dxa"/>
              <w:right w:w="108" w:type="dxa"/>
            </w:tcMar>
            <w:vAlign w:val="center"/>
          </w:tcPr>
          <w:p>
            <w:pPr>
              <w:jc w:val="center"/>
            </w:pPr>
            <w:r>
              <w:rPr>
                <w:rFonts w:hint="eastAsia"/>
              </w:rPr>
              <w:t>自然人</w:t>
            </w:r>
          </w:p>
        </w:tc>
        <w:tc>
          <w:tcPr>
            <w:tcW w:w="3402" w:type="dxa"/>
            <w:gridSpan w:val="5"/>
            <w:shd w:val="clear" w:color="auto" w:fill="5B9BD5"/>
            <w:tcMar>
              <w:top w:w="0" w:type="dxa"/>
              <w:left w:w="108" w:type="dxa"/>
              <w:bottom w:w="0" w:type="dxa"/>
              <w:right w:w="108" w:type="dxa"/>
            </w:tcMar>
            <w:vAlign w:val="center"/>
          </w:tcPr>
          <w:p>
            <w:pPr>
              <w:jc w:val="center"/>
            </w:pPr>
            <w:r>
              <w:rPr>
                <w:rFonts w:hint="eastAsia"/>
              </w:rPr>
              <w:t>法人或其他组织</w:t>
            </w:r>
          </w:p>
        </w:tc>
        <w:tc>
          <w:tcPr>
            <w:tcW w:w="709" w:type="dxa"/>
            <w:vMerge w:val="restart"/>
            <w:shd w:val="clear" w:color="auto" w:fill="5B9BD5"/>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vMerge w:val="continue"/>
            <w:shd w:val="clear" w:color="auto" w:fill="auto"/>
            <w:tcMar>
              <w:top w:w="0" w:type="dxa"/>
              <w:left w:w="108" w:type="dxa"/>
              <w:bottom w:w="0" w:type="dxa"/>
              <w:right w:w="108" w:type="dxa"/>
            </w:tcMar>
            <w:vAlign w:val="center"/>
          </w:tcPr>
          <w:p>
            <w:pPr>
              <w:rPr>
                <w:rFonts w:hint="eastAsia"/>
              </w:rPr>
            </w:pPr>
          </w:p>
        </w:tc>
        <w:tc>
          <w:tcPr>
            <w:tcW w:w="709" w:type="dxa"/>
            <w:vMerge w:val="continue"/>
            <w:shd w:val="clear" w:color="auto" w:fill="auto"/>
            <w:tcMar>
              <w:top w:w="0" w:type="dxa"/>
              <w:left w:w="108" w:type="dxa"/>
              <w:bottom w:w="0" w:type="dxa"/>
              <w:right w:w="108" w:type="dxa"/>
            </w:tcMar>
            <w:vAlign w:val="center"/>
          </w:tcPr>
          <w:p>
            <w:pPr>
              <w:jc w:val="center"/>
              <w:rPr>
                <w:rFonts w:hint="eastAsia"/>
              </w:rPr>
            </w:pPr>
          </w:p>
        </w:tc>
        <w:tc>
          <w:tcPr>
            <w:tcW w:w="709" w:type="dxa"/>
            <w:shd w:val="clear" w:color="auto" w:fill="5B9BD5"/>
            <w:tcMar>
              <w:top w:w="0" w:type="dxa"/>
              <w:left w:w="108" w:type="dxa"/>
              <w:bottom w:w="0" w:type="dxa"/>
              <w:right w:w="108" w:type="dxa"/>
            </w:tcMar>
            <w:vAlign w:val="center"/>
          </w:tcPr>
          <w:p>
            <w:pPr>
              <w:jc w:val="center"/>
            </w:pPr>
            <w:r>
              <w:rPr>
                <w:rFonts w:hint="eastAsia"/>
              </w:rPr>
              <w:t>商业企业</w:t>
            </w:r>
          </w:p>
        </w:tc>
        <w:tc>
          <w:tcPr>
            <w:tcW w:w="709" w:type="dxa"/>
            <w:shd w:val="clear" w:color="auto" w:fill="5B9BD5"/>
            <w:tcMar>
              <w:top w:w="0" w:type="dxa"/>
              <w:left w:w="108" w:type="dxa"/>
              <w:bottom w:w="0" w:type="dxa"/>
              <w:right w:w="108" w:type="dxa"/>
            </w:tcMar>
            <w:vAlign w:val="center"/>
          </w:tcPr>
          <w:p>
            <w:pPr>
              <w:jc w:val="center"/>
            </w:pPr>
            <w:r>
              <w:rPr>
                <w:rFonts w:hint="eastAsia"/>
              </w:rPr>
              <w:t>科研机构</w:t>
            </w:r>
          </w:p>
        </w:tc>
        <w:tc>
          <w:tcPr>
            <w:tcW w:w="708" w:type="dxa"/>
            <w:shd w:val="clear" w:color="auto" w:fill="5B9BD5"/>
            <w:tcMar>
              <w:top w:w="0" w:type="dxa"/>
              <w:left w:w="108" w:type="dxa"/>
              <w:bottom w:w="0" w:type="dxa"/>
              <w:right w:w="108" w:type="dxa"/>
            </w:tcMar>
            <w:vAlign w:val="center"/>
          </w:tcPr>
          <w:p>
            <w:pPr>
              <w:jc w:val="center"/>
            </w:pPr>
            <w:r>
              <w:rPr>
                <w:rFonts w:hint="eastAsia"/>
              </w:rPr>
              <w:t>社会公益组织</w:t>
            </w:r>
          </w:p>
        </w:tc>
        <w:tc>
          <w:tcPr>
            <w:tcW w:w="709" w:type="dxa"/>
            <w:shd w:val="clear" w:color="auto" w:fill="5B9BD5"/>
            <w:tcMar>
              <w:top w:w="0" w:type="dxa"/>
              <w:left w:w="108" w:type="dxa"/>
              <w:bottom w:w="0" w:type="dxa"/>
              <w:right w:w="108" w:type="dxa"/>
            </w:tcMar>
            <w:vAlign w:val="center"/>
          </w:tcPr>
          <w:p>
            <w:pPr>
              <w:jc w:val="center"/>
            </w:pPr>
            <w:r>
              <w:rPr>
                <w:rFonts w:hint="eastAsia"/>
              </w:rPr>
              <w:t>法律服务机构</w:t>
            </w:r>
          </w:p>
        </w:tc>
        <w:tc>
          <w:tcPr>
            <w:tcW w:w="567" w:type="dxa"/>
            <w:shd w:val="clear" w:color="auto" w:fill="5B9BD5"/>
            <w:tcMar>
              <w:top w:w="0" w:type="dxa"/>
              <w:left w:w="108" w:type="dxa"/>
              <w:bottom w:w="0" w:type="dxa"/>
              <w:right w:w="108" w:type="dxa"/>
            </w:tcMar>
            <w:vAlign w:val="center"/>
          </w:tcPr>
          <w:p>
            <w:pPr>
              <w:jc w:val="center"/>
            </w:pPr>
            <w:r>
              <w:rPr>
                <w:rFonts w:hint="eastAsia"/>
              </w:rPr>
              <w:t>其他</w:t>
            </w:r>
          </w:p>
        </w:tc>
        <w:tc>
          <w:tcPr>
            <w:tcW w:w="709" w:type="dxa"/>
            <w:vMerge w:val="continue"/>
            <w:tcMar>
              <w:top w:w="0" w:type="dxa"/>
              <w:left w:w="108" w:type="dxa"/>
              <w:bottom w:w="0" w:type="dxa"/>
              <w:right w:w="108"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r>
              <w:rPr>
                <w:rFonts w:hint="eastAsia"/>
              </w:rPr>
              <w:t>一、本年新收政府信息公开申请数量</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r>
              <w:rPr>
                <w:rFonts w:hint="eastAsia"/>
              </w:rPr>
              <w:t>二、上年结转政府信息公开申请数量</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restart"/>
            <w:shd w:val="clear" w:color="auto" w:fill="9CC2E5"/>
            <w:tcMar>
              <w:top w:w="0" w:type="dxa"/>
              <w:left w:w="108" w:type="dxa"/>
              <w:bottom w:w="0" w:type="dxa"/>
              <w:right w:w="108" w:type="dxa"/>
            </w:tcMar>
            <w:vAlign w:val="center"/>
          </w:tcPr>
          <w:p>
            <w:r>
              <w:rPr>
                <w:rFonts w:hint="eastAsia"/>
              </w:rPr>
              <w:t>三、本年度办理结果</w:t>
            </w:r>
          </w:p>
        </w:tc>
        <w:tc>
          <w:tcPr>
            <w:tcW w:w="3813" w:type="dxa"/>
            <w:gridSpan w:val="2"/>
            <w:shd w:val="clear" w:color="auto" w:fill="BDD6EE"/>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（一）予以公开</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3813" w:type="dxa"/>
            <w:gridSpan w:val="2"/>
            <w:shd w:val="clear" w:color="auto" w:fill="BDD6EE"/>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（二）部分公开（区分处理的，只计这一情形，不计其他情形）</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restart"/>
            <w:shd w:val="clear" w:color="auto" w:fill="BDD6EE"/>
            <w:tcMar>
              <w:top w:w="0" w:type="dxa"/>
              <w:left w:w="108" w:type="dxa"/>
              <w:bottom w:w="0" w:type="dxa"/>
              <w:right w:w="108" w:type="dxa"/>
            </w:tcMar>
            <w:vAlign w:val="center"/>
          </w:tcPr>
          <w:p>
            <w:pPr>
              <w:jc w:val="center"/>
              <w:rPr>
                <w:rFonts w:hint="eastAsia" w:ascii="楷体_GB2312" w:eastAsia="楷体_GB2312"/>
              </w:rPr>
            </w:pPr>
            <w:r>
              <w:rPr>
                <w:rFonts w:hint="eastAsia" w:ascii="楷体_GB2312" w:eastAsia="楷体_GB2312"/>
              </w:rPr>
              <w:t>（三）不予</w:t>
            </w:r>
          </w:p>
          <w:p>
            <w:pPr>
              <w:jc w:val="center"/>
              <w:rPr>
                <w:rFonts w:hint="eastAsia" w:ascii="楷体_GB2312" w:eastAsia="楷体_GB2312"/>
              </w:rPr>
            </w:pPr>
            <w:r>
              <w:rPr>
                <w:rFonts w:hint="eastAsia" w:ascii="楷体_GB2312" w:eastAsia="楷体_GB2312"/>
              </w:rPr>
              <w:t>公开</w:t>
            </w: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1.属于国家秘密</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2.其他法律行政法规禁止公开</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3.危及“三安全一稳定”</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4.保护第三方合法权益</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5.属于三类内部事务信息</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6.属于四类过程性信息</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7.属于行政执法案卷</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8.属于行政查询事项</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restart"/>
            <w:shd w:val="clear" w:color="auto" w:fill="BDD6EE"/>
            <w:tcMar>
              <w:top w:w="0" w:type="dxa"/>
              <w:left w:w="108" w:type="dxa"/>
              <w:bottom w:w="0" w:type="dxa"/>
              <w:right w:w="108" w:type="dxa"/>
            </w:tcMar>
            <w:vAlign w:val="center"/>
          </w:tcPr>
          <w:p>
            <w:pPr>
              <w:jc w:val="center"/>
              <w:rPr>
                <w:rFonts w:hint="eastAsia" w:ascii="楷体_GB2312" w:eastAsia="楷体_GB2312"/>
              </w:rPr>
            </w:pPr>
            <w:r>
              <w:rPr>
                <w:rFonts w:hint="eastAsia" w:ascii="楷体_GB2312" w:eastAsia="楷体_GB2312"/>
              </w:rPr>
              <w:t>（四）无法</w:t>
            </w:r>
          </w:p>
          <w:p>
            <w:pPr>
              <w:jc w:val="center"/>
              <w:rPr>
                <w:rFonts w:hint="eastAsia" w:ascii="楷体_GB2312" w:eastAsia="楷体_GB2312"/>
              </w:rPr>
            </w:pPr>
            <w:r>
              <w:rPr>
                <w:rFonts w:hint="eastAsia" w:ascii="楷体_GB2312" w:eastAsia="楷体_GB2312"/>
              </w:rPr>
              <w:t>提供</w:t>
            </w: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1.本机关不掌握相关政府信息</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2.没有现成信息需要另行制作</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3.补正后申请内容仍不明确</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restart"/>
            <w:shd w:val="clear" w:color="auto" w:fill="BDD6EE"/>
            <w:tcMar>
              <w:top w:w="0" w:type="dxa"/>
              <w:left w:w="108" w:type="dxa"/>
              <w:bottom w:w="0" w:type="dxa"/>
              <w:right w:w="108" w:type="dxa"/>
            </w:tcMar>
            <w:vAlign w:val="center"/>
          </w:tcPr>
          <w:p>
            <w:pPr>
              <w:jc w:val="center"/>
              <w:rPr>
                <w:rFonts w:hint="eastAsia" w:ascii="楷体_GB2312" w:eastAsia="楷体_GB2312"/>
              </w:rPr>
            </w:pPr>
            <w:r>
              <w:rPr>
                <w:rFonts w:hint="eastAsia" w:ascii="楷体_GB2312" w:eastAsia="楷体_GB2312"/>
              </w:rPr>
              <w:t>（五）不予</w:t>
            </w:r>
          </w:p>
          <w:p>
            <w:pPr>
              <w:jc w:val="center"/>
              <w:rPr>
                <w:rFonts w:hint="eastAsia" w:ascii="楷体_GB2312" w:eastAsia="楷体_GB2312"/>
              </w:rPr>
            </w:pPr>
            <w:r>
              <w:rPr>
                <w:rFonts w:hint="eastAsia" w:ascii="楷体_GB2312" w:eastAsia="楷体_GB2312"/>
              </w:rPr>
              <w:t>处理</w:t>
            </w: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1.信访举报投诉类申请</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2.重复申请</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3.要求提供公开出版物</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4.无正当理由大量反复申请</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5.要求行政机关确认或重新出具已获取信息</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3813" w:type="dxa"/>
            <w:gridSpan w:val="2"/>
            <w:shd w:val="clear" w:color="auto" w:fill="BDD6EE"/>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（六）其他处理</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3813" w:type="dxa"/>
            <w:gridSpan w:val="2"/>
            <w:shd w:val="clear" w:color="auto" w:fill="BDD6EE"/>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（七）总计</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r>
              <w:rPr>
                <w:rFonts w:hint="eastAsia"/>
              </w:rPr>
              <w:t>四、结转下年度继续办理</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rPr>
            </w:pPr>
            <w:r>
              <w:rPr>
                <w:rFonts w:hint="eastAsia"/>
                <w:lang w:val="en-US" w:eastAsia="zh-CN"/>
              </w:rPr>
              <w:t>0</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7"/>
        <w:tblW w:w="8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7"/>
        <w:gridCol w:w="541"/>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5" w:hRule="atLeast"/>
          <w:jc w:val="center"/>
        </w:trPr>
        <w:tc>
          <w:tcPr>
            <w:tcW w:w="2874" w:type="dxa"/>
            <w:gridSpan w:val="5"/>
            <w:tcBorders>
              <w:bottom w:val="single" w:color="auto" w:sz="4" w:space="0"/>
            </w:tcBorders>
            <w:shd w:val="clear" w:color="auto" w:fill="5B9BD5"/>
            <w:tcMar>
              <w:top w:w="0" w:type="dxa"/>
              <w:left w:w="108" w:type="dxa"/>
              <w:bottom w:w="0" w:type="dxa"/>
              <w:right w:w="108" w:type="dxa"/>
            </w:tcMar>
            <w:vAlign w:val="center"/>
          </w:tcPr>
          <w:p>
            <w:pPr>
              <w:jc w:val="center"/>
            </w:pPr>
            <w:r>
              <w:rPr>
                <w:rFonts w:hint="eastAsia"/>
              </w:rPr>
              <w:t>行政复议</w:t>
            </w:r>
          </w:p>
        </w:tc>
        <w:tc>
          <w:tcPr>
            <w:tcW w:w="5997" w:type="dxa"/>
            <w:gridSpan w:val="10"/>
            <w:tcBorders>
              <w:bottom w:val="single" w:color="auto" w:sz="4" w:space="0"/>
            </w:tcBorders>
            <w:shd w:val="clear" w:color="auto" w:fill="5B9BD5"/>
            <w:tcMar>
              <w:top w:w="0" w:type="dxa"/>
              <w:left w:w="108" w:type="dxa"/>
              <w:bottom w:w="0" w:type="dxa"/>
              <w:right w:w="108" w:type="dxa"/>
            </w:tcMar>
            <w:vAlign w:val="center"/>
          </w:tcPr>
          <w:p>
            <w:pPr>
              <w:jc w:val="center"/>
            </w:pPr>
            <w:r>
              <w:rPr>
                <w:rFonts w:hint="eastAsia"/>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5" w:hRule="atLeast"/>
          <w:jc w:val="center"/>
        </w:trPr>
        <w:tc>
          <w:tcPr>
            <w:tcW w:w="467"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结</w:t>
            </w:r>
          </w:p>
          <w:p>
            <w:pPr>
              <w:jc w:val="center"/>
            </w:pPr>
            <w:r>
              <w:rPr>
                <w:rFonts w:hint="eastAsia"/>
              </w:rPr>
              <w:t>果</w:t>
            </w:r>
          </w:p>
          <w:p>
            <w:pPr>
              <w:jc w:val="center"/>
            </w:pPr>
            <w:r>
              <w:rPr>
                <w:rFonts w:hint="eastAsia"/>
              </w:rPr>
              <w:t>维</w:t>
            </w:r>
          </w:p>
          <w:p>
            <w:pPr>
              <w:jc w:val="center"/>
            </w:pPr>
            <w:r>
              <w:rPr>
                <w:rFonts w:hint="eastAsia"/>
              </w:rPr>
              <w:t>持</w:t>
            </w:r>
          </w:p>
        </w:tc>
        <w:tc>
          <w:tcPr>
            <w:tcW w:w="541"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结果纠正</w:t>
            </w:r>
          </w:p>
        </w:tc>
        <w:tc>
          <w:tcPr>
            <w:tcW w:w="604"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其他结果</w:t>
            </w:r>
          </w:p>
        </w:tc>
        <w:tc>
          <w:tcPr>
            <w:tcW w:w="604"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尚未审结</w:t>
            </w:r>
          </w:p>
        </w:tc>
        <w:tc>
          <w:tcPr>
            <w:tcW w:w="658"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总 计</w:t>
            </w:r>
          </w:p>
        </w:tc>
        <w:tc>
          <w:tcPr>
            <w:tcW w:w="2970" w:type="dxa"/>
            <w:gridSpan w:val="5"/>
            <w:tcBorders>
              <w:top w:val="single" w:color="auto" w:sz="4" w:space="0"/>
            </w:tcBorders>
            <w:shd w:val="clear" w:color="auto" w:fill="9CC2E5"/>
            <w:tcMar>
              <w:top w:w="0" w:type="dxa"/>
              <w:left w:w="108" w:type="dxa"/>
              <w:bottom w:w="0" w:type="dxa"/>
              <w:right w:w="108" w:type="dxa"/>
            </w:tcMar>
            <w:vAlign w:val="center"/>
          </w:tcPr>
          <w:p>
            <w:pPr>
              <w:jc w:val="center"/>
            </w:pPr>
            <w:r>
              <w:rPr>
                <w:rFonts w:hint="eastAsia"/>
              </w:rPr>
              <w:t>未经复议直接起诉</w:t>
            </w:r>
          </w:p>
        </w:tc>
        <w:tc>
          <w:tcPr>
            <w:tcW w:w="3027" w:type="dxa"/>
            <w:gridSpan w:val="5"/>
            <w:tcBorders>
              <w:top w:val="single" w:color="auto" w:sz="4" w:space="0"/>
            </w:tcBorders>
            <w:shd w:val="clear" w:color="auto" w:fill="9CC2E5"/>
            <w:tcMar>
              <w:top w:w="0" w:type="dxa"/>
              <w:left w:w="108" w:type="dxa"/>
              <w:bottom w:w="0" w:type="dxa"/>
              <w:right w:w="108" w:type="dxa"/>
            </w:tcMar>
            <w:vAlign w:val="center"/>
          </w:tcPr>
          <w:p>
            <w:pPr>
              <w:jc w:val="center"/>
            </w:pPr>
            <w:r>
              <w:rPr>
                <w:rFonts w:hint="eastAsia"/>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67" w:type="dxa"/>
            <w:vMerge w:val="continue"/>
            <w:tcMar>
              <w:top w:w="0" w:type="dxa"/>
              <w:left w:w="108" w:type="dxa"/>
              <w:bottom w:w="0" w:type="dxa"/>
              <w:right w:w="108" w:type="dxa"/>
            </w:tcMar>
            <w:vAlign w:val="center"/>
          </w:tcPr>
          <w:p>
            <w:pPr>
              <w:jc w:val="center"/>
              <w:rPr>
                <w:rFonts w:hint="eastAsia"/>
              </w:rPr>
            </w:pPr>
          </w:p>
        </w:tc>
        <w:tc>
          <w:tcPr>
            <w:tcW w:w="541" w:type="dxa"/>
            <w:vMerge w:val="continue"/>
            <w:tcMar>
              <w:top w:w="0" w:type="dxa"/>
              <w:left w:w="108" w:type="dxa"/>
              <w:bottom w:w="0" w:type="dxa"/>
              <w:right w:w="108" w:type="dxa"/>
            </w:tcMar>
            <w:vAlign w:val="center"/>
          </w:tcPr>
          <w:p>
            <w:pPr>
              <w:jc w:val="center"/>
              <w:rPr>
                <w:rFonts w:hint="eastAsia"/>
              </w:rPr>
            </w:pPr>
          </w:p>
        </w:tc>
        <w:tc>
          <w:tcPr>
            <w:tcW w:w="604" w:type="dxa"/>
            <w:vMerge w:val="continue"/>
            <w:tcMar>
              <w:top w:w="0" w:type="dxa"/>
              <w:left w:w="108" w:type="dxa"/>
              <w:bottom w:w="0" w:type="dxa"/>
              <w:right w:w="108" w:type="dxa"/>
            </w:tcMar>
            <w:vAlign w:val="center"/>
          </w:tcPr>
          <w:p>
            <w:pPr>
              <w:jc w:val="center"/>
              <w:rPr>
                <w:rFonts w:hint="eastAsia"/>
              </w:rPr>
            </w:pPr>
          </w:p>
        </w:tc>
        <w:tc>
          <w:tcPr>
            <w:tcW w:w="604" w:type="dxa"/>
            <w:vMerge w:val="continue"/>
            <w:tcMar>
              <w:top w:w="0" w:type="dxa"/>
              <w:left w:w="108" w:type="dxa"/>
              <w:bottom w:w="0" w:type="dxa"/>
              <w:right w:w="108" w:type="dxa"/>
            </w:tcMar>
            <w:vAlign w:val="center"/>
          </w:tcPr>
          <w:p>
            <w:pPr>
              <w:jc w:val="center"/>
              <w:rPr>
                <w:rFonts w:hint="eastAsia"/>
              </w:rPr>
            </w:pPr>
          </w:p>
        </w:tc>
        <w:tc>
          <w:tcPr>
            <w:tcW w:w="658" w:type="dxa"/>
            <w:vMerge w:val="continue"/>
            <w:tcMar>
              <w:top w:w="0" w:type="dxa"/>
              <w:left w:w="108" w:type="dxa"/>
              <w:bottom w:w="0" w:type="dxa"/>
              <w:right w:w="108" w:type="dxa"/>
            </w:tcMar>
            <w:vAlign w:val="center"/>
          </w:tcPr>
          <w:p>
            <w:pPr>
              <w:jc w:val="center"/>
              <w:rPr>
                <w:rFonts w:hint="eastAsia"/>
              </w:rPr>
            </w:pPr>
          </w:p>
        </w:tc>
        <w:tc>
          <w:tcPr>
            <w:tcW w:w="550" w:type="dxa"/>
            <w:tcMar>
              <w:top w:w="0" w:type="dxa"/>
              <w:left w:w="108" w:type="dxa"/>
              <w:bottom w:w="0" w:type="dxa"/>
              <w:right w:w="108" w:type="dxa"/>
            </w:tcMar>
            <w:vAlign w:val="center"/>
          </w:tcPr>
          <w:p>
            <w:pPr>
              <w:jc w:val="center"/>
            </w:pPr>
            <w:r>
              <w:rPr>
                <w:rFonts w:hint="eastAsia"/>
              </w:rPr>
              <w:t>结果维持</w:t>
            </w:r>
          </w:p>
        </w:tc>
        <w:tc>
          <w:tcPr>
            <w:tcW w:w="605" w:type="dxa"/>
            <w:tcMar>
              <w:top w:w="0" w:type="dxa"/>
              <w:left w:w="108" w:type="dxa"/>
              <w:bottom w:w="0" w:type="dxa"/>
              <w:right w:w="108" w:type="dxa"/>
            </w:tcMar>
            <w:vAlign w:val="center"/>
          </w:tcPr>
          <w:p>
            <w:pPr>
              <w:jc w:val="center"/>
            </w:pPr>
            <w:r>
              <w:rPr>
                <w:rFonts w:hint="eastAsia"/>
              </w:rPr>
              <w:t>结果纠正</w:t>
            </w:r>
          </w:p>
        </w:tc>
        <w:tc>
          <w:tcPr>
            <w:tcW w:w="605" w:type="dxa"/>
            <w:tcMar>
              <w:top w:w="0" w:type="dxa"/>
              <w:left w:w="108" w:type="dxa"/>
              <w:bottom w:w="0" w:type="dxa"/>
              <w:right w:w="108" w:type="dxa"/>
            </w:tcMar>
            <w:vAlign w:val="center"/>
          </w:tcPr>
          <w:p>
            <w:pPr>
              <w:jc w:val="center"/>
            </w:pPr>
            <w:r>
              <w:rPr>
                <w:rFonts w:hint="eastAsia"/>
              </w:rPr>
              <w:t>其他结果</w:t>
            </w:r>
          </w:p>
        </w:tc>
        <w:tc>
          <w:tcPr>
            <w:tcW w:w="605" w:type="dxa"/>
            <w:tcMar>
              <w:top w:w="0" w:type="dxa"/>
              <w:left w:w="108" w:type="dxa"/>
              <w:bottom w:w="0" w:type="dxa"/>
              <w:right w:w="108" w:type="dxa"/>
            </w:tcMar>
            <w:vAlign w:val="center"/>
          </w:tcPr>
          <w:p>
            <w:pPr>
              <w:jc w:val="center"/>
            </w:pPr>
            <w:r>
              <w:rPr>
                <w:rFonts w:hint="eastAsia"/>
              </w:rPr>
              <w:t>尚未审结</w:t>
            </w:r>
          </w:p>
        </w:tc>
        <w:tc>
          <w:tcPr>
            <w:tcW w:w="605" w:type="dxa"/>
            <w:tcMar>
              <w:top w:w="0" w:type="dxa"/>
              <w:left w:w="108" w:type="dxa"/>
              <w:bottom w:w="0" w:type="dxa"/>
              <w:right w:w="108" w:type="dxa"/>
            </w:tcMar>
            <w:vAlign w:val="center"/>
          </w:tcPr>
          <w:p>
            <w:pPr>
              <w:jc w:val="center"/>
            </w:pPr>
            <w:r>
              <w:rPr>
                <w:rFonts w:hint="eastAsia"/>
              </w:rPr>
              <w:t>总计</w:t>
            </w:r>
          </w:p>
        </w:tc>
        <w:tc>
          <w:tcPr>
            <w:tcW w:w="605" w:type="dxa"/>
            <w:tcMar>
              <w:top w:w="0" w:type="dxa"/>
              <w:left w:w="108" w:type="dxa"/>
              <w:bottom w:w="0" w:type="dxa"/>
              <w:right w:w="108" w:type="dxa"/>
            </w:tcMar>
            <w:vAlign w:val="center"/>
          </w:tcPr>
          <w:p>
            <w:pPr>
              <w:jc w:val="center"/>
            </w:pPr>
            <w:r>
              <w:rPr>
                <w:rFonts w:hint="eastAsia"/>
              </w:rPr>
              <w:t>结果维持</w:t>
            </w:r>
          </w:p>
        </w:tc>
        <w:tc>
          <w:tcPr>
            <w:tcW w:w="605" w:type="dxa"/>
            <w:tcMar>
              <w:top w:w="0" w:type="dxa"/>
              <w:left w:w="108" w:type="dxa"/>
              <w:bottom w:w="0" w:type="dxa"/>
              <w:right w:w="108" w:type="dxa"/>
            </w:tcMar>
            <w:vAlign w:val="center"/>
          </w:tcPr>
          <w:p>
            <w:pPr>
              <w:jc w:val="center"/>
            </w:pPr>
            <w:r>
              <w:rPr>
                <w:rFonts w:hint="eastAsia"/>
              </w:rPr>
              <w:t>结果纠正</w:t>
            </w:r>
          </w:p>
        </w:tc>
        <w:tc>
          <w:tcPr>
            <w:tcW w:w="605" w:type="dxa"/>
            <w:tcMar>
              <w:top w:w="0" w:type="dxa"/>
              <w:left w:w="108" w:type="dxa"/>
              <w:bottom w:w="0" w:type="dxa"/>
              <w:right w:w="108" w:type="dxa"/>
            </w:tcMar>
            <w:vAlign w:val="center"/>
          </w:tcPr>
          <w:p>
            <w:pPr>
              <w:jc w:val="center"/>
            </w:pPr>
            <w:r>
              <w:rPr>
                <w:rFonts w:hint="eastAsia"/>
              </w:rPr>
              <w:t>其他结果</w:t>
            </w:r>
          </w:p>
        </w:tc>
        <w:tc>
          <w:tcPr>
            <w:tcW w:w="606" w:type="dxa"/>
            <w:tcMar>
              <w:top w:w="0" w:type="dxa"/>
              <w:left w:w="108" w:type="dxa"/>
              <w:bottom w:w="0" w:type="dxa"/>
              <w:right w:w="108" w:type="dxa"/>
            </w:tcMar>
            <w:vAlign w:val="center"/>
          </w:tcPr>
          <w:p>
            <w:pPr>
              <w:jc w:val="center"/>
            </w:pPr>
            <w:r>
              <w:rPr>
                <w:rFonts w:hint="eastAsia"/>
              </w:rPr>
              <w:t>尚未审结</w:t>
            </w:r>
          </w:p>
        </w:tc>
        <w:tc>
          <w:tcPr>
            <w:tcW w:w="606" w:type="dxa"/>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4" w:hRule="atLeast"/>
          <w:jc w:val="center"/>
        </w:trPr>
        <w:tc>
          <w:tcPr>
            <w:tcW w:w="4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41"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4"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4"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5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50"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both"/>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6"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6"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bl>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outlineLvl w:val="9"/>
        <w:rPr>
          <w:rFonts w:hint="eastAsia" w:ascii="仿宋_GB2312" w:hAnsi="宋体" w:eastAsia="仿宋_GB2312" w:cs="宋体"/>
          <w:kern w:val="0"/>
          <w:sz w:val="32"/>
          <w:szCs w:val="32"/>
        </w:rPr>
      </w:pPr>
      <w:r>
        <w:rPr>
          <w:rFonts w:hint="eastAsia" w:ascii="仿宋_GB2312" w:hAnsi="仿宋_GB2312" w:eastAsia="仿宋_GB2312" w:cs="仿宋_GB2312"/>
          <w:sz w:val="32"/>
          <w:szCs w:val="32"/>
          <w:lang w:val="en-US" w:eastAsia="zh-CN"/>
        </w:rPr>
        <w:t>一是政务信息公开工作宣传力度有待加强。针对此</w:t>
      </w:r>
      <w:r>
        <w:rPr>
          <w:rFonts w:hint="eastAsia" w:ascii="仿宋_GB2312" w:hAnsi="仿宋_GB2312" w:eastAsia="仿宋_GB2312" w:cs="仿宋_GB2312"/>
          <w:b w:val="0"/>
          <w:i w:val="0"/>
          <w:caps w:val="0"/>
          <w:color w:val="404040"/>
          <w:spacing w:val="0"/>
          <w:sz w:val="32"/>
          <w:szCs w:val="32"/>
          <w:shd w:val="clear" w:fill="FFFFFF"/>
          <w:lang w:eastAsia="zh-CN"/>
        </w:rPr>
        <w:t>问题，我局加强</w:t>
      </w:r>
      <w:r>
        <w:rPr>
          <w:rFonts w:hint="eastAsia" w:ascii="仿宋_GB2312" w:hAnsi="仿宋_GB2312" w:eastAsia="仿宋_GB2312" w:cs="仿宋_GB2312"/>
          <w:b w:val="0"/>
          <w:i w:val="0"/>
          <w:caps w:val="0"/>
          <w:color w:val="404040"/>
          <w:spacing w:val="0"/>
          <w:sz w:val="32"/>
          <w:szCs w:val="32"/>
          <w:shd w:val="clear" w:fill="FFFFFF"/>
        </w:rPr>
        <w:t>信息公开工作的学习和培训，不断提升信息公开工作水平和效率。进一步推进重点领域信息公开。</w:t>
      </w:r>
    </w:p>
    <w:p>
      <w:pPr>
        <w:pStyle w:val="2"/>
        <w:spacing w:after="0" w:line="560" w:lineRule="exact"/>
        <w:ind w:left="0" w:leftChars="0" w:firstLine="640" w:firstLineChars="200"/>
        <w:rPr>
          <w:rFonts w:hint="eastAsia"/>
          <w:lang w:eastAsia="zh-CN"/>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政务信息公开的内容和范围还有待进一步丰富完善</w:t>
      </w:r>
      <w:r>
        <w:rPr>
          <w:rFonts w:hint="eastAsia" w:ascii="仿宋_GB2312" w:hAnsi="仿宋_GB2312" w:eastAsia="仿宋_GB2312" w:cs="仿宋_GB2312"/>
          <w:sz w:val="32"/>
          <w:szCs w:val="32"/>
          <w:lang w:eastAsia="zh-CN"/>
        </w:rPr>
        <w:t>。本单位政府信息公开专职人员认真学习《中华人民共和国政府信息公开条例》，加强业务培训，进一步提高对信息公开工作的认识。进一步深化政府信息公开内容，及时、规范做好公文类政府信息公开。下一步将</w:t>
      </w:r>
      <w:r>
        <w:rPr>
          <w:rFonts w:hint="eastAsia" w:ascii="仿宋_GB2312" w:eastAsia="仿宋_GB2312"/>
          <w:sz w:val="32"/>
          <w:szCs w:val="32"/>
        </w:rPr>
        <w:t>继续组织信息员进行相关法律法规的学习及相关培训，进一步提高信息员的自身素质，提升信息公开水平，做好信息公开的各项工作。</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年报报告中所列数据的统计期限自2020年1月1日至12月31日止。本报告中所涉及的信息公开数据内容可在北京市大兴区人民政府网站（http://www.bjdx.gov.cn/）查阅。如有疑问，请与大兴区农业农村局办公室联系（联系电话：010-81298558）。</w:t>
      </w:r>
    </w:p>
    <w:p>
      <w:pPr>
        <w:pStyle w:val="3"/>
        <w:ind w:firstLine="672"/>
        <w:rPr>
          <w:rFonts w:hint="eastAsia"/>
        </w:rPr>
      </w:pPr>
    </w:p>
    <w:p>
      <w:pPr>
        <w:pStyle w:val="3"/>
        <w:ind w:firstLine="672"/>
        <w:rPr>
          <w:rFonts w:hint="eastAsia"/>
        </w:rPr>
      </w:pPr>
    </w:p>
    <w:p>
      <w:pPr>
        <w:pStyle w:val="3"/>
        <w:ind w:firstLine="672"/>
        <w:rPr>
          <w:rFonts w:hint="eastAsia"/>
        </w:rPr>
      </w:pPr>
    </w:p>
    <w:p>
      <w:pPr>
        <w:pStyle w:val="3"/>
        <w:ind w:firstLine="672"/>
        <w:rPr>
          <w:rFonts w:hint="eastAsia"/>
        </w:rPr>
      </w:pPr>
    </w:p>
    <w:p>
      <w:pPr>
        <w:pStyle w:val="3"/>
        <w:ind w:firstLine="672"/>
        <w:rPr>
          <w:rFonts w:hint="eastAsia"/>
        </w:rPr>
      </w:pPr>
    </w:p>
    <w:p>
      <w:pPr>
        <w:pStyle w:val="3"/>
        <w:ind w:firstLine="672"/>
        <w:rPr>
          <w:rFonts w:hint="eastAsia"/>
        </w:rPr>
      </w:pPr>
    </w:p>
    <w:p>
      <w:pPr>
        <w:pStyle w:val="3"/>
        <w:ind w:firstLine="672"/>
        <w:rPr>
          <w:rFonts w:hint="eastAsia"/>
        </w:rPr>
      </w:pPr>
    </w:p>
    <w:p>
      <w:pPr>
        <w:pStyle w:val="3"/>
        <w:ind w:firstLine="672"/>
        <w:rPr>
          <w:rFonts w:hint="eastAsia"/>
        </w:rPr>
      </w:pPr>
    </w:p>
    <w:p>
      <w:pPr>
        <w:pStyle w:val="3"/>
        <w:ind w:firstLine="672"/>
        <w:rPr>
          <w:rFonts w:hint="eastAsia"/>
        </w:rPr>
      </w:pPr>
    </w:p>
    <w:p>
      <w:pPr>
        <w:pStyle w:val="3"/>
        <w:ind w:firstLine="672"/>
        <w:rPr>
          <w:rFonts w:hint="eastAsia"/>
        </w:rPr>
      </w:pPr>
    </w:p>
    <w:p>
      <w:pPr>
        <w:pStyle w:val="3"/>
        <w:ind w:firstLine="672"/>
        <w:rPr>
          <w:rFonts w:hint="eastAsia"/>
        </w:rPr>
      </w:pPr>
    </w:p>
    <w:p>
      <w:pPr>
        <w:pStyle w:val="3"/>
        <w:ind w:firstLine="672"/>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10F88"/>
    <w:rsid w:val="08FA3772"/>
    <w:rsid w:val="0D3A74C7"/>
    <w:rsid w:val="12C47F35"/>
    <w:rsid w:val="208515CC"/>
    <w:rsid w:val="261E7DF2"/>
    <w:rsid w:val="333178F1"/>
    <w:rsid w:val="3CA70ED4"/>
    <w:rsid w:val="3DC11E6E"/>
    <w:rsid w:val="4312066E"/>
    <w:rsid w:val="44774F20"/>
    <w:rsid w:val="4A4A5C14"/>
    <w:rsid w:val="4FA35DD8"/>
    <w:rsid w:val="54510F88"/>
    <w:rsid w:val="66792158"/>
    <w:rsid w:val="73D16E29"/>
    <w:rsid w:val="74623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2020-12-14T06:58:00Z</dcterms:created>
  <dc:creator>动监局公文</dc:creator>
  <cp:lastModifiedBy>信息公开科</cp:lastModifiedBy>
  <cp:lastPrinted>2020-12-15T01:44:00Z</cp:lastPrinted>
  <dcterms:modified xsi:type="dcterms:W3CDTF">2021-01-11T10:31:51Z</dcterms:modified>
  <dc:title>北京市大兴区农业农村局             2020年政府信息公开工作年度报告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