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北京市大兴区瀛海镇人民政府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ind w:firstLine="480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hint="default" w:ascii="黑体" w:hAnsi="黑体" w:eastAsia="黑体" w:cs="宋体"/>
          <w:spacing w:val="8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1.主动公开情况。2020年，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根据《中华人民共和国政府信息公开条例》第二十条、第二十一条的规定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按时公开了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包括机构职责、领导简介、重点领域工作、重点民生工作进展、日常工作等各类群众关心关注的政府信息，并及时报送区政府门户网站。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2.依申请公开办理情况。本年度共受理政府信息依申请公开38件，已全部按期答复。组织依申请公开政府信息工作会商会10余次。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3.政府信息资源的规范化、标准化管理情况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深化政府信息资源的规范化、标准化管理，健全规范性文件审核制度，明确公开属性，发布政府信息公开全清单并动态调整，为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瀛海</w:t>
      </w:r>
      <w:r>
        <w:rPr>
          <w:rFonts w:hint="eastAsia" w:ascii="仿宋_GB2312" w:hAnsi="仿宋_GB2312" w:eastAsia="仿宋_GB2312" w:cs="仿宋_GB2312"/>
          <w:sz w:val="32"/>
          <w:szCs w:val="32"/>
        </w:rPr>
        <w:t>镇政府信息公开工作打好坚实基础。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政府信息公开教育培训情况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积极参加系统业务培训、依申请专题培训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定期对政府信息公开工作人员进行专业培训，同时设立政府信息公开咨询窗口，为政府信息公开的顺利进行提供技术保障。年度开展信息公开会议专题研究2次，会议集中学习2次。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6"/>
        <w:tblW w:w="86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230"/>
        <w:gridCol w:w="2175"/>
        <w:gridCol w:w="1887"/>
        <w:gridCol w:w="1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本年新公开数量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规章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其他对外管理服务事项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检查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确认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+</w:t>
            </w:r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+</w:t>
            </w: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3636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采购项目数量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采购总金额（万元，保留四位小数）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政府集中采购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165.7957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6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856"/>
        <w:gridCol w:w="2957"/>
        <w:gridCol w:w="709"/>
        <w:gridCol w:w="709"/>
        <w:gridCol w:w="709"/>
        <w:gridCol w:w="708"/>
        <w:gridCol w:w="709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  <w:jc w:val="center"/>
        </w:trPr>
        <w:tc>
          <w:tcPr>
            <w:tcW w:w="4212" w:type="dxa"/>
            <w:gridSpan w:val="3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自然人</w:t>
            </w:r>
          </w:p>
        </w:tc>
        <w:tc>
          <w:tcPr>
            <w:tcW w:w="3402" w:type="dxa"/>
            <w:gridSpan w:val="5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法人或其他组织</w:t>
            </w: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商业企业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科研机构</w:t>
            </w:r>
          </w:p>
        </w:tc>
        <w:tc>
          <w:tcPr>
            <w:tcW w:w="708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社会公益组织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法律服务机构</w:t>
            </w:r>
          </w:p>
        </w:tc>
        <w:tc>
          <w:tcPr>
            <w:tcW w:w="567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70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restart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（一）予以公开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（三）不予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公开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1.属于国家秘密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2.其他法律行政法规禁止公开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3.危及“三安全一稳定”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4.保护第三方合法权益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5.属于三类内部事务信息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6.属于四类过程性信息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7.属于行政执法案卷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8.属于行政查询事项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（四）无法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提供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1.本机关不掌握相关政府信息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2.没有现成信息需要另行制作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3.补正后申请内容仍不明确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（五）不予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处理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1.信访举报投诉类申请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3.要求提供公开出版物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4.无正当理由大量反复申请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5.要求行政机关确认或重新出具已获取信息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（六）其他处理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（七）总计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6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541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2874" w:type="dxa"/>
            <w:gridSpan w:val="5"/>
            <w:tcBorders>
              <w:bottom w:val="single" w:color="auto" w:sz="4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5997" w:type="dxa"/>
            <w:gridSpan w:val="10"/>
            <w:tcBorders>
              <w:bottom w:val="single" w:color="auto" w:sz="4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</w:t>
            </w:r>
          </w:p>
          <w:p>
            <w:pPr>
              <w:jc w:val="center"/>
            </w:pPr>
            <w:r>
              <w:rPr>
                <w:rFonts w:hint="eastAsia"/>
              </w:rPr>
              <w:t>果</w:t>
            </w:r>
          </w:p>
          <w:p>
            <w:pPr>
              <w:jc w:val="center"/>
            </w:pPr>
            <w:r>
              <w:rPr>
                <w:rFonts w:hint="eastAsia"/>
              </w:rPr>
              <w:t>维</w:t>
            </w:r>
          </w:p>
          <w:p>
            <w:pPr>
              <w:jc w:val="center"/>
            </w:pPr>
            <w:r>
              <w:rPr>
                <w:rFonts w:hint="eastAsia"/>
              </w:rPr>
              <w:t>持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 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认识不到位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个别部门对政务公开的重要性和迫切性认识不足，存在"不想公开、不愿公开、不敢公开"的思想和行为。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接下来将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不断加大政务信息的更新力度，进一步落实工作目标，力求更新的政务信息做到准确、及时、完整。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公开信息数量有限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。接下来将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按照政府信息公开的有关规定，将报送信息工作纳入年终考核范围，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定期</w:t>
      </w:r>
      <w:r>
        <w:rPr>
          <w:rFonts w:hint="eastAsia" w:ascii="仿宋_GB2312" w:hAnsi="仿宋_GB2312" w:eastAsia="仿宋_GB2312" w:cs="仿宋_GB2312"/>
          <w:sz w:val="32"/>
          <w:szCs w:val="32"/>
        </w:rPr>
        <w:t>对各科室信息报送工作进行总体考评，明确信息数量，明确上报时间，确保信息公开的及时性。在日常工作中，对各科室报送的信息严格把关，对内容不清、数量不准的信息，当面提出修改意见，完善后再行公布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2"/>
        <w:spacing w:after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无。</w:t>
      </w:r>
    </w:p>
    <w:p>
      <w:pPr>
        <w:pStyle w:val="5"/>
        <w:widowControl/>
      </w:pPr>
      <w:r>
        <w:rPr>
          <w:color w:val="333333"/>
          <w:sz w:val="24"/>
          <w:szCs w:val="24"/>
        </w:rPr>
        <w:t>　</w:t>
      </w:r>
    </w:p>
    <w:p>
      <w:pPr>
        <w:pStyle w:val="5"/>
        <w:widowControl/>
      </w:pPr>
      <w:r>
        <w:rPr>
          <w:color w:val="333333"/>
          <w:sz w:val="24"/>
          <w:szCs w:val="24"/>
        </w:rPr>
        <w:t>　　　</w:t>
      </w:r>
    </w:p>
    <w:p>
      <w:pPr>
        <w:pStyle w:val="5"/>
        <w:widowControl/>
      </w:pPr>
      <w:r>
        <w:rPr>
          <w:color w:val="333333"/>
          <w:sz w:val="24"/>
          <w:szCs w:val="24"/>
        </w:rPr>
        <w:t>　</w:t>
      </w:r>
    </w:p>
    <w:p>
      <w:pPr>
        <w:pStyle w:val="3"/>
        <w:ind w:firstLine="672"/>
        <w:rPr>
          <w:rFonts w:hint="eastAsia"/>
        </w:rPr>
      </w:pPr>
    </w:p>
    <w:p>
      <w:pPr>
        <w:pStyle w:val="3"/>
        <w:ind w:firstLine="672"/>
        <w:rPr>
          <w:rFonts w:hint="eastAsia"/>
        </w:rPr>
      </w:pPr>
    </w:p>
    <w:p>
      <w:pPr>
        <w:pStyle w:val="3"/>
        <w:ind w:firstLine="672"/>
        <w:rPr>
          <w:rFonts w:hint="eastAsia"/>
        </w:rPr>
      </w:pPr>
    </w:p>
    <w:p>
      <w:pPr>
        <w:pStyle w:val="3"/>
        <w:ind w:firstLine="672"/>
        <w:rPr>
          <w:rFonts w:hint="eastAsia"/>
        </w:rPr>
      </w:pPr>
    </w:p>
    <w:p>
      <w:pPr>
        <w:pStyle w:val="3"/>
        <w:ind w:firstLine="672"/>
        <w:rPr>
          <w:rFonts w:hint="eastAsia"/>
        </w:rPr>
      </w:pPr>
    </w:p>
    <w:p>
      <w:pPr>
        <w:pStyle w:val="3"/>
        <w:ind w:firstLine="672"/>
        <w:rPr>
          <w:rFonts w:hint="eastAsia"/>
        </w:rPr>
      </w:pPr>
    </w:p>
    <w:p>
      <w:pPr>
        <w:pStyle w:val="3"/>
        <w:ind w:firstLine="672"/>
        <w:rPr>
          <w:rFonts w:hint="eastAsia"/>
        </w:rPr>
      </w:pPr>
    </w:p>
    <w:p>
      <w:pPr>
        <w:pStyle w:val="3"/>
        <w:ind w:firstLine="672"/>
        <w:rPr>
          <w:rFonts w:hint="eastAsia"/>
        </w:rPr>
      </w:pPr>
    </w:p>
    <w:p>
      <w:pPr>
        <w:pStyle w:val="3"/>
        <w:ind w:firstLine="67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7A443D74"/>
    <w:rsid w:val="07121C6D"/>
    <w:rsid w:val="072F4CFD"/>
    <w:rsid w:val="10F20B09"/>
    <w:rsid w:val="182B7947"/>
    <w:rsid w:val="1A634BB7"/>
    <w:rsid w:val="1DDE706E"/>
    <w:rsid w:val="1F3353C0"/>
    <w:rsid w:val="213301B6"/>
    <w:rsid w:val="23CD2651"/>
    <w:rsid w:val="24E41D43"/>
    <w:rsid w:val="26A432F3"/>
    <w:rsid w:val="2D163501"/>
    <w:rsid w:val="3B974581"/>
    <w:rsid w:val="42164DC9"/>
    <w:rsid w:val="451A5B09"/>
    <w:rsid w:val="45D62D6B"/>
    <w:rsid w:val="47015845"/>
    <w:rsid w:val="48F96DF2"/>
    <w:rsid w:val="53510199"/>
    <w:rsid w:val="61955E32"/>
    <w:rsid w:val="61AD1A27"/>
    <w:rsid w:val="63AA3D98"/>
    <w:rsid w:val="63EF0905"/>
    <w:rsid w:val="64A27F0B"/>
    <w:rsid w:val="68942565"/>
    <w:rsid w:val="709365F7"/>
    <w:rsid w:val="74A537C7"/>
    <w:rsid w:val="78C579BD"/>
    <w:rsid w:val="7A443D74"/>
    <w:rsid w:val="7F1446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微软雅黑" w:hAnsi="微软雅黑" w:eastAsia="微软雅黑" w:cs="微软雅黑"/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rFonts w:hint="eastAsia" w:ascii="微软雅黑" w:hAnsi="微软雅黑" w:eastAsia="微软雅黑" w:cs="微软雅黑"/>
      <w:b/>
    </w:rPr>
  </w:style>
  <w:style w:type="character" w:styleId="9">
    <w:name w:val="FollowedHyperlink"/>
    <w:basedOn w:val="7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0">
    <w:name w:val="Emphasis"/>
    <w:basedOn w:val="7"/>
    <w:qFormat/>
    <w:uiPriority w:val="0"/>
    <w:rPr>
      <w:rFonts w:ascii="微软雅黑" w:hAnsi="微软雅黑" w:eastAsia="微软雅黑" w:cs="微软雅黑"/>
      <w:i/>
    </w:rPr>
  </w:style>
  <w:style w:type="character" w:styleId="11">
    <w:name w:val="Hyperlink"/>
    <w:basedOn w:val="7"/>
    <w:qFormat/>
    <w:uiPriority w:val="0"/>
    <w:rPr>
      <w:rFonts w:hint="eastAsia" w:ascii="微软雅黑" w:hAnsi="微软雅黑" w:eastAsia="微软雅黑" w:cs="微软雅黑"/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2020-12-07T02:30:00Z</dcterms:created>
  <dc:creator>b4</dc:creator>
  <cp:lastModifiedBy>b4</cp:lastModifiedBy>
  <cp:lastPrinted>2021-01-07T07:27:00Z</cp:lastPrinted>
  <dcterms:modified xsi:type="dcterms:W3CDTF">2021-01-08T02:09:13Z</dcterms:modified>
  <dc:title>北京市大兴区瀛海镇2020年政府信息公开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