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 w:val="36"/>
          <w:szCs w:val="36"/>
        </w:rPr>
      </w:pPr>
    </w:p>
    <w:p>
      <w:pPr>
        <w:pStyle w:val="3"/>
        <w:adjustRightInd w:val="0"/>
        <w:spacing w:before="312" w:beforeLines="100" w:after="312" w:afterLines="100" w:line="560" w:lineRule="exact"/>
        <w:rPr>
          <w:rFonts w:ascii="华文中宋" w:hAnsi="华文中宋" w:eastAsia="华文中宋"/>
          <w:b/>
          <w:color w:val="auto"/>
          <w:szCs w:val="44"/>
        </w:rPr>
      </w:pPr>
      <w:r>
        <w:rPr>
          <w:rFonts w:hint="eastAsia" w:ascii="华文中宋" w:hAnsi="华文中宋" w:eastAsia="华文中宋"/>
          <w:b/>
          <w:color w:val="auto"/>
          <w:szCs w:val="44"/>
        </w:rPr>
        <w:t>北京市大兴区</w:t>
      </w:r>
      <w:r>
        <w:rPr>
          <w:rFonts w:hint="eastAsia" w:ascii="华文中宋" w:hAnsi="华文中宋" w:eastAsia="华文中宋"/>
          <w:b/>
          <w:color w:val="auto"/>
          <w:szCs w:val="44"/>
          <w:lang w:eastAsia="zh-CN"/>
        </w:rPr>
        <w:t>旅游发展委员会</w:t>
      </w:r>
      <w:r>
        <w:rPr>
          <w:rFonts w:hint="eastAsia" w:ascii="华文中宋" w:hAnsi="华文中宋" w:eastAsia="华文中宋"/>
          <w:b/>
          <w:color w:val="auto"/>
          <w:szCs w:val="44"/>
        </w:rPr>
        <w:t>201</w:t>
      </w:r>
      <w:r>
        <w:rPr>
          <w:rFonts w:hint="eastAsia" w:ascii="华文中宋" w:hAnsi="华文中宋" w:eastAsia="华文中宋"/>
          <w:b/>
          <w:color w:val="auto"/>
          <w:szCs w:val="44"/>
          <w:lang w:val="en-US" w:eastAsia="zh-CN"/>
        </w:rPr>
        <w:t>6</w:t>
      </w:r>
      <w:r>
        <w:rPr>
          <w:rFonts w:hint="eastAsia" w:ascii="华文中宋" w:hAnsi="华文中宋" w:eastAsia="华文中宋"/>
          <w:b/>
          <w:color w:val="auto"/>
          <w:szCs w:val="44"/>
        </w:rPr>
        <w:t>年度</w:t>
      </w:r>
    </w:p>
    <w:p>
      <w:pPr>
        <w:pStyle w:val="3"/>
        <w:adjustRightInd w:val="0"/>
        <w:spacing w:before="312" w:beforeLines="100" w:after="312" w:afterLines="100" w:line="560" w:lineRule="exact"/>
        <w:rPr>
          <w:rFonts w:ascii="华文中宋" w:hAnsi="华文中宋" w:eastAsia="华文中宋"/>
          <w:b/>
          <w:color w:val="auto"/>
          <w:sz w:val="52"/>
          <w:szCs w:val="52"/>
        </w:rPr>
      </w:pPr>
      <w:r>
        <w:rPr>
          <w:rFonts w:hint="eastAsia" w:ascii="华文中宋" w:hAnsi="华文中宋" w:eastAsia="华文中宋"/>
          <w:b/>
          <w:color w:val="auto"/>
          <w:szCs w:val="44"/>
        </w:rPr>
        <w:t>政府信息公开工作年度报告</w:t>
      </w:r>
    </w:p>
    <w:p>
      <w:pPr>
        <w:widowControl/>
        <w:spacing w:line="560" w:lineRule="exact"/>
        <w:ind w:firstLine="641" w:firstLineChars="304"/>
        <w:outlineLvl w:val="0"/>
        <w:rPr>
          <w:rFonts w:hint="eastAsia" w:ascii="仿宋_GB2312" w:hAnsi="宋体" w:eastAsia="仿宋_GB2312" w:cs="宋体"/>
          <w:color w:val="000000"/>
          <w:kern w:val="0"/>
          <w:sz w:val="32"/>
          <w:szCs w:val="32"/>
        </w:rPr>
      </w:pPr>
      <w:r>
        <w:rPr>
          <w:rFonts w:ascii="宋体" w:hAnsi="宋体"/>
          <w:b/>
          <w:szCs w:val="44"/>
        </w:rPr>
        <w:br w:type="page"/>
      </w:r>
      <w:r>
        <w:rPr>
          <w:rFonts w:hint="eastAsia" w:ascii="仿宋_GB2312" w:hAnsi="宋体" w:eastAsia="仿宋_GB2312" w:cs="宋体"/>
          <w:color w:val="000000"/>
          <w:kern w:val="0"/>
          <w:sz w:val="32"/>
          <w:szCs w:val="32"/>
        </w:rPr>
        <w:t>本报告是根据《中华人民共和国政府信息公开条例》（以下简称《条例》）要求，由北京市大兴区</w:t>
      </w:r>
      <w:r>
        <w:rPr>
          <w:rFonts w:hint="eastAsia" w:ascii="仿宋_GB2312" w:hAnsi="宋体" w:eastAsia="仿宋_GB2312" w:cs="宋体"/>
          <w:color w:val="000000"/>
          <w:kern w:val="0"/>
          <w:sz w:val="32"/>
          <w:szCs w:val="32"/>
          <w:lang w:eastAsia="zh-CN"/>
        </w:rPr>
        <w:t>旅游发展委员会</w:t>
      </w:r>
      <w:r>
        <w:rPr>
          <w:rFonts w:hint="eastAsia" w:ascii="仿宋_GB2312" w:hAnsi="宋体" w:eastAsia="仿宋_GB2312" w:cs="宋体"/>
          <w:color w:val="000000"/>
          <w:kern w:val="0"/>
          <w:sz w:val="32"/>
          <w:szCs w:val="32"/>
        </w:rPr>
        <w:t>编制的201</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年度政府信息公开年度报告。</w:t>
      </w:r>
    </w:p>
    <w:p>
      <w:pPr>
        <w:widowControl/>
        <w:spacing w:line="560" w:lineRule="exact"/>
        <w:outlineLvl w:val="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widowControl/>
        <w:spacing w:line="560" w:lineRule="exact"/>
        <w:outlineLvl w:val="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本报告中所列数据的统计期限自201</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年1月1日起至201</w:t>
      </w: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年12月31日止。本报告的电子版可在大兴信息网（http://www.bjdx.gov.cn/）信息公开栏目中下载。如对报告有任何疑问，请与</w:t>
      </w:r>
      <w:r>
        <w:rPr>
          <w:rFonts w:hint="eastAsia" w:ascii="仿宋_GB2312" w:hAnsi="宋体" w:eastAsia="仿宋_GB2312" w:cs="宋体"/>
          <w:color w:val="000000"/>
          <w:kern w:val="0"/>
          <w:sz w:val="32"/>
          <w:szCs w:val="32"/>
          <w:lang w:eastAsia="zh-CN"/>
        </w:rPr>
        <w:t>北京市</w:t>
      </w:r>
      <w:r>
        <w:rPr>
          <w:rFonts w:hint="eastAsia" w:ascii="仿宋_GB2312" w:hAnsi="宋体" w:eastAsia="仿宋_GB2312" w:cs="宋体"/>
          <w:color w:val="000000"/>
          <w:kern w:val="0"/>
          <w:sz w:val="32"/>
          <w:szCs w:val="32"/>
        </w:rPr>
        <w:t>大兴区</w:t>
      </w:r>
      <w:r>
        <w:rPr>
          <w:rFonts w:hint="eastAsia" w:ascii="仿宋_GB2312" w:hAnsi="宋体" w:eastAsia="仿宋_GB2312" w:cs="宋体"/>
          <w:color w:val="000000"/>
          <w:kern w:val="0"/>
          <w:sz w:val="32"/>
          <w:szCs w:val="32"/>
          <w:lang w:eastAsia="zh-CN"/>
        </w:rPr>
        <w:t>旅游发展委员会</w:t>
      </w:r>
      <w:r>
        <w:rPr>
          <w:rFonts w:hint="eastAsia" w:ascii="仿宋_GB2312" w:hAnsi="宋体" w:eastAsia="仿宋_GB2312" w:cs="宋体"/>
          <w:color w:val="000000"/>
          <w:kern w:val="0"/>
          <w:sz w:val="32"/>
          <w:szCs w:val="32"/>
        </w:rPr>
        <w:t>联系（地址:北京市大兴区</w:t>
      </w:r>
      <w:r>
        <w:rPr>
          <w:rFonts w:hint="eastAsia" w:ascii="仿宋_GB2312" w:hAnsi="宋体" w:eastAsia="仿宋_GB2312" w:cs="宋体"/>
          <w:color w:val="000000"/>
          <w:kern w:val="0"/>
          <w:sz w:val="32"/>
          <w:szCs w:val="32"/>
          <w:lang w:eastAsia="zh-CN"/>
        </w:rPr>
        <w:t>桐城行政办公楼</w:t>
      </w:r>
      <w:r>
        <w:rPr>
          <w:rFonts w:hint="eastAsia" w:ascii="仿宋_GB2312" w:hAnsi="宋体" w:eastAsia="仿宋_GB2312" w:cs="宋体"/>
          <w:color w:val="000000"/>
          <w:kern w:val="0"/>
          <w:sz w:val="32"/>
          <w:szCs w:val="32"/>
          <w:lang w:val="en-US" w:eastAsia="zh-CN"/>
        </w:rPr>
        <w:t>c座401室</w:t>
      </w:r>
      <w:r>
        <w:rPr>
          <w:rFonts w:hint="eastAsia" w:ascii="仿宋_GB2312" w:hAnsi="宋体" w:eastAsia="仿宋_GB2312" w:cs="宋体"/>
          <w:color w:val="000000"/>
          <w:kern w:val="0"/>
          <w:sz w:val="32"/>
          <w:szCs w:val="32"/>
        </w:rPr>
        <w:t>；邮编：</w:t>
      </w:r>
      <w:r>
        <w:rPr>
          <w:rFonts w:hint="eastAsia" w:ascii="仿宋_GB2312" w:hAnsi="宋体" w:eastAsia="仿宋_GB2312" w:cs="宋体"/>
          <w:color w:val="000000"/>
          <w:kern w:val="0"/>
          <w:sz w:val="32"/>
          <w:szCs w:val="32"/>
          <w:lang w:val="en-US" w:eastAsia="zh-CN"/>
        </w:rPr>
        <w:t>102600</w:t>
      </w:r>
      <w:r>
        <w:rPr>
          <w:rFonts w:hint="eastAsia" w:ascii="仿宋_GB2312" w:hAnsi="宋体" w:eastAsia="仿宋_GB2312" w:cs="宋体"/>
          <w:color w:val="000000"/>
          <w:kern w:val="0"/>
          <w:sz w:val="32"/>
          <w:szCs w:val="32"/>
        </w:rPr>
        <w:t>；联系电话：010-</w:t>
      </w:r>
      <w:r>
        <w:rPr>
          <w:rFonts w:hint="eastAsia" w:ascii="仿宋_GB2312" w:hAnsi="宋体" w:eastAsia="仿宋_GB2312" w:cs="宋体"/>
          <w:color w:val="000000"/>
          <w:kern w:val="0"/>
          <w:sz w:val="32"/>
          <w:szCs w:val="32"/>
          <w:lang w:val="en-US" w:eastAsia="zh-CN"/>
        </w:rPr>
        <w:t>81298813</w:t>
      </w:r>
      <w:r>
        <w:rPr>
          <w:rFonts w:hint="eastAsia" w:ascii="仿宋_GB2312" w:hAnsi="宋体" w:eastAsia="仿宋_GB2312" w:cs="宋体"/>
          <w:color w:val="000000"/>
          <w:kern w:val="0"/>
          <w:sz w:val="32"/>
          <w:szCs w:val="32"/>
        </w:rPr>
        <w:t>；电子邮箱：</w:t>
      </w:r>
      <w:r>
        <w:rPr>
          <w:rFonts w:hint="eastAsia" w:ascii="仿宋_GB2312" w:hAnsi="宋体" w:eastAsia="仿宋_GB2312" w:cs="宋体"/>
          <w:color w:val="000000"/>
          <w:kern w:val="0"/>
          <w:sz w:val="32"/>
          <w:szCs w:val="32"/>
          <w:lang w:val="en-US" w:eastAsia="zh-CN"/>
        </w:rPr>
        <w:t>lyw_bgs</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val="en-US" w:eastAsia="zh-CN"/>
        </w:rPr>
        <w:t>bjdx.gov.cn</w:t>
      </w:r>
    </w:p>
    <w:p>
      <w:pPr>
        <w:widowControl/>
        <w:spacing w:after="312" w:afterLines="100" w:line="5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r>
        <w:rPr>
          <w:rFonts w:hint="eastAsia" w:ascii="黑体" w:hAnsi="宋体" w:eastAsia="黑体" w:cs="宋体"/>
          <w:color w:val="000000"/>
          <w:kern w:val="0"/>
          <w:sz w:val="32"/>
          <w:szCs w:val="32"/>
        </w:rPr>
        <w:t>一、概述</w:t>
      </w:r>
    </w:p>
    <w:p>
      <w:pPr>
        <w:spacing w:line="360" w:lineRule="auto"/>
        <w:rPr>
          <w:rFonts w:hint="eastAsia" w:ascii="仿宋_GB2312" w:hAnsi="仿宋" w:eastAsia="仿宋_GB2312" w:cs="Arial"/>
          <w:sz w:val="32"/>
          <w:szCs w:val="32"/>
        </w:rPr>
      </w:pPr>
      <w:r>
        <w:rPr>
          <w:rFonts w:hint="eastAsia" w:ascii="仿宋_GB2312" w:hAnsi="仿宋" w:eastAsia="仿宋_GB2312" w:cs="Arial"/>
          <w:sz w:val="32"/>
          <w:szCs w:val="32"/>
          <w:lang w:val="en-US" w:eastAsia="zh-CN"/>
        </w:rPr>
        <w:t xml:space="preserve">    </w:t>
      </w:r>
      <w:r>
        <w:rPr>
          <w:rFonts w:hint="eastAsia" w:ascii="仿宋_GB2312" w:hAnsi="仿宋" w:eastAsia="仿宋_GB2312" w:cs="Arial"/>
          <w:sz w:val="32"/>
          <w:szCs w:val="32"/>
        </w:rPr>
        <w:t>2016年，旅游委根据《大兴区2016年政务公开工作要点》进行全面梳理，认真贯彻落实各项工作，本着“实事求是、政务公开”的原则，建立政府信息公开长效机制，推动政府信息公开工作深入开展。</w:t>
      </w:r>
    </w:p>
    <w:p>
      <w:pPr>
        <w:numPr>
          <w:ilvl w:val="0"/>
          <w:numId w:val="1"/>
        </w:numPr>
        <w:spacing w:line="360" w:lineRule="auto"/>
        <w:ind w:firstLine="640" w:firstLineChars="200"/>
        <w:rPr>
          <w:rFonts w:hint="eastAsia" w:ascii="仿宋_GB2312" w:hAnsi="仿宋" w:eastAsia="仿宋_GB2312" w:cs="Arial"/>
          <w:sz w:val="32"/>
          <w:szCs w:val="32"/>
        </w:rPr>
      </w:pPr>
      <w:r>
        <w:rPr>
          <w:rFonts w:hint="eastAsia" w:ascii="仿宋_GB2312" w:hAnsi="仿宋" w:eastAsia="仿宋_GB2312" w:cs="Arial"/>
          <w:b w:val="0"/>
          <w:bCs w:val="0"/>
          <w:sz w:val="32"/>
          <w:szCs w:val="32"/>
        </w:rPr>
        <w:t>确立领导机构，促进工作深入开展</w:t>
      </w:r>
      <w:r>
        <w:rPr>
          <w:rFonts w:hint="eastAsia" w:ascii="仿宋_GB2312" w:hAnsi="仿宋" w:eastAsia="仿宋_GB2312" w:cs="Arial"/>
          <w:b w:val="0"/>
          <w:bCs w:val="0"/>
          <w:sz w:val="32"/>
          <w:szCs w:val="32"/>
          <w:lang w:eastAsia="zh-CN"/>
        </w:rPr>
        <w:t>。</w:t>
      </w:r>
      <w:r>
        <w:rPr>
          <w:rFonts w:hint="eastAsia" w:ascii="仿宋_GB2312" w:hAnsi="仿宋" w:eastAsia="仿宋_GB2312" w:cs="Arial"/>
          <w:sz w:val="32"/>
          <w:szCs w:val="32"/>
        </w:rPr>
        <w:t xml:space="preserve"> 在2016年2月我委召开了班子会专题研究此项工作，成立了政务公开工作领导小组，以委主任颜淑敏同志为组长，班子其他成员为副组长。由办公室负责落实具体事项，保障信息公开工作有专人抓、有专人管、有专人办。责任到人，层层落实，及时准确地发布了相关信息，有效提升了公共服务水平，促进了政府信息公开工作的深入开展。</w:t>
      </w:r>
    </w:p>
    <w:p>
      <w:pPr>
        <w:numPr>
          <w:ilvl w:val="0"/>
          <w:numId w:val="0"/>
        </w:numPr>
        <w:spacing w:line="360" w:lineRule="auto"/>
        <w:rPr>
          <w:rFonts w:hint="eastAsia" w:ascii="仿宋_GB2312" w:eastAsia="仿宋_GB2312"/>
          <w:sz w:val="32"/>
          <w:szCs w:val="32"/>
        </w:rPr>
      </w:pPr>
      <w:r>
        <w:rPr>
          <w:rFonts w:hint="eastAsia" w:ascii="仿宋_GB2312" w:hAnsi="仿宋" w:eastAsia="仿宋_GB2312" w:cs="Arial"/>
          <w:b w:val="0"/>
          <w:bCs w:val="0"/>
          <w:sz w:val="32"/>
          <w:szCs w:val="32"/>
          <w:lang w:val="en-US" w:eastAsia="zh-CN"/>
        </w:rPr>
        <w:t xml:space="preserve">    </w:t>
      </w:r>
      <w:r>
        <w:rPr>
          <w:rFonts w:hint="eastAsia" w:ascii="仿宋_GB2312" w:hAnsi="仿宋" w:eastAsia="仿宋_GB2312" w:cs="Arial"/>
          <w:b w:val="0"/>
          <w:bCs w:val="0"/>
          <w:sz w:val="32"/>
          <w:szCs w:val="32"/>
          <w:lang w:eastAsia="zh-CN"/>
        </w:rPr>
        <w:t>（二）</w:t>
      </w:r>
      <w:r>
        <w:rPr>
          <w:rFonts w:hint="eastAsia" w:ascii="仿宋_GB2312" w:hAnsi="仿宋" w:eastAsia="仿宋_GB2312" w:cs="Arial"/>
          <w:b w:val="0"/>
          <w:bCs w:val="0"/>
          <w:sz w:val="32"/>
          <w:szCs w:val="32"/>
          <w:lang w:val="en-US" w:eastAsia="zh-CN"/>
        </w:rPr>
        <w:t>定期召开部署会议，确保工作按时完成。</w:t>
      </w:r>
      <w:r>
        <w:rPr>
          <w:rFonts w:hint="eastAsia" w:ascii="仿宋_GB2312" w:hAnsi="仿宋" w:eastAsia="仿宋_GB2312" w:cs="Arial"/>
          <w:sz w:val="32"/>
          <w:szCs w:val="32"/>
          <w:lang w:val="en-US" w:eastAsia="zh-CN"/>
        </w:rPr>
        <w:t>负责政务公开工作主管领导会通过定期召开班子会，，通报当月接收到的信息公开重要文件及相关会议精神。在接收三级清单后，我们还会立即召开专题班子会研提意见，涉及到各主管部门的具体业务时，按照谁主管谁负责制度，具体到人，层层落实。本单位将每月政府办下发的信息公开月报定为常规学习项目，不仅组织专职人员研究学习，还组织业务岗位中相关人员进行集中学习，做好公开工作形势普及。在党支部“两学一做”学习</w:t>
      </w:r>
      <w:bookmarkStart w:id="0" w:name="_GoBack"/>
      <w:bookmarkEnd w:id="0"/>
      <w:r>
        <w:rPr>
          <w:rFonts w:hint="eastAsia" w:ascii="仿宋_GB2312" w:hAnsi="仿宋" w:eastAsia="仿宋_GB2312" w:cs="Arial"/>
          <w:sz w:val="32"/>
          <w:szCs w:val="32"/>
          <w:lang w:val="en-US" w:eastAsia="zh-CN"/>
        </w:rPr>
        <w:t>教育工作中，更是将“如何看待政府信息公开工作”进行了专题讨论。除此之外，旅游委政务公开领导小组就政务信息信息公开和依申请公开工作具体要求及工作内容在全体会上进行了培训，提高全员对政务信息公开认识。</w:t>
      </w:r>
    </w:p>
    <w:p>
      <w:pPr>
        <w:widowControl/>
        <w:spacing w:before="312" w:beforeLines="100" w:after="312" w:afterLines="100" w:line="560" w:lineRule="exact"/>
        <w:jc w:val="center"/>
        <w:rPr>
          <w:rFonts w:ascii="黑体" w:hAnsi="宋体" w:eastAsia="黑体" w:cs="宋体"/>
          <w:color w:val="000000"/>
          <w:kern w:val="0"/>
          <w:sz w:val="32"/>
          <w:szCs w:val="32"/>
        </w:rPr>
      </w:pPr>
      <w:r>
        <w:rPr>
          <w:rFonts w:hint="eastAsia" w:ascii="黑体" w:hAnsi="宋体" w:eastAsia="黑体" w:cs="宋体"/>
          <w:color w:val="000000"/>
          <w:kern w:val="0"/>
          <w:sz w:val="32"/>
          <w:szCs w:val="32"/>
        </w:rPr>
        <w:t>二、主动公开情况</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按照《条例》第9至12条规定的主动公开政府信息范围，本</w:t>
      </w:r>
      <w:r>
        <w:rPr>
          <w:rFonts w:hint="eastAsia" w:ascii="仿宋_GB2312" w:hAnsi="宋体" w:eastAsia="仿宋_GB2312"/>
          <w:i w:val="0"/>
          <w:iCs/>
          <w:color w:val="000000"/>
          <w:sz w:val="32"/>
          <w:szCs w:val="32"/>
          <w:lang w:eastAsia="zh-CN"/>
        </w:rPr>
        <w:t>委</w:t>
      </w:r>
      <w:r>
        <w:rPr>
          <w:rFonts w:hint="eastAsia" w:ascii="仿宋_GB2312" w:hAnsi="华文中宋" w:eastAsia="仿宋_GB2312"/>
          <w:sz w:val="32"/>
          <w:szCs w:val="32"/>
        </w:rPr>
        <w:t>开展了信息清理和目录编制工作，并按照《条例》第15条规定，通过</w:t>
      </w:r>
      <w:r>
        <w:rPr>
          <w:rFonts w:hint="eastAsia" w:ascii="仿宋_GB2312" w:hAnsi="宋体" w:eastAsia="仿宋_GB2312"/>
          <w:i w:val="0"/>
          <w:iCs/>
          <w:color w:val="000000"/>
          <w:sz w:val="32"/>
          <w:szCs w:val="32"/>
        </w:rPr>
        <w:t>政府网站</w:t>
      </w:r>
      <w:r>
        <w:rPr>
          <w:rFonts w:hint="eastAsia" w:ascii="仿宋_GB2312" w:hAnsi="华文中宋" w:eastAsia="仿宋_GB2312"/>
          <w:sz w:val="32"/>
          <w:szCs w:val="32"/>
        </w:rPr>
        <w:t>等便于公众知晓的方式主动公开。按照《条例》 第16条规定，继续完善</w:t>
      </w:r>
      <w:r>
        <w:rPr>
          <w:rFonts w:hint="eastAsia" w:ascii="仿宋_GB2312" w:hAnsi="宋体" w:eastAsia="仿宋_GB2312"/>
          <w:i w:val="0"/>
          <w:iCs/>
          <w:color w:val="000000"/>
          <w:sz w:val="32"/>
          <w:szCs w:val="32"/>
        </w:rPr>
        <w:t>政府信息公开大厅/政府信息查阅中心</w:t>
      </w:r>
      <w:r>
        <w:rPr>
          <w:rFonts w:hint="eastAsia" w:ascii="仿宋_GB2312" w:hAnsi="华文中宋" w:eastAsia="仿宋_GB2312"/>
          <w:sz w:val="32"/>
          <w:szCs w:val="32"/>
        </w:rPr>
        <w:t>等政府信息公开查阅场所，为公民、法人或者其他组织获取政府信息提供便利。</w:t>
      </w:r>
    </w:p>
    <w:p>
      <w:pPr>
        <w:widowControl/>
        <w:numPr>
          <w:ilvl w:val="0"/>
          <w:numId w:val="0"/>
        </w:numPr>
        <w:spacing w:line="560" w:lineRule="exac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 xml:space="preserve">    </w:t>
      </w:r>
      <w:r>
        <w:rPr>
          <w:rFonts w:hint="eastAsia" w:ascii="楷体_GB2312" w:hAnsi="宋体" w:eastAsia="楷体_GB2312" w:cs="宋体"/>
          <w:b/>
          <w:kern w:val="0"/>
          <w:sz w:val="32"/>
          <w:szCs w:val="32"/>
        </w:rPr>
        <w:t>主动公开数据</w:t>
      </w:r>
    </w:p>
    <w:p>
      <w:pPr>
        <w:widowControl/>
        <w:spacing w:line="560" w:lineRule="exact"/>
        <w:ind w:firstLine="640" w:firstLineChars="200"/>
        <w:rPr>
          <w:rFonts w:hint="eastAsia" w:ascii="楷体_GB2312" w:hAnsi="宋体" w:eastAsia="楷体_GB2312" w:cs="宋体"/>
          <w:b/>
          <w:kern w:val="0"/>
          <w:sz w:val="32"/>
          <w:szCs w:val="32"/>
        </w:rPr>
      </w:pPr>
      <w:r>
        <w:rPr>
          <w:rFonts w:hint="eastAsia" w:ascii="仿宋_GB2312" w:hAnsi="Arial Narrow" w:eastAsia="仿宋_GB2312"/>
          <w:sz w:val="32"/>
          <w:szCs w:val="32"/>
        </w:rPr>
        <w:t>本委</w:t>
      </w:r>
      <w:r>
        <w:rPr>
          <w:rFonts w:hint="eastAsia" w:ascii="仿宋_GB2312" w:eastAsia="仿宋_GB2312"/>
          <w:color w:val="000000"/>
          <w:sz w:val="32"/>
          <w:szCs w:val="32"/>
        </w:rPr>
        <w:t>政府门户网站</w:t>
      </w:r>
      <w:r>
        <w:rPr>
          <w:rFonts w:hint="eastAsia" w:ascii="仿宋_GB2312" w:eastAsia="仿宋_GB2312"/>
          <w:sz w:val="32"/>
          <w:szCs w:val="32"/>
        </w:rPr>
        <w:t>专栏下设政府信息公开指南、政府信息公开目录、政府信息公开年报、依申请公开、监督投诉等栏目。根据</w:t>
      </w:r>
      <w:r>
        <w:rPr>
          <w:rFonts w:hint="eastAsia" w:ascii="仿宋_GB2312" w:hAnsi="Arial Narrow" w:eastAsia="仿宋_GB2312"/>
          <w:sz w:val="32"/>
          <w:szCs w:val="32"/>
        </w:rPr>
        <w:t>机构职能设置情况</w:t>
      </w:r>
      <w:r>
        <w:rPr>
          <w:rFonts w:hint="eastAsia" w:ascii="仿宋_GB2312" w:eastAsia="仿宋_GB2312"/>
          <w:color w:val="000000"/>
          <w:sz w:val="32"/>
          <w:szCs w:val="32"/>
        </w:rPr>
        <w:t>发布</w:t>
      </w:r>
      <w:r>
        <w:rPr>
          <w:rFonts w:hint="eastAsia" w:ascii="仿宋_GB2312" w:hAnsi="Arial Narrow" w:eastAsia="仿宋_GB2312"/>
          <w:sz w:val="32"/>
          <w:szCs w:val="32"/>
        </w:rPr>
        <w:t>主要职责，内设机构、职能信息，委领导简介等，</w:t>
      </w:r>
      <w:r>
        <w:rPr>
          <w:rFonts w:hint="eastAsia" w:ascii="仿宋_GB2312" w:eastAsia="仿宋_GB2312"/>
          <w:sz w:val="32"/>
          <w:szCs w:val="32"/>
        </w:rPr>
        <w:t>方便公众查阅大兴区旅游委主动公开的政府信息。</w:t>
      </w:r>
    </w:p>
    <w:p>
      <w:pPr>
        <w:widowControl/>
        <w:spacing w:line="560" w:lineRule="exact"/>
        <w:ind w:firstLine="640" w:firstLineChars="200"/>
        <w:rPr>
          <w:rFonts w:hint="eastAsia" w:ascii="仿宋_GB2312" w:hAnsi="仿宋" w:eastAsia="仿宋_GB2312" w:cs="Arial"/>
          <w:sz w:val="32"/>
          <w:szCs w:val="32"/>
          <w:lang w:val="en-US" w:eastAsia="zh-CN"/>
        </w:rPr>
      </w:pPr>
      <w:r>
        <w:rPr>
          <w:rFonts w:hint="eastAsia" w:ascii="仿宋_GB2312" w:hAnsi="仿宋" w:eastAsia="仿宋_GB2312" w:cs="Arial"/>
          <w:sz w:val="32"/>
          <w:szCs w:val="32"/>
          <w:lang w:val="en-US" w:eastAsia="zh-CN"/>
        </w:rPr>
        <w:t>2016年本委主动公开政府信息185条。</w:t>
      </w:r>
      <w:r>
        <w:rPr>
          <w:rFonts w:hint="eastAsia" w:ascii="仿宋_GB2312" w:hAnsi="华文中宋" w:eastAsia="仿宋_GB2312"/>
          <w:sz w:val="32"/>
          <w:szCs w:val="32"/>
        </w:rPr>
        <w:t>其中，机构职能类信息</w:t>
      </w:r>
      <w:r>
        <w:rPr>
          <w:rFonts w:hint="eastAsia" w:ascii="仿宋_GB2312" w:hAnsi="宋体" w:eastAsia="仿宋_GB2312" w:cs="宋体"/>
          <w:kern w:val="0"/>
          <w:sz w:val="32"/>
          <w:szCs w:val="32"/>
          <w:lang w:val="en-US" w:eastAsia="zh-CN"/>
        </w:rPr>
        <w:t>5</w:t>
      </w:r>
      <w:r>
        <w:rPr>
          <w:rFonts w:hint="eastAsia" w:ascii="仿宋_GB2312" w:hAnsi="华文中宋" w:eastAsia="仿宋_GB2312"/>
          <w:sz w:val="32"/>
          <w:szCs w:val="32"/>
        </w:rPr>
        <w:t>条；法规文件类信息</w:t>
      </w:r>
      <w:r>
        <w:rPr>
          <w:rFonts w:hint="eastAsia" w:ascii="仿宋_GB2312" w:hAnsi="宋体" w:eastAsia="仿宋_GB2312" w:cs="宋体"/>
          <w:kern w:val="0"/>
          <w:sz w:val="32"/>
          <w:szCs w:val="32"/>
          <w:lang w:val="en-US" w:eastAsia="zh-CN"/>
        </w:rPr>
        <w:t>5</w:t>
      </w:r>
      <w:r>
        <w:rPr>
          <w:rFonts w:hint="eastAsia" w:ascii="仿宋_GB2312" w:hAnsi="华文中宋" w:eastAsia="仿宋_GB2312"/>
          <w:sz w:val="32"/>
          <w:szCs w:val="32"/>
        </w:rPr>
        <w:t>条；规划计划类信息</w:t>
      </w:r>
      <w:r>
        <w:rPr>
          <w:rFonts w:hint="eastAsia" w:ascii="仿宋_GB2312" w:hAnsi="宋体" w:eastAsia="仿宋_GB2312" w:cs="宋体"/>
          <w:kern w:val="0"/>
          <w:sz w:val="32"/>
          <w:szCs w:val="32"/>
          <w:lang w:val="en-US" w:eastAsia="zh-CN"/>
        </w:rPr>
        <w:t>3</w:t>
      </w:r>
      <w:r>
        <w:rPr>
          <w:rFonts w:hint="eastAsia" w:ascii="仿宋_GB2312" w:hAnsi="华文中宋" w:eastAsia="仿宋_GB2312"/>
          <w:sz w:val="32"/>
          <w:szCs w:val="32"/>
        </w:rPr>
        <w:t>条；行政职责类信息</w:t>
      </w:r>
      <w:r>
        <w:rPr>
          <w:rFonts w:hint="eastAsia" w:ascii="仿宋_GB2312" w:hAnsi="华文中宋" w:eastAsia="仿宋_GB2312"/>
          <w:sz w:val="32"/>
          <w:szCs w:val="32"/>
          <w:lang w:val="en-US" w:eastAsia="zh-CN"/>
        </w:rPr>
        <w:t>6</w:t>
      </w:r>
      <w:r>
        <w:rPr>
          <w:rFonts w:hint="eastAsia" w:ascii="仿宋_GB2312" w:hAnsi="华文中宋" w:eastAsia="仿宋_GB2312"/>
          <w:sz w:val="32"/>
          <w:szCs w:val="32"/>
        </w:rPr>
        <w:t>条；业务动态类信息</w:t>
      </w:r>
      <w:r>
        <w:rPr>
          <w:rFonts w:hint="eastAsia" w:ascii="仿宋_GB2312" w:hAnsi="华文中宋" w:eastAsia="仿宋_GB2312"/>
          <w:sz w:val="32"/>
          <w:szCs w:val="32"/>
          <w:lang w:val="en-US" w:eastAsia="zh-CN"/>
        </w:rPr>
        <w:t>166</w:t>
      </w:r>
      <w:r>
        <w:rPr>
          <w:rFonts w:hint="eastAsia" w:ascii="仿宋_GB2312" w:hAnsi="华文中宋" w:eastAsia="仿宋_GB2312"/>
          <w:sz w:val="32"/>
          <w:szCs w:val="32"/>
        </w:rPr>
        <w:t>条。</w:t>
      </w:r>
    </w:p>
    <w:p>
      <w:pPr>
        <w:widowControl/>
        <w:spacing w:line="560" w:lineRule="exact"/>
        <w:ind w:firstLine="640" w:firstLineChars="200"/>
        <w:rPr>
          <w:rFonts w:hint="eastAsia" w:ascii="仿宋_GB2312" w:hAnsi="宋体" w:eastAsia="仿宋_GB2312" w:cs="宋体"/>
          <w:color w:val="000000"/>
          <w:kern w:val="0"/>
          <w:sz w:val="32"/>
          <w:szCs w:val="32"/>
          <w:lang w:eastAsia="zh-CN"/>
        </w:rPr>
      </w:pPr>
    </w:p>
    <w:p>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三、依申请公开情况</w:t>
      </w:r>
    </w:p>
    <w:p>
      <w:pPr>
        <w:widowControl/>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rPr>
        <w:t>按照《条例》第13条规定，本</w:t>
      </w:r>
      <w:r>
        <w:rPr>
          <w:rFonts w:hint="eastAsia" w:ascii="仿宋_GB2312" w:hAnsi="华文中宋" w:eastAsia="仿宋_GB2312"/>
          <w:sz w:val="32"/>
          <w:szCs w:val="32"/>
          <w:lang w:eastAsia="zh-CN"/>
        </w:rPr>
        <w:t>委</w:t>
      </w:r>
      <w:r>
        <w:rPr>
          <w:rFonts w:hint="eastAsia" w:ascii="仿宋_GB2312" w:hAnsi="华文中宋" w:eastAsia="仿宋_GB2312"/>
          <w:sz w:val="32"/>
          <w:szCs w:val="32"/>
        </w:rPr>
        <w:t>自《条例》实施之日起正式受理公民、法人或者其他组织根据自身生产、生活、科研等特殊需要提出的政府信息公开申请。为落实《条例》确定的政府信息依申请公开制度，本</w:t>
      </w:r>
      <w:r>
        <w:rPr>
          <w:rFonts w:hint="eastAsia" w:ascii="仿宋_GB2312" w:hAnsi="华文中宋" w:eastAsia="仿宋_GB2312"/>
          <w:sz w:val="32"/>
          <w:szCs w:val="32"/>
          <w:lang w:eastAsia="zh-CN"/>
        </w:rPr>
        <w:t>委</w:t>
      </w:r>
      <w:r>
        <w:rPr>
          <w:rFonts w:hint="eastAsia" w:ascii="仿宋_GB2312" w:hAnsi="华文中宋" w:eastAsia="仿宋_GB2312"/>
          <w:sz w:val="32"/>
          <w:szCs w:val="32"/>
        </w:rPr>
        <w:t>继续完善政府信息公开申请受理场所，并公布政府信息公开受理机构的联系方式。</w:t>
      </w:r>
    </w:p>
    <w:p>
      <w:pPr>
        <w:widowControl/>
        <w:numPr>
          <w:ilvl w:val="0"/>
          <w:numId w:val="2"/>
        </w:numPr>
        <w:spacing w:line="560"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申请情况</w:t>
      </w:r>
    </w:p>
    <w:p>
      <w:pPr>
        <w:widowControl/>
        <w:spacing w:line="560" w:lineRule="exact"/>
        <w:ind w:firstLine="640" w:firstLineChars="200"/>
        <w:rPr>
          <w:rFonts w:hint="eastAsia" w:ascii="楷体_GB2312" w:hAnsi="宋体" w:eastAsia="楷体_GB2312" w:cs="宋体"/>
          <w:b w:val="0"/>
          <w:bCs/>
          <w:kern w:val="0"/>
          <w:sz w:val="32"/>
          <w:szCs w:val="32"/>
          <w:lang w:val="en-US" w:eastAsia="zh-CN"/>
        </w:rPr>
      </w:pPr>
      <w:r>
        <w:rPr>
          <w:rFonts w:hint="eastAsia" w:ascii="楷体_GB2312" w:hAnsi="宋体" w:eastAsia="楷体_GB2312" w:cs="宋体"/>
          <w:b w:val="0"/>
          <w:bCs/>
          <w:kern w:val="0"/>
          <w:sz w:val="32"/>
          <w:szCs w:val="32"/>
          <w:lang w:val="en-US" w:eastAsia="zh-CN"/>
        </w:rPr>
        <w:t xml:space="preserve">   </w:t>
      </w:r>
      <w:r>
        <w:rPr>
          <w:rFonts w:hint="eastAsia" w:ascii="仿宋_GB2312" w:hAnsi="华文中宋" w:eastAsia="仿宋_GB2312"/>
          <w:sz w:val="32"/>
          <w:szCs w:val="32"/>
        </w:rPr>
        <w:t>本</w:t>
      </w:r>
      <w:r>
        <w:rPr>
          <w:rFonts w:hint="eastAsia" w:ascii="仿宋_GB2312" w:hAnsi="华文中宋" w:eastAsia="仿宋_GB2312"/>
          <w:sz w:val="32"/>
          <w:szCs w:val="32"/>
          <w:lang w:eastAsia="zh-CN"/>
        </w:rPr>
        <w:t>委</w:t>
      </w: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年度共收到各类政府信息公开申请</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件，同上年相比，</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件。其中，通过互联网提交申请</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%，同上年相比，</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件；以信函形式申请</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%，同上年相比，</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w:t>
      </w:r>
    </w:p>
    <w:p>
      <w:pPr>
        <w:widowControl/>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（二）答复情况</w:t>
      </w:r>
    </w:p>
    <w:p>
      <w:pPr>
        <w:widowControl/>
        <w:spacing w:line="560" w:lineRule="exact"/>
        <w:ind w:firstLine="640" w:firstLineChars="200"/>
        <w:rPr>
          <w:rFonts w:ascii="仿宋_GB2312" w:hAnsi="宋体" w:eastAsia="仿宋_GB2312" w:cs="宋体"/>
          <w:kern w:val="0"/>
          <w:sz w:val="32"/>
          <w:szCs w:val="32"/>
        </w:rPr>
      </w:pPr>
      <w:r>
        <w:rPr>
          <w:rFonts w:hint="eastAsia" w:ascii="楷体_GB2312" w:hAnsi="宋体" w:eastAsia="楷体_GB2312" w:cs="宋体"/>
          <w:b w:val="0"/>
          <w:bCs/>
          <w:kern w:val="0"/>
          <w:sz w:val="32"/>
          <w:szCs w:val="32"/>
          <w:lang w:val="en-US" w:eastAsia="zh-CN"/>
        </w:rPr>
        <w:t xml:space="preserve"> </w:t>
      </w:r>
      <w:r>
        <w:rPr>
          <w:rFonts w:hint="eastAsia" w:ascii="仿宋_GB2312" w:hAnsi="宋体" w:eastAsia="仿宋_GB2312" w:cs="宋体"/>
          <w:kern w:val="0"/>
          <w:sz w:val="32"/>
          <w:szCs w:val="32"/>
        </w:rPr>
        <w:t>已到答复期的</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件申请全部按期答复，其中：</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“同意公开”的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“要求补齐补正”的</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件，占总数的</w:t>
      </w:r>
      <w:r>
        <w:rPr>
          <w:rFonts w:hint="eastAsia" w:ascii="仿宋_GB2312" w:hAnsi="宋体" w:eastAsia="仿宋_GB2312" w:cs="宋体"/>
          <w:kern w:val="0"/>
          <w:sz w:val="32"/>
          <w:szCs w:val="32"/>
          <w:lang w:val="en-US" w:eastAsia="zh-CN"/>
        </w:rPr>
        <w:t>50</w:t>
      </w:r>
      <w:r>
        <w:rPr>
          <w:rFonts w:hint="eastAsia" w:ascii="仿宋_GB2312" w:hAnsi="宋体" w:eastAsia="仿宋_GB2312" w:cs="宋体"/>
          <w:kern w:val="0"/>
          <w:sz w:val="32"/>
          <w:szCs w:val="32"/>
        </w:rPr>
        <w:t>%。</w:t>
      </w:r>
    </w:p>
    <w:p>
      <w:pPr>
        <w:widowControl/>
        <w:spacing w:line="560" w:lineRule="exact"/>
        <w:ind w:firstLine="640" w:firstLineChars="200"/>
        <w:rPr>
          <w:rFonts w:hint="eastAsia" w:ascii="仿宋_GB2312" w:hAnsi="宋体" w:eastAsia="仿宋_GB2312" w:cs="宋体"/>
          <w:kern w:val="0"/>
          <w:sz w:val="32"/>
          <w:szCs w:val="32"/>
          <w:lang w:val="en-US" w:eastAsia="zh-CN"/>
        </w:rPr>
      </w:pPr>
    </w:p>
    <w:p>
      <w:pPr>
        <w:widowControl/>
        <w:spacing w:before="312" w:beforeLines="100" w:after="312" w:afterLines="100" w:line="560" w:lineRule="exact"/>
        <w:jc w:val="center"/>
        <w:outlineLvl w:val="0"/>
        <w:rPr>
          <w:rFonts w:ascii="黑体" w:hAnsi="宋体" w:eastAsia="黑体" w:cs="宋体"/>
          <w:kern w:val="0"/>
          <w:sz w:val="32"/>
          <w:szCs w:val="32"/>
        </w:rPr>
      </w:pPr>
      <w:r>
        <w:rPr>
          <w:rFonts w:hint="eastAsia" w:ascii="黑体" w:hAnsi="宋体" w:eastAsia="黑体" w:cs="宋体"/>
          <w:kern w:val="0"/>
          <w:sz w:val="32"/>
          <w:szCs w:val="32"/>
        </w:rPr>
        <w:t>四、复议和诉讼情况</w:t>
      </w:r>
    </w:p>
    <w:p>
      <w:pPr>
        <w:widowControl/>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年，本委无行政复议或行政诉讼情况</w:t>
      </w:r>
      <w:r>
        <w:rPr>
          <w:rFonts w:hint="eastAsia" w:ascii="仿宋_GB2312" w:hAnsi="宋体" w:eastAsia="仿宋_GB2312" w:cs="宋体"/>
          <w:kern w:val="0"/>
          <w:sz w:val="32"/>
          <w:szCs w:val="32"/>
          <w:lang w:eastAsia="zh-CN"/>
        </w:rPr>
        <w:t>。</w:t>
      </w:r>
    </w:p>
    <w:p>
      <w:pPr>
        <w:widowControl/>
        <w:spacing w:line="560" w:lineRule="exact"/>
        <w:ind w:firstLine="640" w:firstLineChars="200"/>
        <w:rPr>
          <w:rFonts w:hint="eastAsia" w:ascii="仿宋_GB2312" w:hAnsi="宋体" w:eastAsia="仿宋_GB2312" w:cs="宋体"/>
          <w:kern w:val="0"/>
          <w:sz w:val="32"/>
          <w:szCs w:val="32"/>
          <w:lang w:eastAsia="zh-CN"/>
        </w:rPr>
      </w:pPr>
    </w:p>
    <w:p>
      <w:pPr>
        <w:widowControl/>
        <w:numPr>
          <w:ilvl w:val="0"/>
          <w:numId w:val="3"/>
        </w:numPr>
        <w:spacing w:before="312" w:beforeLines="100" w:after="312" w:afterLines="100" w:line="560" w:lineRule="exact"/>
        <w:jc w:val="center"/>
        <w:outlineLvl w:val="0"/>
        <w:rPr>
          <w:rFonts w:hint="eastAsia" w:ascii="黑体" w:hAnsi="宋体" w:eastAsia="黑体" w:cs="宋体"/>
          <w:kern w:val="0"/>
          <w:sz w:val="32"/>
          <w:szCs w:val="32"/>
        </w:rPr>
      </w:pPr>
      <w:r>
        <w:rPr>
          <w:rFonts w:hint="eastAsia" w:ascii="黑体" w:hAnsi="宋体" w:eastAsia="黑体" w:cs="宋体"/>
          <w:kern w:val="0"/>
          <w:sz w:val="32"/>
          <w:szCs w:val="32"/>
        </w:rPr>
        <w:t>存在的不足及改进措施</w:t>
      </w:r>
    </w:p>
    <w:p>
      <w:pPr>
        <w:widowControl/>
        <w:numPr>
          <w:ilvl w:val="0"/>
          <w:numId w:val="0"/>
        </w:numPr>
        <w:spacing w:before="312" w:beforeLines="100" w:after="312" w:afterLines="100" w:line="560" w:lineRule="exact"/>
        <w:jc w:val="both"/>
        <w:outlineLvl w:val="0"/>
        <w:rPr>
          <w:rFonts w:hint="eastAsia" w:ascii="仿宋_GB2312" w:hAnsi="宋体" w:eastAsia="仿宋_GB2312"/>
          <w:sz w:val="32"/>
          <w:szCs w:val="32"/>
          <w:lang w:val="en-US" w:eastAsia="zh-CN"/>
        </w:rPr>
      </w:pPr>
      <w:r>
        <w:rPr>
          <w:rFonts w:hint="eastAsia" w:ascii="仿宋_GB2312" w:hAnsi="Arial" w:eastAsia="仿宋_GB2312" w:cs="Arial"/>
          <w:sz w:val="32"/>
          <w:szCs w:val="32"/>
          <w:lang w:val="en-US" w:eastAsia="zh-CN"/>
        </w:rPr>
        <w:t xml:space="preserve">     </w:t>
      </w:r>
      <w:r>
        <w:rPr>
          <w:rFonts w:hint="eastAsia" w:ascii="仿宋_GB2312" w:hAnsi="Arial" w:eastAsia="仿宋_GB2312" w:cs="Arial"/>
          <w:sz w:val="32"/>
          <w:szCs w:val="32"/>
        </w:rPr>
        <w:t>201</w:t>
      </w:r>
      <w:r>
        <w:rPr>
          <w:rFonts w:hint="eastAsia" w:ascii="仿宋_GB2312" w:hAnsi="Arial" w:eastAsia="仿宋_GB2312" w:cs="Arial"/>
          <w:sz w:val="32"/>
          <w:szCs w:val="32"/>
          <w:lang w:val="en-US" w:eastAsia="zh-CN"/>
        </w:rPr>
        <w:t>6</w:t>
      </w:r>
      <w:r>
        <w:rPr>
          <w:rFonts w:hint="eastAsia" w:ascii="仿宋_GB2312" w:hAnsi="Arial" w:eastAsia="仿宋_GB2312" w:cs="Arial"/>
          <w:sz w:val="32"/>
          <w:szCs w:val="32"/>
        </w:rPr>
        <w:t>年，本委按照《条例》总体要求开展各项工作，但存在以下不足：</w:t>
      </w:r>
      <w:r>
        <w:rPr>
          <w:rFonts w:hint="eastAsia" w:ascii="仿宋_GB2312" w:hAnsi="Arial" w:eastAsia="仿宋_GB2312" w:cs="Arial"/>
          <w:sz w:val="32"/>
          <w:szCs w:val="32"/>
          <w:lang w:eastAsia="zh-CN"/>
        </w:rPr>
        <w:t>第一，</w:t>
      </w:r>
      <w:r>
        <w:rPr>
          <w:rFonts w:hint="eastAsia" w:ascii="仿宋_GB2312" w:hAnsi="宋体" w:eastAsia="仿宋_GB2312"/>
          <w:sz w:val="32"/>
          <w:szCs w:val="32"/>
          <w:lang w:val="en-US" w:eastAsia="zh-CN"/>
        </w:rPr>
        <w:t>主动公开意识不强，应当进一步完善申请信息公开的方式，拓宽广大群众申请信息公开的渠道。第二，工作人员业务能力仍显不足，在工作交接环节信息传达不对等。本年度第一次接收到依申请件时，由于缺乏经验，出现了费工费力办理结果缓慢等问题。为此我们要不断加强业务学习，提高工作质量，总结工作经验，找出工作亮点。</w:t>
      </w:r>
    </w:p>
    <w:p>
      <w:pPr>
        <w:widowControl/>
        <w:spacing w:line="560" w:lineRule="exact"/>
        <w:ind w:firstLine="640" w:firstLineChars="200"/>
        <w:rPr>
          <w:rFonts w:hint="eastAsia" w:ascii="仿宋_GB2312" w:hAnsi="宋体" w:eastAsia="仿宋_GB2312" w:cs="宋体"/>
          <w:b/>
          <w:color w:val="000000"/>
          <w:kern w:val="0"/>
          <w:sz w:val="32"/>
          <w:szCs w:val="32"/>
        </w:rPr>
      </w:pPr>
      <w:r>
        <w:rPr>
          <w:rFonts w:hint="eastAsia" w:ascii="仿宋_GB2312" w:eastAsia="仿宋_GB2312"/>
          <w:color w:val="000000"/>
          <w:sz w:val="32"/>
          <w:szCs w:val="32"/>
        </w:rPr>
        <w:t>结合工作中存在问题和不足，</w:t>
      </w:r>
      <w:r>
        <w:rPr>
          <w:rFonts w:hint="eastAsia" w:ascii="仿宋_GB2312" w:eastAsia="仿宋_GB2312"/>
          <w:color w:val="000000"/>
          <w:sz w:val="32"/>
          <w:szCs w:val="32"/>
          <w:lang w:val="en-US" w:eastAsia="zh-CN"/>
        </w:rPr>
        <w:t>2017年</w:t>
      </w:r>
      <w:r>
        <w:rPr>
          <w:rFonts w:hint="eastAsia" w:ascii="仿宋_GB2312" w:eastAsia="仿宋_GB2312"/>
          <w:color w:val="000000"/>
          <w:sz w:val="32"/>
          <w:szCs w:val="32"/>
        </w:rPr>
        <w:t>将从以下几个方面进行改进：</w:t>
      </w:r>
      <w:r>
        <w:rPr>
          <w:rFonts w:hint="eastAsia" w:ascii="仿宋_GB2312" w:hAnsi="宋体" w:eastAsia="仿宋_GB2312" w:cs="宋体"/>
          <w:b/>
          <w:color w:val="000000"/>
          <w:kern w:val="0"/>
          <w:sz w:val="32"/>
          <w:szCs w:val="32"/>
        </w:rPr>
        <w:t xml:space="preserve"> </w:t>
      </w:r>
    </w:p>
    <w:p>
      <w:pPr>
        <w:numPr>
          <w:ilvl w:val="0"/>
          <w:numId w:val="0"/>
        </w:numPr>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一、进一步加强日常管理工作。继续强化专人负责信息公开工作制度，明确工作职责，以服务群众为目的，进一步加强政府信息公开通过多种渠道的宣传工作，提高群众对政府信息公开的知晓率和参与度。做好在规定的信息公开范围内，及时发布和更新依法应主动公开的政府信息，并做好依申请公开答复工作。</w:t>
      </w:r>
    </w:p>
    <w:p>
      <w:pPr>
        <w:numPr>
          <w:ilvl w:val="0"/>
          <w:numId w:val="0"/>
        </w:num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lang w:val="en-US" w:eastAsia="zh-CN"/>
        </w:rPr>
        <w:t>二、继续充实公开内容。按照“以公开为原则，不公开为例外”的总体要求，进一步做好公开和免予公开两类政府信息的界定，完善主动公开的政府信息目录，逐步编制依申请公开的政府信息目录。加强对公众关注度高的政府信息的梳理。</w:t>
      </w:r>
      <w:r>
        <w:rPr>
          <w:rFonts w:hint="eastAsia" w:ascii="仿宋_GB2312" w:hAnsi="宋体" w:eastAsia="仿宋_GB2312"/>
          <w:sz w:val="32"/>
          <w:szCs w:val="32"/>
        </w:rPr>
        <w:t>推进各部门在梳理应公开内容的基础上，制定</w:t>
      </w:r>
      <w:r>
        <w:rPr>
          <w:rFonts w:hint="eastAsia" w:ascii="仿宋_GB2312" w:hAnsi="宋体" w:eastAsia="仿宋_GB2312"/>
          <w:sz w:val="32"/>
          <w:szCs w:val="32"/>
          <w:lang w:eastAsia="zh-CN"/>
        </w:rPr>
        <w:t>大兴区旅游委</w:t>
      </w:r>
      <w:r>
        <w:rPr>
          <w:rFonts w:hint="eastAsia" w:ascii="仿宋_GB2312" w:hAnsi="宋体" w:eastAsia="仿宋_GB2312"/>
          <w:sz w:val="32"/>
          <w:szCs w:val="32"/>
        </w:rPr>
        <w:t>主动公开信息目录，并动态调整，提升主动公开标准化规范化水平。</w:t>
      </w:r>
    </w:p>
    <w:p>
      <w:pPr>
        <w:numPr>
          <w:ilvl w:val="0"/>
          <w:numId w:val="0"/>
        </w:num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三、</w:t>
      </w:r>
      <w:r>
        <w:rPr>
          <w:rFonts w:hint="eastAsia" w:ascii="仿宋_GB2312" w:hAnsi="宋体" w:eastAsia="仿宋_GB2312"/>
          <w:sz w:val="32"/>
          <w:szCs w:val="32"/>
          <w:lang w:val="en-US" w:eastAsia="zh-CN"/>
        </w:rPr>
        <w:t>加强信息报送，增大宣传力度。一是</w:t>
      </w:r>
      <w:r>
        <w:rPr>
          <w:rFonts w:hint="eastAsia" w:ascii="仿宋_GB2312" w:hAnsi="宋体" w:eastAsia="仿宋_GB2312"/>
          <w:sz w:val="32"/>
          <w:szCs w:val="32"/>
        </w:rPr>
        <w:t>政策性、管理性文件、规章、规定等及时公示</w:t>
      </w:r>
      <w:r>
        <w:rPr>
          <w:rFonts w:hint="eastAsia" w:ascii="仿宋_GB2312" w:hAnsi="宋体" w:eastAsia="仿宋_GB2312"/>
          <w:sz w:val="32"/>
          <w:szCs w:val="32"/>
          <w:lang w:eastAsia="zh-CN"/>
        </w:rPr>
        <w:t>；</w:t>
      </w:r>
      <w:r>
        <w:rPr>
          <w:rFonts w:hint="eastAsia" w:ascii="仿宋_GB2312" w:hAnsi="宋体" w:eastAsia="仿宋_GB2312"/>
          <w:sz w:val="32"/>
          <w:szCs w:val="32"/>
        </w:rPr>
        <w:t>二是对政府重大投资项目、招标采购等行政行为的程序和结果公示</w:t>
      </w:r>
      <w:r>
        <w:rPr>
          <w:rFonts w:hint="eastAsia" w:ascii="仿宋_GB2312" w:hAnsi="宋体" w:eastAsia="仿宋_GB2312"/>
          <w:sz w:val="32"/>
          <w:szCs w:val="32"/>
          <w:lang w:eastAsia="zh-CN"/>
        </w:rPr>
        <w:t>。同时，要充分利用大兴旅游</w:t>
      </w:r>
      <w:r>
        <w:rPr>
          <w:rFonts w:hint="eastAsia" w:ascii="仿宋_GB2312" w:hAnsi="宋体" w:eastAsia="仿宋_GB2312"/>
          <w:sz w:val="32"/>
          <w:szCs w:val="32"/>
          <w:lang w:val="en-US" w:eastAsia="zh-CN"/>
        </w:rPr>
        <w:t>APP平台，做好宣传工作，提升群众对获取信息渠道的知晓度。</w:t>
      </w:r>
    </w:p>
    <w:p>
      <w:pPr>
        <w:numPr>
          <w:ilvl w:val="0"/>
          <w:numId w:val="0"/>
        </w:numPr>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四、完善长效工作机制。继续深化“主要领导亲自抓，分管领导具体抓”的工作格局，形成一级抓一级、层层抓落实的信息公开组织领导机制。保证政务公开工作的经常化、制度化、规范化，确保政务公开工作高质量、高标准的进行，做到全面公开、及时公开。   </w:t>
      </w:r>
    </w:p>
    <w:p>
      <w:pPr>
        <w:numPr>
          <w:ilvl w:val="0"/>
          <w:numId w:val="0"/>
        </w:numPr>
        <w:jc w:val="left"/>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p>
    <w:p>
      <w:pPr>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 xml:space="preserve"> </w:t>
      </w:r>
    </w:p>
    <w:p>
      <w:pPr>
        <w:widowControl/>
        <w:spacing w:line="560" w:lineRule="exact"/>
        <w:ind w:firstLine="640" w:firstLineChars="200"/>
        <w:rPr>
          <w:rFonts w:hint="eastAsia" w:ascii="仿宋_GB2312" w:hAnsi="华文中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hint="eastAsia" w:ascii="仿宋_GB2312" w:hAnsi="仿宋" w:eastAsia="仿宋_GB2312"/>
          <w:sz w:val="32"/>
          <w:szCs w:val="32"/>
        </w:rPr>
      </w:pPr>
    </w:p>
    <w:p>
      <w:pPr>
        <w:widowControl/>
        <w:spacing w:line="560" w:lineRule="exact"/>
        <w:ind w:left="3599" w:leftChars="1714"/>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北京市大兴区</w:t>
      </w:r>
      <w:r>
        <w:rPr>
          <w:rFonts w:hint="eastAsia" w:ascii="仿宋_GB2312" w:hAnsi="宋体" w:eastAsia="仿宋_GB2312" w:cs="宋体"/>
          <w:kern w:val="0"/>
          <w:sz w:val="32"/>
          <w:szCs w:val="32"/>
          <w:lang w:eastAsia="zh-CN"/>
        </w:rPr>
        <w:t>旅游发展委员会</w:t>
      </w:r>
    </w:p>
    <w:p>
      <w:pPr>
        <w:widowControl/>
        <w:spacing w:line="560" w:lineRule="exact"/>
        <w:ind w:left="4469" w:leftChars="2128" w:right="8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年</w:t>
      </w:r>
      <w:r>
        <w:rPr>
          <w:rFonts w:hint="eastAsia" w:ascii="仿宋_GB2312" w:hAnsi="宋体" w:eastAsia="仿宋_GB2312" w:cs="宋体"/>
          <w:kern w:val="0"/>
          <w:sz w:val="32"/>
          <w:szCs w:val="32"/>
        </w:rPr>
        <w:t>三月</w:t>
      </w:r>
    </w:p>
    <w:p>
      <w:pPr>
        <w:adjustRightInd w:val="0"/>
        <w:snapToGrid w:val="0"/>
        <w:spacing w:line="540" w:lineRule="exact"/>
        <w:ind w:left="3282" w:leftChars="1" w:hanging="3280" w:hangingChars="1025"/>
        <w:rPr>
          <w:rFonts w:hint="eastAsia" w:ascii="黑体" w:hAnsi="黑体" w:eastAsia="黑体"/>
          <w:sz w:val="32"/>
          <w:szCs w:val="32"/>
        </w:rPr>
      </w:pPr>
      <w:r>
        <w:rPr>
          <w:rFonts w:ascii="仿宋_GB2312" w:hAnsi="宋体" w:eastAsia="仿宋_GB2312" w:cs="宋体"/>
          <w:kern w:val="0"/>
          <w:sz w:val="32"/>
          <w:szCs w:val="32"/>
        </w:rPr>
        <w:br w:type="page"/>
      </w:r>
      <w:r>
        <w:rPr>
          <w:rFonts w:hint="eastAsia" w:ascii="黑体" w:hAnsi="黑体" w:eastAsia="黑体"/>
          <w:sz w:val="32"/>
          <w:szCs w:val="32"/>
          <w:lang w:eastAsia="zh-CN"/>
        </w:rPr>
        <w:t>附表</w:t>
      </w:r>
      <w:r>
        <w:rPr>
          <w:rFonts w:hint="eastAsia" w:ascii="黑体" w:hAnsi="黑体" w:eastAsia="黑体"/>
          <w:sz w:val="32"/>
          <w:szCs w:val="32"/>
        </w:rPr>
        <w:t>：</w:t>
      </w:r>
    </w:p>
    <w:tbl>
      <w:tblPr>
        <w:tblStyle w:val="8"/>
        <w:tblW w:w="95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0"/>
        <w:gridCol w:w="285"/>
        <w:gridCol w:w="475"/>
        <w:gridCol w:w="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w:t>
            </w:r>
            <w:r>
              <w:rPr>
                <w:rFonts w:hint="eastAsia" w:ascii="楷体_GB2312" w:hAnsi="宋体" w:eastAsia="楷体_GB2312" w:cs="宋体"/>
                <w:kern w:val="0"/>
                <w:sz w:val="32"/>
                <w:szCs w:val="32"/>
                <w:lang w:val="en-US" w:eastAsia="zh-CN"/>
              </w:rPr>
              <w:t>2016</w:t>
            </w:r>
            <w:r>
              <w:rPr>
                <w:rFonts w:hint="eastAsia" w:ascii="楷体_GB2312" w:hAnsi="宋体" w:eastAsia="楷体_GB2312" w:cs="宋体"/>
                <w:kern w:val="0"/>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宋体"/>
                <w:kern w:val="0"/>
                <w:sz w:val="24"/>
                <w:highlight w:val="none"/>
              </w:rPr>
            </w:pPr>
          </w:p>
        </w:tc>
        <w:tc>
          <w:tcPr>
            <w:tcW w:w="1080" w:type="dxa"/>
            <w:tcBorders>
              <w:top w:val="single" w:color="auto" w:sz="8" w:space="0"/>
              <w:left w:val="nil"/>
              <w:bottom w:val="single" w:color="auto" w:sz="4" w:space="0"/>
              <w:right w:val="single" w:color="auto" w:sz="8"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1.政府公报公开政府信息数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w:t>
            </w:r>
            <w:r>
              <w:rPr>
                <w:rFonts w:hint="eastAsia" w:ascii="仿宋_GB2312" w:hAnsi="宋体" w:eastAsia="仿宋_GB2312" w:cs="宋体"/>
                <w:kern w:val="0"/>
                <w:sz w:val="24"/>
                <w:highlight w:val="none"/>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2.政府网站公开政府信息数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条</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highlight w:val="none"/>
                <w:lang w:eastAsia="zh-CN"/>
              </w:rPr>
            </w:pPr>
            <w:r>
              <w:rPr>
                <w:rFonts w:hint="eastAsia" w:ascii="仿宋_GB2312" w:hAnsi="宋体" w:eastAsia="仿宋_GB2312" w:cs="宋体"/>
                <w:kern w:val="0"/>
                <w:sz w:val="24"/>
                <w:highlight w:val="none"/>
                <w:lang w:val="en-US" w:eastAsia="zh-CN"/>
              </w:rPr>
              <w:t xml:space="preserve">  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3.政务微博公开政府信息数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w:t>
            </w:r>
            <w:r>
              <w:rPr>
                <w:rFonts w:hint="eastAsia" w:ascii="仿宋_GB2312" w:hAnsi="宋体" w:eastAsia="仿宋_GB2312" w:cs="宋体"/>
                <w:kern w:val="0"/>
                <w:sz w:val="24"/>
                <w:highlight w:val="none"/>
                <w:lang w:val="en-US" w:eastAsia="zh-CN"/>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4.政务微信公开政府信息数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w:t>
            </w:r>
            <w:r>
              <w:rPr>
                <w:rFonts w:hint="eastAsia" w:ascii="仿宋_GB2312" w:hAnsi="宋体" w:eastAsia="仿宋_GB2312" w:cs="宋体"/>
                <w:kern w:val="0"/>
                <w:sz w:val="24"/>
                <w:highlight w:val="none"/>
                <w:lang w:val="en-US" w:eastAsia="zh-CN"/>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5.其他方式公开政府信息数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w:t>
            </w:r>
            <w:r>
              <w:rPr>
                <w:rFonts w:hint="eastAsia" w:ascii="仿宋_GB2312" w:hAnsi="宋体" w:eastAsia="仿宋_GB2312" w:cs="宋体"/>
                <w:kern w:val="0"/>
                <w:sz w:val="24"/>
                <w:highlight w:val="none"/>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lang w:val="en-US" w:eastAsia="zh-CN"/>
              </w:rPr>
              <w:t xml:space="preserve">  0</w:t>
            </w: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（一）政府信息公开工作专门机构数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w:t>
            </w:r>
            <w:r>
              <w:rPr>
                <w:rFonts w:hint="eastAsia" w:ascii="仿宋_GB2312" w:hAnsi="宋体" w:eastAsia="仿宋_GB2312" w:cs="宋体"/>
                <w:kern w:val="0"/>
                <w:sz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（二）设置政府信息公开查阅点数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highlight w:val="none"/>
              </w:rPr>
            </w:pPr>
            <w:r>
              <w:rPr>
                <w:rFonts w:hint="eastAsia" w:ascii="仿宋_GB2312" w:hAnsi="宋体" w:eastAsia="仿宋_GB2312" w:cs="宋体"/>
                <w:kern w:val="0"/>
                <w:sz w:val="24"/>
                <w:highlight w:val="none"/>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w:t>
            </w:r>
            <w:r>
              <w:rPr>
                <w:rFonts w:hint="eastAsia" w:ascii="仿宋_GB2312" w:hAnsi="宋体" w:eastAsia="仿宋_GB2312" w:cs="宋体"/>
                <w:kern w:val="0"/>
                <w:sz w:val="24"/>
                <w:highlight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bl>
    <w:p>
      <w:pPr>
        <w:widowControl/>
        <w:spacing w:line="560" w:lineRule="exact"/>
        <w:ind w:left="4469" w:leftChars="2128" w:right="480"/>
        <w:jc w:val="right"/>
        <w:rPr>
          <w:rFonts w:ascii="仿宋_GB2312" w:hAnsi="宋体" w:eastAsia="仿宋_GB2312" w:cs="宋体"/>
          <w:kern w:val="0"/>
          <w:sz w:val="32"/>
          <w:szCs w:val="32"/>
        </w:rPr>
      </w:pP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3000509000000000000"/>
    <w:charset w:val="86"/>
    <w:family w:val="auto"/>
    <w:pitch w:val="default"/>
    <w:sig w:usb0="00000000" w:usb1="00000000" w:usb2="0000001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F9769"/>
    <w:multiLevelType w:val="singleLevel"/>
    <w:tmpl w:val="56DF9769"/>
    <w:lvl w:ilvl="0" w:tentative="0">
      <w:start w:val="1"/>
      <w:numFmt w:val="chineseCounting"/>
      <w:suff w:val="nothing"/>
      <w:lvlText w:val="（%1）"/>
      <w:lvlJc w:val="left"/>
    </w:lvl>
  </w:abstractNum>
  <w:abstractNum w:abstractNumId="1">
    <w:nsid w:val="589A95D5"/>
    <w:multiLevelType w:val="singleLevel"/>
    <w:tmpl w:val="589A95D5"/>
    <w:lvl w:ilvl="0" w:tentative="0">
      <w:start w:val="5"/>
      <w:numFmt w:val="chineseCounting"/>
      <w:suff w:val="nothing"/>
      <w:lvlText w:val="%1、"/>
      <w:lvlJc w:val="left"/>
    </w:lvl>
  </w:abstractNum>
  <w:abstractNum w:abstractNumId="2">
    <w:nsid w:val="589C3EDA"/>
    <w:multiLevelType w:val="singleLevel"/>
    <w:tmpl w:val="589C3EDA"/>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mIzMTU2NjRhYzJkYWM1YTQ1NzQyMGEzZTA4ZmU4NWIifQ=="/>
  </w:docVars>
  <w:rsids>
    <w:rsidRoot w:val="00FF34FE"/>
    <w:rsid w:val="00011299"/>
    <w:rsid w:val="0001550B"/>
    <w:rsid w:val="00024A33"/>
    <w:rsid w:val="00030ED2"/>
    <w:rsid w:val="000477DD"/>
    <w:rsid w:val="00061A8B"/>
    <w:rsid w:val="0006724E"/>
    <w:rsid w:val="0008546D"/>
    <w:rsid w:val="00091B5A"/>
    <w:rsid w:val="00095C94"/>
    <w:rsid w:val="000C3E2E"/>
    <w:rsid w:val="000D7F41"/>
    <w:rsid w:val="000E18D5"/>
    <w:rsid w:val="000F5455"/>
    <w:rsid w:val="000F57C6"/>
    <w:rsid w:val="00135812"/>
    <w:rsid w:val="00136479"/>
    <w:rsid w:val="001649F9"/>
    <w:rsid w:val="00165D78"/>
    <w:rsid w:val="001770DC"/>
    <w:rsid w:val="00191E43"/>
    <w:rsid w:val="001969C7"/>
    <w:rsid w:val="001A132F"/>
    <w:rsid w:val="001A438D"/>
    <w:rsid w:val="001C335D"/>
    <w:rsid w:val="001E0EDB"/>
    <w:rsid w:val="001F1E77"/>
    <w:rsid w:val="0020438B"/>
    <w:rsid w:val="002050C9"/>
    <w:rsid w:val="00215A1F"/>
    <w:rsid w:val="00220270"/>
    <w:rsid w:val="00234422"/>
    <w:rsid w:val="00263CF6"/>
    <w:rsid w:val="0026751C"/>
    <w:rsid w:val="00267D9B"/>
    <w:rsid w:val="00276839"/>
    <w:rsid w:val="00282A54"/>
    <w:rsid w:val="002A61EF"/>
    <w:rsid w:val="002B3EA2"/>
    <w:rsid w:val="002C6CC3"/>
    <w:rsid w:val="002D25F5"/>
    <w:rsid w:val="002E4D22"/>
    <w:rsid w:val="002F450B"/>
    <w:rsid w:val="00303BA7"/>
    <w:rsid w:val="00312FA6"/>
    <w:rsid w:val="00315E66"/>
    <w:rsid w:val="0032036E"/>
    <w:rsid w:val="00323318"/>
    <w:rsid w:val="0033311E"/>
    <w:rsid w:val="00350B99"/>
    <w:rsid w:val="00364095"/>
    <w:rsid w:val="00373CA6"/>
    <w:rsid w:val="00385552"/>
    <w:rsid w:val="00386739"/>
    <w:rsid w:val="00391E8B"/>
    <w:rsid w:val="00393804"/>
    <w:rsid w:val="003A2DE8"/>
    <w:rsid w:val="003C2EA7"/>
    <w:rsid w:val="003C3529"/>
    <w:rsid w:val="003C4B6C"/>
    <w:rsid w:val="003D407B"/>
    <w:rsid w:val="003F0526"/>
    <w:rsid w:val="003F386C"/>
    <w:rsid w:val="0040195E"/>
    <w:rsid w:val="00404D78"/>
    <w:rsid w:val="00430A10"/>
    <w:rsid w:val="0043690A"/>
    <w:rsid w:val="00442F1C"/>
    <w:rsid w:val="00444749"/>
    <w:rsid w:val="00455D1F"/>
    <w:rsid w:val="00464DE1"/>
    <w:rsid w:val="00475F51"/>
    <w:rsid w:val="00480EBD"/>
    <w:rsid w:val="004835AE"/>
    <w:rsid w:val="00487674"/>
    <w:rsid w:val="00493506"/>
    <w:rsid w:val="0049714A"/>
    <w:rsid w:val="004B1F88"/>
    <w:rsid w:val="004E0C30"/>
    <w:rsid w:val="004E3F3D"/>
    <w:rsid w:val="004E7A7F"/>
    <w:rsid w:val="00500F43"/>
    <w:rsid w:val="005038B7"/>
    <w:rsid w:val="005051AA"/>
    <w:rsid w:val="00511D6A"/>
    <w:rsid w:val="00552C13"/>
    <w:rsid w:val="00552E76"/>
    <w:rsid w:val="00561B6A"/>
    <w:rsid w:val="00566A85"/>
    <w:rsid w:val="0057505F"/>
    <w:rsid w:val="00576AA8"/>
    <w:rsid w:val="00590400"/>
    <w:rsid w:val="005933D4"/>
    <w:rsid w:val="005A43F9"/>
    <w:rsid w:val="005A5BA1"/>
    <w:rsid w:val="005B59E2"/>
    <w:rsid w:val="005C4FC2"/>
    <w:rsid w:val="005C5EB9"/>
    <w:rsid w:val="005D35EC"/>
    <w:rsid w:val="005D38A7"/>
    <w:rsid w:val="005D454A"/>
    <w:rsid w:val="005D70D9"/>
    <w:rsid w:val="005E06C3"/>
    <w:rsid w:val="005E137E"/>
    <w:rsid w:val="005E3B9B"/>
    <w:rsid w:val="005F42E9"/>
    <w:rsid w:val="0062038E"/>
    <w:rsid w:val="006456F4"/>
    <w:rsid w:val="00673972"/>
    <w:rsid w:val="006800C1"/>
    <w:rsid w:val="006806E4"/>
    <w:rsid w:val="0068740C"/>
    <w:rsid w:val="006B2C55"/>
    <w:rsid w:val="006D3C9C"/>
    <w:rsid w:val="00704AAF"/>
    <w:rsid w:val="00716195"/>
    <w:rsid w:val="007300BC"/>
    <w:rsid w:val="007318B4"/>
    <w:rsid w:val="00732FB8"/>
    <w:rsid w:val="00733332"/>
    <w:rsid w:val="0073390C"/>
    <w:rsid w:val="007440C9"/>
    <w:rsid w:val="00747B06"/>
    <w:rsid w:val="00750D2A"/>
    <w:rsid w:val="00754E59"/>
    <w:rsid w:val="00770AD8"/>
    <w:rsid w:val="0077218A"/>
    <w:rsid w:val="007746CC"/>
    <w:rsid w:val="007939C3"/>
    <w:rsid w:val="007A1833"/>
    <w:rsid w:val="007C71C1"/>
    <w:rsid w:val="007F2536"/>
    <w:rsid w:val="00800AA7"/>
    <w:rsid w:val="00802EFC"/>
    <w:rsid w:val="00804A0A"/>
    <w:rsid w:val="00807928"/>
    <w:rsid w:val="008238B3"/>
    <w:rsid w:val="00824136"/>
    <w:rsid w:val="00830104"/>
    <w:rsid w:val="00845ADF"/>
    <w:rsid w:val="00846086"/>
    <w:rsid w:val="00860E3E"/>
    <w:rsid w:val="00874774"/>
    <w:rsid w:val="00875C8E"/>
    <w:rsid w:val="00896F27"/>
    <w:rsid w:val="008A2B14"/>
    <w:rsid w:val="008A3AC4"/>
    <w:rsid w:val="008C1089"/>
    <w:rsid w:val="008C4AF7"/>
    <w:rsid w:val="008E15A5"/>
    <w:rsid w:val="008E196E"/>
    <w:rsid w:val="008E6450"/>
    <w:rsid w:val="00906445"/>
    <w:rsid w:val="00910CBB"/>
    <w:rsid w:val="0092083B"/>
    <w:rsid w:val="00922313"/>
    <w:rsid w:val="0092687B"/>
    <w:rsid w:val="009271F8"/>
    <w:rsid w:val="00931057"/>
    <w:rsid w:val="009367A0"/>
    <w:rsid w:val="0094334E"/>
    <w:rsid w:val="009706DE"/>
    <w:rsid w:val="00971C58"/>
    <w:rsid w:val="009746D0"/>
    <w:rsid w:val="0099649A"/>
    <w:rsid w:val="009B3C87"/>
    <w:rsid w:val="009C6833"/>
    <w:rsid w:val="009D2611"/>
    <w:rsid w:val="009D3508"/>
    <w:rsid w:val="009D79B0"/>
    <w:rsid w:val="009E1810"/>
    <w:rsid w:val="009F3F88"/>
    <w:rsid w:val="00A0311A"/>
    <w:rsid w:val="00A1509C"/>
    <w:rsid w:val="00A20BE9"/>
    <w:rsid w:val="00A23A68"/>
    <w:rsid w:val="00A61446"/>
    <w:rsid w:val="00A714B2"/>
    <w:rsid w:val="00A90797"/>
    <w:rsid w:val="00AD5E1D"/>
    <w:rsid w:val="00AD6B74"/>
    <w:rsid w:val="00AE73D2"/>
    <w:rsid w:val="00AF39B8"/>
    <w:rsid w:val="00AF7359"/>
    <w:rsid w:val="00B06294"/>
    <w:rsid w:val="00B128C1"/>
    <w:rsid w:val="00B13752"/>
    <w:rsid w:val="00B15089"/>
    <w:rsid w:val="00B72A12"/>
    <w:rsid w:val="00B92952"/>
    <w:rsid w:val="00BA1750"/>
    <w:rsid w:val="00BA778C"/>
    <w:rsid w:val="00BB329A"/>
    <w:rsid w:val="00BC3B1C"/>
    <w:rsid w:val="00BD0DF3"/>
    <w:rsid w:val="00BD4C14"/>
    <w:rsid w:val="00C008B5"/>
    <w:rsid w:val="00C127B0"/>
    <w:rsid w:val="00C1318D"/>
    <w:rsid w:val="00C2000A"/>
    <w:rsid w:val="00C21AD9"/>
    <w:rsid w:val="00C32DA8"/>
    <w:rsid w:val="00C33A95"/>
    <w:rsid w:val="00C66BED"/>
    <w:rsid w:val="00C70936"/>
    <w:rsid w:val="00C9001A"/>
    <w:rsid w:val="00C92922"/>
    <w:rsid w:val="00CC1169"/>
    <w:rsid w:val="00CC6F1F"/>
    <w:rsid w:val="00CD2247"/>
    <w:rsid w:val="00CD70A9"/>
    <w:rsid w:val="00CE7AA8"/>
    <w:rsid w:val="00CF1B2B"/>
    <w:rsid w:val="00D03C7D"/>
    <w:rsid w:val="00D14DEE"/>
    <w:rsid w:val="00D22E11"/>
    <w:rsid w:val="00D23DCC"/>
    <w:rsid w:val="00D35E05"/>
    <w:rsid w:val="00D52A19"/>
    <w:rsid w:val="00D61FDB"/>
    <w:rsid w:val="00D622F1"/>
    <w:rsid w:val="00D748D2"/>
    <w:rsid w:val="00D85444"/>
    <w:rsid w:val="00DA26B0"/>
    <w:rsid w:val="00DB6223"/>
    <w:rsid w:val="00DC3D8E"/>
    <w:rsid w:val="00DD0601"/>
    <w:rsid w:val="00DE49A7"/>
    <w:rsid w:val="00DE52B6"/>
    <w:rsid w:val="00DF0BD8"/>
    <w:rsid w:val="00DF4EBD"/>
    <w:rsid w:val="00E02AE0"/>
    <w:rsid w:val="00E034E9"/>
    <w:rsid w:val="00E112FE"/>
    <w:rsid w:val="00E128C4"/>
    <w:rsid w:val="00E20708"/>
    <w:rsid w:val="00E20935"/>
    <w:rsid w:val="00E219EF"/>
    <w:rsid w:val="00E32008"/>
    <w:rsid w:val="00E71476"/>
    <w:rsid w:val="00E74F2C"/>
    <w:rsid w:val="00E90178"/>
    <w:rsid w:val="00EA0880"/>
    <w:rsid w:val="00EA4E95"/>
    <w:rsid w:val="00EB1F9C"/>
    <w:rsid w:val="00ED2876"/>
    <w:rsid w:val="00ED2A5C"/>
    <w:rsid w:val="00ED3380"/>
    <w:rsid w:val="00EE462E"/>
    <w:rsid w:val="00EF142A"/>
    <w:rsid w:val="00EF398F"/>
    <w:rsid w:val="00EF3F47"/>
    <w:rsid w:val="00EF52CD"/>
    <w:rsid w:val="00F2797D"/>
    <w:rsid w:val="00F32436"/>
    <w:rsid w:val="00F32D9A"/>
    <w:rsid w:val="00F34CEC"/>
    <w:rsid w:val="00F401B1"/>
    <w:rsid w:val="00F438C0"/>
    <w:rsid w:val="00F60F29"/>
    <w:rsid w:val="00F95C81"/>
    <w:rsid w:val="00FB3A68"/>
    <w:rsid w:val="00FB481B"/>
    <w:rsid w:val="00FC27C7"/>
    <w:rsid w:val="00FE5955"/>
    <w:rsid w:val="00FE759B"/>
    <w:rsid w:val="00FF0E63"/>
    <w:rsid w:val="00FF34FE"/>
    <w:rsid w:val="103E3F4C"/>
    <w:rsid w:val="113B497A"/>
    <w:rsid w:val="116B5221"/>
    <w:rsid w:val="1EED664D"/>
    <w:rsid w:val="21FF01C9"/>
    <w:rsid w:val="29803A4B"/>
    <w:rsid w:val="2BDF66E3"/>
    <w:rsid w:val="2E115A48"/>
    <w:rsid w:val="31A4347E"/>
    <w:rsid w:val="332B2000"/>
    <w:rsid w:val="34D025D9"/>
    <w:rsid w:val="36047153"/>
    <w:rsid w:val="36204C72"/>
    <w:rsid w:val="38D318BF"/>
    <w:rsid w:val="39B00919"/>
    <w:rsid w:val="3B8F2744"/>
    <w:rsid w:val="3D145DC3"/>
    <w:rsid w:val="520812A5"/>
    <w:rsid w:val="59E62932"/>
    <w:rsid w:val="5A2E2C73"/>
    <w:rsid w:val="6ACE1BC9"/>
    <w:rsid w:val="6D706919"/>
    <w:rsid w:val="711F3BA7"/>
    <w:rsid w:val="71F44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w:basedOn w:val="1"/>
    <w:uiPriority w:val="0"/>
    <w:pPr>
      <w:suppressAutoHyphens/>
      <w:jc w:val="center"/>
    </w:pPr>
    <w:rPr>
      <w:rFonts w:ascii="方正小标宋简体" w:hAnsi="汉仪大宋简" w:eastAsia="方正小标宋简体"/>
      <w:color w:val="000000"/>
      <w:kern w:val="0"/>
      <w:sz w:val="44"/>
      <w:szCs w:val="20"/>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paragraph" w:customStyle="1" w:styleId="11">
    <w:name w:val="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2">
    <w:name w:val="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3">
    <w:name w:val="Char Char1 Char Char Char Char Char Char"/>
    <w:basedOn w:val="2"/>
    <w:uiPriority w:val="0"/>
    <w:pPr>
      <w:adjustRightInd w:val="0"/>
      <w:spacing w:line="436" w:lineRule="exact"/>
      <w:ind w:left="357"/>
      <w:jc w:val="left"/>
      <w:outlineLvl w:val="3"/>
    </w:pPr>
    <w:rPr>
      <w:rFonts w:ascii="Tahoma" w:hAnsi="Tahoma"/>
      <w:b/>
      <w:sz w:val="24"/>
      <w:szCs w:val="32"/>
    </w:rPr>
  </w:style>
  <w:style w:type="paragraph" w:customStyle="1" w:styleId="14">
    <w:name w:val="Char Char"/>
    <w:basedOn w:val="2"/>
    <w:uiPriority w:val="0"/>
    <w:rPr>
      <w:rFonts w:ascii="Tahoma" w:hAnsi="Tahoma"/>
      <w:sz w:val="24"/>
      <w:szCs w:val="20"/>
    </w:rPr>
  </w:style>
  <w:style w:type="paragraph" w:customStyle="1" w:styleId="15">
    <w:name w:val="Char Char Char Char Char Char Char Char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6">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Company>
  <Pages>10</Pages>
  <Words>3706</Words>
  <Characters>3857</Characters>
  <Lines>36</Lines>
  <Paragraphs>10</Paragraphs>
  <TotalTime>0</TotalTime>
  <ScaleCrop>false</ScaleCrop>
  <LinksUpToDate>false</LinksUpToDate>
  <CharactersWithSpaces>4614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2016-02-22T09:36:00Z</dcterms:created>
  <dc:creator>ss</dc:creator>
  <cp:lastModifiedBy>米露</cp:lastModifiedBy>
  <cp:lastPrinted>2017-02-09T01:34:00Z</cp:lastPrinted>
  <dcterms:modified xsi:type="dcterms:W3CDTF">2023-04-03T03:25:24Z</dcterms:modified>
  <dc:title>北京市200×年××局政府信息公开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452415947BCC4E3E801BBA040C1E22A0</vt:lpwstr>
  </property>
</Properties>
</file>