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rPr>
      </w:pPr>
      <w:r>
        <w:rPr>
          <w:rFonts w:hint="eastAsia" w:ascii="宋体" w:hAnsi="宋体" w:eastAsia="宋体" w:cs="宋体"/>
          <w:sz w:val="21"/>
          <w:szCs w:val="21"/>
          <w:shd w:val="clear" w:fill="FFFFFF"/>
        </w:rPr>
        <w:t>北京市大兴区民族事务委员会201</w:t>
      </w:r>
      <w:r>
        <w:rPr>
          <w:rFonts w:hint="eastAsia" w:ascii="宋体" w:hAnsi="宋体" w:eastAsia="宋体" w:cs="宋体"/>
          <w:sz w:val="21"/>
          <w:szCs w:val="21"/>
          <w:shd w:val="clear" w:fill="FFFFFF"/>
          <w:lang w:val="en-US" w:eastAsia="zh-CN"/>
        </w:rPr>
        <w:t>8</w:t>
      </w:r>
      <w:r>
        <w:rPr>
          <w:rFonts w:hint="eastAsia" w:ascii="宋体" w:hAnsi="宋体" w:eastAsia="宋体" w:cs="宋体"/>
          <w:sz w:val="21"/>
          <w:szCs w:val="21"/>
          <w:shd w:val="clear" w:fill="FFFFFF"/>
        </w:rPr>
        <w:t>年度</w:t>
      </w:r>
    </w:p>
    <w:p>
      <w:pPr>
        <w:pStyle w:val="2"/>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rPr>
      </w:pPr>
      <w:r>
        <w:rPr>
          <w:rFonts w:hint="eastAsia" w:ascii="宋体" w:hAnsi="宋体" w:eastAsia="宋体" w:cs="宋体"/>
          <w:sz w:val="21"/>
          <w:szCs w:val="21"/>
          <w:shd w:val="clear" w:fill="FFFFFF"/>
        </w:rPr>
        <w:t>政府信息公开工作年度报告</w:t>
      </w:r>
    </w:p>
    <w:p>
      <w:pPr>
        <w:pStyle w:val="2"/>
        <w:keepNext w:val="0"/>
        <w:keepLines w:val="0"/>
        <w:widowControl/>
        <w:suppressLineNumbers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sz w:val="21"/>
          <w:szCs w:val="21"/>
          <w:shd w:val="clear" w:fill="FFFFFF"/>
        </w:rPr>
        <w:t> </w:t>
      </w:r>
    </w:p>
    <w:p>
      <w:pPr>
        <w:pStyle w:val="2"/>
        <w:keepNext w:val="0"/>
        <w:keepLines w:val="0"/>
        <w:widowControl/>
        <w:suppressLineNumbers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sz w:val="21"/>
          <w:szCs w:val="21"/>
          <w:shd w:val="clear" w:fill="FFFFFF"/>
        </w:rPr>
        <w:t>    本报告是根据《中华人民共和国政府信息公开条例》（以下简称《条例》）要求，由北京市大兴区民族事务委员会编制的201</w:t>
      </w:r>
      <w:r>
        <w:rPr>
          <w:rFonts w:hint="eastAsia" w:ascii="宋体" w:hAnsi="宋体" w:eastAsia="宋体" w:cs="宋体"/>
          <w:sz w:val="21"/>
          <w:szCs w:val="21"/>
          <w:shd w:val="clear" w:fill="FFFFFF"/>
          <w:lang w:val="en-US" w:eastAsia="zh-CN"/>
        </w:rPr>
        <w:t>8</w:t>
      </w:r>
      <w:r>
        <w:rPr>
          <w:rFonts w:hint="eastAsia" w:ascii="宋体" w:hAnsi="宋体" w:eastAsia="宋体" w:cs="宋体"/>
          <w:sz w:val="21"/>
          <w:szCs w:val="21"/>
          <w:shd w:val="clear" w:fill="FFFFFF"/>
        </w:rPr>
        <w:t>年度政府信息公开年度报告。</w:t>
      </w:r>
    </w:p>
    <w:p>
      <w:pPr>
        <w:pStyle w:val="2"/>
        <w:keepNext w:val="0"/>
        <w:keepLines w:val="0"/>
        <w:widowControl/>
        <w:suppressLineNumbers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sz w:val="21"/>
          <w:szCs w:val="21"/>
          <w:shd w:val="clear" w:fill="FFFFFF"/>
        </w:rPr>
        <w:t>    全文包括概述，主动公开政府信息的情况，依申请公开政府信息和不予公开政府信息的情况，因政府信息公开申请行政复议、提起行政诉讼的情况，政府信息公开工作存在不足及改进措施。</w:t>
      </w:r>
    </w:p>
    <w:p>
      <w:pPr>
        <w:pStyle w:val="2"/>
        <w:keepNext w:val="0"/>
        <w:keepLines w:val="0"/>
        <w:widowControl/>
        <w:suppressLineNumbers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sz w:val="21"/>
          <w:szCs w:val="21"/>
          <w:shd w:val="clear" w:fill="FFFFFF"/>
        </w:rPr>
        <w:t>    本报告中所列数据的统计期限自201</w:t>
      </w:r>
      <w:r>
        <w:rPr>
          <w:rFonts w:hint="eastAsia" w:ascii="宋体" w:hAnsi="宋体" w:eastAsia="宋体" w:cs="宋体"/>
          <w:sz w:val="21"/>
          <w:szCs w:val="21"/>
          <w:shd w:val="clear" w:fill="FFFFFF"/>
          <w:lang w:val="en-US" w:eastAsia="zh-CN"/>
        </w:rPr>
        <w:t>8</w:t>
      </w:r>
      <w:r>
        <w:rPr>
          <w:rFonts w:hint="eastAsia" w:ascii="宋体" w:hAnsi="宋体" w:eastAsia="宋体" w:cs="宋体"/>
          <w:sz w:val="21"/>
          <w:szCs w:val="21"/>
          <w:shd w:val="clear" w:fill="FFFFFF"/>
        </w:rPr>
        <w:t>年1月1日起至201</w:t>
      </w:r>
      <w:r>
        <w:rPr>
          <w:rFonts w:hint="eastAsia" w:ascii="宋体" w:hAnsi="宋体" w:eastAsia="宋体" w:cs="宋体"/>
          <w:sz w:val="21"/>
          <w:szCs w:val="21"/>
          <w:shd w:val="clear" w:fill="FFFFFF"/>
          <w:lang w:val="en-US" w:eastAsia="zh-CN"/>
        </w:rPr>
        <w:t>8</w:t>
      </w:r>
      <w:r>
        <w:rPr>
          <w:rFonts w:hint="eastAsia" w:ascii="宋体" w:hAnsi="宋体" w:eastAsia="宋体" w:cs="宋体"/>
          <w:sz w:val="21"/>
          <w:szCs w:val="21"/>
          <w:shd w:val="clear" w:fill="FFFFFF"/>
        </w:rPr>
        <w:t>年12月31日止。如对报告有任何疑问，请与北京市大兴区民族事务委员会联系地址:(北京市大兴区黄村镇兴政20号信访办6层；邮编：102600；联系电话：010-69226329；电子邮箱：dxmw@bjdx.gov.cn）。</w:t>
      </w:r>
    </w:p>
    <w:p>
      <w:pPr>
        <w:pStyle w:val="2"/>
        <w:keepNext w:val="0"/>
        <w:keepLines w:val="0"/>
        <w:widowControl/>
        <w:suppressLineNumbers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sz w:val="21"/>
          <w:szCs w:val="21"/>
          <w:shd w:val="clear" w:fill="FFFFFF"/>
        </w:rPr>
        <w:br w:type="textWrapping"/>
      </w:r>
      <w:r>
        <w:rPr>
          <w:rFonts w:hint="eastAsia" w:ascii="宋体" w:hAnsi="宋体" w:eastAsia="宋体" w:cs="宋体"/>
          <w:sz w:val="21"/>
          <w:szCs w:val="21"/>
          <w:shd w:val="clear" w:fill="FFFFFF"/>
        </w:rPr>
        <w:t> </w:t>
      </w:r>
    </w:p>
    <w:p>
      <w:pPr>
        <w:pStyle w:val="2"/>
        <w:keepNext w:val="0"/>
        <w:keepLines w:val="0"/>
        <w:widowControl/>
        <w:suppressLineNumbers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sz w:val="21"/>
          <w:szCs w:val="21"/>
          <w:shd w:val="clear" w:fill="FFFFFF"/>
        </w:rPr>
        <w:t>一、概述</w:t>
      </w:r>
    </w:p>
    <w:p>
      <w:pPr>
        <w:pStyle w:val="2"/>
        <w:keepNext w:val="0"/>
        <w:keepLines w:val="0"/>
        <w:widowControl/>
        <w:suppressLineNumbers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sz w:val="21"/>
          <w:szCs w:val="21"/>
          <w:shd w:val="clear" w:fill="FFFFFF"/>
        </w:rPr>
        <w:t>    201</w:t>
      </w:r>
      <w:r>
        <w:rPr>
          <w:rFonts w:hint="eastAsia" w:ascii="宋体" w:hAnsi="宋体" w:eastAsia="宋体" w:cs="宋体"/>
          <w:sz w:val="21"/>
          <w:szCs w:val="21"/>
          <w:shd w:val="clear" w:fill="FFFFFF"/>
          <w:lang w:val="en-US" w:eastAsia="zh-CN"/>
        </w:rPr>
        <w:t>8</w:t>
      </w:r>
      <w:r>
        <w:rPr>
          <w:rFonts w:hint="eastAsia" w:ascii="宋体" w:hAnsi="宋体" w:eastAsia="宋体" w:cs="宋体"/>
          <w:sz w:val="21"/>
          <w:szCs w:val="21"/>
          <w:shd w:val="clear" w:fill="FFFFFF"/>
        </w:rPr>
        <w:t>年，区民委继续严格按照《中华人民共和国政府信息公开条例》和《大兴区政府网站信息发布管理办法》要求，在区政府信息公开领导小组的领导下，规范程序、强化领导、突出重点，深入推进信息公开工作，提高办事效率，方便群众办事，促进了全区民族团结、宗教和睦和社会和谐。</w:t>
      </w:r>
    </w:p>
    <w:p>
      <w:pPr>
        <w:pStyle w:val="2"/>
        <w:keepNext w:val="0"/>
        <w:keepLines w:val="0"/>
        <w:widowControl/>
        <w:suppressLineNumbers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sz w:val="21"/>
          <w:szCs w:val="21"/>
          <w:shd w:val="clear" w:fill="FFFFFF"/>
        </w:rPr>
        <w:t>二、主动公开情况</w:t>
      </w:r>
    </w:p>
    <w:p>
      <w:pPr>
        <w:pStyle w:val="2"/>
        <w:keepNext w:val="0"/>
        <w:keepLines w:val="0"/>
        <w:widowControl/>
        <w:suppressLineNumbers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sz w:val="21"/>
          <w:szCs w:val="21"/>
          <w:shd w:val="clear" w:fill="FFFFFF"/>
        </w:rPr>
        <w:t>    按照《条例》第9至12条规定的主动公开政府信息范围，本委开展了信息清理和目录编制工作，并按照《条例》第15条规定，通过政府网站主动公开。按照《条例》第16条规定，继续完善政府信息查阅中心，为公民、法人或者其他组织获取政府信息提供便利。</w:t>
      </w:r>
    </w:p>
    <w:p>
      <w:pPr>
        <w:pStyle w:val="2"/>
        <w:keepNext w:val="0"/>
        <w:keepLines w:val="0"/>
        <w:widowControl/>
        <w:suppressLineNumbers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sz w:val="21"/>
          <w:szCs w:val="21"/>
          <w:shd w:val="clear" w:fill="FFFFFF"/>
        </w:rPr>
        <w:t>（一）主要公开渠道</w:t>
      </w:r>
    </w:p>
    <w:p>
      <w:pPr>
        <w:pStyle w:val="2"/>
        <w:keepNext w:val="0"/>
        <w:keepLines w:val="0"/>
        <w:widowControl/>
        <w:suppressLineNumbers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sz w:val="21"/>
          <w:szCs w:val="21"/>
          <w:shd w:val="clear" w:fill="FFFFFF"/>
        </w:rPr>
        <w:t>    政府网站。200</w:t>
      </w:r>
      <w:r>
        <w:rPr>
          <w:rFonts w:hint="eastAsia" w:ascii="宋体" w:hAnsi="宋体" w:eastAsia="宋体" w:cs="宋体"/>
          <w:sz w:val="21"/>
          <w:szCs w:val="21"/>
          <w:shd w:val="clear" w:fill="FFFFFF"/>
          <w:lang w:val="en-US" w:eastAsia="zh-CN"/>
        </w:rPr>
        <w:t>8</w:t>
      </w:r>
      <w:r>
        <w:rPr>
          <w:rFonts w:hint="eastAsia" w:ascii="宋体" w:hAnsi="宋体" w:eastAsia="宋体" w:cs="宋体"/>
          <w:sz w:val="21"/>
          <w:szCs w:val="21"/>
          <w:shd w:val="clear" w:fill="FFFFFF"/>
        </w:rPr>
        <w:t>年11月，民委在区信息中心的帮助下，建立了民委网站。2014年，重新明确了网站建设主管领导，具体负责人做好日常维护，及时更新信息，网站建设各项工作得到了进一步加强，在网站技术、栏目设置、网页设计方面，参考了市相关部门和区直其他单位的经验，本着“简洁、明快、方便”的原则，力求突出民族特色，方便群众查阅。</w:t>
      </w:r>
    </w:p>
    <w:p>
      <w:pPr>
        <w:pStyle w:val="2"/>
        <w:keepNext w:val="0"/>
        <w:keepLines w:val="0"/>
        <w:widowControl/>
        <w:suppressLineNumbers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sz w:val="21"/>
          <w:szCs w:val="21"/>
          <w:shd w:val="clear" w:fill="FFFFFF"/>
        </w:rPr>
        <w:t>    按照信息公开管理办法的规定，及时公开机构职能、领导介绍、机构设置等信息；制作政务公开指南，公开民族宗教行政许可事项、民族宗教相关法律法规，通过资料中心中公布民族宗教相关知识。民委网站的服务器通过信息中心托管，制定了各项网络管理制度，及时升级杀毒软件，没有出现泄密违规的现象。</w:t>
      </w:r>
    </w:p>
    <w:p>
      <w:pPr>
        <w:pStyle w:val="2"/>
        <w:keepNext w:val="0"/>
        <w:keepLines w:val="0"/>
        <w:widowControl/>
        <w:suppressLineNumbers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sz w:val="21"/>
          <w:szCs w:val="21"/>
          <w:shd w:val="clear" w:fill="FFFFFF"/>
        </w:rPr>
        <w:t>   201</w:t>
      </w:r>
      <w:r>
        <w:rPr>
          <w:rFonts w:hint="eastAsia" w:ascii="宋体" w:hAnsi="宋体" w:eastAsia="宋体" w:cs="宋体"/>
          <w:sz w:val="21"/>
          <w:szCs w:val="21"/>
          <w:shd w:val="clear" w:fill="FFFFFF"/>
          <w:lang w:val="en-US" w:eastAsia="zh-CN"/>
        </w:rPr>
        <w:t>8</w:t>
      </w:r>
      <w:r>
        <w:rPr>
          <w:rFonts w:hint="eastAsia" w:ascii="宋体" w:hAnsi="宋体" w:eastAsia="宋体" w:cs="宋体"/>
          <w:sz w:val="21"/>
          <w:szCs w:val="21"/>
          <w:shd w:val="clear" w:fill="FFFFFF"/>
        </w:rPr>
        <w:t>年主动公开政府信息数 </w:t>
      </w:r>
      <w:r>
        <w:rPr>
          <w:rFonts w:hint="eastAsia" w:ascii="宋体" w:hAnsi="宋体" w:eastAsia="宋体" w:cs="宋体"/>
          <w:sz w:val="21"/>
          <w:szCs w:val="21"/>
          <w:shd w:val="clear" w:fill="FFFFFF"/>
          <w:lang w:val="en-US" w:eastAsia="zh-CN"/>
        </w:rPr>
        <w:t>218</w:t>
      </w:r>
      <w:r>
        <w:rPr>
          <w:rFonts w:hint="eastAsia" w:ascii="宋体" w:hAnsi="宋体" w:eastAsia="宋体" w:cs="宋体"/>
          <w:sz w:val="21"/>
          <w:szCs w:val="21"/>
          <w:shd w:val="clear" w:fill="FFFFFF"/>
        </w:rPr>
        <w:t>条。其中,行政职责类信息</w:t>
      </w:r>
      <w:r>
        <w:rPr>
          <w:rFonts w:hint="eastAsia" w:ascii="宋体" w:hAnsi="宋体" w:eastAsia="宋体" w:cs="宋体"/>
          <w:sz w:val="21"/>
          <w:szCs w:val="21"/>
          <w:shd w:val="clear" w:fill="FFFFFF"/>
          <w:lang w:val="en-US" w:eastAsia="zh-CN"/>
        </w:rPr>
        <w:t>0</w:t>
      </w:r>
      <w:r>
        <w:rPr>
          <w:rFonts w:hint="eastAsia" w:ascii="宋体" w:hAnsi="宋体" w:eastAsia="宋体" w:cs="宋体"/>
          <w:sz w:val="21"/>
          <w:szCs w:val="21"/>
          <w:shd w:val="clear" w:fill="FFFFFF"/>
        </w:rPr>
        <w:t> 条，占总数的</w:t>
      </w:r>
      <w:r>
        <w:rPr>
          <w:rFonts w:hint="eastAsia" w:ascii="宋体" w:hAnsi="宋体" w:eastAsia="宋体" w:cs="宋体"/>
          <w:sz w:val="21"/>
          <w:szCs w:val="21"/>
          <w:shd w:val="clear" w:fill="FFFFFF"/>
          <w:lang w:val="en-US" w:eastAsia="zh-CN"/>
        </w:rPr>
        <w:t>0</w:t>
      </w:r>
      <w:r>
        <w:rPr>
          <w:rFonts w:hint="eastAsia" w:ascii="宋体" w:hAnsi="宋体" w:eastAsia="宋体" w:cs="宋体"/>
          <w:sz w:val="21"/>
          <w:szCs w:val="21"/>
          <w:shd w:val="clear" w:fill="FFFFFF"/>
        </w:rPr>
        <w:t> ；业务动态类信息</w:t>
      </w:r>
      <w:r>
        <w:rPr>
          <w:rFonts w:hint="eastAsia" w:ascii="宋体" w:hAnsi="宋体" w:eastAsia="宋体" w:cs="宋体"/>
          <w:sz w:val="21"/>
          <w:szCs w:val="21"/>
          <w:shd w:val="clear" w:fill="FFFFFF"/>
          <w:lang w:val="en-US" w:eastAsia="zh-CN"/>
        </w:rPr>
        <w:t xml:space="preserve"> 212  </w:t>
      </w:r>
      <w:r>
        <w:rPr>
          <w:rFonts w:hint="eastAsia" w:ascii="宋体" w:hAnsi="宋体" w:eastAsia="宋体" w:cs="宋体"/>
          <w:sz w:val="21"/>
          <w:szCs w:val="21"/>
          <w:shd w:val="clear" w:fill="FFFFFF"/>
        </w:rPr>
        <w:t>条，占总数的</w:t>
      </w:r>
      <w:r>
        <w:rPr>
          <w:rFonts w:hint="eastAsia" w:ascii="宋体" w:hAnsi="宋体" w:eastAsia="宋体" w:cs="宋体"/>
          <w:sz w:val="21"/>
          <w:szCs w:val="21"/>
          <w:shd w:val="clear" w:fill="FFFFFF"/>
          <w:lang w:val="en-US" w:eastAsia="zh-CN"/>
        </w:rPr>
        <w:t xml:space="preserve">  97%</w:t>
      </w:r>
      <w:r>
        <w:rPr>
          <w:rFonts w:hint="eastAsia" w:ascii="宋体" w:hAnsi="宋体" w:eastAsia="宋体" w:cs="宋体"/>
          <w:sz w:val="21"/>
          <w:szCs w:val="21"/>
          <w:shd w:val="clear" w:fill="FFFFFF"/>
        </w:rPr>
        <w:t>，法规文件类信息 </w:t>
      </w:r>
      <w:r>
        <w:rPr>
          <w:rFonts w:hint="eastAsia" w:ascii="宋体" w:hAnsi="宋体" w:eastAsia="宋体" w:cs="宋体"/>
          <w:sz w:val="21"/>
          <w:szCs w:val="21"/>
          <w:shd w:val="clear" w:fill="FFFFFF"/>
          <w:lang w:val="en-US" w:eastAsia="zh-CN"/>
        </w:rPr>
        <w:t xml:space="preserve">6  </w:t>
      </w:r>
      <w:r>
        <w:rPr>
          <w:rFonts w:hint="eastAsia" w:ascii="宋体" w:hAnsi="宋体" w:eastAsia="宋体" w:cs="宋体"/>
          <w:sz w:val="21"/>
          <w:szCs w:val="21"/>
          <w:shd w:val="clear" w:fill="FFFFFF"/>
        </w:rPr>
        <w:t>条，占总数的</w:t>
      </w:r>
      <w:r>
        <w:rPr>
          <w:rFonts w:hint="eastAsia" w:ascii="宋体" w:hAnsi="宋体" w:eastAsia="宋体" w:cs="宋体"/>
          <w:sz w:val="21"/>
          <w:szCs w:val="21"/>
          <w:shd w:val="clear" w:fill="FFFFFF"/>
          <w:lang w:val="en-US" w:eastAsia="zh-CN"/>
        </w:rPr>
        <w:t xml:space="preserve">3 %  </w:t>
      </w:r>
      <w:r>
        <w:rPr>
          <w:rFonts w:hint="eastAsia" w:ascii="宋体" w:hAnsi="宋体" w:eastAsia="宋体" w:cs="宋体"/>
          <w:sz w:val="21"/>
          <w:szCs w:val="21"/>
          <w:shd w:val="clear" w:fill="FFFFFF"/>
        </w:rPr>
        <w:t>。</w:t>
      </w:r>
    </w:p>
    <w:p>
      <w:pPr>
        <w:pStyle w:val="2"/>
        <w:keepNext w:val="0"/>
        <w:keepLines w:val="0"/>
        <w:widowControl/>
        <w:suppressLineNumbers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sz w:val="21"/>
          <w:szCs w:val="21"/>
          <w:shd w:val="clear" w:fill="FFFFFF"/>
        </w:rPr>
        <w:t>（二）公共查阅场所</w:t>
      </w:r>
    </w:p>
    <w:p>
      <w:pPr>
        <w:pStyle w:val="2"/>
        <w:keepNext w:val="0"/>
        <w:keepLines w:val="0"/>
        <w:widowControl/>
        <w:suppressLineNumbers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sz w:val="21"/>
          <w:szCs w:val="21"/>
          <w:shd w:val="clear" w:fill="FFFFFF"/>
        </w:rPr>
        <w:t>    本委设立政府信息公开查询处1处，设置政务公开栏，摆放相关法律法规及政策，方便群众取阅。编制《政府信息公开指南》，制作公开流程展板，做好信息保密审查各项工作，按照规定向法制办报送规范性文件报表。</w:t>
      </w:r>
    </w:p>
    <w:p>
      <w:pPr>
        <w:pStyle w:val="2"/>
        <w:keepNext w:val="0"/>
        <w:keepLines w:val="0"/>
        <w:widowControl/>
        <w:suppressLineNumbers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sz w:val="21"/>
          <w:szCs w:val="21"/>
          <w:shd w:val="clear" w:fill="FFFFFF"/>
        </w:rPr>
        <w:t>三、依申请公开情况</w:t>
      </w:r>
    </w:p>
    <w:p>
      <w:pPr>
        <w:pStyle w:val="2"/>
        <w:keepNext w:val="0"/>
        <w:keepLines w:val="0"/>
        <w:widowControl/>
        <w:suppressLineNumbers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sz w:val="21"/>
          <w:szCs w:val="21"/>
          <w:shd w:val="clear" w:fill="FFFFFF"/>
        </w:rPr>
        <w:t>    按照《条例》第13条规定，本委自《条例》实施之日起正式受理公民、法人或者其他组织根据自身生产、生活、科研等特殊需要提出的政府信息公开申请。为落实《条例》确定的政府信息依申请公开制度，本委继续完善政府信息公开申请受理场所，并公布政府信息公开受理机构的联系方式。</w:t>
      </w:r>
    </w:p>
    <w:p>
      <w:pPr>
        <w:pStyle w:val="2"/>
        <w:keepNext w:val="0"/>
        <w:keepLines w:val="0"/>
        <w:widowControl/>
        <w:suppressLineNumbers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sz w:val="21"/>
          <w:szCs w:val="21"/>
          <w:shd w:val="clear" w:fill="FFFFFF"/>
        </w:rPr>
        <w:t>（一）申请情况</w:t>
      </w:r>
    </w:p>
    <w:p>
      <w:pPr>
        <w:pStyle w:val="2"/>
        <w:keepNext w:val="0"/>
        <w:keepLines w:val="0"/>
        <w:widowControl/>
        <w:suppressLineNumbers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sz w:val="21"/>
          <w:szCs w:val="21"/>
          <w:shd w:val="clear" w:fill="FFFFFF"/>
        </w:rPr>
        <w:t>201</w:t>
      </w:r>
      <w:r>
        <w:rPr>
          <w:rFonts w:hint="eastAsia" w:ascii="宋体" w:hAnsi="宋体" w:eastAsia="宋体" w:cs="宋体"/>
          <w:sz w:val="21"/>
          <w:szCs w:val="21"/>
          <w:shd w:val="clear" w:fill="FFFFFF"/>
          <w:lang w:val="en-US" w:eastAsia="zh-CN"/>
        </w:rPr>
        <w:t>8</w:t>
      </w:r>
      <w:r>
        <w:rPr>
          <w:rFonts w:hint="eastAsia" w:ascii="宋体" w:hAnsi="宋体" w:eastAsia="宋体" w:cs="宋体"/>
          <w:sz w:val="21"/>
          <w:szCs w:val="21"/>
          <w:shd w:val="clear" w:fill="FFFFFF"/>
        </w:rPr>
        <w:t>年度，本委未接到政府信息公开申请。</w:t>
      </w:r>
    </w:p>
    <w:p>
      <w:pPr>
        <w:pStyle w:val="2"/>
        <w:keepNext w:val="0"/>
        <w:keepLines w:val="0"/>
        <w:widowControl/>
        <w:suppressLineNumbers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sz w:val="21"/>
          <w:szCs w:val="21"/>
          <w:shd w:val="clear" w:fill="FFFFFF"/>
        </w:rPr>
        <w:t>（二）答复情况</w:t>
      </w:r>
    </w:p>
    <w:p>
      <w:pPr>
        <w:pStyle w:val="2"/>
        <w:keepNext w:val="0"/>
        <w:keepLines w:val="0"/>
        <w:widowControl/>
        <w:suppressLineNumbers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sz w:val="21"/>
          <w:szCs w:val="21"/>
          <w:shd w:val="clear" w:fill="FFFFFF"/>
        </w:rPr>
        <w:t>201</w:t>
      </w:r>
      <w:r>
        <w:rPr>
          <w:rFonts w:hint="eastAsia" w:ascii="宋体" w:hAnsi="宋体" w:eastAsia="宋体" w:cs="宋体"/>
          <w:sz w:val="21"/>
          <w:szCs w:val="21"/>
          <w:shd w:val="clear" w:fill="FFFFFF"/>
          <w:lang w:val="en-US" w:eastAsia="zh-CN"/>
        </w:rPr>
        <w:t>8</w:t>
      </w:r>
      <w:r>
        <w:rPr>
          <w:rFonts w:hint="eastAsia" w:ascii="宋体" w:hAnsi="宋体" w:eastAsia="宋体" w:cs="宋体"/>
          <w:sz w:val="21"/>
          <w:szCs w:val="21"/>
          <w:shd w:val="clear" w:fill="FFFFFF"/>
        </w:rPr>
        <w:t>年度，本委未接到政府信息公开申请，无答复内容。</w:t>
      </w:r>
    </w:p>
    <w:p>
      <w:pPr>
        <w:pStyle w:val="2"/>
        <w:keepNext w:val="0"/>
        <w:keepLines w:val="0"/>
        <w:widowControl/>
        <w:suppressLineNumbers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sz w:val="21"/>
          <w:szCs w:val="21"/>
          <w:shd w:val="clear" w:fill="FFFFFF"/>
        </w:rPr>
        <w:t>四、复议和诉讼情况</w:t>
      </w:r>
    </w:p>
    <w:p>
      <w:pPr>
        <w:pStyle w:val="2"/>
        <w:keepNext w:val="0"/>
        <w:keepLines w:val="0"/>
        <w:widowControl/>
        <w:suppressLineNumbers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sz w:val="21"/>
          <w:szCs w:val="21"/>
          <w:shd w:val="clear" w:fill="FFFFFF"/>
        </w:rPr>
        <w:t>201</w:t>
      </w:r>
      <w:r>
        <w:rPr>
          <w:rFonts w:hint="eastAsia" w:ascii="宋体" w:hAnsi="宋体" w:eastAsia="宋体" w:cs="宋体"/>
          <w:sz w:val="21"/>
          <w:szCs w:val="21"/>
          <w:shd w:val="clear" w:fill="FFFFFF"/>
          <w:lang w:val="en-US" w:eastAsia="zh-CN"/>
        </w:rPr>
        <w:t>8</w:t>
      </w:r>
      <w:r>
        <w:rPr>
          <w:rFonts w:hint="eastAsia" w:ascii="宋体" w:hAnsi="宋体" w:eastAsia="宋体" w:cs="宋体"/>
          <w:sz w:val="21"/>
          <w:szCs w:val="21"/>
          <w:shd w:val="clear" w:fill="FFFFFF"/>
        </w:rPr>
        <w:t>年，本委无行政复议或行政诉讼情况。</w:t>
      </w:r>
    </w:p>
    <w:p>
      <w:pPr>
        <w:pStyle w:val="2"/>
        <w:keepNext w:val="0"/>
        <w:keepLines w:val="0"/>
        <w:widowControl/>
        <w:suppressLineNumbers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sz w:val="21"/>
          <w:szCs w:val="21"/>
          <w:shd w:val="clear" w:fill="FFFFFF"/>
        </w:rPr>
        <w:t>五、存在的不足及改进措施</w:t>
      </w:r>
    </w:p>
    <w:p>
      <w:pPr>
        <w:pStyle w:val="2"/>
        <w:keepNext w:val="0"/>
        <w:keepLines w:val="0"/>
        <w:widowControl/>
        <w:suppressLineNumbers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sz w:val="21"/>
          <w:szCs w:val="21"/>
          <w:shd w:val="clear" w:fill="FFFFFF"/>
        </w:rPr>
        <w:t>民委目前由于办公条件限制，没有专门进行信息公开查询的接待场所。下一步，民委将进一步加强和改进信息公开工作，做好具体工作人员的岗位培训，建立健全信息编撰、审查、发布等相关制度。加强对信息公开工作的指导和培训力度，建立交流平台，学习和借鉴其他单位先进经验，推进民委信息公开工作。</w:t>
      </w:r>
    </w:p>
    <w:p>
      <w:pPr>
        <w:pStyle w:val="2"/>
        <w:keepNext w:val="0"/>
        <w:keepLines w:val="0"/>
        <w:widowControl/>
        <w:suppressLineNumbers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sz w:val="21"/>
          <w:szCs w:val="21"/>
          <w:shd w:val="clear" w:fill="FFFFFF"/>
        </w:rPr>
        <w:t>201</w:t>
      </w:r>
      <w:r>
        <w:rPr>
          <w:rFonts w:hint="eastAsia" w:ascii="宋体" w:hAnsi="宋体" w:eastAsia="宋体" w:cs="宋体"/>
          <w:sz w:val="21"/>
          <w:szCs w:val="21"/>
          <w:shd w:val="clear" w:fill="FFFFFF"/>
          <w:lang w:val="en-US" w:eastAsia="zh-CN"/>
        </w:rPr>
        <w:t>8</w:t>
      </w:r>
      <w:r>
        <w:rPr>
          <w:rFonts w:hint="eastAsia" w:ascii="宋体" w:hAnsi="宋体" w:eastAsia="宋体" w:cs="宋体"/>
          <w:sz w:val="21"/>
          <w:szCs w:val="21"/>
          <w:shd w:val="clear" w:fill="FFFFFF"/>
        </w:rPr>
        <w:t>年区民委强化监督管理，推进信息公开。始终把加强监督作为规范工作、阳光运行的有力保障。认真贯彻落实《中华人民共和国政府信息公开条例》，信息公开工作在制度机制建设、提升规范化和信息化水平、增强公开实效等方面，取得了一定进展和成效，民委网站开设了国务院信息专栏、调查征集专栏等。</w:t>
      </w:r>
    </w:p>
    <w:p>
      <w:pPr>
        <w:pStyle w:val="2"/>
        <w:keepNext w:val="0"/>
        <w:keepLines w:val="0"/>
        <w:widowControl/>
        <w:suppressLineNumbers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sz w:val="21"/>
          <w:szCs w:val="21"/>
          <w:shd w:val="clear" w:fill="FFFFFF"/>
        </w:rPr>
        <w:t> </w:t>
      </w:r>
    </w:p>
    <w:p>
      <w:pPr>
        <w:pStyle w:val="2"/>
        <w:keepNext w:val="0"/>
        <w:keepLines w:val="0"/>
        <w:widowControl/>
        <w:suppressLineNumbers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sz w:val="21"/>
          <w:szCs w:val="21"/>
          <w:shd w:val="clear" w:fill="FFFFFF"/>
        </w:rPr>
        <w:t>        </w:t>
      </w:r>
      <w:r>
        <w:rPr>
          <w:rFonts w:hint="eastAsia" w:ascii="宋体" w:hAnsi="宋体" w:eastAsia="宋体" w:cs="宋体"/>
          <w:sz w:val="21"/>
          <w:szCs w:val="21"/>
          <w:shd w:val="clear" w:fill="FFFFFF"/>
          <w:lang w:val="en-US" w:eastAsia="zh-CN"/>
        </w:rPr>
        <w:t xml:space="preserve">                            </w:t>
      </w:r>
      <w:r>
        <w:rPr>
          <w:rFonts w:hint="eastAsia" w:ascii="宋体" w:hAnsi="宋体" w:eastAsia="宋体" w:cs="宋体"/>
          <w:sz w:val="21"/>
          <w:szCs w:val="21"/>
          <w:shd w:val="clear" w:fill="FFFFFF"/>
        </w:rPr>
        <w:t> 北京市大兴区民族事务委员会</w:t>
      </w:r>
    </w:p>
    <w:p>
      <w:pPr>
        <w:pStyle w:val="2"/>
        <w:keepNext w:val="0"/>
        <w:keepLines w:val="0"/>
        <w:widowControl/>
        <w:suppressLineNumbers w:val="0"/>
        <w:spacing w:before="0" w:beforeAutospacing="0" w:after="0" w:afterAutospacing="0" w:line="480" w:lineRule="atLeast"/>
        <w:ind w:left="0" w:right="0"/>
        <w:rPr>
          <w:rFonts w:hint="eastAsia" w:ascii="宋体" w:hAnsi="宋体" w:eastAsia="宋体" w:cs="宋体"/>
        </w:rPr>
      </w:pPr>
      <w:r>
        <w:rPr>
          <w:rFonts w:hint="eastAsia" w:ascii="宋体" w:hAnsi="宋体" w:eastAsia="宋体" w:cs="宋体"/>
          <w:sz w:val="21"/>
          <w:szCs w:val="21"/>
          <w:shd w:val="clear" w:fill="FFFFFF"/>
        </w:rPr>
        <w:t>               </w:t>
      </w:r>
      <w:r>
        <w:rPr>
          <w:rFonts w:hint="eastAsia" w:ascii="宋体" w:hAnsi="宋体" w:eastAsia="宋体" w:cs="宋体"/>
          <w:sz w:val="21"/>
          <w:szCs w:val="21"/>
          <w:shd w:val="clear" w:fill="FFFFFF"/>
          <w:lang w:val="en-US" w:eastAsia="zh-CN"/>
        </w:rPr>
        <w:t xml:space="preserve">                     </w:t>
      </w:r>
      <w:r>
        <w:rPr>
          <w:rFonts w:hint="eastAsia" w:ascii="宋体" w:hAnsi="宋体" w:eastAsia="宋体" w:cs="宋体"/>
          <w:sz w:val="21"/>
          <w:szCs w:val="21"/>
          <w:shd w:val="clear" w:fill="FFFFFF"/>
        </w:rPr>
        <w:t>二〇一</w:t>
      </w:r>
      <w:r>
        <w:rPr>
          <w:rFonts w:hint="eastAsia" w:ascii="宋体" w:hAnsi="宋体" w:eastAsia="宋体" w:cs="宋体"/>
          <w:sz w:val="21"/>
          <w:szCs w:val="21"/>
          <w:shd w:val="clear" w:fill="FFFFFF"/>
          <w:lang w:eastAsia="zh-CN"/>
        </w:rPr>
        <w:t>九</w:t>
      </w:r>
      <w:r>
        <w:rPr>
          <w:rFonts w:hint="eastAsia" w:ascii="宋体" w:hAnsi="宋体" w:eastAsia="宋体" w:cs="宋体"/>
          <w:sz w:val="21"/>
          <w:szCs w:val="21"/>
          <w:shd w:val="clear" w:fill="FFFFFF"/>
        </w:rPr>
        <w:t>年</w:t>
      </w:r>
      <w:r>
        <w:rPr>
          <w:rFonts w:hint="eastAsia" w:ascii="宋体" w:hAnsi="宋体" w:eastAsia="宋体" w:cs="宋体"/>
          <w:sz w:val="21"/>
          <w:szCs w:val="21"/>
          <w:shd w:val="clear" w:fill="FFFFFF"/>
          <w:lang w:eastAsia="zh-CN"/>
        </w:rPr>
        <w:t>三</w:t>
      </w:r>
      <w:r>
        <w:rPr>
          <w:rFonts w:hint="eastAsia" w:ascii="宋体" w:hAnsi="宋体" w:eastAsia="宋体" w:cs="宋体"/>
          <w:sz w:val="21"/>
          <w:szCs w:val="21"/>
          <w:shd w:val="clear" w:fill="FFFFFF"/>
        </w:rPr>
        <w:t>月</w:t>
      </w:r>
    </w:p>
    <w:p/>
    <w:p/>
    <w:p/>
    <w:p/>
    <w:p/>
    <w:p/>
    <w:p/>
    <w:p/>
    <w:p/>
    <w:p/>
    <w:p/>
    <w:p/>
    <w:p/>
    <w:tbl>
      <w:tblPr>
        <w:tblStyle w:val="7"/>
        <w:tblW w:w="9555" w:type="dxa"/>
        <w:jc w:val="center"/>
        <w:tblInd w:w="93" w:type="dxa"/>
        <w:tblLayout w:type="fixed"/>
        <w:tblCellMar>
          <w:top w:w="0" w:type="dxa"/>
          <w:left w:w="108" w:type="dxa"/>
          <w:bottom w:w="0" w:type="dxa"/>
          <w:right w:w="108" w:type="dxa"/>
        </w:tblCellMar>
      </w:tblPr>
      <w:tblGrid>
        <w:gridCol w:w="7470"/>
        <w:gridCol w:w="285"/>
        <w:gridCol w:w="475"/>
        <w:gridCol w:w="245"/>
        <w:gridCol w:w="1080"/>
      </w:tblGrid>
      <w:tr>
        <w:tblPrEx>
          <w:tblLayout w:type="fixed"/>
          <w:tblCellMar>
            <w:top w:w="0" w:type="dxa"/>
            <w:left w:w="108" w:type="dxa"/>
            <w:bottom w:w="0" w:type="dxa"/>
            <w:right w:w="108" w:type="dxa"/>
          </w:tblCellMar>
        </w:tblPrEx>
        <w:trPr>
          <w:trHeight w:val="375" w:hRule="atLeast"/>
          <w:jc w:val="center"/>
        </w:trPr>
        <w:tc>
          <w:tcPr>
            <w:tcW w:w="7470" w:type="dxa"/>
            <w:tcBorders>
              <w:top w:val="nil"/>
              <w:left w:val="nil"/>
              <w:bottom w:val="nil"/>
              <w:right w:val="nil"/>
            </w:tcBorders>
            <w:shd w:val="clear" w:color="FFFFFF" w:fill="auto"/>
            <w:noWrap/>
            <w:vAlign w:val="center"/>
          </w:tcPr>
          <w:p>
            <w:pPr>
              <w:widowControl/>
              <w:jc w:val="left"/>
              <w:rPr>
                <w:rFonts w:ascii="宋体" w:hAnsi="宋体" w:cs="宋体"/>
                <w:color w:val="000000"/>
                <w:kern w:val="0"/>
                <w:sz w:val="22"/>
              </w:rPr>
            </w:pPr>
          </w:p>
        </w:tc>
        <w:tc>
          <w:tcPr>
            <w:tcW w:w="760" w:type="dxa"/>
            <w:gridSpan w:val="2"/>
            <w:tcBorders>
              <w:top w:val="nil"/>
              <w:left w:val="nil"/>
              <w:bottom w:val="nil"/>
              <w:right w:val="nil"/>
            </w:tcBorders>
            <w:shd w:val="clear" w:color="FFFFFF" w:fill="auto"/>
            <w:noWrap/>
            <w:vAlign w:val="center"/>
          </w:tcPr>
          <w:p>
            <w:pPr>
              <w:widowControl/>
              <w:jc w:val="center"/>
              <w:rPr>
                <w:rFonts w:ascii="宋体" w:hAnsi="宋体" w:cs="宋体"/>
                <w:color w:val="000000"/>
                <w:kern w:val="0"/>
                <w:sz w:val="22"/>
              </w:rPr>
            </w:pPr>
          </w:p>
        </w:tc>
        <w:tc>
          <w:tcPr>
            <w:tcW w:w="1325" w:type="dxa"/>
            <w:gridSpan w:val="2"/>
            <w:tcBorders>
              <w:top w:val="nil"/>
              <w:left w:val="nil"/>
              <w:bottom w:val="nil"/>
              <w:right w:val="nil"/>
            </w:tcBorders>
            <w:shd w:val="clear" w:color="FFFFFF" w:fill="auto"/>
            <w:noWrap/>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540" w:hRule="atLeast"/>
          <w:jc w:val="center"/>
        </w:trPr>
        <w:tc>
          <w:tcPr>
            <w:tcW w:w="9555" w:type="dxa"/>
            <w:gridSpan w:val="5"/>
            <w:tcBorders>
              <w:top w:val="nil"/>
              <w:left w:val="nil"/>
              <w:bottom w:val="nil"/>
              <w:right w:val="nil"/>
            </w:tcBorders>
            <w:shd w:val="clear" w:color="FFFFFF" w:fill="auto"/>
            <w:noWrap/>
            <w:vAlign w:val="center"/>
          </w:tcPr>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tblPrEx>
          <w:tblLayout w:type="fixed"/>
          <w:tblCellMar>
            <w:top w:w="0" w:type="dxa"/>
            <w:left w:w="108" w:type="dxa"/>
            <w:bottom w:w="0" w:type="dxa"/>
            <w:right w:w="108" w:type="dxa"/>
          </w:tblCellMar>
        </w:tblPrEx>
        <w:trPr>
          <w:trHeight w:val="285" w:hRule="atLeast"/>
          <w:jc w:val="center"/>
        </w:trPr>
        <w:tc>
          <w:tcPr>
            <w:tcW w:w="9555" w:type="dxa"/>
            <w:gridSpan w:val="5"/>
            <w:tcBorders>
              <w:top w:val="nil"/>
              <w:left w:val="nil"/>
              <w:bottom w:val="nil"/>
              <w:right w:val="nil"/>
            </w:tcBorders>
            <w:shd w:val="clear" w:color="FFFFFF" w:fill="auto"/>
            <w:noWrap/>
            <w:vAlign w:val="center"/>
          </w:tcPr>
          <w:p>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 xml:space="preserve">（  </w:t>
            </w:r>
            <w:r>
              <w:rPr>
                <w:rFonts w:hint="eastAsia" w:ascii="楷体_GB2312" w:hAnsi="宋体" w:eastAsia="楷体_GB2312" w:cs="宋体"/>
                <w:kern w:val="0"/>
                <w:sz w:val="32"/>
                <w:szCs w:val="32"/>
                <w:lang w:val="en-US" w:eastAsia="zh-CN"/>
              </w:rPr>
              <w:t>2018</w:t>
            </w:r>
            <w:r>
              <w:rPr>
                <w:rFonts w:hint="eastAsia" w:ascii="楷体_GB2312" w:hAnsi="宋体" w:eastAsia="楷体_GB2312" w:cs="宋体"/>
                <w:kern w:val="0"/>
                <w:sz w:val="32"/>
                <w:szCs w:val="32"/>
              </w:rPr>
              <w:t xml:space="preserve"> 年度）</w:t>
            </w:r>
          </w:p>
        </w:tc>
      </w:tr>
      <w:tr>
        <w:tblPrEx>
          <w:tblLayout w:type="fixed"/>
          <w:tblCellMar>
            <w:top w:w="0" w:type="dxa"/>
            <w:left w:w="108" w:type="dxa"/>
            <w:bottom w:w="0" w:type="dxa"/>
            <w:right w:w="108" w:type="dxa"/>
          </w:tblCellMar>
        </w:tblPrEx>
        <w:trPr>
          <w:trHeight w:val="405" w:hRule="atLeast"/>
          <w:jc w:val="center"/>
        </w:trPr>
        <w:tc>
          <w:tcPr>
            <w:tcW w:w="7755" w:type="dxa"/>
            <w:gridSpan w:val="2"/>
            <w:tcBorders>
              <w:top w:val="nil"/>
              <w:left w:val="nil"/>
              <w:bottom w:val="nil"/>
              <w:right w:val="nil"/>
            </w:tcBorders>
            <w:shd w:val="clear" w:color="FFFFFF" w:fill="auto"/>
            <w:noWrap/>
            <w:vAlign w:val="center"/>
          </w:tcPr>
          <w:p>
            <w:pPr>
              <w:widowControl/>
              <w:jc w:val="left"/>
              <w:rPr>
                <w:rFonts w:ascii="宋体" w:hAnsi="宋体" w:cs="宋体"/>
                <w:color w:val="000000"/>
                <w:kern w:val="0"/>
                <w:sz w:val="22"/>
              </w:rPr>
            </w:pPr>
          </w:p>
        </w:tc>
        <w:tc>
          <w:tcPr>
            <w:tcW w:w="720" w:type="dxa"/>
            <w:gridSpan w:val="2"/>
            <w:tcBorders>
              <w:top w:val="nil"/>
              <w:left w:val="nil"/>
              <w:bottom w:val="nil"/>
              <w:right w:val="nil"/>
            </w:tcBorders>
            <w:shd w:val="clear" w:color="FFFFFF" w:fill="auto"/>
            <w:noWrap/>
            <w:vAlign w:val="center"/>
          </w:tcPr>
          <w:p>
            <w:pPr>
              <w:widowControl/>
              <w:jc w:val="center"/>
              <w:rPr>
                <w:rFonts w:ascii="宋体" w:hAnsi="宋体" w:cs="宋体"/>
                <w:color w:val="000000"/>
                <w:kern w:val="0"/>
                <w:sz w:val="22"/>
              </w:rPr>
            </w:pPr>
          </w:p>
        </w:tc>
        <w:tc>
          <w:tcPr>
            <w:tcW w:w="1080" w:type="dxa"/>
            <w:tcBorders>
              <w:top w:val="nil"/>
              <w:left w:val="nil"/>
              <w:bottom w:val="nil"/>
              <w:right w:val="nil"/>
            </w:tcBorders>
            <w:shd w:val="clear" w:color="FFFFFF" w:fill="auto"/>
            <w:noWrap/>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300" w:hRule="atLeast"/>
          <w:jc w:val="center"/>
        </w:trPr>
        <w:tc>
          <w:tcPr>
            <w:tcW w:w="7755" w:type="dxa"/>
            <w:gridSpan w:val="2"/>
            <w:tcBorders>
              <w:top w:val="nil"/>
              <w:left w:val="nil"/>
              <w:bottom w:val="single" w:color="auto" w:sz="8" w:space="0"/>
              <w:right w:val="nil"/>
            </w:tcBorders>
            <w:shd w:val="clear" w:color="FFFFFF" w:fill="auto"/>
            <w:noWrap/>
            <w:vAlign w:val="center"/>
          </w:tcPr>
          <w:p>
            <w:pPr>
              <w:widowControl/>
              <w:jc w:val="left"/>
              <w:rPr>
                <w:rFonts w:hint="eastAsia" w:ascii="仿宋_GB2312" w:hAnsi="宋体" w:eastAsia="仿宋_GB2312" w:cs="宋体"/>
                <w:kern w:val="0"/>
                <w:sz w:val="24"/>
                <w:lang w:eastAsia="zh-CN"/>
              </w:rPr>
            </w:pPr>
            <w:r>
              <w:rPr>
                <w:rFonts w:hint="eastAsia" w:ascii="仿宋_GB2312" w:hAnsi="宋体" w:eastAsia="仿宋_GB2312" w:cs="宋体"/>
                <w:kern w:val="0"/>
                <w:sz w:val="24"/>
              </w:rPr>
              <w:t>填报单位（盖章）：</w:t>
            </w:r>
            <w:r>
              <w:rPr>
                <w:rFonts w:hint="eastAsia" w:ascii="仿宋_GB2312" w:hAnsi="宋体" w:eastAsia="仿宋_GB2312" w:cs="宋体"/>
                <w:kern w:val="0"/>
                <w:sz w:val="24"/>
                <w:lang w:eastAsia="zh-CN"/>
              </w:rPr>
              <w:t>北京市大兴区民族事务委员会</w:t>
            </w:r>
            <w:bookmarkStart w:id="0" w:name="_GoBack"/>
            <w:bookmarkEnd w:id="0"/>
          </w:p>
        </w:tc>
        <w:tc>
          <w:tcPr>
            <w:tcW w:w="720" w:type="dxa"/>
            <w:gridSpan w:val="2"/>
            <w:tcBorders>
              <w:top w:val="nil"/>
              <w:left w:val="nil"/>
              <w:bottom w:val="single" w:color="auto" w:sz="8" w:space="0"/>
              <w:right w:val="nil"/>
            </w:tcBorders>
            <w:shd w:val="clear" w:color="FFFFFF"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shd w:val="clear" w:color="FFFFFF"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gridSpan w:val="2"/>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noWrap/>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218</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200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nil"/>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18</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60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其中：主动公开财政预算决算、“三公经费”和行政经费信息数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pPr>
              <w:widowControl/>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64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7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8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5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69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2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2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67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gridSpan w:val="2"/>
            <w:tcBorders>
              <w:top w:val="nil"/>
              <w:left w:val="single" w:color="auto" w:sz="4"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gridSpan w:val="2"/>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gridSpan w:val="2"/>
            <w:tcBorders>
              <w:top w:val="single" w:color="auto" w:sz="8" w:space="0"/>
              <w:left w:val="nil"/>
              <w:bottom w:val="single" w:color="auto" w:sz="4" w:space="0"/>
              <w:right w:val="single" w:color="auto" w:sz="4" w:space="0"/>
              <w:tr2bl w:val="single" w:color="auto" w:sz="4" w:space="0"/>
            </w:tcBorders>
            <w:shd w:val="clear" w:color="auto" w:fill="auto"/>
            <w:noWrap/>
            <w:vAlign w:val="center"/>
          </w:tcPr>
          <w:p>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noWrap/>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218</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218</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gridSpan w:val="2"/>
            <w:tcBorders>
              <w:top w:val="nil"/>
              <w:left w:val="nil"/>
              <w:bottom w:val="single" w:color="auto" w:sz="4" w:space="0"/>
              <w:right w:val="single" w:color="auto" w:sz="4" w:space="0"/>
              <w:tr2bl w:val="single" w:color="auto" w:sz="4" w:space="0"/>
            </w:tcBorders>
            <w:shd w:val="clear" w:color="auto" w:fill="auto"/>
            <w:noWrap/>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8" w:space="0"/>
              <w:right w:val="single" w:color="auto" w:sz="4" w:space="0"/>
            </w:tcBorders>
            <w:shd w:val="clear" w:color="auto" w:fill="auto"/>
            <w:noWrap/>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bl>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75F52"/>
    <w:rsid w:val="00BE75BF"/>
    <w:rsid w:val="0B8701B6"/>
    <w:rsid w:val="0C033DD3"/>
    <w:rsid w:val="1124487F"/>
    <w:rsid w:val="1A44356E"/>
    <w:rsid w:val="21507524"/>
    <w:rsid w:val="21A42821"/>
    <w:rsid w:val="33DC569D"/>
    <w:rsid w:val="38BB3301"/>
    <w:rsid w:val="40557738"/>
    <w:rsid w:val="476F1C1F"/>
    <w:rsid w:val="4BAE0013"/>
    <w:rsid w:val="4DE75F52"/>
    <w:rsid w:val="5545481A"/>
    <w:rsid w:val="5C7D0E40"/>
    <w:rsid w:val="609747C9"/>
    <w:rsid w:val="636A79D8"/>
    <w:rsid w:val="678F241F"/>
    <w:rsid w:val="6CBD0DBB"/>
    <w:rsid w:val="73370401"/>
    <w:rsid w:val="73E67B4F"/>
    <w:rsid w:val="74A67920"/>
    <w:rsid w:val="74BC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333333"/>
      <w:u w:val="none"/>
    </w:rPr>
  </w:style>
  <w:style w:type="character" w:styleId="5">
    <w:name w:val="Emphasis"/>
    <w:basedOn w:val="3"/>
    <w:qFormat/>
    <w:uiPriority w:val="0"/>
  </w:style>
  <w:style w:type="character" w:styleId="6">
    <w:name w:val="Hyperlink"/>
    <w:basedOn w:val="3"/>
    <w:qFormat/>
    <w:uiPriority w:val="0"/>
    <w:rPr>
      <w:color w:val="333333"/>
      <w:u w:val="none"/>
    </w:rPr>
  </w:style>
  <w:style w:type="character" w:customStyle="1" w:styleId="8">
    <w:name w:val="jiuc"/>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2019-02-20T06:39:00Z</dcterms:created>
  <dc:creator>HP</dc:creator>
  <cp:lastModifiedBy>HP</cp:lastModifiedBy>
  <dcterms:modified xsi:type="dcterms:W3CDTF">2019-02-25T06:48:01Z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