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pacing w:beforeLines="100" w:afterLines="100" w:line="560" w:lineRule="exact"/>
        <w:rPr>
          <w:rFonts w:ascii="华文中宋" w:hAnsi="华文中宋" w:eastAsia="华文中宋"/>
          <w:b/>
          <w:color w:val="auto"/>
          <w:sz w:val="36"/>
          <w:szCs w:val="36"/>
        </w:rPr>
      </w:pPr>
    </w:p>
    <w:p>
      <w:pPr>
        <w:pStyle w:val="4"/>
        <w:adjustRightInd w:val="0"/>
        <w:spacing w:beforeLines="100" w:afterLines="100" w:line="560" w:lineRule="exact"/>
        <w:rPr>
          <w:rFonts w:ascii="华文中宋" w:hAnsi="华文中宋" w:eastAsia="华文中宋"/>
          <w:b/>
          <w:color w:val="auto"/>
          <w:sz w:val="36"/>
          <w:szCs w:val="36"/>
        </w:rPr>
      </w:pPr>
    </w:p>
    <w:p>
      <w:pPr>
        <w:pStyle w:val="4"/>
        <w:adjustRightInd w:val="0"/>
        <w:spacing w:beforeLines="100" w:afterLines="100" w:line="560" w:lineRule="exact"/>
        <w:rPr>
          <w:rFonts w:ascii="华文中宋" w:hAnsi="华文中宋" w:eastAsia="华文中宋"/>
          <w:b/>
          <w:color w:val="auto"/>
          <w:sz w:val="36"/>
          <w:szCs w:val="36"/>
        </w:rPr>
      </w:pPr>
    </w:p>
    <w:p>
      <w:pPr>
        <w:pStyle w:val="4"/>
        <w:adjustRightInd w:val="0"/>
        <w:spacing w:beforeLines="100" w:afterLines="100" w:line="560" w:lineRule="exact"/>
        <w:rPr>
          <w:rFonts w:ascii="华文中宋" w:hAnsi="华文中宋" w:eastAsia="华文中宋"/>
          <w:b/>
          <w:color w:val="auto"/>
          <w:sz w:val="36"/>
          <w:szCs w:val="36"/>
        </w:rPr>
      </w:pPr>
    </w:p>
    <w:p>
      <w:pPr>
        <w:pStyle w:val="4"/>
        <w:adjustRightInd w:val="0"/>
        <w:spacing w:beforeLines="100" w:afterLines="100" w:line="560" w:lineRule="exact"/>
        <w:rPr>
          <w:rFonts w:ascii="华文中宋" w:hAnsi="华文中宋" w:eastAsia="华文中宋"/>
          <w:b/>
          <w:color w:val="auto"/>
          <w:sz w:val="36"/>
          <w:szCs w:val="36"/>
        </w:rPr>
      </w:pPr>
    </w:p>
    <w:p>
      <w:pPr>
        <w:pStyle w:val="4"/>
        <w:adjustRightInd w:val="0"/>
        <w:spacing w:beforeLines="100" w:afterLines="100" w:line="560" w:lineRule="exact"/>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北京市大兴区统计局2018年</w:t>
      </w:r>
    </w:p>
    <w:p>
      <w:pPr>
        <w:pStyle w:val="4"/>
        <w:adjustRightInd w:val="0"/>
        <w:spacing w:beforeLines="100" w:afterLines="100" w:line="560" w:lineRule="exact"/>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政府信息公开工作年度报告</w:t>
      </w:r>
    </w:p>
    <w:p>
      <w:pPr>
        <w:pageBreakBefore w:val="0"/>
        <w:widowControl/>
        <w:kinsoku/>
        <w:wordWrap/>
        <w:overflowPunct/>
        <w:topLinePunct w:val="0"/>
        <w:autoSpaceDE/>
        <w:autoSpaceDN/>
        <w:bidi w:val="0"/>
        <w:adjustRightInd/>
        <w:snapToGrid/>
        <w:spacing w:line="560" w:lineRule="exact"/>
        <w:ind w:left="0" w:leftChars="0" w:right="0" w:rightChars="0" w:firstLine="641" w:firstLineChars="304"/>
        <w:jc w:val="both"/>
        <w:textAlignment w:val="auto"/>
        <w:outlineLvl w:val="0"/>
        <w:rPr>
          <w:rFonts w:hint="eastAsia" w:ascii="仿宋_GB2312" w:hAnsi="仿宋_GB2312" w:eastAsia="仿宋_GB2312" w:cs="仿宋_GB2312"/>
          <w:color w:val="000000" w:themeColor="text1"/>
          <w:kern w:val="0"/>
          <w:sz w:val="32"/>
          <w:szCs w:val="32"/>
        </w:rPr>
      </w:pPr>
      <w:bookmarkStart w:id="0" w:name="_GoBack"/>
      <w:bookmarkEnd w:id="0"/>
      <w:r>
        <w:rPr>
          <w:rFonts w:ascii="宋体" w:hAnsi="宋体"/>
          <w:b/>
          <w:szCs w:val="44"/>
        </w:rPr>
        <w:br w:type="page"/>
      </w:r>
      <w:r>
        <w:rPr>
          <w:rFonts w:hint="eastAsia" w:ascii="仿宋_GB2312" w:hAnsi="仿宋_GB2312" w:eastAsia="仿宋_GB2312" w:cs="仿宋_GB2312"/>
          <w:color w:val="000000" w:themeColor="text1"/>
          <w:kern w:val="0"/>
          <w:sz w:val="32"/>
          <w:szCs w:val="32"/>
        </w:rPr>
        <w:t>本报告是根据《中华人民共和国政府信息公开条例》（以下</w:t>
      </w:r>
      <w:r>
        <w:rPr>
          <w:rFonts w:hint="eastAsia" w:ascii="仿宋_GB2312" w:hAnsi="仿宋_GB2312" w:eastAsia="仿宋_GB2312" w:cs="仿宋_GB2312"/>
          <w:color w:val="000000" w:themeColor="text1"/>
          <w:sz w:val="32"/>
          <w:szCs w:val="32"/>
        </w:rPr>
        <w:t>简称《条例》）和《北京市政府信息公开规定》（以下简称《规定》）要求，结合年度工作实际，由北京市大兴区统计局编</w:t>
      </w:r>
      <w:r>
        <w:rPr>
          <w:rFonts w:hint="eastAsia" w:ascii="仿宋_GB2312" w:hAnsi="仿宋_GB2312" w:eastAsia="仿宋_GB2312" w:cs="仿宋_GB2312"/>
          <w:color w:val="000000" w:themeColor="text1"/>
          <w:kern w:val="0"/>
          <w:sz w:val="32"/>
          <w:szCs w:val="32"/>
        </w:rPr>
        <w:t>制的2018年政府信息公开年度报告。</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全文包括概述，主动公开政府信息的情况，依申请公开政府信息、不予公开政府信息的情况，因政府信息公开申请行政复议、提起行政诉讼的情况，政府信息公开工作存在不足及改进措施。</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本报告中所列数据的统计期限自2018年1月1日起至2018年12月31日止。本报告的电子</w:t>
      </w:r>
      <w:r>
        <w:rPr>
          <w:rFonts w:hint="eastAsia" w:ascii="仿宋_GB2312" w:hAnsi="仿宋_GB2312" w:eastAsia="仿宋_GB2312" w:cs="仿宋_GB2312"/>
          <w:color w:val="000000" w:themeColor="text1"/>
          <w:spacing w:val="-2"/>
          <w:kern w:val="0"/>
          <w:sz w:val="32"/>
          <w:szCs w:val="32"/>
        </w:rPr>
        <w:t>版可在北京市大兴区人民政府网站（</w:t>
      </w:r>
      <w:r>
        <w:rPr>
          <w:rFonts w:hint="eastAsia" w:ascii="仿宋_GB2312" w:hAnsi="仿宋_GB2312" w:eastAsia="仿宋_GB2312" w:cs="仿宋_GB2312"/>
          <w:color w:val="000000" w:themeColor="text1"/>
          <w:spacing w:val="-12"/>
          <w:kern w:val="0"/>
          <w:sz w:val="32"/>
          <w:szCs w:val="32"/>
        </w:rPr>
        <w:t>http://www.bjdx.gov.cn/</w:t>
      </w:r>
      <w:r>
        <w:rPr>
          <w:rFonts w:hint="eastAsia" w:ascii="仿宋_GB2312" w:hAnsi="仿宋_GB2312" w:eastAsia="仿宋_GB2312" w:cs="仿宋_GB2312"/>
          <w:color w:val="000000" w:themeColor="text1"/>
          <w:spacing w:val="-2"/>
          <w:kern w:val="0"/>
          <w:sz w:val="32"/>
          <w:szCs w:val="32"/>
        </w:rPr>
        <w:t>）信息公开栏目中下载。</w:t>
      </w:r>
      <w:r>
        <w:rPr>
          <w:rFonts w:hint="eastAsia" w:ascii="仿宋_GB2312" w:hAnsi="仿宋_GB2312" w:eastAsia="仿宋_GB2312" w:cs="仿宋_GB2312"/>
          <w:color w:val="000000" w:themeColor="text1"/>
          <w:kern w:val="0"/>
          <w:sz w:val="32"/>
          <w:szCs w:val="32"/>
        </w:rPr>
        <w:t>如对报告有任何疑问，请与北京市大兴区统计局联系（地址: 北京市大兴区兴政街42号；邮编：102600；</w:t>
      </w:r>
      <w:r>
        <w:rPr>
          <w:rFonts w:hint="eastAsia" w:ascii="仿宋_GB2312" w:hAnsi="仿宋_GB2312" w:eastAsia="仿宋_GB2312" w:cs="仿宋_GB2312"/>
          <w:color w:val="000000" w:themeColor="text1"/>
          <w:spacing w:val="-12"/>
          <w:kern w:val="15"/>
          <w:sz w:val="32"/>
          <w:szCs w:val="32"/>
        </w:rPr>
        <w:t>联系电话：010-</w:t>
      </w:r>
      <w:r>
        <w:rPr>
          <w:rFonts w:hint="eastAsia" w:ascii="仿宋_GB2312" w:hAnsi="仿宋_GB2312" w:eastAsia="仿宋_GB2312" w:cs="仿宋_GB2312"/>
          <w:color w:val="000000" w:themeColor="text1"/>
          <w:kern w:val="0"/>
          <w:sz w:val="32"/>
          <w:szCs w:val="32"/>
        </w:rPr>
        <w:t>81295400，</w:t>
      </w:r>
      <w:r>
        <w:rPr>
          <w:rFonts w:hint="eastAsia" w:ascii="仿宋_GB2312" w:hAnsi="仿宋_GB2312" w:eastAsia="仿宋_GB2312" w:cs="仿宋_GB2312"/>
          <w:color w:val="000000" w:themeColor="text1"/>
          <w:spacing w:val="-12"/>
          <w:kern w:val="15"/>
          <w:sz w:val="32"/>
          <w:szCs w:val="32"/>
        </w:rPr>
        <w:t>电子邮箱：</w:t>
      </w:r>
      <w:r>
        <w:rPr>
          <w:rStyle w:val="13"/>
          <w:rFonts w:hint="eastAsia" w:ascii="仿宋_GB2312" w:hAnsi="仿宋_GB2312" w:eastAsia="仿宋_GB2312" w:cs="仿宋_GB2312"/>
          <w:color w:val="000000" w:themeColor="text1"/>
          <w:sz w:val="32"/>
          <w:szCs w:val="32"/>
        </w:rPr>
        <w:t>tjjdzbgs@bjdx.gov.cn</w:t>
      </w:r>
      <w:r>
        <w:rPr>
          <w:rFonts w:hint="eastAsia" w:ascii="仿宋_GB2312" w:hAnsi="仿宋_GB2312" w:eastAsia="仿宋_GB2312" w:cs="仿宋_GB2312"/>
          <w:color w:val="000000" w:themeColor="text1"/>
          <w:spacing w:val="-12"/>
          <w:kern w:val="15"/>
          <w:sz w:val="32"/>
          <w:szCs w:val="32"/>
        </w:rPr>
        <w:t>）。</w:t>
      </w:r>
      <w:r>
        <w:rPr>
          <w:rFonts w:hint="eastAsia" w:ascii="仿宋_GB2312" w:hAnsi="仿宋_GB2312" w:eastAsia="仿宋_GB2312" w:cs="仿宋_GB2312"/>
          <w:color w:val="000000" w:themeColor="text1"/>
          <w:kern w:val="0"/>
          <w:sz w:val="32"/>
          <w:szCs w:val="32"/>
        </w:rPr>
        <w:br w:type="page"/>
      </w:r>
      <w:r>
        <w:rPr>
          <w:rFonts w:hint="eastAsia" w:ascii="仿宋_GB2312" w:hAnsi="仿宋_GB2312" w:eastAsia="仿宋_GB2312" w:cs="仿宋_GB2312"/>
          <w:color w:val="000000" w:themeColor="text1"/>
          <w:kern w:val="0"/>
          <w:sz w:val="32"/>
          <w:szCs w:val="32"/>
        </w:rPr>
        <w:t>一、概述</w:t>
      </w:r>
    </w:p>
    <w:p>
      <w:pPr>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rPr>
        <w:pPrChange w:id="0" w:author="liuwei" w:date="2019-02-14T16:05:39Z">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pPr>
        </w:pPrChange>
      </w:pPr>
      <w:r>
        <w:rPr>
          <w:rFonts w:hint="eastAsia" w:ascii="仿宋_GB2312" w:hAnsi="仿宋_GB2312" w:eastAsia="仿宋_GB2312" w:cs="仿宋_GB2312"/>
          <w:color w:val="000000" w:themeColor="text1"/>
          <w:kern w:val="0"/>
          <w:sz w:val="32"/>
          <w:szCs w:val="32"/>
        </w:rPr>
        <w:t>2018年，大兴区统计局认真贯彻落实《条例》</w:t>
      </w:r>
      <w:r>
        <w:rPr>
          <w:rFonts w:hint="eastAsia" w:ascii="仿宋_GB2312" w:hAnsi="仿宋_GB2312" w:eastAsia="仿宋_GB2312" w:cs="仿宋_GB2312"/>
          <w:color w:val="000000" w:themeColor="text1"/>
          <w:kern w:val="0"/>
          <w:sz w:val="32"/>
          <w:szCs w:val="32"/>
          <w:lang w:eastAsia="zh-CN"/>
        </w:rPr>
        <w:t>和《</w:t>
      </w:r>
      <w:r>
        <w:rPr>
          <w:rFonts w:hint="eastAsia" w:ascii="仿宋_GB2312" w:hAnsi="仿宋_GB2312" w:eastAsia="仿宋_GB2312" w:cs="仿宋_GB2312"/>
          <w:color w:val="000000" w:themeColor="text1"/>
          <w:kern w:val="0"/>
          <w:sz w:val="32"/>
          <w:szCs w:val="32"/>
        </w:rPr>
        <w:t>规定</w:t>
      </w:r>
      <w:r>
        <w:rPr>
          <w:rFonts w:hint="eastAsia" w:ascii="仿宋_GB2312" w:hAnsi="仿宋_GB2312" w:eastAsia="仿宋_GB2312" w:cs="仿宋_GB2312"/>
          <w:color w:val="000000" w:themeColor="text1"/>
          <w:kern w:val="0"/>
          <w:sz w:val="32"/>
          <w:szCs w:val="32"/>
          <w:lang w:eastAsia="zh-CN"/>
        </w:rPr>
        <w:t>》以及</w:t>
      </w:r>
      <w:r>
        <w:rPr>
          <w:rFonts w:hint="eastAsia" w:ascii="仿宋_GB2312" w:hAnsi="仿宋_GB2312" w:eastAsia="仿宋_GB2312" w:cs="仿宋_GB2312"/>
          <w:color w:val="000000" w:themeColor="text1"/>
          <w:kern w:val="0"/>
          <w:sz w:val="32"/>
          <w:szCs w:val="32"/>
        </w:rPr>
        <w:t>区委、区政府关于政府信息公开工作的有关要求，</w:t>
      </w:r>
      <w:r>
        <w:rPr>
          <w:rFonts w:hint="eastAsia" w:ascii="仿宋_GB2312" w:hAnsi="仿宋_GB2312" w:eastAsia="仿宋_GB2312" w:cs="仿宋_GB2312"/>
          <w:color w:val="000000" w:themeColor="text1"/>
          <w:kern w:val="0"/>
          <w:sz w:val="32"/>
          <w:szCs w:val="32"/>
          <w:lang w:eastAsia="zh-CN"/>
        </w:rPr>
        <w:t>多形式、全方位加大信息公开力度，</w:t>
      </w:r>
      <w:r>
        <w:rPr>
          <w:rFonts w:hint="eastAsia" w:ascii="仿宋_GB2312" w:hAnsi="仿宋_GB2312" w:eastAsia="仿宋_GB2312" w:cs="仿宋_GB2312"/>
          <w:color w:val="000000" w:themeColor="text1"/>
          <w:kern w:val="0"/>
          <w:sz w:val="32"/>
          <w:szCs w:val="32"/>
        </w:rPr>
        <w:t>全面推进政府信息公开工作，以</w:t>
      </w:r>
      <w:r>
        <w:rPr>
          <w:rFonts w:hint="eastAsia" w:ascii="仿宋_GB2312" w:hAnsi="仿宋_GB2312" w:eastAsia="仿宋_GB2312" w:cs="仿宋_GB2312"/>
          <w:color w:val="000000" w:themeColor="text1"/>
          <w:kern w:val="0"/>
          <w:sz w:val="32"/>
          <w:szCs w:val="32"/>
          <w:lang w:eastAsia="zh-CN"/>
        </w:rPr>
        <w:t>全区政府</w:t>
      </w:r>
      <w:r>
        <w:rPr>
          <w:rFonts w:hint="eastAsia" w:ascii="仿宋_GB2312" w:hAnsi="仿宋_GB2312" w:eastAsia="仿宋_GB2312" w:cs="仿宋_GB2312"/>
          <w:color w:val="000000" w:themeColor="text1"/>
          <w:kern w:val="0"/>
          <w:sz w:val="32"/>
          <w:szCs w:val="32"/>
        </w:rPr>
        <w:t>网站整合为契机，提升统计服务能力和水平，进一步完善公开</w:t>
      </w:r>
      <w:r>
        <w:rPr>
          <w:rFonts w:hint="eastAsia" w:ascii="仿宋_GB2312" w:hAnsi="仿宋_GB2312" w:eastAsia="仿宋_GB2312" w:cs="仿宋_GB2312"/>
          <w:color w:val="000000" w:themeColor="text1"/>
          <w:kern w:val="0"/>
          <w:sz w:val="32"/>
          <w:szCs w:val="32"/>
          <w:lang w:eastAsia="zh-CN"/>
        </w:rPr>
        <w:t>工作</w:t>
      </w:r>
      <w:r>
        <w:rPr>
          <w:rFonts w:hint="eastAsia" w:ascii="仿宋_GB2312" w:hAnsi="仿宋_GB2312" w:eastAsia="仿宋_GB2312" w:cs="仿宋_GB2312"/>
          <w:color w:val="000000" w:themeColor="text1"/>
          <w:kern w:val="0"/>
          <w:sz w:val="32"/>
          <w:szCs w:val="32"/>
        </w:rPr>
        <w:t>机制，丰富</w:t>
      </w:r>
      <w:r>
        <w:rPr>
          <w:rFonts w:hint="eastAsia" w:ascii="仿宋_GB2312" w:hAnsi="仿宋_GB2312" w:eastAsia="仿宋_GB2312" w:cs="仿宋_GB2312"/>
          <w:color w:val="000000" w:themeColor="text1"/>
          <w:kern w:val="0"/>
          <w:sz w:val="32"/>
          <w:szCs w:val="32"/>
          <w:lang w:eastAsia="zh-CN"/>
        </w:rPr>
        <w:t>公开</w:t>
      </w:r>
      <w:r>
        <w:rPr>
          <w:rFonts w:hint="eastAsia" w:ascii="仿宋_GB2312" w:hAnsi="仿宋_GB2312" w:eastAsia="仿宋_GB2312" w:cs="仿宋_GB2312"/>
          <w:color w:val="000000" w:themeColor="text1"/>
          <w:kern w:val="0"/>
          <w:sz w:val="32"/>
          <w:szCs w:val="32"/>
        </w:rPr>
        <w:t>内容，拓宽</w:t>
      </w:r>
      <w:r>
        <w:rPr>
          <w:rFonts w:hint="eastAsia" w:ascii="仿宋_GB2312" w:hAnsi="仿宋_GB2312" w:eastAsia="仿宋_GB2312" w:cs="仿宋_GB2312"/>
          <w:color w:val="000000" w:themeColor="text1"/>
          <w:kern w:val="0"/>
          <w:sz w:val="32"/>
          <w:szCs w:val="32"/>
          <w:lang w:eastAsia="zh-CN"/>
        </w:rPr>
        <w:t>公开</w:t>
      </w:r>
      <w:r>
        <w:rPr>
          <w:rFonts w:hint="eastAsia" w:ascii="仿宋_GB2312" w:hAnsi="仿宋_GB2312" w:eastAsia="仿宋_GB2312" w:cs="仿宋_GB2312"/>
          <w:color w:val="000000" w:themeColor="text1"/>
          <w:kern w:val="0"/>
          <w:sz w:val="32"/>
          <w:szCs w:val="32"/>
        </w:rPr>
        <w:t>渠道，提高政府信息公开工作质量。 </w:t>
      </w:r>
    </w:p>
    <w:p>
      <w:pPr>
        <w:pStyle w:val="8"/>
        <w:keepNext w:val="0"/>
        <w:keepLines w:val="0"/>
        <w:pageBreakBefore w:val="0"/>
        <w:widowControl/>
        <w:kinsoku/>
        <w:wordWrap/>
        <w:overflowPunct/>
        <w:topLinePunct w:val="0"/>
        <w:autoSpaceDE/>
        <w:autoSpaceDN/>
        <w:bidi w:val="0"/>
        <w:adjustRightInd/>
        <w:snapToGrid/>
        <w:spacing w:before="0" w:beforeAutospacing="0" w:after="106" w:afterAutospacing="0" w:line="560" w:lineRule="exact"/>
        <w:ind w:left="0" w:leftChars="0" w:right="0" w:rightChars="0" w:firstLine="42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lang w:eastAsia="zh-CN"/>
        </w:rPr>
        <w:t>夯实</w:t>
      </w:r>
      <w:r>
        <w:rPr>
          <w:rFonts w:hint="eastAsia" w:ascii="仿宋_GB2312" w:hAnsi="仿宋_GB2312" w:eastAsia="仿宋_GB2312" w:cs="仿宋_GB2312"/>
          <w:b/>
          <w:bCs/>
          <w:color w:val="000000" w:themeColor="text1"/>
          <w:kern w:val="0"/>
          <w:sz w:val="32"/>
          <w:szCs w:val="32"/>
        </w:rPr>
        <w:t>组织机构</w:t>
      </w:r>
      <w:r>
        <w:rPr>
          <w:rFonts w:hint="eastAsia" w:ascii="仿宋_GB2312" w:hAnsi="仿宋_GB2312" w:eastAsia="仿宋_GB2312" w:cs="仿宋_GB2312"/>
          <w:b/>
          <w:bCs/>
          <w:color w:val="000000" w:themeColor="text1"/>
          <w:kern w:val="0"/>
          <w:sz w:val="32"/>
          <w:szCs w:val="32"/>
          <w:lang w:eastAsia="zh-CN"/>
        </w:rPr>
        <w:t>，强化责任落实</w:t>
      </w:r>
      <w:r>
        <w:rPr>
          <w:rFonts w:hint="eastAsia" w:ascii="仿宋_GB2312" w:hAnsi="仿宋_GB2312" w:eastAsia="仿宋_GB2312" w:cs="仿宋_GB2312"/>
          <w:b/>
          <w:bCs/>
          <w:color w:val="000000" w:themeColor="text1"/>
          <w:kern w:val="0"/>
          <w:sz w:val="32"/>
          <w:szCs w:val="32"/>
        </w:rPr>
        <w:t>。</w:t>
      </w:r>
      <w:r>
        <w:rPr>
          <w:rFonts w:hint="eastAsia" w:ascii="仿宋_GB2312" w:hAnsi="仿宋_GB2312" w:eastAsia="仿宋_GB2312" w:cs="仿宋_GB2312"/>
          <w:sz w:val="32"/>
          <w:szCs w:val="32"/>
          <w:shd w:val="clear" w:fill="FFFFFF"/>
        </w:rPr>
        <w:t>局党组高度重视政府信息公开工作</w:t>
      </w:r>
      <w:r>
        <w:rPr>
          <w:rFonts w:hint="eastAsia" w:ascii="仿宋_GB2312" w:hAnsi="仿宋_GB2312" w:eastAsia="仿宋_GB2312" w:cs="仿宋_GB2312"/>
          <w:sz w:val="32"/>
          <w:szCs w:val="32"/>
          <w:shd w:val="clear" w:fill="FFFFFF"/>
          <w:lang w:eastAsia="zh-CN"/>
        </w:rPr>
        <w:t>，在原有的基础上继续强化</w:t>
      </w:r>
      <w:r>
        <w:rPr>
          <w:rFonts w:hint="eastAsia" w:ascii="仿宋_GB2312" w:hAnsi="仿宋_GB2312" w:eastAsia="仿宋_GB2312" w:cs="仿宋_GB2312"/>
          <w:sz w:val="32"/>
          <w:szCs w:val="32"/>
          <w:shd w:val="clear" w:fill="FFFFFF"/>
        </w:rPr>
        <w:t>政府信息公开工作机构</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color w:val="000000" w:themeColor="text1"/>
          <w:kern w:val="0"/>
          <w:sz w:val="32"/>
          <w:szCs w:val="32"/>
          <w:lang w:eastAsia="zh-CN"/>
        </w:rPr>
        <w:t>由分管副局长统筹负责。按照</w:t>
      </w:r>
      <w:r>
        <w:rPr>
          <w:rFonts w:hint="eastAsia" w:ascii="仿宋_GB2312" w:hAnsi="仿宋_GB2312" w:eastAsia="仿宋_GB2312" w:cs="仿宋_GB2312"/>
          <w:color w:val="000000" w:themeColor="text1"/>
          <w:kern w:val="0"/>
          <w:sz w:val="32"/>
          <w:szCs w:val="32"/>
        </w:rPr>
        <w:t>“统一协调、分工负责”原则，办公室负责协调</w:t>
      </w:r>
      <w:r>
        <w:rPr>
          <w:rFonts w:hint="eastAsia" w:ascii="仿宋_GB2312" w:hAnsi="仿宋_GB2312" w:eastAsia="仿宋_GB2312" w:cs="仿宋_GB2312"/>
          <w:color w:val="000000" w:themeColor="text1"/>
          <w:kern w:val="0"/>
          <w:sz w:val="32"/>
          <w:szCs w:val="32"/>
          <w:lang w:eastAsia="zh-CN"/>
        </w:rPr>
        <w:t>各专业科室</w:t>
      </w:r>
      <w:r>
        <w:rPr>
          <w:rFonts w:hint="eastAsia" w:ascii="仿宋_GB2312" w:hAnsi="仿宋_GB2312" w:eastAsia="仿宋_GB2312" w:cs="仿宋_GB2312"/>
          <w:color w:val="000000" w:themeColor="text1"/>
          <w:kern w:val="0"/>
          <w:sz w:val="32"/>
          <w:szCs w:val="32"/>
        </w:rPr>
        <w:t>政府信息公开工作的部署及监督等环节；</w:t>
      </w:r>
      <w:r>
        <w:rPr>
          <w:rFonts w:hint="eastAsia" w:ascii="仿宋_GB2312" w:hAnsi="仿宋_GB2312" w:eastAsia="仿宋_GB2312" w:cs="仿宋_GB2312"/>
          <w:sz w:val="32"/>
          <w:szCs w:val="32"/>
          <w:shd w:val="clear" w:fill="FFFFFF"/>
        </w:rPr>
        <w:t>综合科负责数据信息发布的审核、发布;</w:t>
      </w:r>
      <w:r>
        <w:rPr>
          <w:rFonts w:hint="eastAsia" w:ascii="仿宋_GB2312" w:hAnsi="仿宋_GB2312" w:eastAsia="仿宋_GB2312" w:cs="仿宋_GB2312"/>
          <w:color w:val="000000" w:themeColor="text1"/>
          <w:kern w:val="0"/>
          <w:sz w:val="32"/>
          <w:szCs w:val="32"/>
        </w:rPr>
        <w:t>研究所</w:t>
      </w:r>
      <w:r>
        <w:rPr>
          <w:rFonts w:hint="eastAsia" w:ascii="仿宋_GB2312" w:hAnsi="仿宋_GB2312" w:eastAsia="仿宋_GB2312" w:cs="仿宋_GB2312"/>
          <w:color w:val="000000" w:themeColor="text1"/>
          <w:kern w:val="0"/>
          <w:sz w:val="32"/>
          <w:szCs w:val="32"/>
          <w:lang w:eastAsia="zh-CN"/>
        </w:rPr>
        <w:t>负责政务信息和经济信息审核、发布。各业务部门分管领导对报送信息属性进行审核把关，进一步落实工作责任制，</w:t>
      </w:r>
      <w:r>
        <w:rPr>
          <w:rFonts w:hint="eastAsia" w:ascii="仿宋_GB2312" w:hAnsi="仿宋_GB2312" w:eastAsia="仿宋_GB2312" w:cs="仿宋_GB2312"/>
          <w:color w:val="000000" w:themeColor="text1"/>
          <w:kern w:val="0"/>
          <w:sz w:val="32"/>
          <w:szCs w:val="32"/>
        </w:rPr>
        <w:t>在全局各部门</w:t>
      </w:r>
      <w:r>
        <w:rPr>
          <w:rFonts w:hint="eastAsia" w:ascii="仿宋_GB2312" w:hAnsi="仿宋_GB2312" w:eastAsia="仿宋_GB2312" w:cs="仿宋_GB2312"/>
          <w:color w:val="000000" w:themeColor="text1"/>
          <w:kern w:val="0"/>
          <w:sz w:val="32"/>
          <w:szCs w:val="32"/>
          <w:lang w:eastAsia="zh-CN"/>
        </w:rPr>
        <w:t>都</w:t>
      </w:r>
      <w:r>
        <w:rPr>
          <w:rFonts w:hint="eastAsia" w:ascii="仿宋_GB2312" w:hAnsi="仿宋_GB2312" w:eastAsia="仿宋_GB2312" w:cs="仿宋_GB2312"/>
          <w:color w:val="000000" w:themeColor="text1"/>
          <w:kern w:val="0"/>
          <w:sz w:val="32"/>
          <w:szCs w:val="32"/>
        </w:rPr>
        <w:t>确定</w:t>
      </w:r>
      <w:r>
        <w:rPr>
          <w:rFonts w:hint="eastAsia" w:ascii="仿宋_GB2312" w:hAnsi="仿宋_GB2312" w:eastAsia="仿宋_GB2312" w:cs="仿宋_GB2312"/>
          <w:color w:val="000000" w:themeColor="text1"/>
          <w:kern w:val="0"/>
          <w:sz w:val="32"/>
          <w:szCs w:val="32"/>
          <w:lang w:eastAsia="zh-CN"/>
        </w:rPr>
        <w:t>了</w:t>
      </w:r>
      <w:r>
        <w:rPr>
          <w:rFonts w:hint="eastAsia" w:ascii="仿宋_GB2312" w:hAnsi="仿宋_GB2312" w:eastAsia="仿宋_GB2312" w:cs="仿宋_GB2312"/>
          <w:color w:val="000000" w:themeColor="text1"/>
          <w:kern w:val="0"/>
          <w:sz w:val="32"/>
          <w:szCs w:val="32"/>
        </w:rPr>
        <w:t>信息员，形成了一级抓一级、层层抓落实的责任体系</w:t>
      </w:r>
      <w:r>
        <w:rPr>
          <w:rFonts w:hint="eastAsia" w:ascii="仿宋_GB2312" w:hAnsi="仿宋_GB2312" w:eastAsia="仿宋_GB2312" w:cs="仿宋_GB2312"/>
          <w:color w:val="000000" w:themeColor="text1"/>
          <w:kern w:val="0"/>
          <w:sz w:val="32"/>
          <w:szCs w:val="32"/>
          <w:lang w:eastAsia="zh-CN"/>
        </w:rPr>
        <w:t>，全年</w:t>
      </w:r>
      <w:r>
        <w:rPr>
          <w:rFonts w:hint="eastAsia" w:ascii="仿宋_GB2312" w:hAnsi="仿宋_GB2312" w:eastAsia="仿宋_GB2312" w:cs="仿宋_GB2312"/>
          <w:color w:val="000000" w:themeColor="text1"/>
          <w:kern w:val="0"/>
          <w:sz w:val="32"/>
          <w:szCs w:val="32"/>
        </w:rPr>
        <w:t>平稳有序</w:t>
      </w:r>
      <w:r>
        <w:rPr>
          <w:rFonts w:hint="eastAsia" w:ascii="仿宋_GB2312" w:hAnsi="仿宋_GB2312" w:eastAsia="仿宋_GB2312" w:cs="仿宋_GB2312"/>
          <w:color w:val="000000" w:themeColor="text1"/>
          <w:kern w:val="0"/>
          <w:sz w:val="32"/>
          <w:szCs w:val="32"/>
          <w:lang w:eastAsia="zh-CN"/>
        </w:rPr>
        <w:t>开展</w:t>
      </w:r>
      <w:r>
        <w:rPr>
          <w:rFonts w:hint="eastAsia" w:ascii="仿宋_GB2312" w:hAnsi="仿宋_GB2312" w:eastAsia="仿宋_GB2312" w:cs="仿宋_GB2312"/>
          <w:color w:val="000000" w:themeColor="text1"/>
          <w:kern w:val="0"/>
          <w:sz w:val="32"/>
          <w:szCs w:val="32"/>
        </w:rPr>
        <w:t>信息公开工作</w:t>
      </w:r>
      <w:r>
        <w:rPr>
          <w:rFonts w:hint="eastAsia" w:ascii="仿宋_GB2312" w:hAnsi="仿宋_GB2312" w:eastAsia="仿宋_GB2312" w:cs="仿宋_GB2312"/>
          <w:color w:val="000000" w:themeColor="text1"/>
          <w:kern w:val="0"/>
          <w:sz w:val="32"/>
          <w:szCs w:val="32"/>
          <w:lang w:eastAsia="zh-CN"/>
        </w:rPr>
        <w:t>。</w:t>
      </w:r>
    </w:p>
    <w:p>
      <w:pPr>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规范流程，完善机制。</w:t>
      </w:r>
      <w:r>
        <w:rPr>
          <w:rFonts w:hint="eastAsia" w:ascii="仿宋_GB2312" w:hAnsi="仿宋_GB2312" w:eastAsia="仿宋_GB2312" w:cs="仿宋_GB2312"/>
          <w:color w:val="000000" w:themeColor="text1"/>
          <w:kern w:val="0"/>
          <w:sz w:val="32"/>
          <w:szCs w:val="32"/>
        </w:rPr>
        <w:t>在严格执行《条例》及《规定》的基础上，根据统计局职责，详细梳理权力清单，公开权力事项，规范信息公开流程</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服务方式和</w:t>
      </w:r>
      <w:r>
        <w:rPr>
          <w:rFonts w:hint="eastAsia" w:ascii="仿宋_GB2312" w:hAnsi="仿宋_GB2312" w:eastAsia="仿宋_GB2312" w:cs="仿宋_GB2312"/>
          <w:color w:val="000000" w:themeColor="text1"/>
          <w:kern w:val="0"/>
          <w:sz w:val="32"/>
          <w:szCs w:val="32"/>
          <w:lang w:eastAsia="zh-CN"/>
        </w:rPr>
        <w:t>服务</w:t>
      </w:r>
      <w:r>
        <w:rPr>
          <w:rFonts w:hint="eastAsia" w:ascii="仿宋_GB2312" w:hAnsi="仿宋_GB2312" w:eastAsia="仿宋_GB2312" w:cs="仿宋_GB2312"/>
          <w:color w:val="000000" w:themeColor="text1"/>
          <w:kern w:val="0"/>
          <w:sz w:val="32"/>
          <w:szCs w:val="32"/>
        </w:rPr>
        <w:t>内容</w:t>
      </w:r>
      <w:r>
        <w:rPr>
          <w:rFonts w:hint="eastAsia" w:ascii="仿宋_GB2312" w:hAnsi="仿宋_GB2312" w:eastAsia="仿宋_GB2312" w:cs="仿宋_GB2312"/>
          <w:color w:val="000000" w:themeColor="text1"/>
          <w:kern w:val="0"/>
          <w:sz w:val="32"/>
          <w:szCs w:val="32"/>
          <w:lang w:eastAsia="zh-CN"/>
        </w:rPr>
        <w:t>，做</w:t>
      </w:r>
      <w:r>
        <w:rPr>
          <w:rFonts w:hint="eastAsia" w:ascii="仿宋_GB2312" w:hAnsi="仿宋_GB2312" w:eastAsia="仿宋_GB2312" w:cs="仿宋_GB2312"/>
          <w:color w:val="000000" w:themeColor="text1"/>
          <w:kern w:val="0"/>
          <w:sz w:val="32"/>
          <w:szCs w:val="32"/>
        </w:rPr>
        <w:t>好政府信息公开属性的</w:t>
      </w:r>
      <w:r>
        <w:rPr>
          <w:rFonts w:hint="eastAsia" w:ascii="仿宋_GB2312" w:hAnsi="仿宋_GB2312" w:eastAsia="仿宋_GB2312" w:cs="仿宋_GB2312"/>
          <w:color w:val="000000" w:themeColor="text1"/>
          <w:kern w:val="0"/>
          <w:sz w:val="32"/>
          <w:szCs w:val="32"/>
          <w:lang w:eastAsia="zh-CN"/>
        </w:rPr>
        <w:t>归属和保密性审查</w:t>
      </w:r>
      <w:r>
        <w:rPr>
          <w:rFonts w:hint="eastAsia" w:ascii="仿宋_GB2312" w:hAnsi="仿宋_GB2312" w:eastAsia="仿宋_GB2312" w:cs="仿宋_GB2312"/>
          <w:color w:val="000000" w:themeColor="text1"/>
          <w:kern w:val="0"/>
          <w:sz w:val="32"/>
          <w:szCs w:val="32"/>
        </w:rPr>
        <w:t>，准确判定信息公开属性，丰富主动公开信息内容。</w:t>
      </w:r>
      <w:r>
        <w:rPr>
          <w:rFonts w:hint="eastAsia" w:ascii="仿宋_GB2312" w:hAnsi="仿宋_GB2312" w:eastAsia="仿宋_GB2312" w:cs="仿宋_GB2312"/>
          <w:b w:val="0"/>
          <w:bCs w:val="0"/>
          <w:color w:val="000000" w:themeColor="text1"/>
          <w:kern w:val="0"/>
          <w:sz w:val="32"/>
          <w:szCs w:val="32"/>
          <w:lang w:eastAsia="zh-CN"/>
        </w:rPr>
        <w:t>按照</w:t>
      </w:r>
      <w:r>
        <w:rPr>
          <w:rFonts w:hint="eastAsia" w:ascii="仿宋_GB2312" w:hAnsi="仿宋_GB2312" w:eastAsia="仿宋_GB2312" w:cs="仿宋_GB2312"/>
          <w:color w:val="000000" w:themeColor="text1"/>
          <w:kern w:val="0"/>
          <w:sz w:val="32"/>
          <w:szCs w:val="32"/>
        </w:rPr>
        <w:t>“谁公开谁审查，先审查后公开”的原则，完善保密审查程序</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严格按照依申请公开事项标准推进工作</w:t>
      </w:r>
      <w:r>
        <w:rPr>
          <w:rFonts w:hint="eastAsia" w:ascii="仿宋_GB2312" w:hAnsi="仿宋_GB2312" w:eastAsia="仿宋_GB2312" w:cs="仿宋_GB2312"/>
          <w:color w:val="000000" w:themeColor="text1"/>
          <w:kern w:val="0"/>
          <w:sz w:val="32"/>
          <w:szCs w:val="32"/>
          <w:lang w:eastAsia="zh-CN"/>
        </w:rPr>
        <w:t>。</w:t>
      </w:r>
    </w:p>
    <w:p>
      <w:pPr>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b w:val="0"/>
          <w:bCs w:val="0"/>
          <w:color w:val="000000" w:themeColor="text1"/>
          <w:kern w:val="0"/>
          <w:sz w:val="32"/>
          <w:szCs w:val="32"/>
        </w:rPr>
      </w:pPr>
      <w:r>
        <w:rPr>
          <w:rFonts w:hint="eastAsia" w:ascii="仿宋_GB2312" w:hAnsi="仿宋_GB2312" w:eastAsia="仿宋_GB2312" w:cs="仿宋_GB2312"/>
          <w:b/>
          <w:bCs/>
          <w:color w:val="000000" w:themeColor="text1"/>
          <w:kern w:val="0"/>
          <w:sz w:val="32"/>
          <w:szCs w:val="32"/>
        </w:rPr>
        <w:t>拓宽渠道，丰富方式。</w:t>
      </w:r>
      <w:r>
        <w:rPr>
          <w:rFonts w:hint="eastAsia" w:ascii="仿宋_GB2312" w:hAnsi="仿宋_GB2312" w:eastAsia="仿宋_GB2312" w:cs="仿宋_GB2312"/>
          <w:b w:val="0"/>
          <w:bCs w:val="0"/>
          <w:color w:val="000000" w:themeColor="text1"/>
          <w:kern w:val="0"/>
          <w:sz w:val="32"/>
          <w:szCs w:val="32"/>
        </w:rPr>
        <w:t>2018年，</w:t>
      </w:r>
      <w:r>
        <w:rPr>
          <w:rFonts w:hint="eastAsia" w:ascii="仿宋_GB2312" w:hAnsi="仿宋_GB2312" w:eastAsia="仿宋_GB2312" w:cs="仿宋_GB2312"/>
          <w:b w:val="0"/>
          <w:bCs w:val="0"/>
          <w:color w:val="000000" w:themeColor="text1"/>
          <w:kern w:val="0"/>
          <w:sz w:val="32"/>
          <w:szCs w:val="32"/>
          <w:lang w:eastAsia="zh-CN"/>
        </w:rPr>
        <w:t>大兴区统计局</w:t>
      </w:r>
      <w:r>
        <w:rPr>
          <w:rFonts w:hint="eastAsia" w:ascii="仿宋_GB2312" w:hAnsi="仿宋_GB2312" w:eastAsia="仿宋_GB2312" w:cs="仿宋_GB2312"/>
          <w:b w:val="0"/>
          <w:bCs w:val="0"/>
          <w:color w:val="000000" w:themeColor="text1"/>
          <w:kern w:val="0"/>
          <w:sz w:val="32"/>
          <w:szCs w:val="32"/>
        </w:rPr>
        <w:t>严格按照数据及信息年度发布计划，</w:t>
      </w:r>
      <w:r>
        <w:rPr>
          <w:rFonts w:hint="eastAsia" w:ascii="仿宋_GB2312" w:hAnsi="仿宋_GB2312" w:eastAsia="仿宋_GB2312" w:cs="仿宋_GB2312"/>
          <w:b w:val="0"/>
          <w:bCs w:val="0"/>
          <w:color w:val="000000" w:themeColor="text1"/>
          <w:kern w:val="0"/>
          <w:sz w:val="32"/>
          <w:szCs w:val="32"/>
          <w:lang w:eastAsia="zh-CN"/>
        </w:rPr>
        <w:t>在</w:t>
      </w:r>
      <w:r>
        <w:rPr>
          <w:rFonts w:hint="eastAsia" w:ascii="仿宋_GB2312" w:hAnsi="仿宋_GB2312" w:eastAsia="仿宋_GB2312" w:cs="仿宋_GB2312"/>
          <w:b w:val="0"/>
          <w:bCs w:val="0"/>
          <w:color w:val="000000" w:themeColor="text1"/>
          <w:kern w:val="0"/>
          <w:sz w:val="32"/>
          <w:szCs w:val="32"/>
        </w:rPr>
        <w:t>区政府门户网站</w:t>
      </w:r>
      <w:r>
        <w:rPr>
          <w:rFonts w:hint="eastAsia" w:ascii="仿宋_GB2312" w:hAnsi="仿宋_GB2312" w:eastAsia="仿宋_GB2312" w:cs="仿宋_GB2312"/>
          <w:b w:val="0"/>
          <w:bCs w:val="0"/>
          <w:color w:val="000000" w:themeColor="text1"/>
          <w:kern w:val="0"/>
          <w:sz w:val="32"/>
          <w:szCs w:val="32"/>
          <w:lang w:eastAsia="zh-CN"/>
        </w:rPr>
        <w:t>政务信息统计信息模块中，按时、准确发布月度、季度、半年度及年度统计数据及数据解读相关信息</w:t>
      </w:r>
      <w:r>
        <w:rPr>
          <w:rFonts w:hint="eastAsia" w:ascii="仿宋_GB2312" w:hAnsi="仿宋_GB2312" w:eastAsia="仿宋_GB2312" w:cs="仿宋_GB2312"/>
          <w:b w:val="0"/>
          <w:bCs w:val="0"/>
          <w:color w:val="000000" w:themeColor="text1"/>
          <w:kern w:val="0"/>
          <w:sz w:val="32"/>
          <w:szCs w:val="32"/>
        </w:rPr>
        <w:t>；</w:t>
      </w:r>
      <w:r>
        <w:rPr>
          <w:rFonts w:hint="eastAsia" w:ascii="仿宋_GB2312" w:hAnsi="仿宋_GB2312" w:eastAsia="仿宋_GB2312" w:cs="仿宋_GB2312"/>
          <w:b w:val="0"/>
          <w:bCs w:val="0"/>
          <w:color w:val="000000" w:themeColor="text1"/>
          <w:kern w:val="0"/>
          <w:sz w:val="32"/>
          <w:szCs w:val="32"/>
          <w:lang w:eastAsia="zh-CN"/>
        </w:rPr>
        <w:t>并在</w:t>
      </w:r>
      <w:r>
        <w:rPr>
          <w:rFonts w:hint="eastAsia" w:ascii="仿宋_GB2312" w:hAnsi="仿宋_GB2312" w:eastAsia="仿宋_GB2312" w:cs="仿宋_GB2312"/>
          <w:b w:val="0"/>
          <w:bCs w:val="0"/>
          <w:color w:val="000000" w:themeColor="text1"/>
          <w:kern w:val="0"/>
          <w:sz w:val="32"/>
          <w:szCs w:val="32"/>
        </w:rPr>
        <w:t>区政府信息公开网站</w:t>
      </w:r>
      <w:r>
        <w:rPr>
          <w:rFonts w:hint="eastAsia" w:ascii="仿宋_GB2312" w:hAnsi="仿宋_GB2312" w:eastAsia="仿宋_GB2312" w:cs="仿宋_GB2312"/>
          <w:b w:val="0"/>
          <w:bCs w:val="0"/>
          <w:color w:val="000000" w:themeColor="text1"/>
          <w:kern w:val="0"/>
          <w:sz w:val="32"/>
          <w:szCs w:val="32"/>
          <w:lang w:eastAsia="zh-CN"/>
        </w:rPr>
        <w:t>及时、全面发布政府信息公开专栏五项内容；</w:t>
      </w:r>
      <w:r>
        <w:rPr>
          <w:rFonts w:hint="eastAsia" w:ascii="仿宋_GB2312" w:hAnsi="仿宋_GB2312" w:eastAsia="仿宋_GB2312" w:cs="仿宋_GB2312"/>
          <w:b w:val="0"/>
          <w:bCs w:val="0"/>
          <w:color w:val="000000" w:themeColor="text1"/>
          <w:kern w:val="0"/>
          <w:sz w:val="32"/>
          <w:szCs w:val="32"/>
        </w:rPr>
        <w:t>积极运用政务微博，微信客户端拓展信息公开新渠道，着力打造方便快捷的信息公开平台；并在机关大楼一楼大厅和区行政服务中心统计窗口设有专门的政府信息公开场所，提供信息咨询服务</w:t>
      </w:r>
      <w:r>
        <w:rPr>
          <w:rFonts w:hint="eastAsia" w:ascii="仿宋_GB2312" w:hAnsi="仿宋_GB2312" w:eastAsia="仿宋_GB2312" w:cs="仿宋_GB2312"/>
          <w:b w:val="0"/>
          <w:bCs w:val="0"/>
          <w:color w:val="000000" w:themeColor="text1"/>
          <w:kern w:val="0"/>
          <w:sz w:val="32"/>
          <w:szCs w:val="32"/>
          <w:lang w:eastAsia="zh-CN"/>
        </w:rPr>
        <w:t>。同时在区档案局设有历史数据查询点。</w:t>
      </w:r>
      <w:r>
        <w:rPr>
          <w:rFonts w:hint="eastAsia" w:ascii="仿宋_GB2312" w:hAnsi="仿宋_GB2312" w:eastAsia="仿宋_GB2312" w:cs="仿宋_GB2312"/>
          <w:b w:val="0"/>
          <w:bCs w:val="0"/>
          <w:color w:val="000000" w:themeColor="text1"/>
          <w:kern w:val="0"/>
          <w:sz w:val="32"/>
          <w:szCs w:val="32"/>
        </w:rPr>
        <w:t>有序高效推进本年度政府信息公开咨询、申请及答复工作。</w:t>
      </w:r>
    </w:p>
    <w:p>
      <w:pPr>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b/>
          <w:bCs/>
          <w:color w:val="000000" w:themeColor="text1"/>
          <w:kern w:val="0"/>
          <w:sz w:val="32"/>
          <w:szCs w:val="32"/>
          <w:lang w:eastAsia="zh-CN"/>
        </w:rPr>
      </w:pPr>
      <w:r>
        <w:rPr>
          <w:rFonts w:hint="eastAsia" w:ascii="仿宋_GB2312" w:hAnsi="仿宋_GB2312" w:eastAsia="仿宋_GB2312" w:cs="仿宋_GB2312"/>
          <w:b/>
          <w:bCs/>
          <w:color w:val="000000" w:themeColor="text1"/>
          <w:kern w:val="0"/>
          <w:sz w:val="32"/>
          <w:szCs w:val="32"/>
          <w:lang w:eastAsia="zh-CN"/>
        </w:rPr>
        <w:t>强化制度，注重培训。</w:t>
      </w:r>
      <w:r>
        <w:rPr>
          <w:rFonts w:hint="eastAsia" w:ascii="仿宋_GB2312" w:hAnsi="仿宋_GB2312" w:eastAsia="仿宋_GB2312" w:cs="仿宋_GB2312"/>
          <w:b w:val="0"/>
          <w:bCs w:val="0"/>
          <w:color w:val="000000" w:themeColor="text1"/>
          <w:kern w:val="0"/>
          <w:sz w:val="32"/>
          <w:szCs w:val="32"/>
          <w:lang w:eastAsia="zh-CN"/>
        </w:rPr>
        <w:t>依据政府信息公开工作流程和标准，大兴区统计局不断强化相关制度建设，制定了</w:t>
      </w:r>
      <w:r>
        <w:rPr>
          <w:rFonts w:hint="eastAsia" w:ascii="仿宋_GB2312" w:eastAsia="仿宋_GB2312"/>
          <w:color w:val="000000"/>
          <w:sz w:val="32"/>
          <w:szCs w:val="32"/>
          <w:lang w:eastAsia="zh-CN"/>
        </w:rPr>
        <w:t>《“大兴统计”微信管理办法》、</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年统计信息工作管理办法》</w:t>
      </w:r>
      <w:r>
        <w:rPr>
          <w:rFonts w:hint="eastAsia" w:ascii="仿宋_GB2312" w:eastAsia="仿宋_GB2312"/>
          <w:color w:val="000000"/>
          <w:sz w:val="32"/>
          <w:szCs w:val="32"/>
          <w:lang w:eastAsia="zh-CN"/>
        </w:rPr>
        <w:t>、</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年统计报告工作管理办法》</w:t>
      </w:r>
      <w:r>
        <w:rPr>
          <w:rFonts w:hint="eastAsia" w:ascii="仿宋_GB2312" w:eastAsia="仿宋_GB2312"/>
          <w:color w:val="000000"/>
          <w:sz w:val="32"/>
          <w:szCs w:val="32"/>
          <w:lang w:eastAsia="zh-CN"/>
        </w:rPr>
        <w:t>、</w:t>
      </w:r>
      <w:r>
        <w:rPr>
          <w:rFonts w:hint="eastAsia" w:ascii="仿宋_GB2312" w:eastAsia="仿宋_GB2312"/>
          <w:color w:val="000000"/>
          <w:sz w:val="32"/>
          <w:szCs w:val="32"/>
        </w:rPr>
        <w:t>《政府信息公开保密审查制度》</w:t>
      </w:r>
      <w:r>
        <w:rPr>
          <w:rFonts w:hint="eastAsia" w:ascii="仿宋_GB2312" w:eastAsia="仿宋_GB2312"/>
          <w:color w:val="000000"/>
          <w:sz w:val="32"/>
          <w:szCs w:val="32"/>
          <w:lang w:eastAsia="zh-CN"/>
        </w:rPr>
        <w:t>等制度</w:t>
      </w:r>
      <w:r>
        <w:rPr>
          <w:rFonts w:hint="eastAsia" w:ascii="仿宋_GB2312" w:hAnsi="仿宋_GB2312" w:eastAsia="仿宋_GB2312" w:cs="仿宋_GB2312"/>
          <w:b w:val="0"/>
          <w:bCs w:val="0"/>
          <w:color w:val="000000" w:themeColor="text1"/>
          <w:kern w:val="0"/>
          <w:sz w:val="32"/>
          <w:szCs w:val="32"/>
          <w:lang w:eastAsia="zh-CN"/>
        </w:rPr>
        <w:t>，从信息撰写、工作流程、审查、审批等各方面保障政府信息公开工作的规范性、准确性、合法性。为进一步提升政府信息公开工作质量效果，大兴区统计局定期召开政府信息公开会议及培训会。</w:t>
      </w:r>
      <w:r>
        <w:rPr>
          <w:rFonts w:hint="eastAsia" w:ascii="仿宋_GB2312" w:hAnsi="仿宋_GB2312" w:eastAsia="仿宋_GB2312" w:cs="仿宋_GB2312"/>
          <w:b w:val="0"/>
          <w:bCs w:val="0"/>
          <w:color w:val="000000" w:themeColor="text1"/>
          <w:kern w:val="0"/>
          <w:sz w:val="32"/>
          <w:szCs w:val="32"/>
          <w:lang w:val="en-US" w:eastAsia="zh-CN"/>
        </w:rPr>
        <w:t>2018年共召开5次专题会议，就重点领域公开、统计信息发布细则等内容进行工作部署；全年36人次接受培训，夯实信息员队伍专业水平。</w:t>
      </w:r>
      <w:r>
        <w:rPr>
          <w:rFonts w:hint="eastAsia" w:ascii="仿宋_GB2312" w:hAnsi="仿宋_GB2312" w:eastAsia="仿宋_GB2312" w:cs="仿宋_GB2312"/>
          <w:b w:val="0"/>
          <w:bCs w:val="0"/>
          <w:color w:val="000000" w:themeColor="text1"/>
          <w:kern w:val="0"/>
          <w:sz w:val="32"/>
          <w:szCs w:val="32"/>
          <w:lang w:eastAsia="zh-CN"/>
        </w:rPr>
        <w:t>就重难点问题各专业科室信息员互通有无，提出对策；积极学习区政府颁布的政府信息公开工作文件，并结合统计工作实际，认真贯彻落实。</w:t>
      </w:r>
    </w:p>
    <w:p>
      <w:pPr>
        <w:pageBreakBefore w:val="0"/>
        <w:widowControl/>
        <w:kinsoku/>
        <w:wordWrap/>
        <w:overflowPunct/>
        <w:topLinePunct w:val="0"/>
        <w:autoSpaceDE/>
        <w:autoSpaceDN/>
        <w:bidi w:val="0"/>
        <w:adjustRightInd/>
        <w:snapToGrid/>
        <w:spacing w:beforeLines="100" w:afterLines="100" w:line="560" w:lineRule="exact"/>
        <w:ind w:left="0" w:leftChars="0" w:right="0" w:rightChars="0"/>
        <w:jc w:val="both"/>
        <w:textAlignment w:val="auto"/>
        <w:outlineLvl w:val="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二、主动公开情况</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按照《条例》第9至12条规定的主动公开政府信息范围，本局开展了信息清理和目录编制工作，并按照《条例》第15条规定，通过政府网站等便于公众知晓的方式主动公开。按照《条例》第16条规定，继续完善政府信息公开大厅、政府信息查阅中心等政府信息公开查阅场所，为公民、法人或者其他组织获取政府信息提供便利。</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（一）主动公开数据</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2018年本局在“政府信息公开专栏”主动公开政府信息423条，其中，机构职能类信息15条，占总数的</w:t>
      </w:r>
      <w:r>
        <w:rPr>
          <w:rFonts w:hint="eastAsia" w:ascii="仿宋_GB2312" w:hAnsi="仿宋_GB2312" w:eastAsia="仿宋_GB2312" w:cs="仿宋_GB2312"/>
          <w:color w:val="000000" w:themeColor="text1"/>
          <w:kern w:val="0"/>
          <w:sz w:val="32"/>
          <w:szCs w:val="32"/>
        </w:rPr>
        <w:t>3.5</w:t>
      </w:r>
      <w:r>
        <w:rPr>
          <w:rFonts w:hint="eastAsia" w:ascii="仿宋_GB2312" w:hAnsi="仿宋_GB2312" w:eastAsia="仿宋_GB2312" w:cs="仿宋_GB2312"/>
          <w:color w:val="000000" w:themeColor="text1"/>
          <w:kern w:val="0"/>
          <w:sz w:val="32"/>
          <w:szCs w:val="32"/>
          <w:lang w:val="en-US" w:eastAsia="zh-CN"/>
        </w:rPr>
        <w:t>0</w:t>
      </w:r>
      <w:r>
        <w:rPr>
          <w:rFonts w:hint="eastAsia" w:ascii="仿宋_GB2312" w:hAnsi="仿宋_GB2312" w:eastAsia="仿宋_GB2312" w:cs="仿宋_GB2312"/>
          <w:color w:val="000000" w:themeColor="text1"/>
          <w:sz w:val="32"/>
          <w:szCs w:val="32"/>
        </w:rPr>
        <w:t>%；法规文件类信息</w:t>
      </w:r>
      <w:r>
        <w:rPr>
          <w:rFonts w:hint="eastAsia" w:ascii="仿宋_GB2312" w:hAnsi="仿宋_GB2312" w:eastAsia="仿宋_GB2312" w:cs="仿宋_GB2312"/>
          <w:color w:val="000000" w:themeColor="text1"/>
          <w:kern w:val="0"/>
          <w:sz w:val="32"/>
          <w:szCs w:val="32"/>
        </w:rPr>
        <w:t>2</w:t>
      </w:r>
      <w:r>
        <w:rPr>
          <w:rFonts w:hint="eastAsia" w:ascii="仿宋_GB2312" w:hAnsi="仿宋_GB2312" w:eastAsia="仿宋_GB2312" w:cs="仿宋_GB2312"/>
          <w:color w:val="000000" w:themeColor="text1"/>
          <w:sz w:val="32"/>
          <w:szCs w:val="32"/>
        </w:rPr>
        <w:t>条，占总数的</w:t>
      </w:r>
      <w:r>
        <w:rPr>
          <w:rFonts w:hint="eastAsia" w:ascii="仿宋_GB2312" w:hAnsi="仿宋_GB2312" w:eastAsia="仿宋_GB2312" w:cs="仿宋_GB2312"/>
          <w:color w:val="000000" w:themeColor="text1"/>
          <w:kern w:val="0"/>
          <w:sz w:val="32"/>
          <w:szCs w:val="32"/>
        </w:rPr>
        <w:t>0.</w:t>
      </w:r>
      <w:r>
        <w:rPr>
          <w:rFonts w:hint="eastAsia" w:ascii="仿宋_GB2312" w:hAnsi="仿宋_GB2312" w:eastAsia="仿宋_GB2312" w:cs="仿宋_GB2312"/>
          <w:color w:val="000000" w:themeColor="text1"/>
          <w:kern w:val="0"/>
          <w:sz w:val="32"/>
          <w:szCs w:val="32"/>
          <w:lang w:val="en-US" w:eastAsia="zh-CN"/>
        </w:rPr>
        <w:t>50</w:t>
      </w:r>
      <w:r>
        <w:rPr>
          <w:rFonts w:hint="eastAsia" w:ascii="仿宋_GB2312" w:hAnsi="仿宋_GB2312" w:eastAsia="仿宋_GB2312" w:cs="仿宋_GB2312"/>
          <w:color w:val="000000" w:themeColor="text1"/>
          <w:sz w:val="32"/>
          <w:szCs w:val="32"/>
        </w:rPr>
        <w:t>%；规划计划类信息</w:t>
      </w:r>
      <w:r>
        <w:rPr>
          <w:rFonts w:hint="eastAsia" w:ascii="仿宋_GB2312" w:hAnsi="仿宋_GB2312" w:eastAsia="仿宋_GB2312" w:cs="仿宋_GB2312"/>
          <w:color w:val="000000" w:themeColor="text1"/>
          <w:kern w:val="0"/>
          <w:sz w:val="32"/>
          <w:szCs w:val="32"/>
        </w:rPr>
        <w:t>9</w:t>
      </w:r>
      <w:r>
        <w:rPr>
          <w:rFonts w:hint="eastAsia" w:ascii="仿宋_GB2312" w:hAnsi="仿宋_GB2312" w:eastAsia="仿宋_GB2312" w:cs="仿宋_GB2312"/>
          <w:color w:val="000000" w:themeColor="text1"/>
          <w:sz w:val="32"/>
          <w:szCs w:val="32"/>
        </w:rPr>
        <w:t>条，占总数的</w:t>
      </w:r>
      <w:r>
        <w:rPr>
          <w:rFonts w:hint="eastAsia" w:ascii="仿宋_GB2312" w:hAnsi="仿宋_GB2312" w:eastAsia="仿宋_GB2312" w:cs="仿宋_GB2312"/>
          <w:color w:val="000000" w:themeColor="text1"/>
          <w:kern w:val="0"/>
          <w:sz w:val="32"/>
          <w:szCs w:val="32"/>
        </w:rPr>
        <w:t>2.</w:t>
      </w:r>
      <w:r>
        <w:rPr>
          <w:rFonts w:hint="eastAsia" w:ascii="仿宋_GB2312" w:hAnsi="仿宋_GB2312" w:eastAsia="仿宋_GB2312" w:cs="仿宋_GB2312"/>
          <w:color w:val="000000" w:themeColor="text1"/>
          <w:kern w:val="0"/>
          <w:sz w:val="32"/>
          <w:szCs w:val="32"/>
          <w:lang w:val="en-US" w:eastAsia="zh-CN"/>
        </w:rPr>
        <w:t>15</w:t>
      </w:r>
      <w:r>
        <w:rPr>
          <w:rFonts w:hint="eastAsia" w:ascii="仿宋_GB2312" w:hAnsi="仿宋_GB2312" w:eastAsia="仿宋_GB2312" w:cs="仿宋_GB2312"/>
          <w:color w:val="000000" w:themeColor="text1"/>
          <w:sz w:val="32"/>
          <w:szCs w:val="32"/>
        </w:rPr>
        <w:t>%；行政职责类信息</w:t>
      </w:r>
      <w:r>
        <w:rPr>
          <w:rFonts w:hint="eastAsia"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sz w:val="32"/>
          <w:szCs w:val="32"/>
        </w:rPr>
        <w:t>条，占总数的</w:t>
      </w:r>
      <w:r>
        <w:rPr>
          <w:rFonts w:hint="eastAsia" w:ascii="仿宋_GB2312" w:hAnsi="仿宋_GB2312" w:eastAsia="仿宋_GB2312" w:cs="仿宋_GB2312"/>
          <w:color w:val="000000" w:themeColor="text1"/>
          <w:kern w:val="0"/>
          <w:sz w:val="32"/>
          <w:szCs w:val="32"/>
        </w:rPr>
        <w:t>0.2</w:t>
      </w:r>
      <w:r>
        <w:rPr>
          <w:rFonts w:hint="eastAsia" w:ascii="仿宋_GB2312" w:hAnsi="仿宋_GB2312" w:eastAsia="仿宋_GB2312" w:cs="仿宋_GB2312"/>
          <w:color w:val="000000" w:themeColor="text1"/>
          <w:kern w:val="0"/>
          <w:sz w:val="32"/>
          <w:szCs w:val="32"/>
          <w:lang w:val="en-US" w:eastAsia="zh-CN"/>
        </w:rPr>
        <w:t>5</w:t>
      </w:r>
      <w:r>
        <w:rPr>
          <w:rFonts w:hint="eastAsia" w:ascii="仿宋_GB2312" w:hAnsi="仿宋_GB2312" w:eastAsia="仿宋_GB2312" w:cs="仿宋_GB2312"/>
          <w:color w:val="000000" w:themeColor="text1"/>
          <w:sz w:val="32"/>
          <w:szCs w:val="32"/>
        </w:rPr>
        <w:t>%；业务动态类信息</w:t>
      </w:r>
      <w:r>
        <w:rPr>
          <w:rFonts w:hint="eastAsia" w:ascii="仿宋_GB2312" w:hAnsi="仿宋_GB2312" w:eastAsia="仿宋_GB2312" w:cs="仿宋_GB2312"/>
          <w:color w:val="000000" w:themeColor="text1"/>
          <w:kern w:val="0"/>
          <w:sz w:val="32"/>
          <w:szCs w:val="32"/>
        </w:rPr>
        <w:t>396</w:t>
      </w:r>
      <w:r>
        <w:rPr>
          <w:rFonts w:hint="eastAsia" w:ascii="仿宋_GB2312" w:hAnsi="仿宋_GB2312" w:eastAsia="仿宋_GB2312" w:cs="仿宋_GB2312"/>
          <w:color w:val="000000" w:themeColor="text1"/>
          <w:sz w:val="32"/>
          <w:szCs w:val="32"/>
        </w:rPr>
        <w:t>条，占总数的</w:t>
      </w:r>
      <w:r>
        <w:rPr>
          <w:rFonts w:hint="eastAsia" w:ascii="仿宋_GB2312" w:hAnsi="仿宋_GB2312" w:eastAsia="仿宋_GB2312" w:cs="仿宋_GB2312"/>
          <w:color w:val="000000" w:themeColor="text1"/>
          <w:kern w:val="0"/>
          <w:sz w:val="32"/>
          <w:szCs w:val="32"/>
        </w:rPr>
        <w:t>93.</w:t>
      </w:r>
      <w:r>
        <w:rPr>
          <w:rFonts w:hint="eastAsia" w:ascii="仿宋_GB2312" w:hAnsi="仿宋_GB2312" w:eastAsia="仿宋_GB2312" w:cs="仿宋_GB2312"/>
          <w:color w:val="000000" w:themeColor="text1"/>
          <w:kern w:val="0"/>
          <w:sz w:val="32"/>
          <w:szCs w:val="32"/>
          <w:lang w:val="en-US" w:eastAsia="zh-CN"/>
        </w:rPr>
        <w:t>60</w:t>
      </w:r>
      <w:r>
        <w:rPr>
          <w:rFonts w:hint="eastAsia" w:ascii="仿宋_GB2312" w:hAnsi="仿宋_GB2312" w:eastAsia="仿宋_GB2312" w:cs="仿宋_GB2312"/>
          <w:color w:val="000000" w:themeColor="text1"/>
          <w:sz w:val="32"/>
          <w:szCs w:val="32"/>
        </w:rPr>
        <w:t>%。</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通过不同渠道和方式公开政府信息的情况，包括政府网站公开政府信息数1713条；政务微博公开政府信息数</w:t>
      </w:r>
      <w:r>
        <w:rPr>
          <w:rFonts w:hint="eastAsia" w:ascii="仿宋_GB2312" w:hAnsi="仿宋_GB2312" w:eastAsia="仿宋_GB2312" w:cs="仿宋_GB2312"/>
          <w:color w:val="000000" w:themeColor="text1"/>
          <w:kern w:val="0"/>
          <w:sz w:val="32"/>
          <w:szCs w:val="32"/>
        </w:rPr>
        <w:t>80</w:t>
      </w:r>
      <w:r>
        <w:rPr>
          <w:rFonts w:hint="eastAsia" w:ascii="仿宋_GB2312" w:hAnsi="仿宋_GB2312" w:eastAsia="仿宋_GB2312" w:cs="仿宋_GB2312"/>
          <w:color w:val="000000" w:themeColor="text1"/>
          <w:sz w:val="32"/>
          <w:szCs w:val="32"/>
        </w:rPr>
        <w:t>条；政务微信公开政府信息数</w:t>
      </w:r>
      <w:r>
        <w:rPr>
          <w:rFonts w:hint="eastAsia" w:ascii="仿宋_GB2312" w:hAnsi="仿宋_GB2312" w:eastAsia="仿宋_GB2312" w:cs="仿宋_GB2312"/>
          <w:color w:val="000000" w:themeColor="text1"/>
          <w:kern w:val="0"/>
          <w:sz w:val="32"/>
          <w:szCs w:val="32"/>
        </w:rPr>
        <w:t>150</w:t>
      </w:r>
      <w:r>
        <w:rPr>
          <w:rFonts w:hint="eastAsia" w:ascii="仿宋_GB2312" w:hAnsi="仿宋_GB2312" w:eastAsia="仿宋_GB2312" w:cs="仿宋_GB2312"/>
          <w:color w:val="000000" w:themeColor="text1"/>
          <w:sz w:val="32"/>
          <w:szCs w:val="32"/>
        </w:rPr>
        <w:t>条；其他方式公开政府信息数103条。</w:t>
      </w:r>
    </w:p>
    <w:p>
      <w:pPr>
        <w:pageBreakBefore w:val="0"/>
        <w:widowControl/>
        <w:kinsoku/>
        <w:wordWrap/>
        <w:overflowPunct/>
        <w:topLinePunct w:val="0"/>
        <w:autoSpaceDE/>
        <w:autoSpaceDN/>
        <w:bidi w:val="0"/>
        <w:adjustRightInd/>
        <w:snapToGrid/>
        <w:spacing w:beforeLines="100" w:afterLines="100" w:line="560" w:lineRule="exact"/>
        <w:ind w:left="0" w:leftChars="0" w:right="0" w:rightChars="0"/>
        <w:jc w:val="both"/>
        <w:textAlignment w:val="auto"/>
        <w:outlineLvl w:val="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三、依申请公开情况</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按照《条例》第13条规定，</w:t>
      </w:r>
      <w:r>
        <w:rPr>
          <w:rFonts w:hint="eastAsia" w:ascii="仿宋_GB2312" w:hAnsi="仿宋_GB2312" w:eastAsia="仿宋_GB2312" w:cs="仿宋_GB2312"/>
          <w:color w:val="000000" w:themeColor="text1"/>
          <w:sz w:val="32"/>
          <w:szCs w:val="32"/>
        </w:rPr>
        <w:t>本局</w:t>
      </w:r>
      <w:r>
        <w:rPr>
          <w:rFonts w:hint="eastAsia" w:ascii="仿宋_GB2312" w:hAnsi="仿宋_GB2312" w:eastAsia="仿宋_GB2312" w:cs="仿宋_GB2312"/>
          <w:color w:val="000000" w:themeColor="text1"/>
          <w:kern w:val="0"/>
          <w:sz w:val="32"/>
          <w:szCs w:val="32"/>
        </w:rPr>
        <w:t>自《条例》实施之日起正式受理</w:t>
      </w:r>
      <w:r>
        <w:rPr>
          <w:rFonts w:hint="eastAsia" w:ascii="仿宋_GB2312" w:hAnsi="仿宋_GB2312" w:eastAsia="仿宋_GB2312" w:cs="仿宋_GB2312"/>
          <w:color w:val="000000" w:themeColor="text1"/>
          <w:sz w:val="32"/>
          <w:szCs w:val="32"/>
        </w:rPr>
        <w:t>公民、法人或者其他组织根据自身生产、生活、科研等特殊需要提出的政府信息公开申请。为落实《条例》确定的政府信息依申请公开制度，本局</w:t>
      </w:r>
      <w:r>
        <w:rPr>
          <w:rFonts w:hint="eastAsia" w:ascii="仿宋_GB2312" w:hAnsi="仿宋_GB2312" w:eastAsia="仿宋_GB2312" w:cs="仿宋_GB2312"/>
          <w:color w:val="000000" w:themeColor="text1"/>
          <w:kern w:val="0"/>
          <w:sz w:val="32"/>
          <w:szCs w:val="32"/>
        </w:rPr>
        <w:t>继续完善政府信息公开申请受理场所，并公布政府信息公开受理机构的联系方式。</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（一）申请情况</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i/>
          <w:color w:val="000000" w:themeColor="text1"/>
          <w:sz w:val="32"/>
          <w:szCs w:val="32"/>
        </w:rPr>
      </w:pPr>
      <w:r>
        <w:rPr>
          <w:rFonts w:hint="eastAsia" w:ascii="仿宋_GB2312" w:hAnsi="仿宋_GB2312" w:eastAsia="仿宋_GB2312" w:cs="仿宋_GB2312"/>
          <w:color w:val="000000" w:themeColor="text1"/>
          <w:sz w:val="32"/>
          <w:szCs w:val="32"/>
        </w:rPr>
        <w:t>本局</w:t>
      </w:r>
      <w:r>
        <w:rPr>
          <w:rFonts w:hint="eastAsia" w:ascii="仿宋_GB2312" w:hAnsi="仿宋_GB2312" w:eastAsia="仿宋_GB2312" w:cs="仿宋_GB2312"/>
          <w:color w:val="000000" w:themeColor="text1"/>
          <w:kern w:val="0"/>
          <w:sz w:val="32"/>
          <w:szCs w:val="32"/>
        </w:rPr>
        <w:t>2018年度共收到各类政府信息公开申请2件。其中，网络申请1件，占总数的50%；信函申请1件，占总数的50%，同上年相比申请方式有所变化</w:t>
      </w:r>
      <w:r>
        <w:rPr>
          <w:rFonts w:hint="eastAsia" w:ascii="仿宋_GB2312" w:hAnsi="仿宋_GB2312" w:eastAsia="仿宋_GB2312" w:cs="仿宋_GB2312"/>
          <w:color w:val="000000" w:themeColor="text1"/>
          <w:kern w:val="0"/>
          <w:sz w:val="32"/>
          <w:szCs w:val="32"/>
          <w:lang w:eastAsia="zh-CN"/>
        </w:rPr>
        <w:t>，信息类型均为主动公开信息</w:t>
      </w:r>
      <w:r>
        <w:rPr>
          <w:rFonts w:hint="eastAsia" w:ascii="仿宋_GB2312" w:hAnsi="仿宋_GB2312" w:eastAsia="仿宋_GB2312" w:cs="仿宋_GB2312"/>
          <w:color w:val="000000" w:themeColor="text1"/>
          <w:kern w:val="0"/>
          <w:sz w:val="32"/>
          <w:szCs w:val="32"/>
        </w:rPr>
        <w:t>。</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（二）答复情况</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已到答复期的2件申请全部按期答复，其中：已主动公开信息</w:t>
      </w:r>
      <w:r>
        <w:rPr>
          <w:rFonts w:hint="eastAsia" w:ascii="仿宋_GB2312" w:hAnsi="仿宋_GB2312" w:eastAsia="仿宋_GB2312" w:cs="仿宋_GB2312"/>
          <w:color w:val="000000" w:themeColor="text1"/>
          <w:kern w:val="0"/>
          <w:sz w:val="32"/>
          <w:szCs w:val="32"/>
          <w:lang w:eastAsia="zh-CN"/>
        </w:rPr>
        <w:t>为</w:t>
      </w:r>
      <w:r>
        <w:rPr>
          <w:rFonts w:hint="eastAsia" w:ascii="仿宋_GB2312" w:hAnsi="仿宋_GB2312" w:eastAsia="仿宋_GB2312" w:cs="仿宋_GB2312"/>
          <w:color w:val="000000" w:themeColor="text1"/>
          <w:kern w:val="0"/>
          <w:sz w:val="32"/>
          <w:szCs w:val="32"/>
        </w:rPr>
        <w:t>2件，占总数的100%。</w:t>
      </w:r>
    </w:p>
    <w:p>
      <w:pPr>
        <w:pageBreakBefore w:val="0"/>
        <w:widowControl/>
        <w:kinsoku/>
        <w:wordWrap/>
        <w:overflowPunct/>
        <w:topLinePunct w:val="0"/>
        <w:autoSpaceDE/>
        <w:autoSpaceDN/>
        <w:bidi w:val="0"/>
        <w:adjustRightInd/>
        <w:snapToGrid/>
        <w:spacing w:beforeLines="100" w:afterLines="100" w:line="560" w:lineRule="exact"/>
        <w:ind w:left="0" w:leftChars="0" w:right="0" w:rightChars="0"/>
        <w:jc w:val="both"/>
        <w:textAlignment w:val="auto"/>
        <w:outlineLvl w:val="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四、复议和诉讼情况</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2018年，未发生针对大兴区统计局政府信息公开的行政复议及行政诉讼情况。</w:t>
      </w:r>
    </w:p>
    <w:p>
      <w:pPr>
        <w:pageBreakBefore w:val="0"/>
        <w:widowControl/>
        <w:kinsoku/>
        <w:wordWrap/>
        <w:overflowPunct/>
        <w:topLinePunct w:val="0"/>
        <w:autoSpaceDE/>
        <w:autoSpaceDN/>
        <w:bidi w:val="0"/>
        <w:adjustRightInd/>
        <w:snapToGrid/>
        <w:spacing w:beforeLines="100" w:afterLines="100" w:line="560" w:lineRule="exact"/>
        <w:ind w:left="0" w:leftChars="0" w:right="0" w:rightChars="0"/>
        <w:jc w:val="both"/>
        <w:textAlignment w:val="auto"/>
        <w:outlineLvl w:val="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五、存在的不足及改进措施</w:t>
      </w:r>
    </w:p>
    <w:p>
      <w:pPr>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政府信息公开工作是社会公众依法取得政府信息</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有效提高政府工作透明度的重要途径。2018年我局虽然取得了一定工作进展，但仍存在以下不足：一是对政府信息公开工作缺乏前瞻性，未能及时把握社会发展需求，提供精准化服务。二是政府信息公开工作新渠道有待进一步探索，</w:t>
      </w:r>
      <w:r>
        <w:rPr>
          <w:rFonts w:hint="eastAsia" w:ascii="仿宋_GB2312" w:hAnsi="仿宋_GB2312" w:eastAsia="仿宋_GB2312" w:cs="仿宋_GB2312"/>
          <w:color w:val="000000" w:themeColor="text1"/>
          <w:sz w:val="32"/>
          <w:szCs w:val="32"/>
          <w:lang w:eastAsia="zh-CN"/>
        </w:rPr>
        <w:t>有待提高</w:t>
      </w:r>
      <w:r>
        <w:rPr>
          <w:rFonts w:hint="eastAsia" w:ascii="仿宋_GB2312" w:hAnsi="仿宋_GB2312" w:eastAsia="仿宋_GB2312" w:cs="仿宋_GB2312"/>
          <w:color w:val="000000" w:themeColor="text1"/>
          <w:sz w:val="32"/>
          <w:szCs w:val="32"/>
        </w:rPr>
        <w:t>公众参与度。</w:t>
      </w:r>
    </w:p>
    <w:p>
      <w:pPr>
        <w:pageBreakBefore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2019年，我局将以网站整合为契机，继续完善规章制度，加强规范管理，提升统计信息公开</w:t>
      </w:r>
      <w:r>
        <w:rPr>
          <w:rFonts w:hint="eastAsia" w:ascii="仿宋_GB2312" w:hAnsi="仿宋_GB2312" w:eastAsia="仿宋_GB2312" w:cs="仿宋_GB2312"/>
          <w:color w:val="000000" w:themeColor="text1"/>
          <w:sz w:val="32"/>
          <w:szCs w:val="32"/>
          <w:lang w:eastAsia="zh-CN"/>
        </w:rPr>
        <w:t>的工作能力</w:t>
      </w:r>
      <w:r>
        <w:rPr>
          <w:rFonts w:hint="eastAsia" w:ascii="仿宋_GB2312" w:hAnsi="仿宋_GB2312" w:eastAsia="仿宋_GB2312" w:cs="仿宋_GB2312"/>
          <w:color w:val="000000" w:themeColor="text1"/>
          <w:sz w:val="32"/>
          <w:szCs w:val="32"/>
        </w:rPr>
        <w:t>，强</w:t>
      </w:r>
      <w:r>
        <w:rPr>
          <w:rFonts w:hint="eastAsia" w:ascii="仿宋_GB2312" w:hAnsi="仿宋_GB2312" w:eastAsia="仿宋_GB2312" w:cs="仿宋_GB2312"/>
          <w:color w:val="000000" w:themeColor="text1"/>
          <w:sz w:val="32"/>
          <w:szCs w:val="32"/>
          <w:lang w:eastAsia="zh-CN"/>
        </w:rPr>
        <w:t>化</w:t>
      </w:r>
      <w:r>
        <w:rPr>
          <w:rFonts w:hint="eastAsia" w:ascii="仿宋_GB2312" w:hAnsi="仿宋_GB2312" w:eastAsia="仿宋_GB2312" w:cs="仿宋_GB2312"/>
          <w:color w:val="000000" w:themeColor="text1"/>
          <w:sz w:val="32"/>
          <w:szCs w:val="32"/>
        </w:rPr>
        <w:t>统计信息公开工作意识。主要做好以下工作：一是</w:t>
      </w:r>
      <w:r>
        <w:rPr>
          <w:rFonts w:hint="eastAsia" w:ascii="仿宋_GB2312" w:hAnsi="仿宋_GB2312" w:eastAsia="仿宋_GB2312" w:cs="仿宋_GB2312"/>
          <w:color w:val="000000" w:themeColor="text1"/>
          <w:sz w:val="32"/>
          <w:szCs w:val="32"/>
          <w:lang w:eastAsia="zh-CN"/>
        </w:rPr>
        <w:t>继续</w:t>
      </w:r>
      <w:r>
        <w:rPr>
          <w:rFonts w:hint="eastAsia" w:ascii="仿宋_GB2312" w:hAnsi="仿宋_GB2312" w:eastAsia="仿宋_GB2312" w:cs="仿宋_GB2312"/>
          <w:color w:val="000000" w:themeColor="text1"/>
          <w:sz w:val="32"/>
          <w:szCs w:val="32"/>
        </w:rPr>
        <w:t>深化公开内容，优化公开形式。针对社会发展</w:t>
      </w:r>
      <w:r>
        <w:rPr>
          <w:rFonts w:hint="eastAsia" w:ascii="仿宋_GB2312" w:hAnsi="仿宋_GB2312" w:eastAsia="仿宋_GB2312" w:cs="仿宋_GB2312"/>
          <w:color w:val="000000" w:themeColor="text1"/>
          <w:sz w:val="32"/>
          <w:szCs w:val="32"/>
          <w:lang w:eastAsia="zh-CN"/>
        </w:rPr>
        <w:t>的</w:t>
      </w:r>
      <w:r>
        <w:rPr>
          <w:rFonts w:hint="eastAsia" w:ascii="仿宋_GB2312" w:hAnsi="仿宋_GB2312" w:eastAsia="仿宋_GB2312" w:cs="仿宋_GB2312"/>
          <w:color w:val="000000" w:themeColor="text1"/>
          <w:sz w:val="32"/>
          <w:szCs w:val="32"/>
        </w:rPr>
        <w:t>热点问题，及时准确提供相关信息，提高政策数据解读能力，力争将规范化服务提升为精准化服务；二是充分利用网络等宣传媒介，多形式进行政府信息公开的宣传工作，着力打造以微博、微信客户端为新媒体的政府信息公开</w:t>
      </w:r>
      <w:r>
        <w:rPr>
          <w:rFonts w:hint="eastAsia" w:ascii="仿宋_GB2312" w:hAnsi="仿宋_GB2312" w:eastAsia="仿宋_GB2312" w:cs="仿宋_GB2312"/>
          <w:color w:val="000000" w:themeColor="text1"/>
          <w:sz w:val="32"/>
          <w:szCs w:val="32"/>
          <w:lang w:eastAsia="zh-CN"/>
        </w:rPr>
        <w:t>方式</w:t>
      </w:r>
      <w:r>
        <w:rPr>
          <w:rFonts w:hint="eastAsia" w:ascii="仿宋_GB2312" w:hAnsi="仿宋_GB2312" w:eastAsia="仿宋_GB2312" w:cs="仿宋_GB2312"/>
          <w:color w:val="000000" w:themeColor="text1"/>
          <w:sz w:val="32"/>
          <w:szCs w:val="32"/>
        </w:rPr>
        <w:t>。考虑以在线访谈形式对</w:t>
      </w:r>
      <w:r>
        <w:rPr>
          <w:rFonts w:hint="eastAsia" w:ascii="仿宋_GB2312" w:hAnsi="仿宋_GB2312" w:eastAsia="仿宋_GB2312" w:cs="仿宋_GB2312"/>
          <w:color w:val="000000" w:themeColor="text1"/>
          <w:sz w:val="32"/>
          <w:szCs w:val="32"/>
          <w:lang w:eastAsia="zh-CN"/>
        </w:rPr>
        <w:t>数据进</w:t>
      </w:r>
      <w:r>
        <w:rPr>
          <w:rFonts w:hint="eastAsia" w:ascii="仿宋_GB2312" w:hAnsi="仿宋_GB2312" w:eastAsia="仿宋_GB2312" w:cs="仿宋_GB2312"/>
          <w:color w:val="000000" w:themeColor="text1"/>
          <w:sz w:val="32"/>
          <w:szCs w:val="32"/>
        </w:rPr>
        <w:t>解读、</w:t>
      </w:r>
      <w:r>
        <w:rPr>
          <w:rFonts w:hint="eastAsia" w:ascii="仿宋_GB2312" w:hAnsi="仿宋_GB2312" w:eastAsia="仿宋_GB2312" w:cs="仿宋_GB2312"/>
          <w:color w:val="000000" w:themeColor="text1"/>
          <w:sz w:val="32"/>
          <w:szCs w:val="32"/>
          <w:lang w:eastAsia="zh-CN"/>
        </w:rPr>
        <w:t>并对</w:t>
      </w:r>
      <w:r>
        <w:rPr>
          <w:rFonts w:hint="eastAsia" w:ascii="仿宋_GB2312" w:hAnsi="仿宋_GB2312" w:eastAsia="仿宋_GB2312" w:cs="仿宋_GB2312"/>
          <w:color w:val="000000" w:themeColor="text1"/>
          <w:sz w:val="32"/>
          <w:szCs w:val="32"/>
        </w:rPr>
        <w:t>社会关</w:t>
      </w:r>
      <w:r>
        <w:rPr>
          <w:rFonts w:hint="eastAsia" w:ascii="仿宋_GB2312" w:hAnsi="仿宋_GB2312" w:eastAsia="仿宋_GB2312" w:cs="仿宋_GB2312"/>
          <w:color w:val="000000" w:themeColor="text1"/>
          <w:sz w:val="32"/>
          <w:szCs w:val="32"/>
          <w:lang w:eastAsia="zh-CN"/>
        </w:rPr>
        <w:t>注</w:t>
      </w:r>
      <w:r>
        <w:rPr>
          <w:rFonts w:hint="eastAsia" w:ascii="仿宋_GB2312" w:hAnsi="仿宋_GB2312" w:eastAsia="仿宋_GB2312" w:cs="仿宋_GB2312"/>
          <w:color w:val="000000" w:themeColor="text1"/>
          <w:sz w:val="32"/>
          <w:szCs w:val="32"/>
        </w:rPr>
        <w:t>的热点话题进行回应，提高统计政府信息公开工作</w:t>
      </w:r>
      <w:r>
        <w:rPr>
          <w:rFonts w:hint="eastAsia" w:ascii="仿宋_GB2312" w:hAnsi="仿宋_GB2312" w:eastAsia="仿宋_GB2312" w:cs="仿宋_GB2312"/>
          <w:color w:val="000000" w:themeColor="text1"/>
          <w:sz w:val="32"/>
          <w:szCs w:val="32"/>
          <w:lang w:eastAsia="zh-CN"/>
        </w:rPr>
        <w:t>质量效果</w:t>
      </w:r>
      <w:r>
        <w:rPr>
          <w:rFonts w:hint="eastAsia" w:ascii="仿宋_GB2312" w:hAnsi="仿宋_GB2312" w:eastAsia="仿宋_GB2312" w:cs="仿宋_GB2312"/>
          <w:color w:val="000000" w:themeColor="text1"/>
          <w:sz w:val="32"/>
          <w:szCs w:val="32"/>
        </w:rPr>
        <w:t>。</w:t>
      </w:r>
    </w:p>
    <w:p>
      <w:pPr>
        <w:pageBreakBefore w:val="0"/>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w:t>
      </w:r>
    </w:p>
    <w:p>
      <w:pPr>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rPr>
      </w:pPr>
    </w:p>
    <w:p>
      <w:pPr>
        <w:pageBreakBefore w:val="0"/>
        <w:widowControl/>
        <w:kinsoku/>
        <w:wordWrap/>
        <w:overflowPunct/>
        <w:topLinePunct w:val="0"/>
        <w:autoSpaceDE/>
        <w:autoSpaceDN/>
        <w:bidi w:val="0"/>
        <w:adjustRightInd/>
        <w:snapToGrid/>
        <w:spacing w:line="560" w:lineRule="exact"/>
        <w:ind w:left="3599" w:leftChars="1714" w:right="0" w:rightChars="0" w:firstLine="2240" w:firstLineChars="7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北京市大兴区统计局</w:t>
      </w:r>
    </w:p>
    <w:p>
      <w:pPr>
        <w:pageBreakBefore w:val="0"/>
        <w:widowControl/>
        <w:kinsoku/>
        <w:wordWrap/>
        <w:overflowPunct/>
        <w:topLinePunct w:val="0"/>
        <w:autoSpaceDE/>
        <w:autoSpaceDN/>
        <w:bidi w:val="0"/>
        <w:adjustRightInd/>
        <w:snapToGrid/>
        <w:spacing w:line="560" w:lineRule="exact"/>
        <w:ind w:left="3599" w:leftChars="1714" w:right="0" w:rightChars="0" w:firstLine="320" w:firstLineChars="100"/>
        <w:jc w:val="both"/>
        <w:textAlignment w:val="auto"/>
        <w:rPr>
          <w:rFonts w:ascii="仿宋_GB2312" w:hAnsi="宋体" w:eastAsia="仿宋_GB2312" w:cs="宋体"/>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2019年3月</w:t>
      </w:r>
    </w:p>
    <w:sectPr>
      <w:footerReference r:id="rId3" w:type="default"/>
      <w:footerReference r:id="rId4" w:type="even"/>
      <w:pgSz w:w="11906" w:h="16838"/>
      <w:pgMar w:top="2098" w:right="1474" w:bottom="1984" w:left="158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汉仪大宋简">
    <w:altName w:val="Arial"/>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FZCuSong-B09S">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CF3C52" w:usb2="00000016" w:usb3="00000000" w:csb0="0004001F" w:csb1="00000000"/>
  </w:font>
  <w:font w:name="新宋体">
    <w:panose1 w:val="02010609030101010101"/>
    <w:charset w:val="86"/>
    <w:family w:val="auto"/>
    <w:pitch w:val="default"/>
    <w:sig w:usb0="00000003" w:usb1="080E0000" w:usb2="00000000" w:usb3="00000000" w:csb0="00040001" w:csb1="00000000"/>
  </w:font>
  <w:font w:name="幼圆">
    <w:panose1 w:val="0201050906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F34FE"/>
    <w:rsid w:val="00011299"/>
    <w:rsid w:val="0001550B"/>
    <w:rsid w:val="00024A33"/>
    <w:rsid w:val="00030ED2"/>
    <w:rsid w:val="000477DD"/>
    <w:rsid w:val="000564C3"/>
    <w:rsid w:val="00061A8B"/>
    <w:rsid w:val="0006724E"/>
    <w:rsid w:val="0008063F"/>
    <w:rsid w:val="0008546D"/>
    <w:rsid w:val="00091B5A"/>
    <w:rsid w:val="00095C94"/>
    <w:rsid w:val="000B125E"/>
    <w:rsid w:val="000C3E2E"/>
    <w:rsid w:val="000D7F41"/>
    <w:rsid w:val="000E18D5"/>
    <w:rsid w:val="000E6274"/>
    <w:rsid w:val="000F5455"/>
    <w:rsid w:val="000F57C6"/>
    <w:rsid w:val="00135812"/>
    <w:rsid w:val="00136479"/>
    <w:rsid w:val="001649F9"/>
    <w:rsid w:val="00165D78"/>
    <w:rsid w:val="00174202"/>
    <w:rsid w:val="001770DC"/>
    <w:rsid w:val="00191E43"/>
    <w:rsid w:val="001969C7"/>
    <w:rsid w:val="0019792E"/>
    <w:rsid w:val="001A132F"/>
    <w:rsid w:val="001A438D"/>
    <w:rsid w:val="001C335D"/>
    <w:rsid w:val="001C7F59"/>
    <w:rsid w:val="001E0EDB"/>
    <w:rsid w:val="001E398C"/>
    <w:rsid w:val="001F1E77"/>
    <w:rsid w:val="0020438B"/>
    <w:rsid w:val="002050C9"/>
    <w:rsid w:val="00211687"/>
    <w:rsid w:val="00215A1F"/>
    <w:rsid w:val="00220270"/>
    <w:rsid w:val="00226E27"/>
    <w:rsid w:val="00234422"/>
    <w:rsid w:val="002549F5"/>
    <w:rsid w:val="00263CF6"/>
    <w:rsid w:val="0026751C"/>
    <w:rsid w:val="00267D9B"/>
    <w:rsid w:val="00276839"/>
    <w:rsid w:val="00282A54"/>
    <w:rsid w:val="002A61EF"/>
    <w:rsid w:val="002B3EA2"/>
    <w:rsid w:val="002B78EA"/>
    <w:rsid w:val="002C6CC3"/>
    <w:rsid w:val="002C6F2C"/>
    <w:rsid w:val="002D25F5"/>
    <w:rsid w:val="002D48E4"/>
    <w:rsid w:val="002E4D22"/>
    <w:rsid w:val="002F450B"/>
    <w:rsid w:val="00303BA7"/>
    <w:rsid w:val="00312FA6"/>
    <w:rsid w:val="00315E66"/>
    <w:rsid w:val="0032036E"/>
    <w:rsid w:val="00323318"/>
    <w:rsid w:val="0033311E"/>
    <w:rsid w:val="00350B99"/>
    <w:rsid w:val="00364095"/>
    <w:rsid w:val="00373CA6"/>
    <w:rsid w:val="00376C51"/>
    <w:rsid w:val="00385552"/>
    <w:rsid w:val="00386739"/>
    <w:rsid w:val="00391E8B"/>
    <w:rsid w:val="00393804"/>
    <w:rsid w:val="003A2DE8"/>
    <w:rsid w:val="003B4676"/>
    <w:rsid w:val="003C2EA7"/>
    <w:rsid w:val="003C3529"/>
    <w:rsid w:val="003C4B6C"/>
    <w:rsid w:val="003D407B"/>
    <w:rsid w:val="003D4E6E"/>
    <w:rsid w:val="003D7C3E"/>
    <w:rsid w:val="003F0526"/>
    <w:rsid w:val="003F386C"/>
    <w:rsid w:val="0040195E"/>
    <w:rsid w:val="00404D78"/>
    <w:rsid w:val="00430A10"/>
    <w:rsid w:val="0043690A"/>
    <w:rsid w:val="00442F1C"/>
    <w:rsid w:val="00444749"/>
    <w:rsid w:val="00455D1F"/>
    <w:rsid w:val="00464DE1"/>
    <w:rsid w:val="00475F51"/>
    <w:rsid w:val="004774E8"/>
    <w:rsid w:val="00480EBD"/>
    <w:rsid w:val="004835AE"/>
    <w:rsid w:val="00486C33"/>
    <w:rsid w:val="00487674"/>
    <w:rsid w:val="00493506"/>
    <w:rsid w:val="0049714A"/>
    <w:rsid w:val="004A5384"/>
    <w:rsid w:val="004B1F88"/>
    <w:rsid w:val="004B38EC"/>
    <w:rsid w:val="004E0C30"/>
    <w:rsid w:val="004E3F3D"/>
    <w:rsid w:val="004E7A7F"/>
    <w:rsid w:val="00500F43"/>
    <w:rsid w:val="005038B7"/>
    <w:rsid w:val="00504A3E"/>
    <w:rsid w:val="005051AA"/>
    <w:rsid w:val="00511D6A"/>
    <w:rsid w:val="00552C13"/>
    <w:rsid w:val="00552E76"/>
    <w:rsid w:val="00555805"/>
    <w:rsid w:val="00561B6A"/>
    <w:rsid w:val="00566A85"/>
    <w:rsid w:val="0057505F"/>
    <w:rsid w:val="00576AA8"/>
    <w:rsid w:val="00586B35"/>
    <w:rsid w:val="00590400"/>
    <w:rsid w:val="00591EAD"/>
    <w:rsid w:val="005933D4"/>
    <w:rsid w:val="005A43F9"/>
    <w:rsid w:val="005A5BA1"/>
    <w:rsid w:val="005B59E2"/>
    <w:rsid w:val="005C2F79"/>
    <w:rsid w:val="005C4FC2"/>
    <w:rsid w:val="005C5EB9"/>
    <w:rsid w:val="005C7394"/>
    <w:rsid w:val="005D35EC"/>
    <w:rsid w:val="005D38A7"/>
    <w:rsid w:val="005D454A"/>
    <w:rsid w:val="005D520E"/>
    <w:rsid w:val="005D70D9"/>
    <w:rsid w:val="005E06C3"/>
    <w:rsid w:val="005E137E"/>
    <w:rsid w:val="005E17AD"/>
    <w:rsid w:val="005E3B9B"/>
    <w:rsid w:val="005F42E9"/>
    <w:rsid w:val="00605050"/>
    <w:rsid w:val="0062038E"/>
    <w:rsid w:val="00643606"/>
    <w:rsid w:val="006456F4"/>
    <w:rsid w:val="00666E50"/>
    <w:rsid w:val="00673972"/>
    <w:rsid w:val="006800C1"/>
    <w:rsid w:val="006806E4"/>
    <w:rsid w:val="0068740C"/>
    <w:rsid w:val="00696394"/>
    <w:rsid w:val="006B2C55"/>
    <w:rsid w:val="006D2D25"/>
    <w:rsid w:val="006D3C9C"/>
    <w:rsid w:val="006E7D11"/>
    <w:rsid w:val="00704AAF"/>
    <w:rsid w:val="00716195"/>
    <w:rsid w:val="007300BC"/>
    <w:rsid w:val="007318B4"/>
    <w:rsid w:val="00732FB8"/>
    <w:rsid w:val="00733332"/>
    <w:rsid w:val="0073390C"/>
    <w:rsid w:val="007440C9"/>
    <w:rsid w:val="00747B06"/>
    <w:rsid w:val="007501F1"/>
    <w:rsid w:val="00750D2A"/>
    <w:rsid w:val="00754E59"/>
    <w:rsid w:val="00770AD8"/>
    <w:rsid w:val="0077218A"/>
    <w:rsid w:val="007746CC"/>
    <w:rsid w:val="00774B4B"/>
    <w:rsid w:val="007939C3"/>
    <w:rsid w:val="007A1833"/>
    <w:rsid w:val="007B25EC"/>
    <w:rsid w:val="007C71C1"/>
    <w:rsid w:val="007C7C33"/>
    <w:rsid w:val="007D740A"/>
    <w:rsid w:val="007F2536"/>
    <w:rsid w:val="00800AA7"/>
    <w:rsid w:val="00802EFC"/>
    <w:rsid w:val="00804A0A"/>
    <w:rsid w:val="00807928"/>
    <w:rsid w:val="008102C7"/>
    <w:rsid w:val="008238B3"/>
    <w:rsid w:val="00824136"/>
    <w:rsid w:val="00830104"/>
    <w:rsid w:val="00845ADF"/>
    <w:rsid w:val="00846086"/>
    <w:rsid w:val="00847880"/>
    <w:rsid w:val="00860E3E"/>
    <w:rsid w:val="008643E9"/>
    <w:rsid w:val="00874774"/>
    <w:rsid w:val="00875C8E"/>
    <w:rsid w:val="00896F27"/>
    <w:rsid w:val="008A2B14"/>
    <w:rsid w:val="008A3AC4"/>
    <w:rsid w:val="008C1089"/>
    <w:rsid w:val="008C4AF7"/>
    <w:rsid w:val="008D7CDD"/>
    <w:rsid w:val="008E15A5"/>
    <w:rsid w:val="008E196E"/>
    <w:rsid w:val="008E6450"/>
    <w:rsid w:val="008E6853"/>
    <w:rsid w:val="00906445"/>
    <w:rsid w:val="00910CBB"/>
    <w:rsid w:val="0092083B"/>
    <w:rsid w:val="00922313"/>
    <w:rsid w:val="0092687B"/>
    <w:rsid w:val="009271F8"/>
    <w:rsid w:val="00931057"/>
    <w:rsid w:val="009367A0"/>
    <w:rsid w:val="0094334E"/>
    <w:rsid w:val="0094732A"/>
    <w:rsid w:val="009706DE"/>
    <w:rsid w:val="00971C58"/>
    <w:rsid w:val="009746D0"/>
    <w:rsid w:val="00980F4F"/>
    <w:rsid w:val="00981790"/>
    <w:rsid w:val="0099649A"/>
    <w:rsid w:val="009B3C87"/>
    <w:rsid w:val="009C6833"/>
    <w:rsid w:val="009D2611"/>
    <w:rsid w:val="009D3508"/>
    <w:rsid w:val="009D79B0"/>
    <w:rsid w:val="009E1810"/>
    <w:rsid w:val="009F3F88"/>
    <w:rsid w:val="00A0311A"/>
    <w:rsid w:val="00A1509C"/>
    <w:rsid w:val="00A20BE9"/>
    <w:rsid w:val="00A23A68"/>
    <w:rsid w:val="00A32963"/>
    <w:rsid w:val="00A4089B"/>
    <w:rsid w:val="00A61446"/>
    <w:rsid w:val="00A63B40"/>
    <w:rsid w:val="00A714B2"/>
    <w:rsid w:val="00A727AF"/>
    <w:rsid w:val="00A90797"/>
    <w:rsid w:val="00A97E35"/>
    <w:rsid w:val="00AA4979"/>
    <w:rsid w:val="00AC642B"/>
    <w:rsid w:val="00AD5E1D"/>
    <w:rsid w:val="00AD6B74"/>
    <w:rsid w:val="00AE287C"/>
    <w:rsid w:val="00AE73D2"/>
    <w:rsid w:val="00AF39B8"/>
    <w:rsid w:val="00AF6CFD"/>
    <w:rsid w:val="00AF6F86"/>
    <w:rsid w:val="00AF7359"/>
    <w:rsid w:val="00B06294"/>
    <w:rsid w:val="00B128C1"/>
    <w:rsid w:val="00B13752"/>
    <w:rsid w:val="00B15089"/>
    <w:rsid w:val="00B46C55"/>
    <w:rsid w:val="00B72A12"/>
    <w:rsid w:val="00B926CC"/>
    <w:rsid w:val="00B92952"/>
    <w:rsid w:val="00B94624"/>
    <w:rsid w:val="00BA1750"/>
    <w:rsid w:val="00BA778C"/>
    <w:rsid w:val="00BB329A"/>
    <w:rsid w:val="00BC3B1C"/>
    <w:rsid w:val="00BD0DF3"/>
    <w:rsid w:val="00BD4C14"/>
    <w:rsid w:val="00BF10E4"/>
    <w:rsid w:val="00C008B5"/>
    <w:rsid w:val="00C127B0"/>
    <w:rsid w:val="00C1318D"/>
    <w:rsid w:val="00C17379"/>
    <w:rsid w:val="00C2000A"/>
    <w:rsid w:val="00C21AD9"/>
    <w:rsid w:val="00C32DA8"/>
    <w:rsid w:val="00C33A95"/>
    <w:rsid w:val="00C40FF8"/>
    <w:rsid w:val="00C66BED"/>
    <w:rsid w:val="00C70936"/>
    <w:rsid w:val="00C82EF9"/>
    <w:rsid w:val="00C9001A"/>
    <w:rsid w:val="00C92922"/>
    <w:rsid w:val="00CA6C0A"/>
    <w:rsid w:val="00CA7213"/>
    <w:rsid w:val="00CC1169"/>
    <w:rsid w:val="00CC3E4B"/>
    <w:rsid w:val="00CC6F1F"/>
    <w:rsid w:val="00CD2247"/>
    <w:rsid w:val="00CD70A9"/>
    <w:rsid w:val="00CE7AA8"/>
    <w:rsid w:val="00CF1B2B"/>
    <w:rsid w:val="00D03C7D"/>
    <w:rsid w:val="00D14998"/>
    <w:rsid w:val="00D14DEE"/>
    <w:rsid w:val="00D22E11"/>
    <w:rsid w:val="00D23321"/>
    <w:rsid w:val="00D23DCC"/>
    <w:rsid w:val="00D35E05"/>
    <w:rsid w:val="00D36594"/>
    <w:rsid w:val="00D52A19"/>
    <w:rsid w:val="00D61FDB"/>
    <w:rsid w:val="00D622F1"/>
    <w:rsid w:val="00D63D2C"/>
    <w:rsid w:val="00D748D2"/>
    <w:rsid w:val="00D85444"/>
    <w:rsid w:val="00DA26B0"/>
    <w:rsid w:val="00DB1701"/>
    <w:rsid w:val="00DB6223"/>
    <w:rsid w:val="00DC3D8E"/>
    <w:rsid w:val="00DD0601"/>
    <w:rsid w:val="00DE49A7"/>
    <w:rsid w:val="00DE52B6"/>
    <w:rsid w:val="00DF0BD8"/>
    <w:rsid w:val="00DF4EBD"/>
    <w:rsid w:val="00E02AE0"/>
    <w:rsid w:val="00E034E9"/>
    <w:rsid w:val="00E112FE"/>
    <w:rsid w:val="00E128C4"/>
    <w:rsid w:val="00E20708"/>
    <w:rsid w:val="00E20935"/>
    <w:rsid w:val="00E219EF"/>
    <w:rsid w:val="00E32008"/>
    <w:rsid w:val="00E60CB4"/>
    <w:rsid w:val="00E71476"/>
    <w:rsid w:val="00E71535"/>
    <w:rsid w:val="00E74F2C"/>
    <w:rsid w:val="00E90178"/>
    <w:rsid w:val="00EA0880"/>
    <w:rsid w:val="00EA4E95"/>
    <w:rsid w:val="00EB1F9C"/>
    <w:rsid w:val="00ED2876"/>
    <w:rsid w:val="00ED2A5C"/>
    <w:rsid w:val="00ED3380"/>
    <w:rsid w:val="00EE2FF8"/>
    <w:rsid w:val="00EE3D96"/>
    <w:rsid w:val="00EE462E"/>
    <w:rsid w:val="00EF142A"/>
    <w:rsid w:val="00EF398F"/>
    <w:rsid w:val="00EF3F47"/>
    <w:rsid w:val="00EF4188"/>
    <w:rsid w:val="00EF52CD"/>
    <w:rsid w:val="00F2797D"/>
    <w:rsid w:val="00F32436"/>
    <w:rsid w:val="00F32D9A"/>
    <w:rsid w:val="00F34CEC"/>
    <w:rsid w:val="00F401B1"/>
    <w:rsid w:val="00F4339E"/>
    <w:rsid w:val="00F438C0"/>
    <w:rsid w:val="00F52C3A"/>
    <w:rsid w:val="00F60F29"/>
    <w:rsid w:val="00F95C81"/>
    <w:rsid w:val="00FB1993"/>
    <w:rsid w:val="00FB3A68"/>
    <w:rsid w:val="00FB481B"/>
    <w:rsid w:val="00FC27C7"/>
    <w:rsid w:val="00FE5955"/>
    <w:rsid w:val="00FE62F6"/>
    <w:rsid w:val="00FE759B"/>
    <w:rsid w:val="00FF0E63"/>
    <w:rsid w:val="00FF34FE"/>
    <w:rsid w:val="01046DAC"/>
    <w:rsid w:val="01582BC2"/>
    <w:rsid w:val="02EA7AD6"/>
    <w:rsid w:val="033B2DC8"/>
    <w:rsid w:val="041178CD"/>
    <w:rsid w:val="05054C65"/>
    <w:rsid w:val="064166FA"/>
    <w:rsid w:val="06E969D6"/>
    <w:rsid w:val="0811312A"/>
    <w:rsid w:val="09835E87"/>
    <w:rsid w:val="0A3F2BBA"/>
    <w:rsid w:val="0C9B1272"/>
    <w:rsid w:val="0DD97280"/>
    <w:rsid w:val="0E816C7C"/>
    <w:rsid w:val="0EC16D26"/>
    <w:rsid w:val="0F0779FF"/>
    <w:rsid w:val="0FE53964"/>
    <w:rsid w:val="10DC208F"/>
    <w:rsid w:val="11053FF9"/>
    <w:rsid w:val="113F690E"/>
    <w:rsid w:val="123D2018"/>
    <w:rsid w:val="126106DC"/>
    <w:rsid w:val="139E6C1F"/>
    <w:rsid w:val="14AA3C12"/>
    <w:rsid w:val="153F413B"/>
    <w:rsid w:val="15591844"/>
    <w:rsid w:val="16872268"/>
    <w:rsid w:val="16B75F31"/>
    <w:rsid w:val="17891FAD"/>
    <w:rsid w:val="18D1259B"/>
    <w:rsid w:val="19126BDE"/>
    <w:rsid w:val="19B10177"/>
    <w:rsid w:val="1A0A7901"/>
    <w:rsid w:val="1AB33A6E"/>
    <w:rsid w:val="1C71411C"/>
    <w:rsid w:val="1DEB5008"/>
    <w:rsid w:val="1E971FEF"/>
    <w:rsid w:val="206C552B"/>
    <w:rsid w:val="208E3E78"/>
    <w:rsid w:val="22275A3B"/>
    <w:rsid w:val="222B5B5D"/>
    <w:rsid w:val="222F2E8C"/>
    <w:rsid w:val="227F6529"/>
    <w:rsid w:val="242B50C1"/>
    <w:rsid w:val="29046CA0"/>
    <w:rsid w:val="295176B5"/>
    <w:rsid w:val="297E20CB"/>
    <w:rsid w:val="29BD4832"/>
    <w:rsid w:val="2B5B3F5F"/>
    <w:rsid w:val="2D3A0DE6"/>
    <w:rsid w:val="307D149D"/>
    <w:rsid w:val="31002970"/>
    <w:rsid w:val="310B4584"/>
    <w:rsid w:val="318A7FAB"/>
    <w:rsid w:val="33B03542"/>
    <w:rsid w:val="36754BDA"/>
    <w:rsid w:val="37814082"/>
    <w:rsid w:val="38292063"/>
    <w:rsid w:val="3BA04C7F"/>
    <w:rsid w:val="3BA44C68"/>
    <w:rsid w:val="3C322EA7"/>
    <w:rsid w:val="3C407C93"/>
    <w:rsid w:val="3C8C2E32"/>
    <w:rsid w:val="3D6C4254"/>
    <w:rsid w:val="3D970BEC"/>
    <w:rsid w:val="3D98059B"/>
    <w:rsid w:val="3E5618A3"/>
    <w:rsid w:val="3F206FCB"/>
    <w:rsid w:val="3F8835EA"/>
    <w:rsid w:val="3F8B6ADA"/>
    <w:rsid w:val="416671C1"/>
    <w:rsid w:val="43006D89"/>
    <w:rsid w:val="43473612"/>
    <w:rsid w:val="47A45B98"/>
    <w:rsid w:val="47EC6DC4"/>
    <w:rsid w:val="47FF0891"/>
    <w:rsid w:val="497F6D0B"/>
    <w:rsid w:val="4B5C1187"/>
    <w:rsid w:val="4B655F31"/>
    <w:rsid w:val="4C9A533B"/>
    <w:rsid w:val="4D52381C"/>
    <w:rsid w:val="4E8A6247"/>
    <w:rsid w:val="4F220998"/>
    <w:rsid w:val="4F2A160B"/>
    <w:rsid w:val="4FD15664"/>
    <w:rsid w:val="501F267E"/>
    <w:rsid w:val="510B08EF"/>
    <w:rsid w:val="534D2836"/>
    <w:rsid w:val="569722D8"/>
    <w:rsid w:val="56C23CC9"/>
    <w:rsid w:val="57E5061D"/>
    <w:rsid w:val="596F0CFC"/>
    <w:rsid w:val="5BAA68E5"/>
    <w:rsid w:val="5E6A4D12"/>
    <w:rsid w:val="60A7268C"/>
    <w:rsid w:val="610F6044"/>
    <w:rsid w:val="627E6302"/>
    <w:rsid w:val="650A5798"/>
    <w:rsid w:val="65724C80"/>
    <w:rsid w:val="668D78F1"/>
    <w:rsid w:val="66AC605D"/>
    <w:rsid w:val="6BEE7AA2"/>
    <w:rsid w:val="6C6F3E1E"/>
    <w:rsid w:val="6CF734C5"/>
    <w:rsid w:val="6D401665"/>
    <w:rsid w:val="6D570343"/>
    <w:rsid w:val="6D8E0FB1"/>
    <w:rsid w:val="6DB5042C"/>
    <w:rsid w:val="6DB7708E"/>
    <w:rsid w:val="6EE75201"/>
    <w:rsid w:val="715E52E7"/>
    <w:rsid w:val="717D06BD"/>
    <w:rsid w:val="71FE1059"/>
    <w:rsid w:val="73193962"/>
    <w:rsid w:val="74051F3B"/>
    <w:rsid w:val="74B71262"/>
    <w:rsid w:val="74EA4EC6"/>
    <w:rsid w:val="755C7AC8"/>
    <w:rsid w:val="75787969"/>
    <w:rsid w:val="75A92A0B"/>
    <w:rsid w:val="75E827E9"/>
    <w:rsid w:val="76C1307F"/>
    <w:rsid w:val="770B4B5C"/>
    <w:rsid w:val="778D7E0F"/>
    <w:rsid w:val="789C1DEF"/>
    <w:rsid w:val="798C38F6"/>
    <w:rsid w:val="7AE76131"/>
    <w:rsid w:val="7B3526B4"/>
    <w:rsid w:val="7B954024"/>
    <w:rsid w:val="7BE01FBD"/>
    <w:rsid w:val="7CF40877"/>
    <w:rsid w:val="7E00767F"/>
    <w:rsid w:val="7FDD5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560" w:lineRule="exact"/>
      <w:ind w:firstLine="640" w:firstLineChars="200"/>
      <w:outlineLvl w:val="2"/>
    </w:pPr>
    <w:rPr>
      <w:rFonts w:ascii="Calibri" w:hAnsi="Calibri" w:eastAsia="华文楷体" w:cs="黑体"/>
      <w:sz w:val="32"/>
      <w:szCs w:val="22"/>
    </w:rPr>
  </w:style>
  <w:style w:type="character" w:default="1" w:styleId="9">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qFormat/>
    <w:uiPriority w:val="0"/>
    <w:pPr>
      <w:suppressAutoHyphens/>
      <w:jc w:val="center"/>
    </w:pPr>
    <w:rPr>
      <w:rFonts w:ascii="方正小标宋简体" w:hAnsi="汉仪大宋简" w:eastAsia="方正小标宋简体"/>
      <w:color w:val="000000"/>
      <w:kern w:val="0"/>
      <w:sz w:val="44"/>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yperlink"/>
    <w:basedOn w:val="9"/>
    <w:qFormat/>
    <w:uiPriority w:val="0"/>
    <w:rPr>
      <w:color w:val="0563C1"/>
      <w:u w:val="single"/>
    </w:rPr>
  </w:style>
  <w:style w:type="paragraph" w:customStyle="1" w:styleId="15">
    <w:name w:val="Char Char Char Char"/>
    <w:basedOn w:val="3"/>
    <w:qFormat/>
    <w:uiPriority w:val="0"/>
    <w:pPr>
      <w:adjustRightInd w:val="0"/>
      <w:spacing w:line="436" w:lineRule="exact"/>
      <w:ind w:left="357"/>
      <w:jc w:val="left"/>
      <w:outlineLvl w:val="3"/>
    </w:pPr>
    <w:rPr>
      <w:rFonts w:ascii="Tahoma" w:hAnsi="Tahoma"/>
      <w:b/>
      <w:sz w:val="24"/>
    </w:rPr>
  </w:style>
  <w:style w:type="paragraph" w:customStyle="1" w:styleId="16">
    <w:name w:val="Char Char Char1 Char Char Char Char"/>
    <w:basedOn w:val="3"/>
    <w:qFormat/>
    <w:uiPriority w:val="0"/>
    <w:pPr>
      <w:adjustRightInd w:val="0"/>
      <w:spacing w:line="436" w:lineRule="exact"/>
      <w:ind w:left="357"/>
      <w:jc w:val="left"/>
      <w:outlineLvl w:val="3"/>
    </w:pPr>
    <w:rPr>
      <w:rFonts w:ascii="Tahoma" w:hAnsi="Tahoma"/>
      <w:b/>
      <w:sz w:val="24"/>
    </w:rPr>
  </w:style>
  <w:style w:type="paragraph" w:customStyle="1" w:styleId="17">
    <w:name w:val="Char Char1 Char Char Char Char Char Char"/>
    <w:basedOn w:val="3"/>
    <w:qFormat/>
    <w:uiPriority w:val="0"/>
    <w:pPr>
      <w:adjustRightInd w:val="0"/>
      <w:spacing w:line="436" w:lineRule="exact"/>
      <w:ind w:left="357"/>
      <w:jc w:val="left"/>
      <w:outlineLvl w:val="3"/>
    </w:pPr>
    <w:rPr>
      <w:rFonts w:ascii="Tahoma" w:hAnsi="Tahoma"/>
      <w:b/>
      <w:sz w:val="24"/>
      <w:szCs w:val="32"/>
    </w:rPr>
  </w:style>
  <w:style w:type="paragraph" w:customStyle="1" w:styleId="18">
    <w:name w:val="Char Char"/>
    <w:basedOn w:val="3"/>
    <w:qFormat/>
    <w:uiPriority w:val="0"/>
    <w:rPr>
      <w:rFonts w:ascii="Tahoma" w:hAnsi="Tahoma"/>
      <w:sz w:val="24"/>
      <w:szCs w:val="20"/>
    </w:rPr>
  </w:style>
  <w:style w:type="paragraph" w:customStyle="1" w:styleId="19">
    <w:name w:val="Char Char Char Char Char Char Char Char Char Char Char Char"/>
    <w:basedOn w:val="3"/>
    <w:qFormat/>
    <w:uiPriority w:val="0"/>
    <w:pPr>
      <w:adjustRightInd w:val="0"/>
      <w:spacing w:line="436" w:lineRule="exact"/>
      <w:ind w:left="357"/>
      <w:jc w:val="left"/>
      <w:outlineLvl w:val="3"/>
    </w:pPr>
    <w:rPr>
      <w:rFonts w:ascii="Tahoma" w:hAnsi="Tahoma"/>
      <w:b/>
      <w:sz w:val="24"/>
    </w:rPr>
  </w:style>
  <w:style w:type="character" w:customStyle="1" w:styleId="20">
    <w:name w:val="页眉 Char"/>
    <w:link w:val="7"/>
    <w:qFormat/>
    <w:uiPriority w:val="0"/>
    <w:rPr>
      <w:kern w:val="2"/>
      <w:sz w:val="18"/>
      <w:szCs w:val="18"/>
    </w:rPr>
  </w:style>
  <w:style w:type="character" w:customStyle="1" w:styleId="21">
    <w:name w:val="jiuc"/>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ompany>
  <Pages>6</Pages>
  <Words>337</Words>
  <Characters>1923</Characters>
  <Lines>16</Lines>
  <Paragraphs>4</Paragraphs>
  <ScaleCrop>false</ScaleCrop>
  <LinksUpToDate>false</LinksUpToDate>
  <CharactersWithSpaces>2256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2016-02-22T09:36:00Z</dcterms:created>
  <dc:creator>ss</dc:creator>
  <cp:lastModifiedBy>liuwei</cp:lastModifiedBy>
  <cp:lastPrinted>2019-02-13T05:14:00Z</cp:lastPrinted>
  <dcterms:modified xsi:type="dcterms:W3CDTF">2019-02-14T08:09:44Z</dcterms:modified>
  <dc:title>北京市200×年××局政府信息公开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