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adjustRightInd w:val="0"/>
        <w:spacing w:before="312" w:beforeLines="100" w:after="312" w:afterLines="100" w:line="560" w:lineRule="exact"/>
        <w:rPr>
          <w:rFonts w:hint="eastAsia" w:ascii="华文中宋" w:hAnsi="华文中宋" w:eastAsia="华文中宋"/>
          <w:b/>
          <w:color w:val="auto"/>
          <w:sz w:val="36"/>
          <w:szCs w:val="36"/>
          <w:lang w:val="en-US" w:eastAsia="zh-CN"/>
        </w:rPr>
      </w:pPr>
      <w:r>
        <w:rPr>
          <w:rFonts w:hint="eastAsia" w:ascii="华文中宋" w:hAnsi="华文中宋" w:eastAsia="华文中宋"/>
          <w:b/>
          <w:color w:val="auto"/>
          <w:sz w:val="36"/>
          <w:szCs w:val="36"/>
          <w:lang w:val="en-US" w:eastAsia="zh-CN"/>
        </w:rPr>
        <w:t xml:space="preserve"> </w:t>
      </w:r>
    </w:p>
    <w:p>
      <w:pPr>
        <w:pStyle w:val="3"/>
        <w:adjustRightInd w:val="0"/>
        <w:spacing w:before="312" w:beforeLines="100" w:after="312" w:afterLines="100" w:line="560" w:lineRule="exact"/>
        <w:rPr>
          <w:rFonts w:ascii="华文中宋" w:hAnsi="华文中宋" w:eastAsia="华文中宋"/>
          <w:b/>
          <w:color w:val="auto"/>
          <w:sz w:val="36"/>
          <w:szCs w:val="36"/>
        </w:rPr>
      </w:pPr>
    </w:p>
    <w:p>
      <w:pPr>
        <w:pStyle w:val="3"/>
        <w:adjustRightInd w:val="0"/>
        <w:spacing w:before="312" w:beforeLines="100" w:after="312" w:afterLines="100" w:line="560" w:lineRule="exact"/>
        <w:rPr>
          <w:rFonts w:ascii="华文中宋" w:hAnsi="华文中宋" w:eastAsia="华文中宋"/>
          <w:b/>
          <w:color w:val="auto"/>
          <w:sz w:val="36"/>
          <w:szCs w:val="36"/>
        </w:rPr>
      </w:pPr>
    </w:p>
    <w:p>
      <w:pPr>
        <w:pStyle w:val="3"/>
        <w:adjustRightInd w:val="0"/>
        <w:spacing w:before="312" w:beforeLines="100" w:after="312" w:afterLines="100" w:line="560" w:lineRule="exact"/>
        <w:rPr>
          <w:rFonts w:ascii="华文中宋" w:hAnsi="华文中宋" w:eastAsia="华文中宋"/>
          <w:b/>
          <w:color w:val="auto"/>
          <w:sz w:val="36"/>
          <w:szCs w:val="36"/>
        </w:rPr>
      </w:pPr>
    </w:p>
    <w:p>
      <w:pPr>
        <w:pStyle w:val="3"/>
        <w:adjustRightInd w:val="0"/>
        <w:spacing w:before="312" w:beforeLines="100" w:after="312" w:afterLines="100" w:line="560" w:lineRule="exact"/>
        <w:rPr>
          <w:rFonts w:ascii="华文中宋" w:hAnsi="华文中宋" w:eastAsia="华文中宋"/>
          <w:b/>
          <w:color w:val="auto"/>
          <w:sz w:val="36"/>
          <w:szCs w:val="36"/>
        </w:rPr>
      </w:pPr>
      <w:bookmarkStart w:id="0" w:name="_GoBack"/>
      <w:bookmarkEnd w:id="0"/>
    </w:p>
    <w:p>
      <w:pPr>
        <w:pStyle w:val="3"/>
        <w:adjustRightInd w:val="0"/>
        <w:spacing w:before="312" w:beforeLines="100" w:after="312" w:afterLines="100" w:line="560" w:lineRule="exact"/>
        <w:rPr>
          <w:rFonts w:ascii="华文中宋" w:hAnsi="华文中宋" w:eastAsia="华文中宋"/>
          <w:b/>
          <w:color w:val="auto"/>
          <w:szCs w:val="44"/>
        </w:rPr>
      </w:pPr>
      <w:r>
        <w:rPr>
          <w:rFonts w:hint="eastAsia" w:ascii="华文中宋" w:hAnsi="华文中宋" w:eastAsia="华文中宋"/>
          <w:b/>
          <w:color w:val="auto"/>
          <w:szCs w:val="44"/>
        </w:rPr>
        <w:t>北京市大兴区</w:t>
      </w:r>
      <w:r>
        <w:rPr>
          <w:rFonts w:hint="eastAsia" w:ascii="华文中宋" w:hAnsi="华文中宋" w:eastAsia="华文中宋"/>
          <w:b/>
          <w:color w:val="auto"/>
          <w:szCs w:val="44"/>
          <w:lang w:eastAsia="zh-CN"/>
        </w:rPr>
        <w:t>园林绿化局</w:t>
      </w:r>
      <w:r>
        <w:rPr>
          <w:rFonts w:hint="eastAsia" w:ascii="华文中宋" w:hAnsi="华文中宋" w:eastAsia="华文中宋"/>
          <w:b/>
          <w:color w:val="auto"/>
          <w:szCs w:val="44"/>
        </w:rPr>
        <w:t>201</w:t>
      </w:r>
      <w:r>
        <w:rPr>
          <w:rFonts w:hint="eastAsia" w:ascii="华文中宋" w:hAnsi="华文中宋" w:eastAsia="华文中宋"/>
          <w:b/>
          <w:color w:val="auto"/>
          <w:szCs w:val="44"/>
          <w:lang w:val="en-US" w:eastAsia="zh-CN"/>
        </w:rPr>
        <w:t>8</w:t>
      </w:r>
      <w:r>
        <w:rPr>
          <w:rFonts w:hint="eastAsia" w:ascii="华文中宋" w:hAnsi="华文中宋" w:eastAsia="华文中宋"/>
          <w:b/>
          <w:color w:val="auto"/>
          <w:szCs w:val="44"/>
        </w:rPr>
        <w:t>年度</w:t>
      </w:r>
    </w:p>
    <w:p>
      <w:pPr>
        <w:pStyle w:val="3"/>
        <w:adjustRightInd w:val="0"/>
        <w:spacing w:before="312" w:beforeLines="100" w:after="312" w:afterLines="100" w:line="560" w:lineRule="exact"/>
        <w:rPr>
          <w:rFonts w:ascii="华文中宋" w:hAnsi="华文中宋" w:eastAsia="华文中宋"/>
          <w:b/>
          <w:color w:val="auto"/>
          <w:sz w:val="52"/>
          <w:szCs w:val="52"/>
        </w:rPr>
      </w:pPr>
      <w:r>
        <w:rPr>
          <w:rFonts w:hint="eastAsia" w:ascii="华文中宋" w:hAnsi="华文中宋" w:eastAsia="华文中宋"/>
          <w:b/>
          <w:color w:val="auto"/>
          <w:szCs w:val="44"/>
        </w:rPr>
        <w:t>政府信息公开工作年度报告</w:t>
      </w:r>
    </w:p>
    <w:p>
      <w:pPr>
        <w:widowControl/>
        <w:spacing w:line="560" w:lineRule="exact"/>
        <w:ind w:firstLine="641" w:firstLineChars="304"/>
        <w:outlineLvl w:val="0"/>
        <w:rPr>
          <w:rFonts w:hint="eastAsia" w:ascii="仿宋_GB2312" w:hAnsi="仿宋_GB2312" w:eastAsia="仿宋_GB2312" w:cs="仿宋_GB2312"/>
          <w:color w:val="000000"/>
          <w:kern w:val="0"/>
          <w:sz w:val="32"/>
          <w:szCs w:val="32"/>
        </w:rPr>
      </w:pPr>
      <w:r>
        <w:rPr>
          <w:rFonts w:ascii="宋体" w:hAnsi="宋体"/>
          <w:b/>
          <w:szCs w:val="44"/>
        </w:rPr>
        <w:br w:type="page"/>
      </w:r>
      <w:r>
        <w:rPr>
          <w:rFonts w:hint="eastAsia" w:ascii="仿宋_GB2312" w:hAnsi="仿宋_GB2312" w:eastAsia="仿宋_GB2312" w:cs="仿宋_GB2312"/>
          <w:color w:val="000000"/>
          <w:kern w:val="0"/>
          <w:sz w:val="32"/>
          <w:szCs w:val="32"/>
        </w:rPr>
        <w:t>本报告是根据《中华人民共和国政府信息公开条例》（以下</w:t>
      </w:r>
      <w:r>
        <w:rPr>
          <w:rFonts w:hint="eastAsia" w:ascii="仿宋_GB2312" w:hAnsi="仿宋_GB2312" w:eastAsia="仿宋_GB2312" w:cs="仿宋_GB2312"/>
          <w:sz w:val="32"/>
          <w:szCs w:val="32"/>
        </w:rPr>
        <w:t>简称《条例》）要求</w:t>
      </w:r>
      <w:r>
        <w:rPr>
          <w:rFonts w:hint="eastAsia" w:ascii="仿宋_GB2312" w:hAnsi="仿宋_GB2312" w:eastAsia="仿宋_GB2312" w:cs="仿宋_GB2312"/>
          <w:color w:val="000000"/>
          <w:sz w:val="32"/>
          <w:szCs w:val="32"/>
        </w:rPr>
        <w:t>，由北京市大兴区</w:t>
      </w:r>
      <w:r>
        <w:rPr>
          <w:rFonts w:hint="eastAsia" w:ascii="仿宋_GB2312" w:hAnsi="仿宋_GB2312" w:eastAsia="仿宋_GB2312" w:cs="仿宋_GB2312"/>
          <w:color w:val="000000"/>
          <w:sz w:val="32"/>
          <w:szCs w:val="32"/>
          <w:lang w:eastAsia="zh-CN"/>
        </w:rPr>
        <w:t>园林绿化局</w:t>
      </w:r>
      <w:r>
        <w:rPr>
          <w:rFonts w:hint="eastAsia" w:ascii="仿宋_GB2312" w:hAnsi="仿宋_GB2312" w:eastAsia="仿宋_GB2312" w:cs="仿宋_GB2312"/>
          <w:color w:val="000000"/>
          <w:sz w:val="32"/>
          <w:szCs w:val="32"/>
        </w:rPr>
        <w:t>编</w:t>
      </w:r>
      <w:r>
        <w:rPr>
          <w:rFonts w:hint="eastAsia" w:ascii="仿宋_GB2312" w:hAnsi="仿宋_GB2312" w:eastAsia="仿宋_GB2312" w:cs="仿宋_GB2312"/>
          <w:color w:val="000000"/>
          <w:kern w:val="0"/>
          <w:sz w:val="32"/>
          <w:szCs w:val="32"/>
        </w:rPr>
        <w:t>制的201</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年度政府信息公开年度报告。</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本报告中所列数据的统计期限自201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年1月1日起至201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年12月31日止。本报告的电子</w:t>
      </w:r>
      <w:r>
        <w:rPr>
          <w:rFonts w:hint="eastAsia" w:ascii="仿宋_GB2312" w:hAnsi="仿宋_GB2312" w:eastAsia="仿宋_GB2312" w:cs="仿宋_GB2312"/>
          <w:spacing w:val="-2"/>
          <w:kern w:val="0"/>
          <w:sz w:val="32"/>
          <w:szCs w:val="32"/>
        </w:rPr>
        <w:t>版可在大兴信息网（</w:t>
      </w:r>
      <w:r>
        <w:rPr>
          <w:rFonts w:hint="eastAsia" w:ascii="仿宋_GB2312" w:hAnsi="仿宋_GB2312" w:eastAsia="仿宋_GB2312" w:cs="仿宋_GB2312"/>
          <w:color w:val="000000"/>
          <w:spacing w:val="-12"/>
          <w:kern w:val="0"/>
          <w:sz w:val="32"/>
          <w:szCs w:val="32"/>
        </w:rPr>
        <w:t>http://zfxxgk.beijing.gov.cn/dxq380/zfxxgknb/dxqbm_yjlist.shtml</w:t>
      </w:r>
      <w:r>
        <w:rPr>
          <w:rFonts w:hint="eastAsia" w:ascii="仿宋_GB2312" w:hAnsi="仿宋_GB2312" w:eastAsia="仿宋_GB2312" w:cs="仿宋_GB2312"/>
          <w:spacing w:val="-2"/>
          <w:kern w:val="0"/>
          <w:sz w:val="32"/>
          <w:szCs w:val="32"/>
        </w:rPr>
        <w:t>）信息公开栏目中下载。</w:t>
      </w:r>
      <w:r>
        <w:rPr>
          <w:rFonts w:hint="eastAsia" w:ascii="仿宋_GB2312" w:hAnsi="仿宋_GB2312" w:eastAsia="仿宋_GB2312" w:cs="仿宋_GB2312"/>
          <w:kern w:val="0"/>
          <w:sz w:val="32"/>
          <w:szCs w:val="32"/>
        </w:rPr>
        <w:t>如对报告有任何疑问，请与</w:t>
      </w:r>
      <w:r>
        <w:rPr>
          <w:rFonts w:hint="eastAsia" w:ascii="仿宋_GB2312" w:hAnsi="仿宋_GB2312" w:eastAsia="仿宋_GB2312" w:cs="仿宋_GB2312"/>
          <w:color w:val="000000"/>
          <w:sz w:val="32"/>
          <w:szCs w:val="32"/>
        </w:rPr>
        <w:t>北京市大兴区</w:t>
      </w:r>
      <w:r>
        <w:rPr>
          <w:rFonts w:hint="eastAsia" w:ascii="仿宋_GB2312" w:hAnsi="仿宋_GB2312" w:eastAsia="仿宋_GB2312" w:cs="仿宋_GB2312"/>
          <w:color w:val="000000"/>
          <w:sz w:val="32"/>
          <w:szCs w:val="32"/>
          <w:lang w:eastAsia="zh-CN"/>
        </w:rPr>
        <w:t>园林绿化局</w:t>
      </w:r>
      <w:r>
        <w:rPr>
          <w:rFonts w:hint="eastAsia" w:ascii="仿宋_GB2312" w:hAnsi="仿宋_GB2312" w:eastAsia="仿宋_GB2312" w:cs="仿宋_GB2312"/>
          <w:kern w:val="0"/>
          <w:sz w:val="32"/>
          <w:szCs w:val="32"/>
        </w:rPr>
        <w:t>联系（地址:北京市大兴区</w:t>
      </w:r>
      <w:r>
        <w:rPr>
          <w:rFonts w:hint="eastAsia" w:ascii="仿宋_GB2312" w:hAnsi="仿宋_GB2312" w:eastAsia="仿宋_GB2312" w:cs="仿宋_GB2312"/>
          <w:color w:val="000000"/>
          <w:kern w:val="0"/>
          <w:sz w:val="32"/>
          <w:szCs w:val="32"/>
          <w:lang w:eastAsia="zh-CN"/>
        </w:rPr>
        <w:t>永华南里</w:t>
      </w:r>
      <w:r>
        <w:rPr>
          <w:rFonts w:hint="eastAsia" w:ascii="仿宋_GB2312" w:hAnsi="仿宋_GB2312" w:eastAsia="仿宋_GB2312" w:cs="仿宋_GB2312"/>
          <w:color w:val="000000"/>
          <w:kern w:val="0"/>
          <w:sz w:val="32"/>
          <w:szCs w:val="32"/>
          <w:lang w:val="en-US" w:eastAsia="zh-CN"/>
        </w:rPr>
        <w:t>14号楼1501室</w:t>
      </w:r>
      <w:r>
        <w:rPr>
          <w:rFonts w:hint="eastAsia" w:ascii="仿宋_GB2312" w:hAnsi="仿宋_GB2312" w:eastAsia="仿宋_GB2312" w:cs="仿宋_GB2312"/>
          <w:kern w:val="0"/>
          <w:sz w:val="32"/>
          <w:szCs w:val="32"/>
        </w:rPr>
        <w:t>；邮编：</w:t>
      </w:r>
      <w:r>
        <w:rPr>
          <w:rFonts w:hint="eastAsia" w:ascii="仿宋_GB2312" w:hAnsi="仿宋_GB2312" w:eastAsia="仿宋_GB2312" w:cs="仿宋_GB2312"/>
          <w:color w:val="000000"/>
          <w:kern w:val="0"/>
          <w:sz w:val="32"/>
          <w:szCs w:val="32"/>
          <w:lang w:val="en-US" w:eastAsia="zh-CN"/>
        </w:rPr>
        <w:t>102600</w:t>
      </w:r>
      <w:r>
        <w:rPr>
          <w:rFonts w:hint="eastAsia" w:ascii="仿宋_GB2312" w:hAnsi="仿宋_GB2312" w:eastAsia="仿宋_GB2312" w:cs="仿宋_GB2312"/>
          <w:kern w:val="0"/>
          <w:sz w:val="32"/>
          <w:szCs w:val="32"/>
        </w:rPr>
        <w:t>；</w:t>
      </w:r>
      <w:r>
        <w:rPr>
          <w:rFonts w:hint="eastAsia" w:ascii="仿宋_GB2312" w:hAnsi="仿宋_GB2312" w:eastAsia="仿宋_GB2312" w:cs="仿宋_GB2312"/>
          <w:spacing w:val="-12"/>
          <w:kern w:val="15"/>
          <w:sz w:val="32"/>
          <w:szCs w:val="32"/>
        </w:rPr>
        <w:t>联系电话：010-</w:t>
      </w:r>
      <w:r>
        <w:rPr>
          <w:rFonts w:hint="eastAsia" w:ascii="仿宋_GB2312" w:hAnsi="仿宋_GB2312" w:eastAsia="仿宋_GB2312" w:cs="仿宋_GB2312"/>
          <w:color w:val="000000"/>
          <w:kern w:val="0"/>
          <w:sz w:val="32"/>
          <w:szCs w:val="32"/>
          <w:lang w:val="en-US" w:eastAsia="zh-CN"/>
        </w:rPr>
        <w:t>81298044</w:t>
      </w:r>
      <w:r>
        <w:rPr>
          <w:rFonts w:hint="eastAsia" w:ascii="仿宋_GB2312" w:hAnsi="仿宋_GB2312" w:eastAsia="仿宋_GB2312" w:cs="仿宋_GB2312"/>
          <w:spacing w:val="-12"/>
          <w:kern w:val="15"/>
          <w:sz w:val="32"/>
          <w:szCs w:val="32"/>
        </w:rPr>
        <w:t>；电子邮箱：</w:t>
      </w:r>
      <w:r>
        <w:rPr>
          <w:rFonts w:hint="eastAsia" w:ascii="仿宋_GB2312" w:hAnsi="仿宋_GB2312" w:eastAsia="仿宋_GB2312" w:cs="仿宋_GB2312"/>
          <w:spacing w:val="-12"/>
          <w:kern w:val="15"/>
          <w:sz w:val="32"/>
          <w:szCs w:val="32"/>
          <w:lang w:eastAsia="zh-CN"/>
        </w:rPr>
        <w:t>（</w:t>
      </w:r>
      <w:r>
        <w:rPr>
          <w:rFonts w:hint="eastAsia" w:ascii="仿宋_GB2312" w:hAnsi="仿宋_GB2312" w:eastAsia="仿宋_GB2312" w:cs="仿宋_GB2312"/>
          <w:color w:val="000000"/>
          <w:kern w:val="0"/>
          <w:sz w:val="32"/>
          <w:szCs w:val="32"/>
          <w:lang w:val="en-US" w:eastAsia="zh-CN"/>
        </w:rPr>
        <w:t>yljdzb@bjdx.gov.cn</w:t>
      </w:r>
      <w:r>
        <w:rPr>
          <w:rFonts w:hint="eastAsia" w:ascii="仿宋_GB2312" w:hAnsi="仿宋_GB2312" w:eastAsia="仿宋_GB2312" w:cs="仿宋_GB2312"/>
          <w:spacing w:val="-12"/>
          <w:kern w:val="15"/>
          <w:sz w:val="32"/>
          <w:szCs w:val="32"/>
        </w:rPr>
        <w:t>）。</w:t>
      </w:r>
    </w:p>
    <w:p>
      <w:pPr>
        <w:widowControl/>
        <w:spacing w:after="312" w:afterLines="100"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br w:type="page"/>
      </w:r>
      <w:r>
        <w:rPr>
          <w:rFonts w:hint="eastAsia" w:ascii="黑体" w:hAnsi="宋体" w:eastAsia="黑体" w:cs="宋体"/>
          <w:color w:val="000000"/>
          <w:kern w:val="0"/>
          <w:sz w:val="32"/>
          <w:szCs w:val="32"/>
        </w:rPr>
        <w:t>一、概述</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政府信息公开工作由区园林绿化局政府信息公开领导小组负责，</w:t>
      </w:r>
      <w:r>
        <w:rPr>
          <w:rFonts w:hint="eastAsia" w:ascii="仿宋_GB2312" w:hAnsi="仿宋_GB2312" w:eastAsia="仿宋_GB2312" w:cs="仿宋_GB2312"/>
          <w:color w:val="000000"/>
          <w:sz w:val="32"/>
          <w:szCs w:val="32"/>
        </w:rPr>
        <w:t>副书记王金星</w:t>
      </w:r>
      <w:r>
        <w:rPr>
          <w:rFonts w:hint="eastAsia" w:ascii="仿宋_GB2312" w:hAnsi="仿宋_GB2312" w:eastAsia="仿宋_GB2312" w:cs="仿宋_GB2312"/>
          <w:sz w:val="32"/>
          <w:szCs w:val="32"/>
        </w:rPr>
        <w:t>担任组长，做到了分管领导、主管部门、工作机构、工作人员、岗位职责的五落实，信息公开工作有专人负责，专机录入。</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依申请公开目录、不予公开的政府信息目录均已编制完成，已交保密局和档案馆备案。参照市、区有关要求，安排了公开受理场所和渠道，申请、接待、受理、处理、答复等工作流程在公开场所公布。市政府信息公开工作管理系统使用基本正常，由专人负责录入。公开场所为园林绿化局网站、服务大厅窗口。</w:t>
      </w:r>
    </w:p>
    <w:p>
      <w:pPr>
        <w:widowControl/>
        <w:spacing w:before="312" w:beforeLines="100" w:after="312" w:afterLines="100" w:line="560" w:lineRule="exact"/>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二、主动公开情况</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条例》第9至12条规定的主动公开政府信息范围，本局开展了信息清理和目录编制工作，并按照《条例》第15条规定，通过政府网站、政府公报、电视、广播、报纸等便于公众知晓的方式主动公开。按照《条例》 第16条规定，继续完善政府信息公开大厅等政府信息公开查阅场所，为公民、法人或者其他组织获取政府信息提供便利。</w:t>
      </w:r>
    </w:p>
    <w:p>
      <w:pPr>
        <w:widowControl/>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（一）主动公开数据</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年主动公开政府信息数</w:t>
      </w:r>
      <w:r>
        <w:rPr>
          <w:rFonts w:hint="eastAsia" w:ascii="仿宋_GB2312" w:hAnsi="仿宋_GB2312" w:eastAsia="仿宋_GB2312" w:cs="仿宋_GB2312"/>
          <w:kern w:val="0"/>
          <w:sz w:val="32"/>
          <w:szCs w:val="32"/>
          <w:lang w:val="en-US" w:eastAsia="zh-CN"/>
        </w:rPr>
        <w:t>1507</w:t>
      </w:r>
      <w:r>
        <w:rPr>
          <w:rFonts w:hint="eastAsia" w:ascii="仿宋_GB2312" w:hAnsi="仿宋_GB2312" w:eastAsia="仿宋_GB2312" w:cs="仿宋_GB2312"/>
          <w:sz w:val="32"/>
          <w:szCs w:val="32"/>
        </w:rPr>
        <w:t>条。其中，机构职能类信息</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sz w:val="32"/>
          <w:szCs w:val="32"/>
        </w:rPr>
        <w:t>条，占总数的</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rPr>
        <w:t>%；法规文件类信息</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sz w:val="32"/>
          <w:szCs w:val="32"/>
        </w:rPr>
        <w:t>条，占总数的</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rPr>
        <w:t>%；规划计划类信息</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sz w:val="32"/>
          <w:szCs w:val="32"/>
        </w:rPr>
        <w:t>条，占总数的</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rPr>
        <w:t>%；行政职责类信息</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条，占总数的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%；业务动态类信息</w:t>
      </w:r>
      <w:r>
        <w:rPr>
          <w:rFonts w:hint="eastAsia" w:ascii="仿宋_GB2312" w:hAnsi="仿宋_GB2312" w:eastAsia="仿宋_GB2312" w:cs="仿宋_GB2312"/>
          <w:kern w:val="0"/>
          <w:sz w:val="32"/>
          <w:szCs w:val="32"/>
          <w:lang w:val="en-US" w:eastAsia="zh-CN"/>
        </w:rPr>
        <w:t>1448</w:t>
      </w:r>
      <w:r>
        <w:rPr>
          <w:rFonts w:hint="eastAsia" w:ascii="仿宋_GB2312" w:hAnsi="仿宋_GB2312" w:eastAsia="仿宋_GB2312" w:cs="仿宋_GB2312"/>
          <w:sz w:val="32"/>
          <w:szCs w:val="32"/>
        </w:rPr>
        <w:t>条，占总数的</w:t>
      </w:r>
      <w:r>
        <w:rPr>
          <w:rFonts w:hint="eastAsia" w:ascii="仿宋_GB2312" w:hAnsi="仿宋_GB2312" w:eastAsia="仿宋_GB2312" w:cs="仿宋_GB2312"/>
          <w:kern w:val="0"/>
          <w:sz w:val="32"/>
          <w:szCs w:val="32"/>
          <w:lang w:val="en-US" w:eastAsia="zh-CN"/>
        </w:rPr>
        <w:t>96</w:t>
      </w:r>
      <w:r>
        <w:rPr>
          <w:rFonts w:hint="eastAsia" w:ascii="仿宋_GB2312" w:hAnsi="仿宋_GB2312" w:eastAsia="仿宋_GB2312" w:cs="仿宋_GB2312"/>
          <w:sz w:val="32"/>
          <w:szCs w:val="32"/>
        </w:rPr>
        <w:t>%。主动公开规范性文件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rPr>
        <w:t>件。</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重点领域公开政府信息数</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sz w:val="32"/>
          <w:szCs w:val="32"/>
        </w:rPr>
        <w:t>条。其中，主动公开财政预算决算、“三公经费”和行政经费信息数</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rPr>
        <w:t>条。</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通过不同渠道和方式公开政府信息的情况，包括政府网站公开政府信息数</w:t>
      </w:r>
      <w:r>
        <w:rPr>
          <w:rFonts w:hint="eastAsia" w:ascii="仿宋_GB2312" w:hAnsi="仿宋_GB2312" w:eastAsia="仿宋_GB2312" w:cs="仿宋_GB2312"/>
          <w:kern w:val="0"/>
          <w:sz w:val="32"/>
          <w:szCs w:val="32"/>
          <w:lang w:val="en-US" w:eastAsia="zh-CN"/>
        </w:rPr>
        <w:t>1448</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p>
    <w:p>
      <w:pPr>
        <w:widowControl/>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（二）回应解读</w:t>
      </w:r>
      <w:r>
        <w:rPr>
          <w:rFonts w:ascii="楷体_GB2312" w:hAnsi="宋体" w:eastAsia="楷体_GB2312" w:cs="宋体"/>
          <w:b/>
          <w:kern w:val="0"/>
          <w:sz w:val="32"/>
          <w:szCs w:val="32"/>
        </w:rPr>
        <w:t>情况</w:t>
      </w:r>
    </w:p>
    <w:p>
      <w:pPr>
        <w:widowControl/>
        <w:spacing w:line="560" w:lineRule="exact"/>
        <w:ind w:firstLine="640" w:firstLineChars="200"/>
        <w:rPr>
          <w:rFonts w:hint="eastAsia" w:ascii="仿宋_GB2312" w:hAnsi="仿宋_GB2312" w:eastAsia="仿宋_GB2312" w:cs="仿宋_GB2312"/>
          <w:i/>
          <w:color w:val="0000FF"/>
          <w:sz w:val="32"/>
          <w:szCs w:val="32"/>
        </w:rPr>
      </w:pPr>
      <w:r>
        <w:rPr>
          <w:rFonts w:hint="eastAsia" w:ascii="仿宋_GB2312" w:hAnsi="仿宋_GB2312" w:eastAsia="仿宋_GB2312" w:cs="仿宋_GB2312"/>
          <w:sz w:val="32"/>
          <w:szCs w:val="32"/>
        </w:rPr>
        <w:t>回应公众关注热点或重大舆情数</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rPr>
        <w:t>次。包括，参加或举办新闻发布会总次数</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rPr>
        <w:t>次（主要负责同志参加新闻发布会次数</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rPr>
        <w:t>次）。</w:t>
      </w:r>
    </w:p>
    <w:p>
      <w:pPr>
        <w:widowControl/>
        <w:spacing w:before="312" w:beforeLines="100" w:after="312"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三、依申请公开情况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按照《条例》第13条规定，</w:t>
      </w:r>
      <w:r>
        <w:rPr>
          <w:rFonts w:hint="eastAsia" w:ascii="仿宋_GB2312" w:hAnsi="华文中宋" w:eastAsia="仿宋_GB2312"/>
          <w:sz w:val="32"/>
          <w:szCs w:val="32"/>
        </w:rPr>
        <w:t>本</w:t>
      </w:r>
      <w:r>
        <w:rPr>
          <w:rFonts w:hint="eastAsia" w:ascii="仿宋_GB2312" w:hAnsi="华文中宋" w:eastAsia="仿宋_GB2312"/>
          <w:sz w:val="32"/>
          <w:szCs w:val="32"/>
          <w:lang w:eastAsia="zh-CN"/>
        </w:rPr>
        <w:t>局</w:t>
      </w:r>
      <w:r>
        <w:rPr>
          <w:rFonts w:hint="eastAsia" w:ascii="仿宋_GB2312" w:hAnsi="宋体" w:eastAsia="仿宋_GB2312" w:cs="宋体"/>
          <w:kern w:val="0"/>
          <w:sz w:val="32"/>
          <w:szCs w:val="32"/>
        </w:rPr>
        <w:t>自《条例》实施之日起正式受理</w:t>
      </w:r>
      <w:r>
        <w:rPr>
          <w:rFonts w:hint="eastAsia" w:ascii="仿宋_GB2312" w:hAnsi="华文中宋" w:eastAsia="仿宋_GB2312"/>
          <w:sz w:val="32"/>
          <w:szCs w:val="32"/>
        </w:rPr>
        <w:t>公民、法人或者其他组织根据自身生产、生活、科研等特殊需要提出的政府信息公开申请。为落实《条例》确定的政府信息依申请公开制度，本</w:t>
      </w:r>
      <w:r>
        <w:rPr>
          <w:rFonts w:hint="eastAsia" w:ascii="仿宋_GB2312" w:hAnsi="华文中宋" w:eastAsia="仿宋_GB2312"/>
          <w:sz w:val="32"/>
          <w:szCs w:val="32"/>
          <w:lang w:eastAsia="zh-CN"/>
        </w:rPr>
        <w:t>局</w:t>
      </w:r>
      <w:r>
        <w:rPr>
          <w:rFonts w:hint="eastAsia" w:ascii="仿宋_GB2312" w:hAnsi="宋体" w:eastAsia="仿宋_GB2312" w:cs="宋体"/>
          <w:kern w:val="0"/>
          <w:sz w:val="32"/>
          <w:szCs w:val="32"/>
        </w:rPr>
        <w:t>继续完善政府信息公开申请受理场所，并公布政府信息公开受理机构的联系方式。</w:t>
      </w:r>
    </w:p>
    <w:p>
      <w:pPr>
        <w:widowControl/>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（一）申请情况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华文中宋" w:eastAsia="仿宋_GB2312"/>
          <w:sz w:val="32"/>
          <w:szCs w:val="32"/>
        </w:rPr>
        <w:t>本</w:t>
      </w:r>
      <w:r>
        <w:rPr>
          <w:rFonts w:hint="eastAsia" w:ascii="仿宋_GB2312" w:hAnsi="华文中宋" w:eastAsia="仿宋_GB2312"/>
          <w:sz w:val="32"/>
          <w:szCs w:val="32"/>
          <w:lang w:eastAsia="zh-CN"/>
        </w:rPr>
        <w:t>局</w:t>
      </w: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年度共收到各类政府信息公开申请</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件，其中，</w:t>
      </w:r>
      <w:r>
        <w:rPr>
          <w:rFonts w:hint="eastAsia" w:ascii="仿宋_GB2312" w:hAnsi="宋体" w:eastAsia="仿宋_GB2312" w:cs="宋体"/>
          <w:kern w:val="0"/>
          <w:sz w:val="32"/>
          <w:szCs w:val="32"/>
          <w:lang w:eastAsia="zh-CN"/>
        </w:rPr>
        <w:t>当面申请数</w:t>
      </w:r>
      <w:r>
        <w:rPr>
          <w:rFonts w:hint="eastAsia" w:ascii="仿宋_GB2312" w:hAnsi="宋体" w:eastAsia="仿宋_GB2312" w:cs="宋体"/>
          <w:kern w:val="0"/>
          <w:sz w:val="32"/>
          <w:szCs w:val="32"/>
          <w:lang w:val="en-US" w:eastAsia="zh-CN"/>
        </w:rPr>
        <w:t>1件、</w:t>
      </w:r>
      <w:r>
        <w:rPr>
          <w:rFonts w:hint="eastAsia" w:ascii="仿宋_GB2312" w:hAnsi="宋体" w:eastAsia="仿宋_GB2312" w:cs="宋体"/>
          <w:kern w:val="0"/>
          <w:sz w:val="32"/>
          <w:szCs w:val="32"/>
        </w:rPr>
        <w:t>占总数的</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%，以信函形式申请</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%，同上年相比，</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件。</w:t>
      </w:r>
    </w:p>
    <w:p>
      <w:pPr>
        <w:widowControl/>
        <w:spacing w:line="560" w:lineRule="exact"/>
        <w:ind w:firstLine="643"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从申请的信息内容来看，</w:t>
      </w:r>
      <w:r>
        <w:rPr>
          <w:rFonts w:ascii="仿宋_GB2312" w:hAnsi="宋体" w:eastAsia="仿宋_GB2312" w:cs="宋体"/>
          <w:kern w:val="0"/>
          <w:sz w:val="32"/>
          <w:szCs w:val="32"/>
        </w:rPr>
        <w:t>申请</w:t>
      </w:r>
      <w:r>
        <w:rPr>
          <w:rFonts w:hint="eastAsia" w:ascii="仿宋_GB2312" w:hAnsi="宋体" w:eastAsia="仿宋_GB2312" w:cs="宋体"/>
          <w:kern w:val="0"/>
          <w:sz w:val="32"/>
          <w:szCs w:val="32"/>
        </w:rPr>
        <w:t>行政职责类信息</w:t>
      </w:r>
      <w:r>
        <w:rPr>
          <w:rFonts w:ascii="仿宋_GB2312" w:hAnsi="宋体" w:eastAsia="仿宋_GB2312" w:cs="宋体"/>
          <w:kern w:val="0"/>
          <w:sz w:val="32"/>
          <w:szCs w:val="32"/>
        </w:rPr>
        <w:t>占</w:t>
      </w:r>
      <w:r>
        <w:rPr>
          <w:rFonts w:hint="eastAsia" w:ascii="仿宋_GB2312" w:hAnsi="宋体" w:eastAsia="仿宋_GB2312" w:cs="宋体"/>
          <w:kern w:val="0"/>
          <w:sz w:val="32"/>
          <w:szCs w:val="32"/>
          <w:lang w:val="en-US" w:eastAsia="zh-CN"/>
        </w:rPr>
        <w:t>100</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 xml:space="preserve">  </w:t>
      </w:r>
    </w:p>
    <w:p>
      <w:pPr>
        <w:widowControl/>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（二）答复情况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已到答复期的</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件申请全部按期答复，其中：</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“同意公开”的</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w:t>
      </w:r>
    </w:p>
    <w:p>
      <w:pPr>
        <w:widowControl/>
        <w:spacing w:line="560" w:lineRule="exact"/>
        <w:ind w:firstLine="640" w:firstLineChars="200"/>
        <w:rPr>
          <w:rFonts w:hint="eastAsia" w:ascii="仿宋_GB2312" w:hAnsi="宋体" w:eastAsia="仿宋_GB2312"/>
          <w:i w:val="0"/>
          <w:iCs/>
          <w:color w:val="00000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不属于本行政机关公开范围</w:t>
      </w:r>
      <w:r>
        <w:rPr>
          <w:rFonts w:hint="eastAsia" w:ascii="仿宋_GB2312" w:hAnsi="宋体" w:eastAsia="仿宋_GB2312" w:cs="宋体"/>
          <w:kern w:val="0"/>
          <w:sz w:val="32"/>
          <w:szCs w:val="32"/>
        </w:rPr>
        <w:t>”的</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w:t>
      </w:r>
    </w:p>
    <w:p>
      <w:pPr>
        <w:widowControl/>
        <w:spacing w:before="312" w:beforeLines="100" w:after="312"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四、复议和诉讼情况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按照《条例》第33条规定，公民、法人或者其他组织认为行政机关在政府信息公开工作中的具体行政行为侵犯其合法权益的，可以依法申请行政复议或者提起行政诉讼。</w:t>
      </w:r>
    </w:p>
    <w:p>
      <w:pPr>
        <w:widowControl/>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（一）行政复议</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w:t>
      </w:r>
      <w:r>
        <w:rPr>
          <w:rFonts w:hint="eastAsia" w:ascii="仿宋_GB2312" w:hAnsi="华文中宋" w:eastAsia="仿宋_GB2312"/>
          <w:sz w:val="32"/>
          <w:szCs w:val="32"/>
        </w:rPr>
        <w:t>局</w:t>
      </w:r>
      <w:r>
        <w:rPr>
          <w:rFonts w:hint="eastAsia" w:ascii="仿宋_GB2312" w:hAnsi="华文中宋" w:eastAsia="仿宋_GB2312"/>
          <w:sz w:val="32"/>
          <w:szCs w:val="32"/>
          <w:lang w:val="en-US" w:eastAsia="zh-CN"/>
        </w:rPr>
        <w:t>2018年</w:t>
      </w:r>
      <w:r>
        <w:rPr>
          <w:rFonts w:hint="eastAsia" w:ascii="仿宋_GB2312" w:hAnsi="宋体" w:eastAsia="仿宋_GB2312" w:cs="宋体"/>
          <w:kern w:val="0"/>
          <w:sz w:val="32"/>
          <w:szCs w:val="32"/>
        </w:rPr>
        <w:t>无行政复议情况。</w:t>
      </w:r>
    </w:p>
    <w:p>
      <w:pPr>
        <w:widowControl/>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（二）行政诉讼</w:t>
      </w:r>
    </w:p>
    <w:p>
      <w:pPr>
        <w:widowControl/>
        <w:spacing w:line="560" w:lineRule="exact"/>
        <w:ind w:firstLine="640" w:firstLineChars="200"/>
        <w:rPr>
          <w:rFonts w:ascii="仿宋_GB2312" w:hAnsi="华文中宋" w:eastAsia="仿宋_GB2312"/>
          <w:sz w:val="32"/>
          <w:szCs w:val="32"/>
        </w:rPr>
      </w:pPr>
      <w:r>
        <w:rPr>
          <w:rFonts w:hint="eastAsia" w:ascii="仿宋_GB2312" w:hAnsi="宋体" w:eastAsia="仿宋_GB2312" w:cs="宋体"/>
          <w:kern w:val="0"/>
          <w:sz w:val="32"/>
          <w:szCs w:val="32"/>
        </w:rPr>
        <w:t>本</w:t>
      </w:r>
      <w:r>
        <w:rPr>
          <w:rFonts w:hint="eastAsia" w:ascii="仿宋_GB2312" w:hAnsi="华文中宋" w:eastAsia="仿宋_GB2312"/>
          <w:sz w:val="32"/>
          <w:szCs w:val="32"/>
        </w:rPr>
        <w:t>局</w:t>
      </w:r>
      <w:r>
        <w:rPr>
          <w:rFonts w:hint="eastAsia" w:ascii="仿宋_GB2312" w:hAnsi="华文中宋" w:eastAsia="仿宋_GB2312"/>
          <w:sz w:val="32"/>
          <w:szCs w:val="32"/>
          <w:lang w:val="en-US" w:eastAsia="zh-CN"/>
        </w:rPr>
        <w:t>2018年</w:t>
      </w:r>
      <w:r>
        <w:rPr>
          <w:rFonts w:hint="eastAsia" w:ascii="仿宋_GB2312" w:hAnsi="宋体" w:eastAsia="仿宋_GB2312" w:cs="宋体"/>
          <w:kern w:val="0"/>
          <w:sz w:val="32"/>
          <w:szCs w:val="32"/>
        </w:rPr>
        <w:t>无</w:t>
      </w:r>
      <w:r>
        <w:rPr>
          <w:rFonts w:hint="eastAsia" w:ascii="楷体_GB2312" w:hAnsi="宋体" w:eastAsia="楷体_GB2312" w:cs="宋体"/>
          <w:b w:val="0"/>
          <w:bCs/>
          <w:kern w:val="0"/>
          <w:sz w:val="32"/>
          <w:szCs w:val="32"/>
        </w:rPr>
        <w:t>行政诉讼</w:t>
      </w:r>
      <w:r>
        <w:rPr>
          <w:rFonts w:hint="eastAsia" w:ascii="楷体_GB2312" w:hAnsi="宋体" w:eastAsia="楷体_GB2312" w:cs="宋体"/>
          <w:b w:val="0"/>
          <w:bCs/>
          <w:kern w:val="0"/>
          <w:sz w:val="32"/>
          <w:szCs w:val="32"/>
          <w:lang w:eastAsia="zh-CN"/>
        </w:rPr>
        <w:t>情况。</w:t>
      </w:r>
    </w:p>
    <w:p>
      <w:pPr>
        <w:widowControl/>
        <w:spacing w:before="312" w:beforeLines="100" w:after="312"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五、存在的不足及改进措施</w:t>
      </w:r>
    </w:p>
    <w:p>
      <w:pPr>
        <w:ind w:firstLine="640" w:firstLineChars="200"/>
        <w:rPr>
          <w:rFonts w:hint="eastAsia" w:ascii="仿宋_GB2312" w:eastAsia="仿宋_GB2312"/>
          <w:sz w:val="32"/>
          <w:szCs w:val="32"/>
        </w:rPr>
      </w:pPr>
      <w:r>
        <w:rPr>
          <w:rFonts w:hint="eastAsia" w:ascii="仿宋_GB2312" w:eastAsia="仿宋_GB2312"/>
          <w:sz w:val="32"/>
          <w:szCs w:val="32"/>
        </w:rPr>
        <w:t>（一）加强设备维护，及时更换和维护好网络硬件设备，做好升级软件和保障网络安全运行和维护工作，加强计算机安全教育意识和防范技能训练，人防与技防结合，确实做好单位的网络安全工作。</w:t>
      </w:r>
    </w:p>
    <w:p>
      <w:pPr>
        <w:ind w:firstLine="640" w:firstLineChars="200"/>
        <w:rPr>
          <w:rFonts w:hint="eastAsia" w:ascii="仿宋_GB2312" w:eastAsia="仿宋_GB2312"/>
          <w:sz w:val="32"/>
          <w:szCs w:val="32"/>
        </w:rPr>
      </w:pPr>
      <w:r>
        <w:rPr>
          <w:rFonts w:hint="eastAsia" w:ascii="仿宋_GB2312" w:eastAsia="仿宋_GB2312"/>
          <w:sz w:val="32"/>
          <w:szCs w:val="32"/>
        </w:rPr>
        <w:t>（二）要继续优化计算机网络系统的整体结构，使其简化、更合理化。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（三）加强人员培训，以抓现有人员素质提高为前提，通过参加培训、函授等措施，切实提高信息工作人员的业务素质和工作水平，促进园林绿化信息化工作的全面发展。</w:t>
      </w:r>
    </w:p>
    <w:p>
      <w:pPr>
        <w:spacing w:line="560" w:lineRule="exact"/>
        <w:rPr>
          <w:rFonts w:hint="eastAsia" w:ascii="仿宋_GB2312" w:hAnsi="仿宋" w:eastAsia="仿宋_GB2312"/>
          <w:sz w:val="32"/>
          <w:szCs w:val="32"/>
        </w:rPr>
      </w:pPr>
    </w:p>
    <w:p>
      <w:pPr>
        <w:widowControl/>
        <w:spacing w:line="560" w:lineRule="exact"/>
        <w:ind w:left="3599" w:leftChars="1714"/>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北京市大兴区</w:t>
      </w:r>
      <w:r>
        <w:rPr>
          <w:rFonts w:hint="eastAsia" w:ascii="仿宋_GB2312" w:hAnsi="宋体" w:eastAsia="仿宋_GB2312" w:cs="宋体"/>
          <w:kern w:val="0"/>
          <w:sz w:val="32"/>
          <w:szCs w:val="32"/>
          <w:lang w:eastAsia="zh-CN"/>
        </w:rPr>
        <w:t>园林绿化局</w:t>
      </w:r>
    </w:p>
    <w:p>
      <w:pPr>
        <w:widowControl/>
        <w:spacing w:line="560" w:lineRule="exact"/>
        <w:ind w:left="4469" w:leftChars="2128" w:right="8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年</w:t>
      </w: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月</w:t>
      </w:r>
    </w:p>
    <w:p>
      <w:pPr>
        <w:spacing w:line="560" w:lineRule="exact"/>
        <w:ind w:firstLine="640" w:firstLineChars="200"/>
        <w:rPr>
          <w:rFonts w:hint="eastAsia" w:ascii="黑体" w:hAnsi="仿宋_GB2312" w:eastAsia="黑体"/>
          <w:color w:val="000000"/>
          <w:sz w:val="32"/>
          <w:szCs w:val="32"/>
        </w:rPr>
      </w:pPr>
      <w:r>
        <w:rPr>
          <w:rFonts w:ascii="仿宋_GB2312" w:hAnsi="宋体" w:eastAsia="仿宋_GB2312" w:cs="宋体"/>
          <w:kern w:val="0"/>
          <w:sz w:val="32"/>
          <w:szCs w:val="32"/>
        </w:rPr>
        <w:br w:type="page"/>
      </w:r>
      <w:r>
        <w:rPr>
          <w:rFonts w:hint="eastAsia" w:ascii="黑体" w:eastAsia="黑体" w:cs="仿宋_GB2312"/>
          <w:sz w:val="32"/>
          <w:szCs w:val="32"/>
        </w:rPr>
        <w:t>附表：</w:t>
      </w:r>
    </w:p>
    <w:tbl>
      <w:tblPr>
        <w:tblStyle w:val="10"/>
        <w:tblW w:w="96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7662"/>
        <w:gridCol w:w="720"/>
        <w:gridCol w:w="1080"/>
        <w:gridCol w:w="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540" w:hRule="atLeast"/>
          <w:jc w:val="center"/>
        </w:trPr>
        <w:tc>
          <w:tcPr>
            <w:tcW w:w="9555" w:type="dxa"/>
            <w:gridSpan w:val="4"/>
            <w:tcBorders>
              <w:top w:val="nil"/>
              <w:left w:val="nil"/>
              <w:bottom w:val="nil"/>
              <w:right w:val="nil"/>
            </w:tcBorders>
            <w:shd w:val="clear" w:color="FFFFFF" w:fill="auto"/>
            <w:vAlign w:val="center"/>
          </w:tcPr>
          <w:p>
            <w:pPr>
              <w:widowControl/>
              <w:jc w:val="center"/>
              <w:rPr>
                <w:rFonts w:hint="eastAsia" w:ascii="方正小标宋简体" w:hAnsi="宋体" w:eastAsia="方正小标宋简体" w:cs="宋体"/>
                <w:color w:val="000000"/>
                <w:kern w:val="0"/>
                <w:sz w:val="44"/>
                <w:szCs w:val="44"/>
                <w:lang w:eastAsia="zh-CN"/>
              </w:rPr>
            </w:pPr>
            <w:r>
              <w:rPr>
                <w:rFonts w:hint="eastAsia" w:ascii="方正小标宋简体" w:hAnsi="宋体" w:eastAsia="方正小标宋简体" w:cs="宋体"/>
                <w:color w:val="000000"/>
                <w:kern w:val="0"/>
                <w:sz w:val="44"/>
                <w:szCs w:val="44"/>
                <w:lang w:eastAsia="zh-CN"/>
              </w:rPr>
              <w:t>北京市大兴区园林绿化局</w:t>
            </w:r>
          </w:p>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285" w:hRule="atLeast"/>
          <w:jc w:val="center"/>
        </w:trPr>
        <w:tc>
          <w:tcPr>
            <w:tcW w:w="9555" w:type="dxa"/>
            <w:gridSpan w:val="4"/>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（201</w:t>
            </w:r>
            <w:r>
              <w:rPr>
                <w:rFonts w:hint="eastAsia" w:ascii="楷体_GB2312" w:hAnsi="宋体" w:eastAsia="楷体_GB2312" w:cs="宋体"/>
                <w:kern w:val="0"/>
                <w:sz w:val="32"/>
                <w:szCs w:val="32"/>
                <w:lang w:val="en-US" w:eastAsia="zh-CN"/>
              </w:rPr>
              <w:t>8</w:t>
            </w:r>
            <w:r>
              <w:rPr>
                <w:rFonts w:hint="eastAsia" w:ascii="楷体_GB2312" w:hAnsi="宋体" w:eastAsia="楷体_GB2312" w:cs="宋体"/>
                <w:kern w:val="0"/>
                <w:sz w:val="32"/>
                <w:szCs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660"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hint="eastAsia" w:eastAsia="宋体"/>
                <w:color w:val="000000"/>
                <w:kern w:val="0"/>
                <w:sz w:val="22"/>
                <w:szCs w:val="22"/>
                <w:lang w:val="en-US" w:eastAsia="zh-CN"/>
              </w:rPr>
            </w:pPr>
            <w:r>
              <w:rPr>
                <w:rFonts w:hint="eastAsia"/>
                <w:color w:val="000000"/>
                <w:kern w:val="0"/>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nil"/>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vAlign w:val="center"/>
          </w:tcPr>
          <w:p>
            <w:pPr>
              <w:jc w:val="center"/>
              <w:rPr>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vAlign w:val="center"/>
          </w:tcPr>
          <w:p>
            <w:pPr>
              <w:jc w:val="center"/>
              <w:rPr>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pPr>
              <w:jc w:val="center"/>
              <w:rPr>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vAlign w:val="center"/>
          </w:tcPr>
          <w:p>
            <w:pPr>
              <w:jc w:val="center"/>
              <w:rPr>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center"/>
              <w:rPr>
                <w:rFonts w:hint="eastAsia" w:eastAsia="宋体"/>
                <w:color w:val="000000"/>
                <w:kern w:val="0"/>
                <w:sz w:val="22"/>
                <w:szCs w:val="22"/>
                <w:lang w:val="en-US" w:eastAsia="zh-CN"/>
              </w:rPr>
            </w:pPr>
            <w:r>
              <w:rPr>
                <w:rFonts w:hint="eastAsia"/>
                <w:color w:val="000000"/>
                <w:kern w:val="0"/>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vAlign w:val="center"/>
          </w:tcPr>
          <w:p>
            <w:pPr>
              <w:jc w:val="center"/>
              <w:rPr>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660"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vAlign w:val="center"/>
          </w:tcPr>
          <w:p>
            <w:pPr>
              <w:jc w:val="center"/>
              <w:rPr>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93" w:type="dxa"/>
          <w:trHeight w:val="402" w:hRule="atLeast"/>
          <w:jc w:val="center"/>
        </w:trPr>
        <w:tc>
          <w:tcPr>
            <w:tcW w:w="7755" w:type="dxa"/>
            <w:gridSpan w:val="2"/>
            <w:tcBorders>
              <w:top w:val="nil"/>
              <w:left w:val="single" w:color="auto" w:sz="8" w:space="0"/>
              <w:bottom w:val="single" w:color="auto" w:sz="8"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vAlign w:val="center"/>
          </w:tcPr>
          <w:p>
            <w:pPr>
              <w:jc w:val="center"/>
              <w:rPr>
                <w:rFonts w:hint="eastAsia" w:eastAsia="宋体"/>
                <w:color w:val="000000"/>
                <w:sz w:val="22"/>
                <w:szCs w:val="22"/>
                <w:lang w:val="en-US" w:eastAsia="zh-CN"/>
              </w:rPr>
            </w:pPr>
            <w:r>
              <w:rPr>
                <w:rFonts w:hint="eastAsia"/>
                <w:color w:val="000000"/>
                <w:sz w:val="22"/>
                <w:szCs w:val="22"/>
                <w:lang w:val="en-US" w:eastAsia="zh-CN"/>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93" w:type="dxa"/>
          <w:trHeight w:val="402" w:hRule="atLeast"/>
          <w:jc w:val="center"/>
        </w:trPr>
        <w:tc>
          <w:tcPr>
            <w:tcW w:w="9555" w:type="dxa"/>
            <w:gridSpan w:val="4"/>
            <w:tcBorders>
              <w:top w:val="single" w:color="auto" w:sz="8" w:space="0"/>
              <w:left w:val="nil"/>
              <w:bottom w:val="nil"/>
              <w:right w:val="nil"/>
            </w:tcBorders>
            <w:vAlign w:val="center"/>
          </w:tcPr>
          <w:p>
            <w:pPr>
              <w:widowControl/>
              <w:jc w:val="left"/>
              <w:rPr>
                <w:rFonts w:hint="eastAsia"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t>单位负责人：</w:t>
            </w:r>
            <w:r>
              <w:rPr>
                <w:rFonts w:hint="eastAsia" w:ascii="仿宋_GB2312" w:hAnsi="宋体" w:eastAsia="仿宋_GB2312" w:cs="宋体"/>
                <w:kern w:val="0"/>
                <w:sz w:val="24"/>
                <w:lang w:eastAsia="zh-CN"/>
              </w:rPr>
              <w:t>王金星</w:t>
            </w:r>
            <w:r>
              <w:rPr>
                <w:rFonts w:hint="eastAsia" w:ascii="仿宋_GB2312" w:hAnsi="宋体" w:eastAsia="仿宋_GB2312" w:cs="宋体"/>
                <w:kern w:val="0"/>
                <w:sz w:val="24"/>
              </w:rPr>
              <w:t xml:space="preserve">         </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 xml:space="preserve"> 审核人：</w:t>
            </w:r>
            <w:r>
              <w:rPr>
                <w:rFonts w:hint="eastAsia" w:ascii="仿宋_GB2312" w:hAnsi="宋体" w:eastAsia="仿宋_GB2312" w:cs="宋体"/>
                <w:kern w:val="0"/>
                <w:sz w:val="24"/>
                <w:lang w:eastAsia="zh-CN"/>
              </w:rPr>
              <w:t>惠春跃</w:t>
            </w:r>
            <w:r>
              <w:rPr>
                <w:rFonts w:hint="eastAsia" w:ascii="仿宋_GB2312" w:hAnsi="宋体" w:eastAsia="仿宋_GB2312" w:cs="宋体"/>
                <w:kern w:val="0"/>
                <w:sz w:val="24"/>
              </w:rPr>
              <w:t xml:space="preserve">            </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填报人：</w:t>
            </w:r>
            <w:r>
              <w:rPr>
                <w:rFonts w:hint="eastAsia" w:ascii="仿宋_GB2312" w:hAnsi="宋体" w:eastAsia="仿宋_GB2312" w:cs="宋体"/>
                <w:kern w:val="0"/>
                <w:sz w:val="24"/>
                <w:lang w:eastAsia="zh-CN"/>
              </w:rPr>
              <w:t>刘锐锋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93" w:type="dxa"/>
          <w:trHeight w:val="402" w:hRule="atLeast"/>
          <w:jc w:val="center"/>
        </w:trPr>
        <w:tc>
          <w:tcPr>
            <w:tcW w:w="9555" w:type="dxa"/>
            <w:gridSpan w:val="4"/>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联系电话：</w:t>
            </w:r>
            <w:r>
              <w:rPr>
                <w:rFonts w:hint="eastAsia" w:ascii="仿宋_GB2312" w:hAnsi="宋体" w:eastAsia="仿宋_GB2312" w:cs="宋体"/>
                <w:kern w:val="0"/>
                <w:sz w:val="24"/>
                <w:lang w:val="en-US" w:eastAsia="zh-CN"/>
              </w:rPr>
              <w:t>81298044</w:t>
            </w:r>
            <w:r>
              <w:rPr>
                <w:rFonts w:hint="eastAsia" w:ascii="仿宋_GB2312" w:hAnsi="宋体" w:eastAsia="仿宋_GB2312" w:cs="宋体"/>
                <w:kern w:val="0"/>
                <w:sz w:val="24"/>
              </w:rPr>
              <w:t xml:space="preserve">                                         填报日期：</w:t>
            </w:r>
            <w:r>
              <w:rPr>
                <w:rFonts w:hint="eastAsia" w:ascii="仿宋_GB2312" w:hAnsi="宋体" w:eastAsia="仿宋_GB2312" w:cs="宋体"/>
                <w:kern w:val="0"/>
                <w:sz w:val="24"/>
                <w:lang w:val="en-US" w:eastAsia="zh-CN"/>
              </w:rPr>
              <w:t>2019.1.20</w:t>
            </w:r>
          </w:p>
        </w:tc>
      </w:tr>
    </w:tbl>
    <w:p>
      <w:pPr>
        <w:widowControl/>
        <w:spacing w:line="560" w:lineRule="exact"/>
        <w:ind w:left="4469" w:leftChars="2128" w:right="480"/>
        <w:jc w:val="right"/>
        <w:rPr>
          <w:rFonts w:ascii="仿宋_GB2312" w:hAnsi="宋体" w:eastAsia="仿宋_GB2312" w:cs="宋体"/>
          <w:kern w:val="0"/>
          <w:sz w:val="32"/>
          <w:szCs w:val="32"/>
        </w:rPr>
      </w:pPr>
    </w:p>
    <w:sectPr>
      <w:footerReference r:id="rId4" w:type="default"/>
      <w:footerReference r:id="rId5"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汉仪大宋简">
    <w:altName w:val="Arial"/>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F34FE"/>
    <w:rsid w:val="00011299"/>
    <w:rsid w:val="0001550B"/>
    <w:rsid w:val="00024A33"/>
    <w:rsid w:val="00030ED2"/>
    <w:rsid w:val="000477DD"/>
    <w:rsid w:val="00061A8B"/>
    <w:rsid w:val="0006724E"/>
    <w:rsid w:val="0008546D"/>
    <w:rsid w:val="00091B5A"/>
    <w:rsid w:val="00095C94"/>
    <w:rsid w:val="000C3E2E"/>
    <w:rsid w:val="000D7F41"/>
    <w:rsid w:val="000E18D5"/>
    <w:rsid w:val="000F5455"/>
    <w:rsid w:val="000F57C6"/>
    <w:rsid w:val="00135812"/>
    <w:rsid w:val="00136479"/>
    <w:rsid w:val="001649F9"/>
    <w:rsid w:val="00165D78"/>
    <w:rsid w:val="001770DC"/>
    <w:rsid w:val="00191E43"/>
    <w:rsid w:val="001969C7"/>
    <w:rsid w:val="001A132F"/>
    <w:rsid w:val="001A438D"/>
    <w:rsid w:val="001C335D"/>
    <w:rsid w:val="001E0EDB"/>
    <w:rsid w:val="001F1E77"/>
    <w:rsid w:val="0020438B"/>
    <w:rsid w:val="002050C9"/>
    <w:rsid w:val="00215A1F"/>
    <w:rsid w:val="00220270"/>
    <w:rsid w:val="00234422"/>
    <w:rsid w:val="00263CF6"/>
    <w:rsid w:val="0026751C"/>
    <w:rsid w:val="00267D9B"/>
    <w:rsid w:val="00276839"/>
    <w:rsid w:val="00282A54"/>
    <w:rsid w:val="002A61EF"/>
    <w:rsid w:val="002B3EA2"/>
    <w:rsid w:val="002C6CC3"/>
    <w:rsid w:val="002D25F5"/>
    <w:rsid w:val="002E4D22"/>
    <w:rsid w:val="002F450B"/>
    <w:rsid w:val="00303BA7"/>
    <w:rsid w:val="00312FA6"/>
    <w:rsid w:val="00315E66"/>
    <w:rsid w:val="0032036E"/>
    <w:rsid w:val="00323318"/>
    <w:rsid w:val="0033311E"/>
    <w:rsid w:val="00350B99"/>
    <w:rsid w:val="00364095"/>
    <w:rsid w:val="00373CA6"/>
    <w:rsid w:val="00385552"/>
    <w:rsid w:val="00386739"/>
    <w:rsid w:val="00391E8B"/>
    <w:rsid w:val="00393804"/>
    <w:rsid w:val="003A2DE8"/>
    <w:rsid w:val="003C2EA7"/>
    <w:rsid w:val="003C3529"/>
    <w:rsid w:val="003C4B6C"/>
    <w:rsid w:val="003D407B"/>
    <w:rsid w:val="003F0526"/>
    <w:rsid w:val="003F386C"/>
    <w:rsid w:val="0040195E"/>
    <w:rsid w:val="00404D78"/>
    <w:rsid w:val="00430A10"/>
    <w:rsid w:val="0043690A"/>
    <w:rsid w:val="00442F1C"/>
    <w:rsid w:val="00444749"/>
    <w:rsid w:val="00455D1F"/>
    <w:rsid w:val="00464DE1"/>
    <w:rsid w:val="00475F51"/>
    <w:rsid w:val="00480EBD"/>
    <w:rsid w:val="004835AE"/>
    <w:rsid w:val="00487674"/>
    <w:rsid w:val="00493506"/>
    <w:rsid w:val="0049714A"/>
    <w:rsid w:val="004B1F88"/>
    <w:rsid w:val="004E0C30"/>
    <w:rsid w:val="004E3F3D"/>
    <w:rsid w:val="004E7A7F"/>
    <w:rsid w:val="00500F43"/>
    <w:rsid w:val="005038B7"/>
    <w:rsid w:val="005051AA"/>
    <w:rsid w:val="00511D6A"/>
    <w:rsid w:val="00552C13"/>
    <w:rsid w:val="00552E76"/>
    <w:rsid w:val="00561B6A"/>
    <w:rsid w:val="00566A85"/>
    <w:rsid w:val="0057505F"/>
    <w:rsid w:val="00576AA8"/>
    <w:rsid w:val="00590400"/>
    <w:rsid w:val="005933D4"/>
    <w:rsid w:val="005A43F9"/>
    <w:rsid w:val="005A5BA1"/>
    <w:rsid w:val="005B59E2"/>
    <w:rsid w:val="005C4FC2"/>
    <w:rsid w:val="005C5EB9"/>
    <w:rsid w:val="005D35EC"/>
    <w:rsid w:val="005D38A7"/>
    <w:rsid w:val="005D454A"/>
    <w:rsid w:val="005D70D9"/>
    <w:rsid w:val="005E06C3"/>
    <w:rsid w:val="005E137E"/>
    <w:rsid w:val="005E3B9B"/>
    <w:rsid w:val="005F42E9"/>
    <w:rsid w:val="0062038E"/>
    <w:rsid w:val="006456F4"/>
    <w:rsid w:val="00673972"/>
    <w:rsid w:val="006800C1"/>
    <w:rsid w:val="006806E4"/>
    <w:rsid w:val="0068740C"/>
    <w:rsid w:val="006B2C55"/>
    <w:rsid w:val="006D3C9C"/>
    <w:rsid w:val="00704AAF"/>
    <w:rsid w:val="00716195"/>
    <w:rsid w:val="007300BC"/>
    <w:rsid w:val="007318B4"/>
    <w:rsid w:val="00732FB8"/>
    <w:rsid w:val="00733332"/>
    <w:rsid w:val="0073390C"/>
    <w:rsid w:val="007440C9"/>
    <w:rsid w:val="00747B06"/>
    <w:rsid w:val="00750D2A"/>
    <w:rsid w:val="00754E59"/>
    <w:rsid w:val="00770AD8"/>
    <w:rsid w:val="0077218A"/>
    <w:rsid w:val="007746CC"/>
    <w:rsid w:val="007939C3"/>
    <w:rsid w:val="007A1833"/>
    <w:rsid w:val="007C71C1"/>
    <w:rsid w:val="007F2536"/>
    <w:rsid w:val="00800AA7"/>
    <w:rsid w:val="00802EFC"/>
    <w:rsid w:val="00804A0A"/>
    <w:rsid w:val="00807928"/>
    <w:rsid w:val="008238B3"/>
    <w:rsid w:val="00824136"/>
    <w:rsid w:val="00830104"/>
    <w:rsid w:val="00845ADF"/>
    <w:rsid w:val="00846086"/>
    <w:rsid w:val="00860E3E"/>
    <w:rsid w:val="00874774"/>
    <w:rsid w:val="00875C8E"/>
    <w:rsid w:val="00896F27"/>
    <w:rsid w:val="008A2B14"/>
    <w:rsid w:val="008A3AC4"/>
    <w:rsid w:val="008C1089"/>
    <w:rsid w:val="008C4AF7"/>
    <w:rsid w:val="008E15A5"/>
    <w:rsid w:val="008E196E"/>
    <w:rsid w:val="008E6450"/>
    <w:rsid w:val="00906445"/>
    <w:rsid w:val="00910CBB"/>
    <w:rsid w:val="0092083B"/>
    <w:rsid w:val="00922313"/>
    <w:rsid w:val="0092687B"/>
    <w:rsid w:val="009271F8"/>
    <w:rsid w:val="00931057"/>
    <w:rsid w:val="009367A0"/>
    <w:rsid w:val="0094334E"/>
    <w:rsid w:val="009706DE"/>
    <w:rsid w:val="00971C58"/>
    <w:rsid w:val="009746D0"/>
    <w:rsid w:val="0099649A"/>
    <w:rsid w:val="009B3C87"/>
    <w:rsid w:val="009C6833"/>
    <w:rsid w:val="009D2611"/>
    <w:rsid w:val="009D3508"/>
    <w:rsid w:val="009D79B0"/>
    <w:rsid w:val="009E1810"/>
    <w:rsid w:val="009F3F88"/>
    <w:rsid w:val="00A0311A"/>
    <w:rsid w:val="00A1509C"/>
    <w:rsid w:val="00A20BE9"/>
    <w:rsid w:val="00A23A68"/>
    <w:rsid w:val="00A61446"/>
    <w:rsid w:val="00A714B2"/>
    <w:rsid w:val="00A90797"/>
    <w:rsid w:val="00AD5E1D"/>
    <w:rsid w:val="00AD6B74"/>
    <w:rsid w:val="00AE73D2"/>
    <w:rsid w:val="00AF39B8"/>
    <w:rsid w:val="00AF7359"/>
    <w:rsid w:val="00B06294"/>
    <w:rsid w:val="00B128C1"/>
    <w:rsid w:val="00B13752"/>
    <w:rsid w:val="00B15089"/>
    <w:rsid w:val="00B72A12"/>
    <w:rsid w:val="00B92952"/>
    <w:rsid w:val="00BA1750"/>
    <w:rsid w:val="00BA778C"/>
    <w:rsid w:val="00BB329A"/>
    <w:rsid w:val="00BC3B1C"/>
    <w:rsid w:val="00BD0DF3"/>
    <w:rsid w:val="00BD4C14"/>
    <w:rsid w:val="00C008B5"/>
    <w:rsid w:val="00C127B0"/>
    <w:rsid w:val="00C1318D"/>
    <w:rsid w:val="00C2000A"/>
    <w:rsid w:val="00C21AD9"/>
    <w:rsid w:val="00C32DA8"/>
    <w:rsid w:val="00C33A95"/>
    <w:rsid w:val="00C66BED"/>
    <w:rsid w:val="00C70936"/>
    <w:rsid w:val="00C9001A"/>
    <w:rsid w:val="00C92922"/>
    <w:rsid w:val="00CC1169"/>
    <w:rsid w:val="00CC6F1F"/>
    <w:rsid w:val="00CD2247"/>
    <w:rsid w:val="00CD70A9"/>
    <w:rsid w:val="00CE7AA8"/>
    <w:rsid w:val="00CF1B2B"/>
    <w:rsid w:val="00D03C7D"/>
    <w:rsid w:val="00D14DEE"/>
    <w:rsid w:val="00D22E11"/>
    <w:rsid w:val="00D23DCC"/>
    <w:rsid w:val="00D35E05"/>
    <w:rsid w:val="00D52A19"/>
    <w:rsid w:val="00D61FDB"/>
    <w:rsid w:val="00D622F1"/>
    <w:rsid w:val="00D748D2"/>
    <w:rsid w:val="00D85444"/>
    <w:rsid w:val="00DA26B0"/>
    <w:rsid w:val="00DB6223"/>
    <w:rsid w:val="00DC3D8E"/>
    <w:rsid w:val="00DD0601"/>
    <w:rsid w:val="00DE49A7"/>
    <w:rsid w:val="00DE52B6"/>
    <w:rsid w:val="00DF0BD8"/>
    <w:rsid w:val="00DF4EBD"/>
    <w:rsid w:val="00E02AE0"/>
    <w:rsid w:val="00E034E9"/>
    <w:rsid w:val="00E112FE"/>
    <w:rsid w:val="00E128C4"/>
    <w:rsid w:val="00E20708"/>
    <w:rsid w:val="00E20935"/>
    <w:rsid w:val="00E219EF"/>
    <w:rsid w:val="00E32008"/>
    <w:rsid w:val="00E71476"/>
    <w:rsid w:val="00E74F2C"/>
    <w:rsid w:val="00E90178"/>
    <w:rsid w:val="00EA0880"/>
    <w:rsid w:val="00EA4E95"/>
    <w:rsid w:val="00EB1F9C"/>
    <w:rsid w:val="00ED2876"/>
    <w:rsid w:val="00ED2A5C"/>
    <w:rsid w:val="00ED3380"/>
    <w:rsid w:val="00EE462E"/>
    <w:rsid w:val="00EF142A"/>
    <w:rsid w:val="00EF398F"/>
    <w:rsid w:val="00EF3F47"/>
    <w:rsid w:val="00EF52CD"/>
    <w:rsid w:val="00F2797D"/>
    <w:rsid w:val="00F32436"/>
    <w:rsid w:val="00F32D9A"/>
    <w:rsid w:val="00F34CEC"/>
    <w:rsid w:val="00F401B1"/>
    <w:rsid w:val="00F438C0"/>
    <w:rsid w:val="00F60F29"/>
    <w:rsid w:val="00F95C81"/>
    <w:rsid w:val="00FB3A68"/>
    <w:rsid w:val="00FB481B"/>
    <w:rsid w:val="00FC27C7"/>
    <w:rsid w:val="00FE5955"/>
    <w:rsid w:val="00FE759B"/>
    <w:rsid w:val="00FF0E63"/>
    <w:rsid w:val="00FF34FE"/>
    <w:rsid w:val="08B408D6"/>
    <w:rsid w:val="0E876935"/>
    <w:rsid w:val="12B8577E"/>
    <w:rsid w:val="1F3C3CCD"/>
    <w:rsid w:val="1FFA7A84"/>
    <w:rsid w:val="259F3D74"/>
    <w:rsid w:val="2ED537B6"/>
    <w:rsid w:val="34D80DC2"/>
    <w:rsid w:val="36C02E61"/>
    <w:rsid w:val="3B5E0284"/>
    <w:rsid w:val="514327E1"/>
    <w:rsid w:val="6E9D55C5"/>
    <w:rsid w:val="6FAA2D41"/>
    <w:rsid w:val="76EF6628"/>
    <w:rsid w:val="78930589"/>
    <w:rsid w:val="7ED115A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Document Map"/>
    <w:basedOn w:val="1"/>
    <w:semiHidden/>
    <w:uiPriority w:val="0"/>
    <w:pPr>
      <w:shd w:val="clear" w:color="auto" w:fill="000080"/>
    </w:pPr>
  </w:style>
  <w:style w:type="paragraph" w:styleId="3">
    <w:name w:val="Body Text"/>
    <w:basedOn w:val="1"/>
    <w:uiPriority w:val="0"/>
    <w:pPr>
      <w:suppressAutoHyphens/>
      <w:jc w:val="center"/>
    </w:pPr>
    <w:rPr>
      <w:rFonts w:ascii="方正小标宋简体" w:hAnsi="汉仪大宋简" w:eastAsia="方正小标宋简体"/>
      <w:color w:val="000000"/>
      <w:kern w:val="0"/>
      <w:sz w:val="44"/>
      <w:szCs w:val="2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page number"/>
    <w:basedOn w:val="8"/>
    <w:uiPriority w:val="0"/>
    <w:rPr/>
  </w:style>
  <w:style w:type="paragraph" w:customStyle="1" w:styleId="11">
    <w:name w:val="Char Char Char Char"/>
    <w:basedOn w:val="2"/>
    <w:uiPriority w:val="0"/>
    <w:pPr>
      <w:adjustRightInd w:val="0"/>
      <w:spacing w:line="436" w:lineRule="exact"/>
      <w:ind w:left="357"/>
      <w:jc w:val="left"/>
      <w:outlineLvl w:val="3"/>
    </w:pPr>
    <w:rPr>
      <w:rFonts w:ascii="Tahoma" w:hAnsi="Tahoma"/>
      <w:b/>
      <w:sz w:val="24"/>
    </w:rPr>
  </w:style>
  <w:style w:type="paragraph" w:customStyle="1" w:styleId="12">
    <w:name w:val="Char Char Char1 Char Char Char Char"/>
    <w:basedOn w:val="2"/>
    <w:uiPriority w:val="0"/>
    <w:pPr>
      <w:adjustRightInd w:val="0"/>
      <w:spacing w:line="436" w:lineRule="exact"/>
      <w:ind w:left="357"/>
      <w:jc w:val="left"/>
      <w:outlineLvl w:val="3"/>
    </w:pPr>
    <w:rPr>
      <w:rFonts w:ascii="Tahoma" w:hAnsi="Tahoma"/>
      <w:b/>
      <w:sz w:val="24"/>
    </w:rPr>
  </w:style>
  <w:style w:type="paragraph" w:customStyle="1" w:styleId="13">
    <w:name w:val="Char Char1 Char Char Char Char Char Char"/>
    <w:basedOn w:val="2"/>
    <w:uiPriority w:val="0"/>
    <w:pPr>
      <w:adjustRightInd w:val="0"/>
      <w:spacing w:line="436" w:lineRule="exact"/>
      <w:ind w:left="357"/>
      <w:jc w:val="left"/>
      <w:outlineLvl w:val="3"/>
    </w:pPr>
    <w:rPr>
      <w:rFonts w:ascii="Tahoma" w:hAnsi="Tahoma"/>
      <w:b/>
      <w:sz w:val="24"/>
      <w:szCs w:val="32"/>
    </w:rPr>
  </w:style>
  <w:style w:type="paragraph" w:customStyle="1" w:styleId="14">
    <w:name w:val="Char Char"/>
    <w:basedOn w:val="2"/>
    <w:uiPriority w:val="0"/>
    <w:rPr>
      <w:rFonts w:ascii="Tahoma" w:hAnsi="Tahoma"/>
      <w:sz w:val="24"/>
      <w:szCs w:val="20"/>
    </w:rPr>
  </w:style>
  <w:style w:type="paragraph" w:customStyle="1" w:styleId="15">
    <w:name w:val="Char Char Char Char Char Char Char Char Char Char Char Char"/>
    <w:basedOn w:val="2"/>
    <w:uiPriority w:val="0"/>
    <w:pPr>
      <w:adjustRightInd w:val="0"/>
      <w:spacing w:line="436" w:lineRule="exact"/>
      <w:ind w:left="357"/>
      <w:jc w:val="left"/>
      <w:outlineLvl w:val="3"/>
    </w:pPr>
    <w:rPr>
      <w:rFonts w:ascii="Tahoma" w:hAnsi="Tahoma"/>
      <w:b/>
      <w:sz w:val="24"/>
    </w:rPr>
  </w:style>
  <w:style w:type="character" w:customStyle="1" w:styleId="16">
    <w:name w:val="页眉 Char"/>
    <w:link w:val="6"/>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ompany>
  <Pages>10</Pages>
  <Words>763</Words>
  <Characters>4355</Characters>
  <Lines>36</Lines>
  <Paragraphs>10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2016-02-22T09:36:00Z</dcterms:created>
  <dc:creator>ss</dc:creator>
  <cp:lastModifiedBy>刘锐锋</cp:lastModifiedBy>
  <cp:lastPrinted>2018-03-21T09:53:00Z</cp:lastPrinted>
  <dcterms:modified xsi:type="dcterms:W3CDTF">2019-02-26T04:00:14Z</dcterms:modified>
  <dc:title>北京市200×年××局政府信息公开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