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北京市大兴区政务服务管理办公室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201</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lang w:eastAsia="zh-CN"/>
        </w:rPr>
        <w:t>年度政府信息公开工作年度报告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报告是根据《中华人民共和国政府信息公开条例》（以下简称《条例》）要求，由北京市大兴区政务服务管理办公室（以下简称“</w:t>
      </w:r>
      <w:r>
        <w:rPr>
          <w:rFonts w:hint="eastAsia" w:ascii="仿宋_GB2312" w:hAnsi="仿宋_GB2312" w:eastAsia="仿宋_GB2312" w:cs="仿宋_GB2312"/>
          <w:sz w:val="32"/>
          <w:szCs w:val="32"/>
          <w:lang w:eastAsia="zh-CN"/>
        </w:rPr>
        <w:t>区政务服务办</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eastAsia="zh-CN"/>
        </w:rPr>
        <w:t>而成，</w:t>
      </w:r>
      <w:r>
        <w:rPr>
          <w:rFonts w:hint="eastAsia" w:ascii="仿宋_GB2312" w:hAnsi="仿宋_GB2312" w:eastAsia="仿宋_GB2312" w:cs="仿宋_GB2312"/>
          <w:sz w:val="32"/>
          <w:szCs w:val="32"/>
          <w:lang w:val="en-US" w:eastAsia="zh-CN"/>
        </w:rPr>
        <w:t>全文由信息公开工作概述、主动公开政府信息情况、依申请公开政府信息情况、申请行政复议和提起行政诉讼情况、主要问题和改进措施几部分组成。</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本报告中所列数据的统计期限自201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年1月1日起至201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年12月31日止。本报告的电子版可在</w:t>
      </w:r>
      <w:r>
        <w:rPr>
          <w:rFonts w:hint="eastAsia" w:ascii="仿宋_GB2312" w:hAnsi="仿宋_GB2312" w:eastAsia="仿宋_GB2312" w:cs="仿宋_GB2312"/>
          <w:sz w:val="32"/>
          <w:szCs w:val="32"/>
          <w:lang w:eastAsia="zh-CN"/>
        </w:rPr>
        <w:t>北京市政府信息公开专栏</w:t>
      </w:r>
      <w:r>
        <w:rPr>
          <w:rFonts w:hint="eastAsia" w:ascii="仿宋_GB2312" w:hAnsi="仿宋_GB2312" w:eastAsia="仿宋_GB2312" w:cs="仿宋_GB2312"/>
          <w:sz w:val="32"/>
          <w:szCs w:val="32"/>
        </w:rPr>
        <w:t>（http://zfxxgk.beijing.gov.cn/dxq320/dxqbm_index.shtml）下载。如对报告有任何疑问，请与大兴区政务服务管理办公室联系（地址:北京市大兴区兴华大街三段15号；邮编：102600；联系电话：010-81296194；电子邮箱：</w:t>
      </w:r>
      <w:r>
        <w:rPr>
          <w:rFonts w:hint="eastAsia" w:ascii="仿宋_GB2312" w:hAnsi="仿宋_GB2312" w:eastAsia="仿宋_GB2312" w:cs="仿宋_GB2312"/>
          <w:sz w:val="32"/>
          <w:szCs w:val="32"/>
          <w:lang w:val="en-US" w:eastAsia="zh-CN"/>
        </w:rPr>
        <w:t>zwbxxk@bjdx.gov.cn</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一、概述</w:t>
      </w:r>
    </w:p>
    <w:p>
      <w:pPr>
        <w:pStyle w:val="4"/>
        <w:keepNext w:val="0"/>
        <w:keepLines w:val="0"/>
        <w:widowControl/>
        <w:suppressLineNumbers w:val="0"/>
        <w:spacing w:before="0" w:beforeAutospacing="1" w:after="0" w:afterAutospacing="0" w:line="408" w:lineRule="atLeast"/>
        <w:ind w:left="0" w:right="0" w:firstLine="4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根据《条例》要求，</w:t>
      </w:r>
      <w:r>
        <w:rPr>
          <w:rFonts w:hint="eastAsia" w:ascii="仿宋_GB2312" w:hAnsi="仿宋_GB2312" w:eastAsia="仿宋_GB2312" w:cs="仿宋_GB2312"/>
          <w:sz w:val="32"/>
          <w:szCs w:val="32"/>
          <w:lang w:eastAsia="zh-CN"/>
        </w:rPr>
        <w:t>区政务服务办明确</w:t>
      </w:r>
      <w:r>
        <w:rPr>
          <w:rFonts w:hint="eastAsia" w:ascii="仿宋_GB2312" w:hAnsi="仿宋_GB2312" w:eastAsia="仿宋_GB2312" w:cs="仿宋_GB2312"/>
          <w:sz w:val="32"/>
          <w:szCs w:val="32"/>
        </w:rPr>
        <w:t>专门科室具体负责政府信息公开工作，配备了1名工作人员，设立了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个专门的信息申请受理点，并开辟了公共查阅点。在政府信息公开工作中认真学习、宣传、贯彻《中华人民共和国政府信息公开条例》和《大兴区201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政务公开工作要点》精神，坚持把推进政府信息公开与加快政府职能转变、规范行政权力运行、促进依法行政相结合，不断加强对政府信息公开工作的组织领导，加大政府信息主动公开力度，改进政府信息依申请公开工作。 </w:t>
      </w:r>
    </w:p>
    <w:p>
      <w:pPr>
        <w:pStyle w:val="4"/>
        <w:keepNext w:val="0"/>
        <w:keepLines w:val="0"/>
        <w:widowControl/>
        <w:numPr>
          <w:ilvl w:val="0"/>
          <w:numId w:val="1"/>
        </w:numPr>
        <w:suppressLineNumbers w:val="0"/>
        <w:spacing w:before="0" w:beforeAutospacing="1" w:after="0" w:afterAutospacing="0" w:line="408" w:lineRule="atLeast"/>
        <w:ind w:left="0" w:right="0" w:firstLine="432"/>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shd w:val="clear" w:fill="FFFFFF"/>
        </w:rPr>
        <w:t>加强信息公开载体建设，通过多种媒介渠道及时主动发布政府信息。2018年，为了贴近</w:t>
      </w:r>
      <w:r>
        <w:rPr>
          <w:rFonts w:hint="eastAsia" w:ascii="仿宋_GB2312" w:hAnsi="仿宋_GB2312" w:eastAsia="仿宋_GB2312" w:cs="仿宋_GB2312"/>
          <w:color w:val="000000"/>
          <w:sz w:val="32"/>
          <w:szCs w:val="32"/>
          <w:bdr w:val="none" w:color="auto" w:sz="0" w:space="0"/>
          <w:shd w:val="clear" w:fill="FFFFFF"/>
          <w:lang w:eastAsia="zh-CN"/>
        </w:rPr>
        <w:t>群众需求，区政务服务办</w:t>
      </w:r>
      <w:r>
        <w:rPr>
          <w:rFonts w:hint="eastAsia" w:ascii="仿宋_GB2312" w:hAnsi="仿宋_GB2312" w:eastAsia="仿宋_GB2312" w:cs="仿宋_GB2312"/>
          <w:color w:val="000000"/>
          <w:sz w:val="32"/>
          <w:szCs w:val="32"/>
          <w:bdr w:val="none" w:color="auto" w:sz="0" w:space="0"/>
          <w:shd w:val="clear" w:fill="FFFFFF"/>
        </w:rPr>
        <w:t>结合工作实际，加强政府信息公开载体建设，通过多种媒介渠道及时主动发布政府信息。一是</w:t>
      </w:r>
      <w:r>
        <w:rPr>
          <w:rFonts w:hint="eastAsia" w:ascii="仿宋_GB2312" w:hAnsi="仿宋_GB2312" w:eastAsia="仿宋_GB2312" w:cs="仿宋_GB2312"/>
          <w:color w:val="000000"/>
          <w:sz w:val="32"/>
          <w:szCs w:val="32"/>
          <w:bdr w:val="none" w:color="auto" w:sz="0" w:space="0"/>
          <w:shd w:val="clear" w:fill="FFFFFF"/>
          <w:lang w:eastAsia="zh-CN"/>
        </w:rPr>
        <w:t>结合大兴区人民政府网站升级，建设区政务服务办</w:t>
      </w:r>
      <w:r>
        <w:rPr>
          <w:rFonts w:hint="eastAsia" w:ascii="仿宋_GB2312" w:hAnsi="仿宋_GB2312" w:eastAsia="仿宋_GB2312" w:cs="仿宋_GB2312"/>
          <w:color w:val="000000"/>
          <w:sz w:val="32"/>
          <w:szCs w:val="32"/>
          <w:bdr w:val="none" w:color="auto" w:sz="0" w:space="0"/>
          <w:shd w:val="clear" w:fill="FFFFFF"/>
        </w:rPr>
        <w:t>信息栏目，加强网站</w:t>
      </w:r>
      <w:r>
        <w:rPr>
          <w:rFonts w:hint="eastAsia" w:ascii="仿宋_GB2312" w:hAnsi="仿宋_GB2312" w:eastAsia="仿宋_GB2312" w:cs="仿宋_GB2312"/>
          <w:color w:val="000000"/>
          <w:sz w:val="32"/>
          <w:szCs w:val="32"/>
          <w:bdr w:val="none" w:color="auto" w:sz="0" w:space="0"/>
          <w:shd w:val="clear" w:fill="FFFFFF"/>
          <w:lang w:eastAsia="zh-CN"/>
        </w:rPr>
        <w:t>信息</w:t>
      </w:r>
      <w:r>
        <w:rPr>
          <w:rFonts w:hint="eastAsia" w:ascii="仿宋_GB2312" w:hAnsi="仿宋_GB2312" w:eastAsia="仿宋_GB2312" w:cs="仿宋_GB2312"/>
          <w:color w:val="000000"/>
          <w:sz w:val="32"/>
          <w:szCs w:val="32"/>
          <w:bdr w:val="none" w:color="auto" w:sz="0" w:space="0"/>
          <w:shd w:val="clear" w:fill="FFFFFF"/>
        </w:rPr>
        <w:t>维护管理。对于重要政务信息以及重大工作部署、专项行动以及便民利民措施等信息，做到第一时间在网站公开。二是进一步提升</w:t>
      </w:r>
      <w:r>
        <w:rPr>
          <w:rFonts w:hint="eastAsia" w:ascii="仿宋_GB2312" w:hAnsi="仿宋_GB2312" w:eastAsia="仿宋_GB2312" w:cs="仿宋_GB2312"/>
          <w:color w:val="000000"/>
          <w:sz w:val="32"/>
          <w:szCs w:val="32"/>
          <w:bdr w:val="none" w:color="auto" w:sz="0" w:space="0"/>
          <w:shd w:val="clear" w:fill="FFFFFF"/>
          <w:lang w:eastAsia="zh-CN"/>
        </w:rPr>
        <w:t>大兴区政务服务网上信息的公布</w:t>
      </w:r>
      <w:r>
        <w:rPr>
          <w:rFonts w:hint="eastAsia" w:ascii="仿宋_GB2312" w:hAnsi="仿宋_GB2312" w:eastAsia="仿宋_GB2312" w:cs="仿宋_GB2312"/>
          <w:color w:val="000000"/>
          <w:sz w:val="32"/>
          <w:szCs w:val="32"/>
          <w:bdr w:val="none" w:color="auto" w:sz="0" w:space="0"/>
          <w:shd w:val="clear" w:fill="FFFFFF"/>
        </w:rPr>
        <w:t>，及时、准确地发布</w:t>
      </w:r>
      <w:r>
        <w:rPr>
          <w:rFonts w:hint="eastAsia" w:ascii="仿宋_GB2312" w:hAnsi="仿宋_GB2312" w:eastAsia="仿宋_GB2312" w:cs="仿宋_GB2312"/>
          <w:color w:val="000000"/>
          <w:sz w:val="32"/>
          <w:szCs w:val="32"/>
          <w:bdr w:val="none" w:color="auto" w:sz="0" w:space="0"/>
          <w:shd w:val="clear" w:fill="FFFFFF"/>
          <w:lang w:eastAsia="zh-CN"/>
        </w:rPr>
        <w:t>事项办理</w:t>
      </w:r>
      <w:r>
        <w:rPr>
          <w:rFonts w:hint="eastAsia" w:ascii="仿宋_GB2312" w:hAnsi="仿宋_GB2312" w:eastAsia="仿宋_GB2312" w:cs="仿宋_GB2312"/>
          <w:color w:val="000000"/>
          <w:sz w:val="32"/>
          <w:szCs w:val="32"/>
          <w:bdr w:val="none" w:color="auto" w:sz="0" w:space="0"/>
          <w:shd w:val="clear" w:fill="FFFFFF"/>
        </w:rPr>
        <w:t>信息</w:t>
      </w:r>
      <w:r>
        <w:rPr>
          <w:rFonts w:hint="eastAsia" w:ascii="仿宋_GB2312" w:hAnsi="仿宋_GB2312" w:eastAsia="仿宋_GB2312" w:cs="仿宋_GB2312"/>
          <w:color w:val="000000"/>
          <w:sz w:val="32"/>
          <w:szCs w:val="32"/>
          <w:bdr w:val="none" w:color="auto" w:sz="0" w:space="0"/>
          <w:shd w:val="clear" w:fill="FFFFFF"/>
          <w:lang w:eastAsia="zh-CN"/>
        </w:rPr>
        <w:t>，政务地图的公开信息</w:t>
      </w:r>
      <w:r>
        <w:rPr>
          <w:rFonts w:hint="eastAsia" w:ascii="仿宋_GB2312" w:hAnsi="仿宋_GB2312" w:eastAsia="仿宋_GB2312" w:cs="仿宋_GB2312"/>
          <w:color w:val="000000"/>
          <w:sz w:val="32"/>
          <w:szCs w:val="32"/>
          <w:bdr w:val="none" w:color="auto" w:sz="0" w:space="0"/>
          <w:shd w:val="clear" w:fill="FFFFFF"/>
        </w:rPr>
        <w:t>。</w:t>
      </w:r>
    </w:p>
    <w:p>
      <w:pPr>
        <w:pStyle w:val="4"/>
        <w:keepNext w:val="0"/>
        <w:keepLines w:val="0"/>
        <w:widowControl/>
        <w:suppressLineNumbers w:val="0"/>
        <w:spacing w:before="0" w:beforeAutospacing="1" w:after="0" w:afterAutospacing="0" w:line="408" w:lineRule="atLeast"/>
        <w:ind w:left="0" w:right="0" w:firstLine="432"/>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shd w:val="clear" w:fill="FFFFFF"/>
        </w:rPr>
        <w:t>（二）健全信息公开工作机制，规范信息公开工作流程。</w:t>
      </w:r>
      <w:r>
        <w:rPr>
          <w:rFonts w:hint="eastAsia" w:ascii="仿宋_GB2312" w:hAnsi="仿宋_GB2312" w:eastAsia="仿宋_GB2312" w:cs="仿宋_GB2312"/>
          <w:color w:val="000000"/>
          <w:sz w:val="32"/>
          <w:szCs w:val="32"/>
          <w:bdr w:val="none" w:color="auto" w:sz="0" w:space="0"/>
          <w:shd w:val="clear" w:fill="FFFFFF"/>
          <w:lang w:eastAsia="zh-CN"/>
        </w:rPr>
        <w:t>区政务服务办</w:t>
      </w:r>
      <w:r>
        <w:rPr>
          <w:rFonts w:hint="eastAsia" w:ascii="仿宋_GB2312" w:hAnsi="仿宋_GB2312" w:eastAsia="仿宋_GB2312" w:cs="仿宋_GB2312"/>
          <w:color w:val="000000"/>
          <w:sz w:val="32"/>
          <w:szCs w:val="32"/>
          <w:bdr w:val="none" w:color="auto" w:sz="0" w:space="0"/>
          <w:shd w:val="clear" w:fill="FFFFFF"/>
        </w:rPr>
        <w:t>不断完善信息公开相关机制和流程，要求各</w:t>
      </w:r>
      <w:r>
        <w:rPr>
          <w:rFonts w:hint="eastAsia" w:ascii="仿宋_GB2312" w:hAnsi="仿宋_GB2312" w:eastAsia="仿宋_GB2312" w:cs="仿宋_GB2312"/>
          <w:color w:val="000000"/>
          <w:sz w:val="32"/>
          <w:szCs w:val="32"/>
          <w:bdr w:val="none" w:color="auto" w:sz="0" w:space="0"/>
          <w:shd w:val="clear" w:fill="FFFFFF"/>
          <w:lang w:eastAsia="zh-CN"/>
        </w:rPr>
        <w:t>科室</w:t>
      </w:r>
      <w:r>
        <w:rPr>
          <w:rFonts w:hint="eastAsia" w:ascii="仿宋_GB2312" w:hAnsi="仿宋_GB2312" w:eastAsia="仿宋_GB2312" w:cs="仿宋_GB2312"/>
          <w:color w:val="000000"/>
          <w:sz w:val="32"/>
          <w:szCs w:val="32"/>
          <w:bdr w:val="none" w:color="auto" w:sz="0" w:space="0"/>
          <w:shd w:val="clear" w:fill="FFFFFF"/>
        </w:rPr>
        <w:t>按照“谁公开、谁审查、谁负责”的原则，依法依规开展信息公开工作。同时，根据《</w:t>
      </w:r>
      <w:r>
        <w:rPr>
          <w:rFonts w:hint="eastAsia" w:ascii="仿宋_GB2312" w:hAnsi="仿宋_GB2312" w:eastAsia="仿宋_GB2312" w:cs="仿宋_GB2312"/>
          <w:sz w:val="32"/>
          <w:szCs w:val="32"/>
        </w:rPr>
        <w:t>大兴区201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年政务公开工作要点</w:t>
      </w:r>
      <w:r>
        <w:rPr>
          <w:rFonts w:hint="eastAsia" w:ascii="仿宋_GB2312" w:hAnsi="仿宋_GB2312" w:eastAsia="仿宋_GB2312" w:cs="仿宋_GB2312"/>
          <w:color w:val="000000"/>
          <w:sz w:val="32"/>
          <w:szCs w:val="32"/>
          <w:bdr w:val="none" w:color="auto" w:sz="0" w:space="0"/>
          <w:shd w:val="clear" w:fill="FFFFFF"/>
        </w:rPr>
        <w:t>》要求，确保信息公开工作依法规范运行。另外，以全市</w:t>
      </w:r>
      <w:r>
        <w:rPr>
          <w:rFonts w:hint="eastAsia" w:ascii="仿宋_GB2312" w:hAnsi="仿宋_GB2312" w:eastAsia="仿宋_GB2312" w:cs="仿宋_GB2312"/>
          <w:color w:val="000000"/>
          <w:sz w:val="32"/>
          <w:szCs w:val="32"/>
          <w:bdr w:val="none" w:color="auto" w:sz="0" w:space="0"/>
          <w:shd w:val="clear" w:fill="FFFFFF"/>
          <w:lang w:eastAsia="zh-CN"/>
        </w:rPr>
        <w:t>政务服务网建设为契机，对我区政务服务网进行全面升级</w:t>
      </w:r>
      <w:r>
        <w:rPr>
          <w:rFonts w:hint="eastAsia" w:ascii="仿宋_GB2312" w:hAnsi="仿宋_GB2312" w:eastAsia="仿宋_GB2312" w:cs="仿宋_GB2312"/>
          <w:color w:val="000000"/>
          <w:sz w:val="32"/>
          <w:szCs w:val="32"/>
          <w:bdr w:val="none" w:color="auto" w:sz="0" w:space="0"/>
          <w:shd w:val="clear"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二、主动公开情况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按照《条例》第9至12条规定的主动公开政府信息范围，</w:t>
      </w:r>
      <w:r>
        <w:rPr>
          <w:rFonts w:hint="eastAsia" w:ascii="仿宋_GB2312" w:hAnsi="仿宋_GB2312" w:eastAsia="仿宋_GB2312" w:cs="仿宋_GB2312"/>
          <w:sz w:val="32"/>
          <w:szCs w:val="32"/>
          <w:lang w:eastAsia="zh-CN"/>
        </w:rPr>
        <w:t>区政务服务办</w:t>
      </w:r>
      <w:r>
        <w:rPr>
          <w:rFonts w:hint="eastAsia" w:ascii="仿宋_GB2312" w:hAnsi="仿宋_GB2312" w:eastAsia="仿宋_GB2312" w:cs="仿宋_GB2312"/>
          <w:sz w:val="32"/>
          <w:szCs w:val="32"/>
        </w:rPr>
        <w:t>开展了信息清理和目录编制工作，并按照《条例》第15条规定，通过政府网站便于公众知晓的方式主动公开。按照《条例》 第16条规定，继续完善政府信息公开大厅等政府信息公开查阅场所，为公民、法人或者其他组织获取政府信息提供便利。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，区政务服务办</w:t>
      </w:r>
      <w:r>
        <w:rPr>
          <w:rFonts w:hint="eastAsia" w:ascii="仿宋_GB2312" w:hAnsi="仿宋_GB2312" w:eastAsia="仿宋_GB2312" w:cs="仿宋_GB2312"/>
          <w:sz w:val="32"/>
          <w:szCs w:val="32"/>
        </w:rPr>
        <w:t>主动公开政府信息数</w:t>
      </w:r>
      <w:r>
        <w:rPr>
          <w:rFonts w:hint="eastAsia" w:ascii="仿宋_GB2312" w:hAnsi="仿宋_GB2312" w:eastAsia="仿宋_GB2312" w:cs="仿宋_GB2312"/>
          <w:sz w:val="32"/>
          <w:szCs w:val="32"/>
          <w:lang w:val="en-US" w:eastAsia="zh-CN"/>
        </w:rPr>
        <w:t>348</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政务微信公开政府信息数</w:t>
      </w:r>
      <w:r>
        <w:rPr>
          <w:rFonts w:hint="eastAsia" w:ascii="仿宋_GB2312" w:hAnsi="仿宋_GB2312" w:eastAsia="仿宋_GB2312" w:cs="仿宋_GB2312"/>
          <w:sz w:val="32"/>
          <w:szCs w:val="32"/>
          <w:lang w:val="en-US" w:eastAsia="zh-CN"/>
        </w:rPr>
        <w:t>192条，</w:t>
      </w:r>
      <w:r>
        <w:rPr>
          <w:rFonts w:hint="eastAsia" w:ascii="仿宋_GB2312" w:hAnsi="仿宋_GB2312" w:eastAsia="仿宋_GB2312" w:cs="仿宋_GB2312"/>
          <w:sz w:val="32"/>
          <w:szCs w:val="32"/>
        </w:rPr>
        <w:t>重点领域公开政府信息数2条。其中，主动公开财政预算决算、“三公经费”和行政经费信息数2条。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三、依申请公开情况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按照《条例》第13条规定，</w:t>
      </w:r>
      <w:r>
        <w:rPr>
          <w:rFonts w:hint="eastAsia" w:ascii="仿宋_GB2312" w:hAnsi="仿宋_GB2312" w:eastAsia="仿宋_GB2312" w:cs="仿宋_GB2312"/>
          <w:sz w:val="32"/>
          <w:szCs w:val="32"/>
          <w:lang w:eastAsia="zh-CN"/>
        </w:rPr>
        <w:t>区政务服务办</w:t>
      </w:r>
      <w:r>
        <w:rPr>
          <w:rFonts w:hint="eastAsia" w:ascii="仿宋_GB2312" w:hAnsi="仿宋_GB2312" w:eastAsia="仿宋_GB2312" w:cs="仿宋_GB2312"/>
          <w:sz w:val="32"/>
          <w:szCs w:val="32"/>
        </w:rPr>
        <w:t>自《条例》实施之日起正式受理公民、法人或者其他组织根据自身生产、生活、科研等特殊需要提出的政府信息公开申请。为落实《条例》确定的政府信息依申请公开制度，本</w:t>
      </w:r>
      <w:r>
        <w:rPr>
          <w:rFonts w:hint="eastAsia" w:ascii="仿宋_GB2312" w:hAnsi="仿宋_GB2312" w:eastAsia="仿宋_GB2312" w:cs="仿宋_GB2312"/>
          <w:sz w:val="32"/>
          <w:szCs w:val="32"/>
          <w:lang w:eastAsia="zh-CN"/>
        </w:rPr>
        <w:t>“政务服务办”</w:t>
      </w:r>
      <w:r>
        <w:rPr>
          <w:rFonts w:hint="eastAsia" w:ascii="仿宋_GB2312" w:hAnsi="仿宋_GB2312" w:eastAsia="仿宋_GB2312" w:cs="仿宋_GB2312"/>
          <w:sz w:val="32"/>
          <w:szCs w:val="32"/>
        </w:rPr>
        <w:t>继续完善政府信息公开申请受理场所，并公布政府信息公开受理机构的联系方式。201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区政务服务办</w:t>
      </w:r>
      <w:r>
        <w:rPr>
          <w:rFonts w:hint="eastAsia" w:ascii="仿宋_GB2312" w:hAnsi="仿宋_GB2312" w:eastAsia="仿宋_GB2312" w:cs="仿宋_GB2312"/>
          <w:sz w:val="32"/>
          <w:szCs w:val="32"/>
        </w:rPr>
        <w:t>未接到政府信息公开申请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无答复内容。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四、复议和诉讼情况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按照《条例》第33条规定，公民、法人或者其他组织认为行政机关在政府信息公开工作中的具体行政行为侵犯其合法权益的，可以依法申请行政复议或者提起行政诉讼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区政务服务办</w:t>
      </w:r>
      <w:r>
        <w:rPr>
          <w:rFonts w:hint="eastAsia" w:ascii="仿宋_GB2312" w:hAnsi="仿宋_GB2312" w:eastAsia="仿宋_GB2312" w:cs="仿宋_GB2312"/>
          <w:sz w:val="32"/>
          <w:szCs w:val="32"/>
        </w:rPr>
        <w:t>无行政复议或行政诉讼情况。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五、存在的不足及改进措施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区政务服办</w:t>
      </w:r>
      <w:r>
        <w:rPr>
          <w:rFonts w:hint="eastAsia" w:ascii="仿宋_GB2312" w:hAnsi="仿宋_GB2312" w:eastAsia="仿宋_GB2312" w:cs="仿宋_GB2312"/>
          <w:sz w:val="32"/>
          <w:szCs w:val="32"/>
        </w:rPr>
        <w:t>信息公开工作有序推进，在促进依法行政、保障群众知情权、发挥政府信息服务作用方面取得了一定成效，但也存在一些问题，一是信息公开工作规范和协调联动机制不足，仍需进一步优化；二是信息公开内容和形式过于严肃，仍需进一步丰富；三是新媒体平台太过分散，仍需进一步</w:t>
      </w:r>
      <w:r>
        <w:rPr>
          <w:rFonts w:hint="eastAsia" w:ascii="仿宋_GB2312" w:hAnsi="仿宋_GB2312" w:eastAsia="仿宋_GB2312" w:cs="仿宋_GB2312"/>
          <w:sz w:val="32"/>
          <w:szCs w:val="32"/>
          <w:lang w:eastAsia="zh-CN"/>
        </w:rPr>
        <w:t>加强联系</w:t>
      </w:r>
      <w:r>
        <w:rPr>
          <w:rFonts w:hint="eastAsia" w:ascii="仿宋_GB2312" w:hAnsi="仿宋_GB2312" w:eastAsia="仿宋_GB2312" w:cs="仿宋_GB2312"/>
          <w:sz w:val="32"/>
          <w:szCs w:val="32"/>
        </w:rPr>
        <w:t>整合。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区政务服办</w:t>
      </w:r>
      <w:r>
        <w:rPr>
          <w:rFonts w:hint="eastAsia" w:ascii="仿宋_GB2312" w:hAnsi="仿宋_GB2312" w:eastAsia="仿宋_GB2312" w:cs="仿宋_GB2312"/>
          <w:sz w:val="32"/>
          <w:szCs w:val="32"/>
        </w:rPr>
        <w:t>将认真贯彻落实上级关于政府信息公开工作的重要部署，聚焦短板，持续改进：一是健全信息公开相关制度，细化政府信息公开目录，明确公开内容。二是进一步加强信息公开内容建设，创新信息公开形式，拓展信息公开范围和公开内容的深度，以公众喜闻乐见的形式公开政府信息。三是统筹整合新媒体平台，形成矩阵效应，打造全媒体信息公开格局，提升信息公开质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北京市大兴区政务服务管理办公室</w:t>
      </w: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2019年3月1日      </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仿宋_GB2312" w:hAnsi="仿宋_GB2312" w:eastAsia="仿宋_GB2312" w:cs="仿宋_GB2312"/>
          <w:sz w:val="32"/>
          <w:szCs w:val="32"/>
          <w:lang w:val="en-US" w:eastAsia="zh-CN"/>
        </w:rPr>
      </w:pPr>
    </w:p>
    <w:tbl>
      <w:tblPr>
        <w:tblStyle w:val="14"/>
        <w:tblW w:w="9555" w:type="dxa"/>
        <w:jc w:val="center"/>
        <w:tblInd w:w="93" w:type="dxa"/>
        <w:tblLayout w:type="fixed"/>
        <w:tblCellMar>
          <w:top w:w="0" w:type="dxa"/>
          <w:left w:w="108" w:type="dxa"/>
          <w:bottom w:w="0" w:type="dxa"/>
          <w:right w:w="108" w:type="dxa"/>
        </w:tblCellMar>
      </w:tblPr>
      <w:tblGrid>
        <w:gridCol w:w="7470"/>
        <w:gridCol w:w="285"/>
        <w:gridCol w:w="475"/>
        <w:gridCol w:w="245"/>
        <w:gridCol w:w="1080"/>
      </w:tblGrid>
      <w:tr>
        <w:tblPrEx>
          <w:tblLayout w:type="fixed"/>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noWrap/>
            <w:vAlign w:val="center"/>
          </w:tcPr>
          <w:p>
            <w:pPr>
              <w:widowControl/>
              <w:jc w:val="left"/>
              <w:rPr>
                <w:rFonts w:ascii="宋体" w:hAnsi="宋体" w:cs="宋体"/>
                <w:color w:val="000000"/>
                <w:kern w:val="0"/>
                <w:sz w:val="22"/>
              </w:rPr>
            </w:pPr>
          </w:p>
        </w:tc>
        <w:tc>
          <w:tcPr>
            <w:tcW w:w="760" w:type="dxa"/>
            <w:gridSpan w:val="2"/>
            <w:tcBorders>
              <w:top w:val="nil"/>
              <w:left w:val="nil"/>
              <w:bottom w:val="nil"/>
              <w:right w:val="nil"/>
            </w:tcBorders>
            <w:shd w:val="clear" w:color="FFFFFF" w:fill="auto"/>
            <w:noWrap/>
            <w:vAlign w:val="center"/>
          </w:tcPr>
          <w:p>
            <w:pPr>
              <w:widowControl/>
              <w:jc w:val="center"/>
              <w:rPr>
                <w:rFonts w:ascii="宋体" w:hAnsi="宋体" w:cs="宋体"/>
                <w:color w:val="000000"/>
                <w:kern w:val="0"/>
                <w:sz w:val="22"/>
              </w:rPr>
            </w:pPr>
          </w:p>
        </w:tc>
        <w:tc>
          <w:tcPr>
            <w:tcW w:w="1325" w:type="dxa"/>
            <w:gridSpan w:val="2"/>
            <w:tcBorders>
              <w:top w:val="nil"/>
              <w:left w:val="nil"/>
              <w:bottom w:val="nil"/>
              <w:right w:val="nil"/>
            </w:tcBorders>
            <w:shd w:val="clear" w:color="FFFFFF" w:fill="auto"/>
            <w:noWrap/>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noWrap/>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noWrap/>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w:t>
            </w:r>
            <w:r>
              <w:rPr>
                <w:rFonts w:hint="eastAsia" w:ascii="楷体_GB2312" w:hAnsi="宋体" w:eastAsia="楷体_GB2312" w:cs="宋体"/>
                <w:kern w:val="0"/>
                <w:sz w:val="32"/>
                <w:szCs w:val="32"/>
                <w:lang w:val="en-US" w:eastAsia="zh-CN"/>
              </w:rPr>
              <w:t xml:space="preserve">2018 </w:t>
            </w:r>
            <w:r>
              <w:rPr>
                <w:rFonts w:hint="eastAsia" w:ascii="楷体_GB2312" w:hAnsi="宋体" w:eastAsia="楷体_GB2312" w:cs="宋体"/>
                <w:kern w:val="0"/>
                <w:sz w:val="32"/>
                <w:szCs w:val="32"/>
              </w:rPr>
              <w:t>年度）</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noWrap/>
            <w:vAlign w:val="center"/>
          </w:tcPr>
          <w:p>
            <w:pPr>
              <w:widowControl/>
              <w:jc w:val="left"/>
              <w:rPr>
                <w:rFonts w:ascii="宋体" w:hAnsi="宋体" w:cs="宋体"/>
                <w:color w:val="000000"/>
                <w:kern w:val="0"/>
                <w:sz w:val="22"/>
              </w:rPr>
            </w:pPr>
          </w:p>
        </w:tc>
        <w:tc>
          <w:tcPr>
            <w:tcW w:w="720" w:type="dxa"/>
            <w:gridSpan w:val="2"/>
            <w:tcBorders>
              <w:top w:val="nil"/>
              <w:left w:val="nil"/>
              <w:bottom w:val="nil"/>
              <w:right w:val="nil"/>
            </w:tcBorders>
            <w:shd w:val="clear" w:color="FFFFFF" w:fill="auto"/>
            <w:noWrap/>
            <w:vAlign w:val="center"/>
          </w:tcPr>
          <w:p>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noWrap/>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noWrap/>
            <w:vAlign w:val="center"/>
          </w:tcPr>
          <w:p>
            <w:pPr>
              <w:widowControl/>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rPr>
              <w:t>填报单位（盖章）：</w:t>
            </w:r>
            <w:r>
              <w:rPr>
                <w:rFonts w:hint="eastAsia" w:ascii="仿宋_GB2312" w:hAnsi="宋体" w:eastAsia="仿宋_GB2312" w:cs="宋体"/>
                <w:kern w:val="0"/>
                <w:sz w:val="24"/>
                <w:lang w:eastAsia="zh-CN"/>
              </w:rPr>
              <w:t>大兴区政务服务管理办公室</w:t>
            </w:r>
          </w:p>
        </w:tc>
        <w:tc>
          <w:tcPr>
            <w:tcW w:w="720" w:type="dxa"/>
            <w:gridSpan w:val="2"/>
            <w:tcBorders>
              <w:top w:val="nil"/>
              <w:left w:val="nil"/>
              <w:bottom w:val="single" w:color="auto" w:sz="8" w:space="0"/>
              <w:right w:val="nil"/>
            </w:tcBorders>
            <w:shd w:val="clear" w:color="FFFFFF"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348</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noWrap/>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348</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192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bookmarkStart w:id="0" w:name="_GoBack" w:colFirst="2" w:colLast="2"/>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bookmarkEnd w:id="0"/>
      <w:tr>
        <w:tblPrEx>
          <w:tblLayout w:type="fixed"/>
          <w:tblCellMar>
            <w:top w:w="0" w:type="dxa"/>
            <w:left w:w="108" w:type="dxa"/>
            <w:bottom w:w="0" w:type="dxa"/>
            <w:right w:w="108" w:type="dxa"/>
          </w:tblCellMar>
        </w:tblPrEx>
        <w:trPr>
          <w:trHeight w:val="402" w:hRule="atLeast"/>
          <w:jc w:val="center"/>
        </w:trPr>
        <w:tc>
          <w:tcPr>
            <w:tcW w:w="9555" w:type="dxa"/>
            <w:gridSpan w:val="5"/>
            <w:tcBorders>
              <w:top w:val="single" w:color="auto" w:sz="8" w:space="0"/>
              <w:left w:val="nil"/>
              <w:bottom w:val="nil"/>
              <w:right w:val="nil"/>
            </w:tcBorders>
            <w:shd w:val="clear" w:color="auto" w:fill="auto"/>
            <w:noWrap/>
            <w:vAlign w:val="center"/>
          </w:tcPr>
          <w:p>
            <w:pPr>
              <w:widowControl/>
              <w:jc w:val="left"/>
              <w:rPr>
                <w:rFonts w:ascii="仿宋_GB2312" w:hAnsi="宋体" w:eastAsia="仿宋_GB2312" w:cs="宋体"/>
                <w:kern w:val="0"/>
                <w:sz w:val="24"/>
              </w:rPr>
            </w:pPr>
          </w:p>
          <w:p>
            <w:pPr>
              <w:widowControl/>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rPr>
              <w:t>单位负责人：</w:t>
            </w:r>
            <w:r>
              <w:rPr>
                <w:rFonts w:hint="eastAsia" w:ascii="仿宋_GB2312" w:hAnsi="宋体" w:eastAsia="仿宋_GB2312" w:cs="宋体"/>
                <w:kern w:val="0"/>
                <w:sz w:val="24"/>
                <w:lang w:eastAsia="zh-CN"/>
              </w:rPr>
              <w:t>任杰</w:t>
            </w:r>
            <w:r>
              <w:rPr>
                <w:rFonts w:hint="eastAsia" w:ascii="仿宋_GB2312" w:hAnsi="宋体" w:eastAsia="仿宋_GB2312" w:cs="宋体"/>
                <w:kern w:val="0"/>
                <w:sz w:val="24"/>
              </w:rPr>
              <w:t xml:space="preserve">             审核人：</w:t>
            </w:r>
            <w:r>
              <w:rPr>
                <w:rFonts w:hint="eastAsia" w:ascii="仿宋_GB2312" w:hAnsi="宋体" w:eastAsia="仿宋_GB2312" w:cs="宋体"/>
                <w:kern w:val="0"/>
                <w:sz w:val="24"/>
                <w:lang w:eastAsia="zh-CN"/>
              </w:rPr>
              <w:t>任杰</w:t>
            </w:r>
            <w:r>
              <w:rPr>
                <w:rFonts w:hint="eastAsia" w:ascii="仿宋_GB2312" w:hAnsi="宋体" w:eastAsia="仿宋_GB2312" w:cs="宋体"/>
                <w:kern w:val="0"/>
                <w:sz w:val="24"/>
              </w:rPr>
              <w:t xml:space="preserve">         </w:t>
            </w:r>
            <w:r>
              <w:rPr>
                <w:rFonts w:hint="eastAsia" w:ascii="仿宋_GB2312" w:hAnsi="宋体" w:eastAsia="仿宋_GB2312" w:cs="宋体"/>
                <w:kern w:val="0"/>
                <w:sz w:val="24"/>
                <w:lang w:val="en-US" w:eastAsia="zh-CN"/>
              </w:rPr>
              <w:t xml:space="preserve"> </w:t>
            </w:r>
            <w:r>
              <w:rPr>
                <w:rFonts w:hint="eastAsia" w:ascii="仿宋_GB2312" w:hAnsi="宋体" w:eastAsia="仿宋_GB2312" w:cs="宋体"/>
                <w:kern w:val="0"/>
                <w:sz w:val="24"/>
              </w:rPr>
              <w:t>填报人：</w:t>
            </w:r>
            <w:r>
              <w:rPr>
                <w:rFonts w:hint="eastAsia" w:ascii="仿宋_GB2312" w:hAnsi="宋体" w:eastAsia="仿宋_GB2312" w:cs="宋体"/>
                <w:kern w:val="0"/>
                <w:sz w:val="24"/>
                <w:lang w:eastAsia="zh-CN"/>
              </w:rPr>
              <w:t>闫心怡</w:t>
            </w:r>
          </w:p>
        </w:tc>
      </w:tr>
      <w:tr>
        <w:tblPrEx>
          <w:tblLayout w:type="fixed"/>
          <w:tblCellMar>
            <w:top w:w="0" w:type="dxa"/>
            <w:left w:w="108" w:type="dxa"/>
            <w:bottom w:w="0" w:type="dxa"/>
            <w:right w:w="108" w:type="dxa"/>
          </w:tblCellMar>
        </w:tblPrEx>
        <w:trPr>
          <w:trHeight w:val="402" w:hRule="atLeast"/>
          <w:jc w:val="center"/>
        </w:trPr>
        <w:tc>
          <w:tcPr>
            <w:tcW w:w="9555" w:type="dxa"/>
            <w:gridSpan w:val="5"/>
            <w:tcBorders>
              <w:top w:val="nil"/>
              <w:left w:val="nil"/>
              <w:bottom w:val="nil"/>
              <w:right w:val="nil"/>
            </w:tcBorders>
            <w:shd w:val="clear" w:color="auto" w:fill="auto"/>
            <w:noWrap/>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联系电话</w:t>
            </w: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81296194</w:t>
            </w:r>
            <w:r>
              <w:rPr>
                <w:rFonts w:hint="eastAsia" w:ascii="仿宋_GB2312" w:hAnsi="宋体" w:eastAsia="仿宋_GB2312" w:cs="宋体"/>
                <w:kern w:val="0"/>
                <w:sz w:val="24"/>
              </w:rPr>
              <w:t xml:space="preserve">                                 填报日期：</w:t>
            </w:r>
            <w:r>
              <w:rPr>
                <w:rFonts w:hint="eastAsia" w:ascii="仿宋_GB2312" w:hAnsi="宋体" w:eastAsia="仿宋_GB2312" w:cs="宋体"/>
                <w:kern w:val="0"/>
                <w:sz w:val="24"/>
                <w:lang w:val="en-US" w:eastAsia="zh-CN"/>
              </w:rPr>
              <w:t>2019年1月18日</w:t>
            </w:r>
          </w:p>
        </w:tc>
      </w:tr>
    </w:tbl>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iconfont2017">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810AFA"/>
    <w:multiLevelType w:val="singleLevel"/>
    <w:tmpl w:val="F6810A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4066C"/>
    <w:rsid w:val="08140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Emphasis"/>
    <w:basedOn w:val="5"/>
    <w:qFormat/>
    <w:uiPriority w:val="0"/>
    <w:rPr>
      <w:i/>
    </w:rPr>
  </w:style>
  <w:style w:type="character" w:styleId="9">
    <w:name w:val="HTML Definition"/>
    <w:basedOn w:val="5"/>
    <w:uiPriority w:val="0"/>
    <w:rPr>
      <w:i/>
    </w:rPr>
  </w:style>
  <w:style w:type="character" w:styleId="10">
    <w:name w:val="Hyperlink"/>
    <w:basedOn w:val="5"/>
    <w:uiPriority w:val="0"/>
    <w:rPr>
      <w:color w:val="000000"/>
      <w:u w:val="none"/>
    </w:rPr>
  </w:style>
  <w:style w:type="character" w:styleId="11">
    <w:name w:val="HTML Code"/>
    <w:basedOn w:val="5"/>
    <w:uiPriority w:val="0"/>
    <w:rPr>
      <w:rFonts w:hint="default" w:ascii="monospace" w:hAnsi="monospace" w:eastAsia="monospace" w:cs="monospace"/>
      <w:sz w:val="21"/>
      <w:szCs w:val="21"/>
    </w:rPr>
  </w:style>
  <w:style w:type="character" w:styleId="12">
    <w:name w:val="HTML Keyboard"/>
    <w:basedOn w:val="5"/>
    <w:uiPriority w:val="0"/>
    <w:rPr>
      <w:rFonts w:hint="default" w:ascii="monospace" w:hAnsi="monospace" w:eastAsia="monospace" w:cs="monospace"/>
      <w:sz w:val="21"/>
      <w:szCs w:val="21"/>
    </w:rPr>
  </w:style>
  <w:style w:type="character" w:styleId="13">
    <w:name w:val="HTML Sample"/>
    <w:basedOn w:val="5"/>
    <w:uiPriority w:val="0"/>
    <w:rPr>
      <w:rFonts w:ascii="monospace" w:hAnsi="monospace" w:eastAsia="monospace" w:cs="monospace"/>
      <w:sz w:val="21"/>
      <w:szCs w:val="21"/>
    </w:rPr>
  </w:style>
  <w:style w:type="paragraph" w:styleId="15">
    <w:name w:val=""/>
    <w:basedOn w:val="1"/>
    <w:next w:val="1"/>
    <w:uiPriority w:val="0"/>
    <w:pPr>
      <w:pBdr>
        <w:bottom w:val="single" w:color="auto" w:sz="6" w:space="1"/>
      </w:pBdr>
      <w:jc w:val="center"/>
    </w:pPr>
    <w:rPr>
      <w:rFonts w:ascii="Arial" w:eastAsia="宋体"/>
      <w:vanish/>
      <w:sz w:val="16"/>
    </w:rPr>
  </w:style>
  <w:style w:type="paragraph" w:styleId="16">
    <w:name w:val=""/>
    <w:basedOn w:val="1"/>
    <w:next w:val="1"/>
    <w:uiPriority w:val="0"/>
    <w:pPr>
      <w:pBdr>
        <w:top w:val="single" w:color="auto" w:sz="6" w:space="1"/>
      </w:pBdr>
      <w:jc w:val="center"/>
    </w:pPr>
    <w:rPr>
      <w:rFonts w:ascii="Arial" w:eastAsia="宋体"/>
      <w:vanish/>
      <w:sz w:val="16"/>
    </w:rPr>
  </w:style>
  <w:style w:type="character" w:customStyle="1" w:styleId="17">
    <w:name w:val="on6"/>
    <w:basedOn w:val="5"/>
    <w:uiPriority w:val="0"/>
    <w:rPr>
      <w:color w:val="FFFFFF"/>
      <w:shd w:val="clear" w:fill="4A9AF3"/>
    </w:rPr>
  </w:style>
  <w:style w:type="character" w:customStyle="1" w:styleId="18">
    <w:name w:val="syh"/>
    <w:basedOn w:val="5"/>
    <w:uiPriority w:val="0"/>
  </w:style>
  <w:style w:type="character" w:customStyle="1" w:styleId="19">
    <w:name w:val="mc"/>
    <w:basedOn w:val="5"/>
    <w:uiPriority w:val="0"/>
  </w:style>
  <w:style w:type="character" w:customStyle="1" w:styleId="20">
    <w:name w:val="fwrq"/>
    <w:basedOn w:val="5"/>
    <w:uiPriority w:val="0"/>
  </w:style>
  <w:style w:type="character" w:customStyle="1" w:styleId="21">
    <w:name w:val="xh"/>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2019-02-14T05:46:00Z</dcterms:created>
  <dc:creator>矮</dc:creator>
  <cp:lastModifiedBy>矮</cp:lastModifiedBy>
  <dcterms:modified xsi:type="dcterms:W3CDTF">2019-02-14T09:16:23Z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