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北京市大兴区黄村镇人民政府</w:t>
      </w:r>
    </w:p>
    <w:p>
      <w:pPr>
        <w:spacing w:line="54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both"/>
        <w:textAlignment w:val="auto"/>
        <w:rPr>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w:t>
      </w:r>
      <w:r>
        <w:rPr>
          <w:rFonts w:hint="eastAsia" w:ascii="仿宋_GB2312" w:hAnsi="宋体" w:eastAsia="仿宋_GB2312" w:cs="宋体"/>
          <w:spacing w:val="8"/>
          <w:kern w:val="0"/>
          <w:sz w:val="32"/>
          <w:szCs w:val="32"/>
          <w:lang w:eastAsia="zh-CN"/>
        </w:rPr>
        <w:t>政府信息公开</w:t>
      </w:r>
      <w:r>
        <w:rPr>
          <w:rFonts w:hint="eastAsia" w:ascii="仿宋_GB2312" w:hAnsi="宋体" w:eastAsia="仿宋_GB2312" w:cs="宋体"/>
          <w:spacing w:val="8"/>
          <w:kern w:val="0"/>
          <w:sz w:val="32"/>
          <w:szCs w:val="32"/>
        </w:rPr>
        <w:t>条例》)第五十条规定，编制本报告。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jc w:val="both"/>
        <w:textAlignment w:val="auto"/>
        <w:outlineLvl w:val="0"/>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楷体_GB2312" w:hAnsi="宋体" w:eastAsia="楷体_GB2312" w:cs="宋体"/>
          <w:color w:val="000000"/>
          <w:kern w:val="0"/>
          <w:sz w:val="32"/>
          <w:szCs w:val="32"/>
        </w:rPr>
      </w:pPr>
      <w:r>
        <w:rPr>
          <w:rFonts w:hint="eastAsia" w:ascii="楷体_GB2312" w:hAnsi="楷体_GB2312" w:eastAsia="楷体_GB2312" w:cs="楷体_GB2312"/>
          <w:sz w:val="32"/>
          <w:szCs w:val="32"/>
          <w:lang w:eastAsia="zh-CN"/>
        </w:rPr>
        <w:t>（一）组织领导情况。</w:t>
      </w:r>
      <w:r>
        <w:rPr>
          <w:rFonts w:hint="eastAsia" w:ascii="仿宋_GB2312" w:hAnsi="仿宋_GB2312" w:eastAsia="仿宋_GB2312" w:cs="仿宋_GB2312"/>
          <w:sz w:val="32"/>
          <w:szCs w:val="32"/>
          <w:lang w:eastAsia="zh-CN"/>
        </w:rPr>
        <w:t>我镇高度重视政府信息公开工作，实行专人负责制，</w:t>
      </w:r>
      <w:r>
        <w:rPr>
          <w:rFonts w:hint="eastAsia" w:ascii="仿宋_GB2312" w:eastAsia="仿宋_GB2312"/>
          <w:color w:val="000000"/>
          <w:sz w:val="32"/>
          <w:szCs w:val="32"/>
        </w:rPr>
        <w:t>成立了政府信息公开保密审查领导小组</w:t>
      </w:r>
      <w:r>
        <w:rPr>
          <w:rFonts w:hint="eastAsia" w:ascii="仿宋_GB2312" w:eastAsia="仿宋_GB2312"/>
          <w:color w:val="000000"/>
          <w:sz w:val="32"/>
          <w:szCs w:val="32"/>
          <w:lang w:eastAsia="zh-CN"/>
        </w:rPr>
        <w:t>。</w:t>
      </w:r>
      <w:r>
        <w:rPr>
          <w:rFonts w:hint="eastAsia" w:ascii="仿宋_GB2312" w:eastAsia="仿宋_GB2312"/>
          <w:color w:val="000000"/>
          <w:sz w:val="32"/>
          <w:szCs w:val="32"/>
        </w:rPr>
        <w:t>由党委副书记任组长，办公室主任任副组长，办公室工作人员为成员，负责</w:t>
      </w:r>
      <w:r>
        <w:rPr>
          <w:rFonts w:hint="eastAsia" w:ascii="仿宋_GB2312" w:hAnsi="宋体" w:eastAsia="仿宋_GB2312" w:cs="宋体"/>
          <w:color w:val="000000"/>
          <w:kern w:val="0"/>
          <w:sz w:val="32"/>
          <w:szCs w:val="32"/>
        </w:rPr>
        <w:t>对</w:t>
      </w: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eastAsia="zh-CN"/>
        </w:rPr>
        <w:t>政府信息公开</w:t>
      </w:r>
      <w:r>
        <w:rPr>
          <w:rFonts w:hint="eastAsia" w:ascii="仿宋_GB2312" w:hAnsi="宋体" w:eastAsia="仿宋_GB2312" w:cs="宋体"/>
          <w:spacing w:val="8"/>
          <w:kern w:val="0"/>
          <w:sz w:val="32"/>
          <w:szCs w:val="32"/>
        </w:rPr>
        <w:t>条例》</w:t>
      </w:r>
      <w:r>
        <w:rPr>
          <w:rFonts w:hint="eastAsia" w:ascii="仿宋_GB2312" w:hAnsi="宋体" w:eastAsia="仿宋_GB2312" w:cs="宋体"/>
          <w:color w:val="000000"/>
          <w:kern w:val="0"/>
          <w:sz w:val="32"/>
          <w:szCs w:val="32"/>
        </w:rPr>
        <w:t>规定公开的事项进行保密审查</w:t>
      </w:r>
      <w:r>
        <w:rPr>
          <w:rFonts w:hint="eastAsia" w:ascii="仿宋_GB2312" w:eastAsia="仿宋_GB2312"/>
          <w:color w:val="000000"/>
          <w:sz w:val="32"/>
          <w:szCs w:val="32"/>
        </w:rPr>
        <w:t>。由</w:t>
      </w:r>
      <w:r>
        <w:rPr>
          <w:rFonts w:hint="eastAsia" w:ascii="仿宋_GB2312" w:eastAsia="仿宋_GB2312"/>
          <w:color w:val="000000"/>
          <w:sz w:val="32"/>
          <w:szCs w:val="32"/>
          <w:lang w:eastAsia="zh-CN"/>
        </w:rPr>
        <w:t>综合保障</w:t>
      </w:r>
      <w:r>
        <w:rPr>
          <w:rFonts w:hint="eastAsia" w:ascii="仿宋_GB2312" w:eastAsia="仿宋_GB2312"/>
          <w:color w:val="000000"/>
          <w:sz w:val="32"/>
          <w:szCs w:val="32"/>
        </w:rPr>
        <w:t>办公室、</w:t>
      </w:r>
      <w:r>
        <w:rPr>
          <w:rFonts w:hint="eastAsia" w:ascii="仿宋_GB2312" w:eastAsia="仿宋_GB2312"/>
          <w:color w:val="000000"/>
          <w:sz w:val="32"/>
          <w:szCs w:val="32"/>
          <w:lang w:eastAsia="zh-CN"/>
        </w:rPr>
        <w:t>便民服务中心、市民活动中心</w:t>
      </w:r>
      <w:r>
        <w:rPr>
          <w:rFonts w:hint="eastAsia" w:ascii="仿宋_GB2312" w:eastAsia="仿宋_GB2312"/>
          <w:color w:val="000000"/>
          <w:sz w:val="32"/>
          <w:szCs w:val="32"/>
        </w:rPr>
        <w:t>等</w:t>
      </w:r>
      <w:r>
        <w:rPr>
          <w:rFonts w:hint="eastAsia" w:ascii="仿宋_GB2312" w:eastAsia="仿宋_GB2312"/>
          <w:color w:val="000000"/>
          <w:sz w:val="32"/>
          <w:szCs w:val="32"/>
          <w:lang w:eastAsia="zh-CN"/>
        </w:rPr>
        <w:t>机构</w:t>
      </w:r>
      <w:r>
        <w:rPr>
          <w:rFonts w:hint="eastAsia" w:ascii="仿宋_GB2312" w:eastAsia="仿宋_GB2312"/>
          <w:color w:val="000000"/>
          <w:sz w:val="32"/>
          <w:szCs w:val="32"/>
        </w:rPr>
        <w:t>具体负责政府信息公开工作。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（二）主动公开情况。</w:t>
      </w:r>
      <w:r>
        <w:rPr>
          <w:rFonts w:hint="eastAsia" w:ascii="仿宋_GB2312" w:hAnsi="仿宋_GB2312" w:eastAsia="仿宋_GB2312" w:cs="仿宋_GB2312"/>
          <w:sz w:val="32"/>
          <w:szCs w:val="32"/>
          <w:lang w:eastAsia="zh-CN"/>
        </w:rPr>
        <w:t>持续加大信息公开力度，202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年主动公开</w:t>
      </w:r>
      <w:r>
        <w:rPr>
          <w:rFonts w:hint="eastAsia" w:ascii="仿宋_GB2312" w:hAnsi="仿宋_GB2312" w:eastAsia="仿宋_GB2312" w:cs="仿宋_GB2312"/>
          <w:sz w:val="32"/>
          <w:szCs w:val="32"/>
          <w:lang w:val="en-US" w:eastAsia="zh-CN"/>
        </w:rPr>
        <w:t>1744</w:t>
      </w:r>
      <w:r>
        <w:rPr>
          <w:rFonts w:hint="eastAsia" w:ascii="仿宋_GB2312" w:hAnsi="仿宋_GB2312" w:eastAsia="仿宋_GB2312" w:cs="仿宋_GB2312"/>
          <w:sz w:val="32"/>
          <w:szCs w:val="32"/>
          <w:lang w:eastAsia="zh-CN"/>
        </w:rPr>
        <w:t>条信息。以政府门户网站为依托，以“今日黄村”微信公众号和“今日黄村”政务微博为载体，同步公开重要政务信息，并加大新媒体公开力度，形成集聚传播效应，进一步提升了我镇政务服务水平。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lang w:val="en-US" w:eastAsia="zh-CN"/>
        </w:rPr>
        <w:t>依申请公开办理情况。</w:t>
      </w:r>
      <w:r>
        <w:rPr>
          <w:rFonts w:hint="eastAsia" w:ascii="仿宋" w:hAnsi="仿宋" w:eastAsia="仿宋" w:cs="仿宋_GB2312"/>
          <w:sz w:val="32"/>
          <w:szCs w:val="32"/>
          <w:lang w:eastAsia="zh-CN"/>
        </w:rPr>
        <w:t>年度</w:t>
      </w:r>
      <w:r>
        <w:rPr>
          <w:rFonts w:hint="eastAsia" w:ascii="仿宋_GB2312" w:hAnsi="仿宋_GB2312" w:eastAsia="仿宋_GB2312" w:cs="仿宋_GB2312"/>
          <w:sz w:val="32"/>
          <w:szCs w:val="32"/>
          <w:lang w:eastAsia="zh-CN"/>
        </w:rPr>
        <w:t>受理依申请公开</w:t>
      </w:r>
      <w:r>
        <w:rPr>
          <w:rFonts w:hint="eastAsia" w:ascii="仿宋_GB2312" w:hAnsi="仿宋_GB2312" w:eastAsia="仿宋_GB2312" w:cs="仿宋_GB2312"/>
          <w:sz w:val="32"/>
          <w:szCs w:val="32"/>
          <w:lang w:val="en-US" w:eastAsia="zh-CN"/>
        </w:rPr>
        <w:t>36件，全部如期规范办结。申请内容主要集中在征地拆迁、拆除腾退、社区服务等方面。因依申请公开产生行政复议1件、行政诉讼2件。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（四）政府信息管理情况。</w:t>
      </w:r>
      <w:r>
        <w:rPr>
          <w:rFonts w:hint="eastAsia" w:ascii="仿宋_GB2312" w:hAnsi="仿宋_GB2312" w:eastAsia="仿宋_GB2312" w:cs="仿宋_GB2312"/>
          <w:sz w:val="32"/>
          <w:szCs w:val="32"/>
          <w:lang w:val="en-US" w:eastAsia="zh-CN"/>
        </w:rPr>
        <w:t>坚持“以公开为常态、不公开为例外”和“谁制作、谁认定”的原则进行政府信息公开属性认定。将政策解读融入文件起草、审批、发布流程，实行解读与文件起草、审签、发布“三同步”。动态调整政务公开全清单,确保对外公开的职能事项清晰准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（五）政府信息公开平台建设情况。</w:t>
      </w:r>
      <w:r>
        <w:rPr>
          <w:rFonts w:hint="eastAsia" w:ascii="仿宋_GB2312" w:hAnsi="仿宋_GB2312" w:eastAsia="仿宋_GB2312" w:cs="仿宋_GB2312"/>
          <w:sz w:val="32"/>
          <w:szCs w:val="32"/>
          <w:lang w:val="en-US" w:eastAsia="zh-CN"/>
        </w:rPr>
        <w:t>加强新媒体公开平台建设，不断完善“今日黄村”微信公众号功能，加大信息公开力度。我镇举办的“我与政府零距离”主题政务开放日活动，通过线上直播形式进行，进一步搭建镇政府与村社群众之间的沟通桥梁，为更好地开展服务工作奠定了基础，得到了民众一致好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（六）教育培训情况。</w:t>
      </w:r>
      <w:r>
        <w:rPr>
          <w:rFonts w:hint="eastAsia" w:ascii="仿宋_GB2312" w:hAnsi="仿宋_GB2312" w:eastAsia="仿宋_GB2312" w:cs="仿宋_GB2312"/>
          <w:sz w:val="32"/>
          <w:szCs w:val="32"/>
          <w:highlight w:val="none"/>
          <w:lang w:val="en-US" w:eastAsia="zh-CN"/>
        </w:rPr>
        <w:t>抓好领导干部学习培训，提高领导干部驾驭政府信息公开工作的能力。开展公务员政府信息公开基本规范培训1次，全面提高相关工作人员信息公开工作水平，充分调动干部职工参与政府信息公开工作的主动性和积极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（七）监督保障情况。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highlight w:val="none"/>
          <w:lang w:val="en-US" w:eastAsia="zh-CN"/>
        </w:rPr>
        <w:t>进一步强化办公室信息公开职能，加强信息公开工作督促检查，保证及时更新、上传全面、准确、优质的政府信息。在政府信息公开保密审查领导小组统筹指导、监督检查下开展政府信息公开工作。做好公开前审查工作，防止泄密、错报和误报事件，定期进行自查，发现问题立整立改。</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11"/>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27"/>
        <w:gridCol w:w="1858"/>
        <w:gridCol w:w="1964"/>
        <w:gridCol w:w="2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874" w:type="dxa"/>
            <w:gridSpan w:val="4"/>
            <w:tcBorders>
              <w:top w:val="single" w:color="000000" w:sz="12" w:space="0"/>
              <w:left w:val="single" w:color="000000" w:sz="12" w:space="0"/>
              <w:bottom w:val="single" w:color="000000" w:sz="12" w:space="0"/>
              <w:right w:val="single" w:color="000000" w:sz="12" w:space="0"/>
            </w:tcBorders>
            <w:shd w:val="clear" w:color="auto" w:fill="C6D9F1"/>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527"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信息内容</w:t>
            </w:r>
          </w:p>
        </w:tc>
        <w:tc>
          <w:tcPr>
            <w:tcW w:w="185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本年</w:t>
            </w:r>
            <w:r>
              <w:rPr>
                <w:rStyle w:val="25"/>
                <w:rFonts w:ascii="Times New Roman" w:hAnsi="Times New Roman"/>
                <w:lang w:val="en-US" w:eastAsia="zh-CN" w:bidi="ar"/>
              </w:rPr>
              <w:t>制发件数</w:t>
            </w:r>
          </w:p>
        </w:tc>
        <w:tc>
          <w:tcPr>
            <w:tcW w:w="196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本年废止件数</w:t>
            </w:r>
          </w:p>
        </w:tc>
        <w:tc>
          <w:tcPr>
            <w:tcW w:w="252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现行有效件</w:t>
            </w:r>
            <w:r>
              <w:rPr>
                <w:rStyle w:val="25"/>
                <w:rFonts w:ascii="Times New Roman" w:hAnsi="Times New Roman"/>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27"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规章</w:t>
            </w:r>
          </w:p>
        </w:tc>
        <w:tc>
          <w:tcPr>
            <w:tcW w:w="185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0</w:t>
            </w:r>
          </w:p>
        </w:tc>
        <w:tc>
          <w:tcPr>
            <w:tcW w:w="1964"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0</w:t>
            </w:r>
          </w:p>
        </w:tc>
        <w:tc>
          <w:tcPr>
            <w:tcW w:w="252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Times New Roman" w:hAnsi="Times New Roman" w:eastAsia="等线" w:cs="Calibri"/>
                <w:i w:val="0"/>
                <w:color w:val="000000"/>
                <w:sz w:val="21"/>
                <w:szCs w:val="21"/>
                <w:u w:val="none"/>
              </w:rPr>
            </w:pPr>
            <w:r>
              <w:rPr>
                <w:rFonts w:hint="default" w:ascii="Times New Roman" w:hAnsi="Times New Roman" w:eastAsia="等线" w:cs="Calibri"/>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27"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行政规范性文件</w:t>
            </w:r>
          </w:p>
        </w:tc>
        <w:tc>
          <w:tcPr>
            <w:tcW w:w="185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0</w:t>
            </w:r>
          </w:p>
        </w:tc>
        <w:tc>
          <w:tcPr>
            <w:tcW w:w="1964"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0</w:t>
            </w:r>
          </w:p>
        </w:tc>
        <w:tc>
          <w:tcPr>
            <w:tcW w:w="252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1"/>
                <w:szCs w:val="21"/>
                <w:u w:val="none"/>
              </w:rPr>
            </w:pPr>
            <w:r>
              <w:rPr>
                <w:rFonts w:hint="default" w:ascii="Times New Roman" w:hAnsi="Times New Roman" w:eastAsia="等线" w:cs="Calibri"/>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874" w:type="dxa"/>
            <w:gridSpan w:val="4"/>
            <w:tcBorders>
              <w:top w:val="single" w:color="000000" w:sz="12" w:space="0"/>
              <w:left w:val="single" w:color="000000" w:sz="12" w:space="0"/>
              <w:bottom w:val="single" w:color="000000" w:sz="12" w:space="0"/>
              <w:right w:val="single" w:color="000000" w:sz="12" w:space="0"/>
            </w:tcBorders>
            <w:shd w:val="clear" w:color="auto" w:fill="C6D9F1"/>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527"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信息内容</w:t>
            </w:r>
          </w:p>
        </w:tc>
        <w:tc>
          <w:tcPr>
            <w:tcW w:w="634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27"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行政许可</w:t>
            </w:r>
          </w:p>
        </w:tc>
        <w:tc>
          <w:tcPr>
            <w:tcW w:w="634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1"/>
                <w:szCs w:val="21"/>
                <w:u w:val="none"/>
              </w:rPr>
            </w:pPr>
            <w:r>
              <w:rPr>
                <w:rFonts w:hint="default" w:ascii="Times New Roman" w:hAnsi="Times New Roman" w:eastAsia="等线" w:cs="Calibri"/>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874" w:type="dxa"/>
            <w:gridSpan w:val="4"/>
            <w:tcBorders>
              <w:top w:val="single" w:color="000000" w:sz="12" w:space="0"/>
              <w:left w:val="single" w:color="000000" w:sz="12" w:space="0"/>
              <w:bottom w:val="single" w:color="000000" w:sz="12" w:space="0"/>
              <w:right w:val="single" w:color="000000" w:sz="12" w:space="0"/>
            </w:tcBorders>
            <w:shd w:val="clear" w:color="auto" w:fill="C6D9F1"/>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527"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信息内容</w:t>
            </w:r>
          </w:p>
        </w:tc>
        <w:tc>
          <w:tcPr>
            <w:tcW w:w="634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27"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行政处罚</w:t>
            </w:r>
          </w:p>
        </w:tc>
        <w:tc>
          <w:tcPr>
            <w:tcW w:w="634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1"/>
                <w:szCs w:val="21"/>
                <w:u w:val="none"/>
              </w:rPr>
            </w:pPr>
            <w:r>
              <w:rPr>
                <w:rFonts w:hint="default" w:ascii="Times New Roman" w:hAnsi="Times New Roman" w:eastAsia="等线" w:cs="Calibri"/>
                <w:i w:val="0"/>
                <w:color w:val="000000"/>
                <w:kern w:val="0"/>
                <w:sz w:val="21"/>
                <w:szCs w:val="21"/>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27"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行政强制</w:t>
            </w:r>
          </w:p>
        </w:tc>
        <w:tc>
          <w:tcPr>
            <w:tcW w:w="634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1"/>
                <w:szCs w:val="21"/>
                <w:u w:val="none"/>
              </w:rPr>
            </w:pPr>
            <w:r>
              <w:rPr>
                <w:rFonts w:hint="default" w:ascii="Times New Roman" w:hAnsi="Times New Roman" w:eastAsia="等线" w:cs="Calibri"/>
                <w:i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874" w:type="dxa"/>
            <w:gridSpan w:val="4"/>
            <w:tcBorders>
              <w:top w:val="single" w:color="000000" w:sz="12" w:space="0"/>
              <w:left w:val="single" w:color="000000" w:sz="12" w:space="0"/>
              <w:bottom w:val="single" w:color="000000" w:sz="12" w:space="0"/>
              <w:right w:val="single" w:color="000000" w:sz="12" w:space="0"/>
            </w:tcBorders>
            <w:shd w:val="clear" w:color="auto" w:fill="C6D9F1"/>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527"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信息内容</w:t>
            </w:r>
          </w:p>
        </w:tc>
        <w:tc>
          <w:tcPr>
            <w:tcW w:w="634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27"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行政事业性收费</w:t>
            </w:r>
          </w:p>
        </w:tc>
        <w:tc>
          <w:tcPr>
            <w:tcW w:w="634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1"/>
                <w:szCs w:val="21"/>
                <w:u w:val="none"/>
              </w:rPr>
            </w:pPr>
            <w:r>
              <w:rPr>
                <w:rFonts w:hint="default" w:ascii="Times New Roman" w:hAnsi="Times New Roman" w:eastAsia="等线" w:cs="Calibri"/>
                <w:i w:val="0"/>
                <w:color w:val="000000"/>
                <w:kern w:val="0"/>
                <w:sz w:val="21"/>
                <w:szCs w:val="21"/>
                <w:u w:val="none"/>
                <w:lang w:val="en-US" w:eastAsia="zh-CN" w:bidi="ar"/>
              </w:rPr>
              <w:t>0</w:t>
            </w:r>
          </w:p>
        </w:tc>
      </w:tr>
    </w:tbl>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11"/>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8"/>
        <w:gridCol w:w="583"/>
        <w:gridCol w:w="117"/>
        <w:gridCol w:w="3867"/>
        <w:gridCol w:w="333"/>
        <w:gridCol w:w="667"/>
        <w:gridCol w:w="466"/>
        <w:gridCol w:w="667"/>
        <w:gridCol w:w="667"/>
        <w:gridCol w:w="350"/>
        <w:gridCol w:w="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5215" w:type="dxa"/>
            <w:gridSpan w:val="4"/>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ascii="Times New Roman" w:hAnsi="Times New Roman" w:eastAsia="楷体" w:cs="楷体"/>
                <w:i w:val="0"/>
                <w:color w:val="000000"/>
                <w:sz w:val="20"/>
                <w:szCs w:val="20"/>
                <w:u w:val="none"/>
              </w:rPr>
            </w:pPr>
            <w:r>
              <w:rPr>
                <w:rFonts w:hint="eastAsia" w:ascii="Times New Roman" w:hAnsi="Times New Roman" w:eastAsia="楷体" w:cs="楷体"/>
                <w:i w:val="0"/>
                <w:color w:val="000000"/>
                <w:kern w:val="0"/>
                <w:sz w:val="20"/>
                <w:szCs w:val="20"/>
                <w:u w:val="none"/>
                <w:lang w:val="en-US" w:eastAsia="zh-CN" w:bidi="ar"/>
              </w:rPr>
              <w:t>（本列数据的勾稽关系为：第一项加第二项之和，等于第三项加第四项之和）</w:t>
            </w:r>
          </w:p>
        </w:tc>
        <w:tc>
          <w:tcPr>
            <w:tcW w:w="3660" w:type="dxa"/>
            <w:gridSpan w:val="7"/>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15" w:type="dxa"/>
            <w:gridSpan w:val="4"/>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楷体" w:cs="楷体"/>
                <w:i w:val="0"/>
                <w:color w:val="000000"/>
                <w:sz w:val="20"/>
                <w:szCs w:val="20"/>
                <w:u w:val="none"/>
              </w:rPr>
            </w:pPr>
          </w:p>
        </w:tc>
        <w:tc>
          <w:tcPr>
            <w:tcW w:w="333"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自然人</w:t>
            </w:r>
          </w:p>
        </w:tc>
        <w:tc>
          <w:tcPr>
            <w:tcW w:w="2817"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法人或其他组织</w:t>
            </w:r>
          </w:p>
        </w:tc>
        <w:tc>
          <w:tcPr>
            <w:tcW w:w="51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215" w:type="dxa"/>
            <w:gridSpan w:val="4"/>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楷体" w:cs="楷体"/>
                <w:i w:val="0"/>
                <w:color w:val="000000"/>
                <w:sz w:val="20"/>
                <w:szCs w:val="20"/>
                <w:u w:val="none"/>
              </w:rPr>
            </w:pPr>
          </w:p>
        </w:tc>
        <w:tc>
          <w:tcPr>
            <w:tcW w:w="33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Times New Roman" w:hAnsi="Times New Roman" w:eastAsia="宋体" w:cs="宋体"/>
                <w:i w:val="0"/>
                <w:color w:val="000000"/>
                <w:sz w:val="20"/>
                <w:szCs w:val="20"/>
                <w:u w:val="none"/>
              </w:rPr>
            </w:pPr>
          </w:p>
        </w:tc>
        <w:tc>
          <w:tcPr>
            <w:tcW w:w="667" w:type="dxa"/>
            <w:tcBorders>
              <w:bottom w:val="single" w:color="000000" w:sz="12" w:space="0"/>
              <w:right w:val="single" w:color="000000" w:sz="12"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商业</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企业</w:t>
            </w:r>
          </w:p>
        </w:tc>
        <w:tc>
          <w:tcPr>
            <w:tcW w:w="466" w:type="dxa"/>
            <w:tcBorders>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科研</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机构</w:t>
            </w:r>
          </w:p>
        </w:tc>
        <w:tc>
          <w:tcPr>
            <w:tcW w:w="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社会公益组织</w:t>
            </w:r>
          </w:p>
        </w:tc>
        <w:tc>
          <w:tcPr>
            <w:tcW w:w="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法律服务机构</w:t>
            </w:r>
          </w:p>
        </w:tc>
        <w:tc>
          <w:tcPr>
            <w:tcW w:w="35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其他</w:t>
            </w:r>
          </w:p>
        </w:tc>
        <w:tc>
          <w:tcPr>
            <w:tcW w:w="51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Times New Roman" w:hAnsi="Times New Roman"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15"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一、本年新收政府信息公开申请数量</w:t>
            </w:r>
          </w:p>
        </w:tc>
        <w:tc>
          <w:tcPr>
            <w:tcW w:w="33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34</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1</w:t>
            </w:r>
          </w:p>
        </w:tc>
        <w:tc>
          <w:tcPr>
            <w:tcW w:w="46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3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51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215"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二、上年结转政府信息公开申请数量</w:t>
            </w:r>
          </w:p>
        </w:tc>
        <w:tc>
          <w:tcPr>
            <w:tcW w:w="33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1</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46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3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51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三、本年度办理结果</w:t>
            </w:r>
          </w:p>
        </w:tc>
        <w:tc>
          <w:tcPr>
            <w:tcW w:w="456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（一）予以公开</w:t>
            </w:r>
          </w:p>
        </w:tc>
        <w:tc>
          <w:tcPr>
            <w:tcW w:w="33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15</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46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3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51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4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宋体" w:cs="宋体"/>
                <w:i w:val="0"/>
                <w:color w:val="000000"/>
                <w:sz w:val="20"/>
                <w:szCs w:val="20"/>
                <w:u w:val="none"/>
              </w:rPr>
            </w:pPr>
          </w:p>
        </w:tc>
        <w:tc>
          <w:tcPr>
            <w:tcW w:w="456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（二）部分公开</w:t>
            </w:r>
            <w:r>
              <w:rPr>
                <w:rFonts w:hint="eastAsia" w:ascii="Times New Roman" w:hAnsi="Times New Roman" w:eastAsia="楷体" w:cs="楷体"/>
                <w:i w:val="0"/>
                <w:color w:val="000000"/>
                <w:kern w:val="0"/>
                <w:sz w:val="20"/>
                <w:szCs w:val="20"/>
                <w:u w:val="none"/>
                <w:lang w:val="en-US" w:eastAsia="zh-CN" w:bidi="ar"/>
              </w:rPr>
              <w:t>（区分处理的，只计这一情形，不计其他情形）</w:t>
            </w:r>
          </w:p>
        </w:tc>
        <w:tc>
          <w:tcPr>
            <w:tcW w:w="33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6</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1</w:t>
            </w:r>
          </w:p>
        </w:tc>
        <w:tc>
          <w:tcPr>
            <w:tcW w:w="46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3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51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宋体" w:cs="宋体"/>
                <w:i w:val="0"/>
                <w:color w:val="000000"/>
                <w:sz w:val="20"/>
                <w:szCs w:val="20"/>
                <w:u w:val="none"/>
              </w:rPr>
            </w:pPr>
          </w:p>
        </w:tc>
        <w:tc>
          <w:tcPr>
            <w:tcW w:w="583"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（三）不予公开</w:t>
            </w:r>
          </w:p>
        </w:tc>
        <w:tc>
          <w:tcPr>
            <w:tcW w:w="3984"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1.属于国家秘密</w:t>
            </w:r>
          </w:p>
        </w:tc>
        <w:tc>
          <w:tcPr>
            <w:tcW w:w="33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46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3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51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宋体" w:cs="宋体"/>
                <w:i w:val="0"/>
                <w:color w:val="000000"/>
                <w:sz w:val="20"/>
                <w:szCs w:val="20"/>
                <w:u w:val="none"/>
              </w:rPr>
            </w:pPr>
          </w:p>
        </w:tc>
        <w:tc>
          <w:tcPr>
            <w:tcW w:w="58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Times New Roman" w:hAnsi="Times New Roman" w:eastAsia="宋体" w:cs="宋体"/>
                <w:i w:val="0"/>
                <w:color w:val="000000"/>
                <w:sz w:val="20"/>
                <w:szCs w:val="20"/>
                <w:u w:val="none"/>
              </w:rPr>
            </w:pPr>
          </w:p>
        </w:tc>
        <w:tc>
          <w:tcPr>
            <w:tcW w:w="3984"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2.其他法律行政法规禁止公开</w:t>
            </w:r>
          </w:p>
        </w:tc>
        <w:tc>
          <w:tcPr>
            <w:tcW w:w="33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46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3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51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宋体" w:cs="宋体"/>
                <w:i w:val="0"/>
                <w:color w:val="000000"/>
                <w:sz w:val="20"/>
                <w:szCs w:val="20"/>
                <w:u w:val="none"/>
              </w:rPr>
            </w:pPr>
          </w:p>
        </w:tc>
        <w:tc>
          <w:tcPr>
            <w:tcW w:w="58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Times New Roman" w:hAnsi="Times New Roman" w:eastAsia="宋体" w:cs="宋体"/>
                <w:i w:val="0"/>
                <w:color w:val="000000"/>
                <w:sz w:val="20"/>
                <w:szCs w:val="20"/>
                <w:u w:val="none"/>
              </w:rPr>
            </w:pPr>
          </w:p>
        </w:tc>
        <w:tc>
          <w:tcPr>
            <w:tcW w:w="3984"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3.危及“三安全一稳定”</w:t>
            </w:r>
          </w:p>
        </w:tc>
        <w:tc>
          <w:tcPr>
            <w:tcW w:w="33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46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3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51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宋体" w:cs="宋体"/>
                <w:i w:val="0"/>
                <w:color w:val="000000"/>
                <w:sz w:val="20"/>
                <w:szCs w:val="20"/>
                <w:u w:val="none"/>
              </w:rPr>
            </w:pPr>
          </w:p>
        </w:tc>
        <w:tc>
          <w:tcPr>
            <w:tcW w:w="58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Times New Roman" w:hAnsi="Times New Roman" w:eastAsia="宋体" w:cs="宋体"/>
                <w:i w:val="0"/>
                <w:color w:val="000000"/>
                <w:sz w:val="20"/>
                <w:szCs w:val="20"/>
                <w:u w:val="none"/>
              </w:rPr>
            </w:pPr>
          </w:p>
        </w:tc>
        <w:tc>
          <w:tcPr>
            <w:tcW w:w="3984"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4.保护第三方合法权益</w:t>
            </w:r>
          </w:p>
        </w:tc>
        <w:tc>
          <w:tcPr>
            <w:tcW w:w="33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46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3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51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宋体" w:cs="宋体"/>
                <w:i w:val="0"/>
                <w:color w:val="000000"/>
                <w:sz w:val="20"/>
                <w:szCs w:val="20"/>
                <w:u w:val="none"/>
              </w:rPr>
            </w:pPr>
          </w:p>
        </w:tc>
        <w:tc>
          <w:tcPr>
            <w:tcW w:w="58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Times New Roman" w:hAnsi="Times New Roman" w:eastAsia="宋体" w:cs="宋体"/>
                <w:i w:val="0"/>
                <w:color w:val="000000"/>
                <w:sz w:val="20"/>
                <w:szCs w:val="20"/>
                <w:u w:val="none"/>
              </w:rPr>
            </w:pPr>
          </w:p>
        </w:tc>
        <w:tc>
          <w:tcPr>
            <w:tcW w:w="3984"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5.属于三类内部事务信息</w:t>
            </w:r>
          </w:p>
        </w:tc>
        <w:tc>
          <w:tcPr>
            <w:tcW w:w="33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46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3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51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宋体" w:cs="宋体"/>
                <w:i w:val="0"/>
                <w:color w:val="000000"/>
                <w:sz w:val="20"/>
                <w:szCs w:val="20"/>
                <w:u w:val="none"/>
              </w:rPr>
            </w:pPr>
          </w:p>
        </w:tc>
        <w:tc>
          <w:tcPr>
            <w:tcW w:w="58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Times New Roman" w:hAnsi="Times New Roman" w:eastAsia="宋体" w:cs="宋体"/>
                <w:i w:val="0"/>
                <w:color w:val="000000"/>
                <w:sz w:val="20"/>
                <w:szCs w:val="20"/>
                <w:u w:val="none"/>
              </w:rPr>
            </w:pPr>
          </w:p>
        </w:tc>
        <w:tc>
          <w:tcPr>
            <w:tcW w:w="3984"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6.属于四类过程性信息</w:t>
            </w:r>
          </w:p>
        </w:tc>
        <w:tc>
          <w:tcPr>
            <w:tcW w:w="33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46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3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51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宋体" w:cs="宋体"/>
                <w:i w:val="0"/>
                <w:color w:val="000000"/>
                <w:sz w:val="20"/>
                <w:szCs w:val="20"/>
                <w:u w:val="none"/>
              </w:rPr>
            </w:pPr>
          </w:p>
        </w:tc>
        <w:tc>
          <w:tcPr>
            <w:tcW w:w="58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Times New Roman" w:hAnsi="Times New Roman" w:eastAsia="宋体" w:cs="宋体"/>
                <w:i w:val="0"/>
                <w:color w:val="000000"/>
                <w:sz w:val="20"/>
                <w:szCs w:val="20"/>
                <w:u w:val="none"/>
              </w:rPr>
            </w:pPr>
          </w:p>
        </w:tc>
        <w:tc>
          <w:tcPr>
            <w:tcW w:w="3984"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7.属于行政执法案卷</w:t>
            </w:r>
          </w:p>
        </w:tc>
        <w:tc>
          <w:tcPr>
            <w:tcW w:w="33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46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3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51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宋体" w:cs="宋体"/>
                <w:i w:val="0"/>
                <w:color w:val="000000"/>
                <w:sz w:val="20"/>
                <w:szCs w:val="20"/>
                <w:u w:val="none"/>
              </w:rPr>
            </w:pPr>
          </w:p>
        </w:tc>
        <w:tc>
          <w:tcPr>
            <w:tcW w:w="58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Times New Roman" w:hAnsi="Times New Roman" w:eastAsia="宋体" w:cs="宋体"/>
                <w:i w:val="0"/>
                <w:color w:val="000000"/>
                <w:sz w:val="20"/>
                <w:szCs w:val="20"/>
                <w:u w:val="none"/>
              </w:rPr>
            </w:pPr>
          </w:p>
        </w:tc>
        <w:tc>
          <w:tcPr>
            <w:tcW w:w="3984"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8.属于行政查询事项</w:t>
            </w:r>
          </w:p>
        </w:tc>
        <w:tc>
          <w:tcPr>
            <w:tcW w:w="33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46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3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51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宋体" w:cs="宋体"/>
                <w:i w:val="0"/>
                <w:color w:val="000000"/>
                <w:sz w:val="20"/>
                <w:szCs w:val="20"/>
                <w:u w:val="none"/>
              </w:rPr>
            </w:pPr>
          </w:p>
        </w:tc>
        <w:tc>
          <w:tcPr>
            <w:tcW w:w="583"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（四）无法提供</w:t>
            </w:r>
          </w:p>
        </w:tc>
        <w:tc>
          <w:tcPr>
            <w:tcW w:w="3984"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1.本机关不掌握相关政府信息</w:t>
            </w:r>
          </w:p>
        </w:tc>
        <w:tc>
          <w:tcPr>
            <w:tcW w:w="33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14</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46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3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51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宋体" w:cs="宋体"/>
                <w:i w:val="0"/>
                <w:color w:val="000000"/>
                <w:sz w:val="20"/>
                <w:szCs w:val="20"/>
                <w:u w:val="none"/>
              </w:rPr>
            </w:pPr>
          </w:p>
        </w:tc>
        <w:tc>
          <w:tcPr>
            <w:tcW w:w="58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Times New Roman" w:hAnsi="Times New Roman" w:eastAsia="宋体" w:cs="宋体"/>
                <w:i w:val="0"/>
                <w:color w:val="000000"/>
                <w:sz w:val="20"/>
                <w:szCs w:val="20"/>
                <w:u w:val="none"/>
              </w:rPr>
            </w:pPr>
          </w:p>
        </w:tc>
        <w:tc>
          <w:tcPr>
            <w:tcW w:w="3984"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2.没有现成信息需要另行制作</w:t>
            </w:r>
          </w:p>
        </w:tc>
        <w:tc>
          <w:tcPr>
            <w:tcW w:w="33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46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3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51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宋体" w:cs="宋体"/>
                <w:i w:val="0"/>
                <w:color w:val="000000"/>
                <w:sz w:val="20"/>
                <w:szCs w:val="20"/>
                <w:u w:val="none"/>
              </w:rPr>
            </w:pPr>
          </w:p>
        </w:tc>
        <w:tc>
          <w:tcPr>
            <w:tcW w:w="58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Times New Roman" w:hAnsi="Times New Roman" w:eastAsia="宋体" w:cs="宋体"/>
                <w:i w:val="0"/>
                <w:color w:val="000000"/>
                <w:sz w:val="20"/>
                <w:szCs w:val="20"/>
                <w:u w:val="none"/>
              </w:rPr>
            </w:pPr>
          </w:p>
        </w:tc>
        <w:tc>
          <w:tcPr>
            <w:tcW w:w="3984"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3.补正后申请内容仍不明确</w:t>
            </w:r>
          </w:p>
        </w:tc>
        <w:tc>
          <w:tcPr>
            <w:tcW w:w="33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46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3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51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宋体" w:cs="宋体"/>
                <w:i w:val="0"/>
                <w:color w:val="000000"/>
                <w:sz w:val="20"/>
                <w:szCs w:val="20"/>
                <w:u w:val="none"/>
              </w:rPr>
            </w:pPr>
          </w:p>
        </w:tc>
        <w:tc>
          <w:tcPr>
            <w:tcW w:w="583"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（五）不予处理</w:t>
            </w:r>
          </w:p>
        </w:tc>
        <w:tc>
          <w:tcPr>
            <w:tcW w:w="3984"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1.信访举报投诉类申请</w:t>
            </w:r>
          </w:p>
        </w:tc>
        <w:tc>
          <w:tcPr>
            <w:tcW w:w="33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46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3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51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4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宋体" w:cs="宋体"/>
                <w:i w:val="0"/>
                <w:color w:val="000000"/>
                <w:sz w:val="20"/>
                <w:szCs w:val="20"/>
                <w:u w:val="none"/>
              </w:rPr>
            </w:pPr>
          </w:p>
        </w:tc>
        <w:tc>
          <w:tcPr>
            <w:tcW w:w="58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宋体" w:cs="宋体"/>
                <w:i w:val="0"/>
                <w:color w:val="000000"/>
                <w:sz w:val="20"/>
                <w:szCs w:val="20"/>
                <w:u w:val="none"/>
              </w:rPr>
            </w:pPr>
          </w:p>
        </w:tc>
        <w:tc>
          <w:tcPr>
            <w:tcW w:w="3984"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2.重复申请</w:t>
            </w:r>
          </w:p>
        </w:tc>
        <w:tc>
          <w:tcPr>
            <w:tcW w:w="33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46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3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51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宋体" w:cs="宋体"/>
                <w:i w:val="0"/>
                <w:color w:val="000000"/>
                <w:sz w:val="20"/>
                <w:szCs w:val="20"/>
                <w:u w:val="none"/>
              </w:rPr>
            </w:pPr>
          </w:p>
        </w:tc>
        <w:tc>
          <w:tcPr>
            <w:tcW w:w="700" w:type="dxa"/>
            <w:gridSpan w:val="2"/>
            <w:vMerge w:val="restart"/>
            <w:tcBorders>
              <w:top w:val="single" w:color="000000" w:sz="12" w:space="0"/>
              <w:left w:val="single" w:color="000000" w:sz="12" w:space="0"/>
              <w:right w:val="single" w:color="000000" w:sz="12" w:space="0"/>
            </w:tcBorders>
            <w:shd w:val="clear" w:color="auto" w:fill="auto"/>
            <w:vAlign w:val="center"/>
          </w:tcPr>
          <w:p>
            <w:pPr>
              <w:jc w:val="left"/>
              <w:rPr>
                <w:rFonts w:hint="eastAsia" w:ascii="Times New Roman" w:hAnsi="Times New Roman" w:eastAsia="宋体" w:cs="宋体"/>
                <w:i w:val="0"/>
                <w:color w:val="000000"/>
                <w:sz w:val="20"/>
                <w:szCs w:val="20"/>
                <w:u w:val="none"/>
              </w:rPr>
            </w:pPr>
          </w:p>
        </w:tc>
        <w:tc>
          <w:tcPr>
            <w:tcW w:w="386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3.要求提供公开出版物</w:t>
            </w:r>
          </w:p>
        </w:tc>
        <w:tc>
          <w:tcPr>
            <w:tcW w:w="33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46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3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51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宋体" w:cs="宋体"/>
                <w:i w:val="0"/>
                <w:color w:val="000000"/>
                <w:sz w:val="20"/>
                <w:szCs w:val="20"/>
                <w:u w:val="none"/>
              </w:rPr>
            </w:pPr>
          </w:p>
        </w:tc>
        <w:tc>
          <w:tcPr>
            <w:tcW w:w="700"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宋体" w:cs="宋体"/>
                <w:i w:val="0"/>
                <w:color w:val="000000"/>
                <w:sz w:val="20"/>
                <w:szCs w:val="20"/>
                <w:u w:val="none"/>
              </w:rPr>
            </w:pPr>
          </w:p>
        </w:tc>
        <w:tc>
          <w:tcPr>
            <w:tcW w:w="386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4.无正当理由大量反复申请</w:t>
            </w:r>
          </w:p>
        </w:tc>
        <w:tc>
          <w:tcPr>
            <w:tcW w:w="33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46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3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51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trPr>
        <w:tc>
          <w:tcPr>
            <w:tcW w:w="64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宋体" w:cs="宋体"/>
                <w:i w:val="0"/>
                <w:color w:val="000000"/>
                <w:sz w:val="20"/>
                <w:szCs w:val="20"/>
                <w:u w:val="none"/>
              </w:rPr>
            </w:pPr>
          </w:p>
        </w:tc>
        <w:tc>
          <w:tcPr>
            <w:tcW w:w="700"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宋体" w:cs="宋体"/>
                <w:i w:val="0"/>
                <w:color w:val="000000"/>
                <w:sz w:val="20"/>
                <w:szCs w:val="20"/>
                <w:u w:val="none"/>
              </w:rPr>
            </w:pPr>
          </w:p>
        </w:tc>
        <w:tc>
          <w:tcPr>
            <w:tcW w:w="3867" w:type="dxa"/>
            <w:tcBorders>
              <w:bottom w:val="single" w:color="auto" w:sz="4" w:space="0"/>
              <w:right w:val="single" w:color="000000" w:sz="12"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5.要求行政机关确认或重新出具已获取信息</w:t>
            </w:r>
          </w:p>
        </w:tc>
        <w:tc>
          <w:tcPr>
            <w:tcW w:w="333" w:type="dxa"/>
            <w:tcBorders>
              <w:bottom w:val="single" w:color="auto"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auto"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466" w:type="dxa"/>
            <w:tcBorders>
              <w:bottom w:val="single" w:color="auto"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auto"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auto"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350" w:type="dxa"/>
            <w:tcBorders>
              <w:bottom w:val="single" w:color="auto"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510" w:type="dxa"/>
            <w:tcBorders>
              <w:bottom w:val="single" w:color="auto"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7" w:hRule="atLeast"/>
        </w:trPr>
        <w:tc>
          <w:tcPr>
            <w:tcW w:w="64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宋体" w:cs="宋体"/>
                <w:i w:val="0"/>
                <w:color w:val="000000"/>
                <w:sz w:val="20"/>
                <w:szCs w:val="20"/>
                <w:u w:val="none"/>
              </w:rPr>
            </w:pPr>
          </w:p>
        </w:tc>
        <w:tc>
          <w:tcPr>
            <w:tcW w:w="700" w:type="dxa"/>
            <w:gridSpan w:val="2"/>
            <w:vMerge w:val="restart"/>
            <w:tcBorders>
              <w:top w:val="single" w:color="000000" w:sz="12" w:space="0"/>
              <w:left w:val="single" w:color="000000" w:sz="12" w:space="0"/>
              <w:bottom w:val="single" w:color="000000" w:sz="12"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（六）其他处理</w:t>
            </w: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1.申请人无正当理由逾期不补正、行政机关不再处理其政府信息公开申请</w:t>
            </w:r>
          </w:p>
        </w:tc>
        <w:tc>
          <w:tcPr>
            <w:tcW w:w="3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4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宋体" w:cs="宋体"/>
                <w:i w:val="0"/>
                <w:color w:val="000000"/>
                <w:sz w:val="20"/>
                <w:szCs w:val="20"/>
                <w:u w:val="none"/>
              </w:rPr>
            </w:pPr>
          </w:p>
        </w:tc>
        <w:tc>
          <w:tcPr>
            <w:tcW w:w="700"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Times New Roman" w:hAnsi="Times New Roman" w:eastAsia="宋体" w:cs="宋体"/>
                <w:i w:val="0"/>
                <w:color w:val="000000"/>
                <w:sz w:val="20"/>
                <w:szCs w:val="20"/>
                <w:u w:val="none"/>
              </w:rPr>
            </w:pPr>
          </w:p>
        </w:tc>
        <w:tc>
          <w:tcPr>
            <w:tcW w:w="3867" w:type="dxa"/>
            <w:tcBorders>
              <w:top w:val="single" w:color="auto" w:sz="4" w:space="0"/>
              <w:bottom w:val="single" w:color="000000" w:sz="12" w:space="0"/>
              <w:right w:val="single" w:color="000000" w:sz="12"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2.申请人逾期未按收费通知要求缴纳费用、行政机关不再处理其政府信息公开申请</w:t>
            </w:r>
          </w:p>
        </w:tc>
        <w:tc>
          <w:tcPr>
            <w:tcW w:w="333" w:type="dxa"/>
            <w:tcBorders>
              <w:top w:val="single" w:color="auto"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top w:val="single" w:color="auto"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466" w:type="dxa"/>
            <w:tcBorders>
              <w:top w:val="single" w:color="auto"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top w:val="single" w:color="auto"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top w:val="single" w:color="auto"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350" w:type="dxa"/>
            <w:tcBorders>
              <w:top w:val="single" w:color="auto"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510" w:type="dxa"/>
            <w:tcBorders>
              <w:top w:val="single" w:color="auto"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宋体" w:cs="宋体"/>
                <w:i w:val="0"/>
                <w:color w:val="000000"/>
                <w:sz w:val="20"/>
                <w:szCs w:val="20"/>
                <w:u w:val="none"/>
              </w:rPr>
            </w:pPr>
          </w:p>
        </w:tc>
        <w:tc>
          <w:tcPr>
            <w:tcW w:w="700"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Times New Roman" w:hAnsi="Times New Roman" w:eastAsia="宋体" w:cs="宋体"/>
                <w:i w:val="0"/>
                <w:color w:val="000000"/>
                <w:sz w:val="20"/>
                <w:szCs w:val="20"/>
                <w:u w:val="none"/>
              </w:rPr>
            </w:pPr>
          </w:p>
        </w:tc>
        <w:tc>
          <w:tcPr>
            <w:tcW w:w="386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3.其他</w:t>
            </w:r>
          </w:p>
        </w:tc>
        <w:tc>
          <w:tcPr>
            <w:tcW w:w="33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46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3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51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Times New Roman" w:hAnsi="Times New Roman" w:eastAsia="宋体" w:cs="宋体"/>
                <w:i w:val="0"/>
                <w:color w:val="000000"/>
                <w:sz w:val="20"/>
                <w:szCs w:val="20"/>
                <w:u w:val="none"/>
              </w:rPr>
            </w:pPr>
          </w:p>
        </w:tc>
        <w:tc>
          <w:tcPr>
            <w:tcW w:w="456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（七）总计</w:t>
            </w:r>
          </w:p>
        </w:tc>
        <w:tc>
          <w:tcPr>
            <w:tcW w:w="33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35</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1</w:t>
            </w:r>
          </w:p>
        </w:tc>
        <w:tc>
          <w:tcPr>
            <w:tcW w:w="46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3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51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15"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四、结转下年度继续办理</w:t>
            </w:r>
          </w:p>
        </w:tc>
        <w:tc>
          <w:tcPr>
            <w:tcW w:w="33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46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3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c>
          <w:tcPr>
            <w:tcW w:w="51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Calibri"/>
                <w:i w:val="0"/>
                <w:color w:val="000000"/>
                <w:sz w:val="20"/>
                <w:szCs w:val="20"/>
                <w:u w:val="none"/>
              </w:rPr>
            </w:pPr>
            <w:r>
              <w:rPr>
                <w:rFonts w:hint="default" w:ascii="Times New Roman" w:hAnsi="Times New Roman" w:eastAsia="等线" w:cs="Calibri"/>
                <w:i w:val="0"/>
                <w:color w:val="000000"/>
                <w:kern w:val="0"/>
                <w:sz w:val="20"/>
                <w:szCs w:val="20"/>
                <w:u w:val="none"/>
                <w:lang w:val="en-US" w:eastAsia="zh-CN" w:bidi="ar"/>
              </w:rPr>
              <w:t>0</w:t>
            </w:r>
          </w:p>
        </w:tc>
      </w:tr>
    </w:tbl>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11"/>
        <w:tblpPr w:leftFromText="180" w:rightFromText="180" w:vertAnchor="text" w:horzAnchor="page" w:tblpX="1538" w:tblpY="114"/>
        <w:tblOverlap w:val="never"/>
        <w:tblW w:w="887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1"/>
        <w:gridCol w:w="500"/>
        <w:gridCol w:w="484"/>
        <w:gridCol w:w="450"/>
        <w:gridCol w:w="483"/>
        <w:gridCol w:w="467"/>
        <w:gridCol w:w="600"/>
        <w:gridCol w:w="666"/>
        <w:gridCol w:w="734"/>
        <w:gridCol w:w="533"/>
        <w:gridCol w:w="733"/>
        <w:gridCol w:w="700"/>
        <w:gridCol w:w="584"/>
        <w:gridCol w:w="666"/>
        <w:gridCol w:w="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2448"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行政复议</w:t>
            </w:r>
          </w:p>
        </w:tc>
        <w:tc>
          <w:tcPr>
            <w:tcW w:w="6427" w:type="dxa"/>
            <w:gridSpan w:val="10"/>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5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结果维持</w:t>
            </w:r>
          </w:p>
        </w:tc>
        <w:tc>
          <w:tcPr>
            <w:tcW w:w="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结果</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纠正</w:t>
            </w:r>
          </w:p>
        </w:tc>
        <w:tc>
          <w:tcPr>
            <w:tcW w:w="4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其他</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结果</w:t>
            </w:r>
          </w:p>
        </w:tc>
        <w:tc>
          <w:tcPr>
            <w:tcW w:w="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尚未</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审结</w:t>
            </w:r>
          </w:p>
        </w:tc>
        <w:tc>
          <w:tcPr>
            <w:tcW w:w="483" w:type="dxa"/>
            <w:vMerge w:val="restart"/>
            <w:tcBorders>
              <w:top w:val="single" w:color="000000" w:sz="12" w:space="0"/>
              <w:left w:val="single" w:color="auto" w:sz="4"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总计</w:t>
            </w:r>
          </w:p>
        </w:tc>
        <w:tc>
          <w:tcPr>
            <w:tcW w:w="3000"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未经复议直接起诉</w:t>
            </w:r>
          </w:p>
        </w:tc>
        <w:tc>
          <w:tcPr>
            <w:tcW w:w="3427"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8" w:hRule="atLeast"/>
          <w:jc w:val="center"/>
        </w:trPr>
        <w:tc>
          <w:tcPr>
            <w:tcW w:w="5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Times New Roman" w:hAnsi="Times New Roman" w:eastAsia="宋体" w:cs="宋体"/>
                <w:i w:val="0"/>
                <w:color w:val="000000"/>
                <w:sz w:val="20"/>
                <w:szCs w:val="20"/>
                <w:u w:val="none"/>
              </w:rPr>
            </w:pPr>
          </w:p>
        </w:tc>
        <w:tc>
          <w:tcPr>
            <w:tcW w:w="5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kern w:val="0"/>
                <w:sz w:val="20"/>
                <w:szCs w:val="20"/>
                <w:u w:val="none"/>
                <w:lang w:val="en-US" w:eastAsia="zh-CN" w:bidi="ar"/>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sz w:val="20"/>
                <w:szCs w:val="20"/>
                <w:u w:val="none"/>
              </w:rPr>
            </w:pPr>
          </w:p>
        </w:tc>
        <w:tc>
          <w:tcPr>
            <w:tcW w:w="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sz w:val="20"/>
                <w:szCs w:val="20"/>
                <w:u w:val="none"/>
              </w:rPr>
            </w:pPr>
          </w:p>
        </w:tc>
        <w:tc>
          <w:tcPr>
            <w:tcW w:w="483" w:type="dxa"/>
            <w:vMerge w:val="continue"/>
            <w:tcBorders>
              <w:top w:val="single" w:color="000000" w:sz="12" w:space="0"/>
              <w:left w:val="single" w:color="auto" w:sz="4" w:space="0"/>
              <w:bottom w:val="single" w:color="000000" w:sz="12"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Times New Roman" w:hAnsi="Times New Roman" w:eastAsia="宋体" w:cs="宋体"/>
                <w:i w:val="0"/>
                <w:color w:val="000000"/>
                <w:sz w:val="20"/>
                <w:szCs w:val="20"/>
                <w:u w:val="none"/>
              </w:rPr>
            </w:pP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结果</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维持</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结果</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纠正</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其他</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结果</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尚未</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审结</w:t>
            </w:r>
          </w:p>
        </w:tc>
        <w:tc>
          <w:tcPr>
            <w:tcW w:w="533" w:type="dxa"/>
            <w:tcBorders>
              <w:top w:val="single" w:color="000000" w:sz="12" w:space="0"/>
              <w:left w:val="single" w:color="auto" w:sz="4" w:space="0"/>
              <w:bottom w:val="single" w:color="000000" w:sz="12"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总计</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结果</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维持</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结果</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纠正</w:t>
            </w: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其他</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结果</w:t>
            </w:r>
          </w:p>
        </w:tc>
        <w:tc>
          <w:tcPr>
            <w:tcW w:w="666" w:type="dxa"/>
            <w:tcBorders>
              <w:top w:val="single" w:color="000000" w:sz="12" w:space="0"/>
              <w:left w:val="single" w:color="auto" w:sz="4"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尚未</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审结</w:t>
            </w:r>
          </w:p>
        </w:tc>
        <w:tc>
          <w:tcPr>
            <w:tcW w:w="74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ascii="Times New Roman" w:hAnsi="Times New Roman" w:eastAsia="黑体" w:cs="黑体"/>
                <w:i w:val="0"/>
                <w:color w:val="000000"/>
                <w:sz w:val="20"/>
                <w:szCs w:val="20"/>
                <w:u w:val="none"/>
              </w:rPr>
            </w:pPr>
            <w:r>
              <w:rPr>
                <w:rFonts w:hint="eastAsia" w:ascii="Times New Roman" w:hAnsi="Times New Roman" w:eastAsia="黑体" w:cs="黑体"/>
                <w:i w:val="0"/>
                <w:color w:val="000000"/>
                <w:kern w:val="0"/>
                <w:sz w:val="20"/>
                <w:szCs w:val="20"/>
                <w:u w:val="none"/>
                <w:lang w:val="en-US" w:eastAsia="zh-CN" w:bidi="ar"/>
              </w:rPr>
              <w:t>1</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color w:val="000000"/>
                <w:kern w:val="0"/>
                <w:sz w:val="20"/>
                <w:szCs w:val="20"/>
                <w:u w:val="none"/>
                <w:lang w:val="en-US" w:eastAsia="zh-CN" w:bidi="ar"/>
              </w:rPr>
              <w:t>0</w:t>
            </w:r>
          </w:p>
        </w:tc>
        <w:tc>
          <w:tcPr>
            <w:tcW w:w="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color w:val="000000"/>
                <w:kern w:val="0"/>
                <w:sz w:val="20"/>
                <w:szCs w:val="20"/>
                <w:u w:val="none"/>
                <w:lang w:val="en-US" w:eastAsia="zh-CN" w:bidi="ar"/>
              </w:rPr>
              <w:t>0</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color w:val="000000"/>
                <w:kern w:val="0"/>
                <w:sz w:val="20"/>
                <w:szCs w:val="20"/>
                <w:u w:val="none"/>
                <w:lang w:val="en-US" w:eastAsia="zh-CN" w:bidi="ar"/>
              </w:rPr>
              <w:t>0</w:t>
            </w:r>
          </w:p>
        </w:tc>
        <w:tc>
          <w:tcPr>
            <w:tcW w:w="483" w:type="dxa"/>
            <w:tcBorders>
              <w:left w:val="single" w:color="auto" w:sz="4" w:space="0"/>
              <w:bottom w:val="single" w:color="000000" w:sz="12"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color w:val="000000"/>
                <w:kern w:val="0"/>
                <w:sz w:val="20"/>
                <w:szCs w:val="20"/>
                <w:u w:val="none"/>
                <w:lang w:val="en-US" w:eastAsia="zh-CN" w:bidi="ar"/>
              </w:rPr>
              <w:t>1</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color w:val="000000"/>
                <w:kern w:val="0"/>
                <w:sz w:val="20"/>
                <w:szCs w:val="20"/>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color w:val="000000"/>
                <w:kern w:val="0"/>
                <w:sz w:val="20"/>
                <w:szCs w:val="20"/>
                <w:u w:val="none"/>
                <w:lang w:val="en-US" w:eastAsia="zh-CN" w:bidi="ar"/>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color w:val="000000"/>
                <w:kern w:val="0"/>
                <w:sz w:val="20"/>
                <w:szCs w:val="20"/>
                <w:u w:val="none"/>
                <w:lang w:val="en-US" w:eastAsia="zh-CN" w:bidi="ar"/>
              </w:rPr>
              <w:t>0</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color w:val="000000"/>
                <w:kern w:val="0"/>
                <w:sz w:val="20"/>
                <w:szCs w:val="20"/>
                <w:u w:val="none"/>
                <w:lang w:val="en-US" w:eastAsia="zh-CN" w:bidi="ar"/>
              </w:rPr>
              <w:t>0</w:t>
            </w:r>
          </w:p>
        </w:tc>
        <w:tc>
          <w:tcPr>
            <w:tcW w:w="533" w:type="dxa"/>
            <w:tcBorders>
              <w:left w:val="single" w:color="auto" w:sz="4" w:space="0"/>
              <w:bottom w:val="single" w:color="000000" w:sz="12"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color w:val="000000"/>
                <w:kern w:val="0"/>
                <w:sz w:val="20"/>
                <w:szCs w:val="20"/>
                <w:u w:val="none"/>
                <w:lang w:val="en-US" w:eastAsia="zh-CN" w:bidi="ar"/>
              </w:rPr>
              <w:t>2</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黑体" w:cs="黑体"/>
                <w:i w:val="0"/>
                <w:color w:val="000000"/>
                <w:sz w:val="20"/>
                <w:szCs w:val="20"/>
                <w:u w:val="none"/>
                <w:lang w:val="en-US" w:eastAsia="zh-CN"/>
              </w:rPr>
            </w:pPr>
            <w:r>
              <w:rPr>
                <w:rFonts w:hint="eastAsia" w:eastAsia="黑体" w:cs="黑体"/>
                <w:i w:val="0"/>
                <w:color w:val="000000"/>
                <w:sz w:val="20"/>
                <w:szCs w:val="20"/>
                <w:u w:val="none"/>
                <w:lang w:val="en-US" w:eastAsia="zh-CN"/>
              </w:rPr>
              <w:t>0</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color w:val="000000"/>
                <w:kern w:val="0"/>
                <w:sz w:val="20"/>
                <w:szCs w:val="20"/>
                <w:u w:val="none"/>
                <w:lang w:val="en-US" w:eastAsia="zh-CN" w:bidi="ar"/>
              </w:rPr>
              <w:t>0</w:t>
            </w: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color w:val="000000"/>
                <w:kern w:val="0"/>
                <w:sz w:val="20"/>
                <w:szCs w:val="20"/>
                <w:u w:val="none"/>
                <w:lang w:val="en-US" w:eastAsia="zh-CN" w:bidi="ar"/>
              </w:rPr>
              <w:t>0</w:t>
            </w:r>
          </w:p>
        </w:tc>
        <w:tc>
          <w:tcPr>
            <w:tcW w:w="666" w:type="dxa"/>
            <w:tcBorders>
              <w:left w:val="single" w:color="auto" w:sz="4"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color w:val="000000"/>
                <w:kern w:val="0"/>
                <w:sz w:val="20"/>
                <w:szCs w:val="20"/>
                <w:u w:val="none"/>
                <w:lang w:val="en-US" w:eastAsia="zh-CN" w:bidi="ar"/>
              </w:rPr>
              <w:t>0</w:t>
            </w:r>
          </w:p>
        </w:tc>
        <w:tc>
          <w:tcPr>
            <w:tcW w:w="744"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黑体" w:cs="黑体"/>
                <w:i w:val="0"/>
                <w:color w:val="000000"/>
                <w:sz w:val="20"/>
                <w:szCs w:val="20"/>
                <w:u w:val="none"/>
                <w:lang w:val="en-US" w:eastAsia="zh-CN"/>
              </w:rPr>
            </w:pPr>
            <w:r>
              <w:rPr>
                <w:rFonts w:hint="eastAsia" w:eastAsia="黑体" w:cs="黑体"/>
                <w:i w:val="0"/>
                <w:color w:val="000000"/>
                <w:sz w:val="20"/>
                <w:szCs w:val="20"/>
                <w:u w:val="none"/>
                <w:lang w:val="en-US" w:eastAsia="zh-CN"/>
              </w:rPr>
              <w:t>0</w:t>
            </w:r>
          </w:p>
        </w:tc>
      </w:tr>
    </w:tbl>
    <w:p>
      <w:pPr>
        <w:keepNext w:val="0"/>
        <w:keepLines w:val="0"/>
        <w:pageBreakBefore w:val="0"/>
        <w:widowControl/>
        <w:kinsoku/>
        <w:wordWrap/>
        <w:overflowPunct/>
        <w:topLinePunct w:val="0"/>
        <w:autoSpaceDE/>
        <w:autoSpaceDN/>
        <w:bidi w:val="0"/>
        <w:adjustRightInd w:val="0"/>
        <w:snapToGrid w:val="0"/>
        <w:spacing w:line="240" w:lineRule="atLeast"/>
        <w:ind w:firstLine="672" w:firstLineChars="200"/>
        <w:jc w:val="left"/>
        <w:outlineLvl w:val="0"/>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（一）存在的主要问题。</w:t>
      </w:r>
      <w:r>
        <w:rPr>
          <w:rFonts w:hint="eastAsia" w:ascii="仿宋_GB2312" w:hAnsi="仿宋_GB2312" w:eastAsia="仿宋_GB2312" w:cs="仿宋_GB2312"/>
          <w:sz w:val="32"/>
          <w:szCs w:val="32"/>
          <w:lang w:val="en-US" w:eastAsia="zh-CN"/>
        </w:rPr>
        <w:t>一是主动公开力度仍需进一步加大，政府效能公示力度要进一步提升。二是新媒体信息公开平台建设要进一步提升和完善。三是信息公开工作的能力建设要持续加强和推进。</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（二）改进情况。</w:t>
      </w:r>
      <w:r>
        <w:rPr>
          <w:rFonts w:hint="eastAsia" w:ascii="仿宋_GB2312" w:hAnsi="仿宋_GB2312" w:eastAsia="仿宋_GB2312" w:cs="仿宋_GB2312"/>
          <w:sz w:val="32"/>
          <w:szCs w:val="32"/>
          <w:lang w:val="en-US" w:eastAsia="zh-CN"/>
        </w:rPr>
        <w:t>一是做好信息的搜集和整理工作，不断充实公开内容，积极探索新媒体的宣传作用，明确各相关科室职责，严格执行政府信息公开规定，加大信息公开力度。二是提高信息公开工作水平，对上传资料认真审核，严把法律关、文字关和保密关，确保政务公开及时、准确、规范。三是建立健全信息公开各项制度，提高办事透明度，更好地为公众提供便利的服务，提高行政效能和政府信息公开程度，保障公众知情权、参与权、表达权和监督权。</w:t>
      </w:r>
    </w:p>
    <w:p>
      <w:pPr>
        <w:widowControl/>
        <w:spacing w:line="560" w:lineRule="exact"/>
        <w:ind w:firstLine="672" w:firstLineChars="200"/>
        <w:jc w:val="left"/>
        <w:outlineLvl w:val="0"/>
        <w:rPr>
          <w:rFonts w:hint="eastAsia" w:ascii="黑体" w:hAnsi="黑体" w:eastAsia="黑体" w:cs="宋体"/>
          <w:spacing w:val="8"/>
          <w:kern w:val="0"/>
          <w:sz w:val="32"/>
          <w:szCs w:val="32"/>
          <w:lang w:val="en-US" w:eastAsia="zh-CN"/>
        </w:rPr>
      </w:pPr>
      <w:r>
        <w:rPr>
          <w:rFonts w:hint="eastAsia" w:ascii="黑体" w:hAnsi="黑体" w:eastAsia="黑体" w:cs="宋体"/>
          <w:spacing w:val="8"/>
          <w:kern w:val="0"/>
          <w:sz w:val="32"/>
          <w:szCs w:val="32"/>
          <w:lang w:val="en-US" w:eastAsia="zh-CN"/>
        </w:rPr>
        <w:t>六、其他需要报告的事项</w:t>
      </w:r>
    </w:p>
    <w:p>
      <w:pPr>
        <w:pStyle w:val="7"/>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textAlignment w:val="auto"/>
        <w:outlineLvl w:val="9"/>
        <w:rPr>
          <w:rFonts w:hint="eastAsia"/>
          <w:color w:val="auto"/>
        </w:rPr>
      </w:pPr>
      <w:r>
        <w:rPr>
          <w:rFonts w:hint="eastAsia" w:ascii="仿宋_GB2312" w:hAnsi="仿宋_GB2312" w:eastAsia="仿宋_GB2312" w:cs="仿宋_GB2312"/>
          <w:color w:val="auto"/>
          <w:kern w:val="2"/>
          <w:sz w:val="32"/>
          <w:szCs w:val="32"/>
          <w:lang w:val="en-US" w:eastAsia="zh-CN" w:bidi="ar-SA"/>
        </w:rPr>
        <w:t>我单位本年度发出收费通知的件数和总金额以及实际收取的总金额均为0。</w:t>
      </w:r>
    </w:p>
    <w:p>
      <w:bookmarkStart w:id="0" w:name="_GoBack"/>
      <w:bookmarkEnd w:id="0"/>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4941"/>
    <w:rsid w:val="01620136"/>
    <w:rsid w:val="067103A7"/>
    <w:rsid w:val="07947BA0"/>
    <w:rsid w:val="07E068D3"/>
    <w:rsid w:val="080B250C"/>
    <w:rsid w:val="08800188"/>
    <w:rsid w:val="08B229AC"/>
    <w:rsid w:val="08EB129B"/>
    <w:rsid w:val="0BA41FB7"/>
    <w:rsid w:val="0C716973"/>
    <w:rsid w:val="0D7E3BB3"/>
    <w:rsid w:val="0ECE393F"/>
    <w:rsid w:val="0FCD2DDC"/>
    <w:rsid w:val="10157487"/>
    <w:rsid w:val="117112DF"/>
    <w:rsid w:val="12B23C92"/>
    <w:rsid w:val="131D43C1"/>
    <w:rsid w:val="13BB4C9C"/>
    <w:rsid w:val="143153E5"/>
    <w:rsid w:val="147A0C66"/>
    <w:rsid w:val="15596D65"/>
    <w:rsid w:val="183264A9"/>
    <w:rsid w:val="191C2F00"/>
    <w:rsid w:val="1C0E70C1"/>
    <w:rsid w:val="1CFA433B"/>
    <w:rsid w:val="1D635AF4"/>
    <w:rsid w:val="1DDB39A9"/>
    <w:rsid w:val="1E4457DD"/>
    <w:rsid w:val="20950C96"/>
    <w:rsid w:val="20CC314D"/>
    <w:rsid w:val="21326E30"/>
    <w:rsid w:val="2145055C"/>
    <w:rsid w:val="22BE36D1"/>
    <w:rsid w:val="23C9310D"/>
    <w:rsid w:val="25B6095A"/>
    <w:rsid w:val="25FD47D9"/>
    <w:rsid w:val="27AE772C"/>
    <w:rsid w:val="281747F2"/>
    <w:rsid w:val="29217BFF"/>
    <w:rsid w:val="2A4243E9"/>
    <w:rsid w:val="2C0977D1"/>
    <w:rsid w:val="2D8D3086"/>
    <w:rsid w:val="2F671AE7"/>
    <w:rsid w:val="2F886B8B"/>
    <w:rsid w:val="30844065"/>
    <w:rsid w:val="315A3FB4"/>
    <w:rsid w:val="325F15C6"/>
    <w:rsid w:val="33853A2E"/>
    <w:rsid w:val="33EE52A0"/>
    <w:rsid w:val="34FB47E3"/>
    <w:rsid w:val="38C452DB"/>
    <w:rsid w:val="3A201806"/>
    <w:rsid w:val="3CBA5878"/>
    <w:rsid w:val="3DAB5504"/>
    <w:rsid w:val="3EE531CD"/>
    <w:rsid w:val="3F876FEA"/>
    <w:rsid w:val="3FAB1469"/>
    <w:rsid w:val="40AA6542"/>
    <w:rsid w:val="40CB3DDA"/>
    <w:rsid w:val="427547C3"/>
    <w:rsid w:val="42F10598"/>
    <w:rsid w:val="435B0020"/>
    <w:rsid w:val="44310F69"/>
    <w:rsid w:val="44DB5723"/>
    <w:rsid w:val="472257E8"/>
    <w:rsid w:val="491853A4"/>
    <w:rsid w:val="491F5DEE"/>
    <w:rsid w:val="4BB72D60"/>
    <w:rsid w:val="4D6A6AC0"/>
    <w:rsid w:val="4E043ED7"/>
    <w:rsid w:val="4EAC3955"/>
    <w:rsid w:val="4EB71187"/>
    <w:rsid w:val="530947A8"/>
    <w:rsid w:val="53910277"/>
    <w:rsid w:val="54BE4D3F"/>
    <w:rsid w:val="554C03E5"/>
    <w:rsid w:val="5689541A"/>
    <w:rsid w:val="577F3352"/>
    <w:rsid w:val="57E53119"/>
    <w:rsid w:val="58AA0B69"/>
    <w:rsid w:val="59F412BC"/>
    <w:rsid w:val="5A421E89"/>
    <w:rsid w:val="5A451D05"/>
    <w:rsid w:val="5A9F30CE"/>
    <w:rsid w:val="5B5F12C7"/>
    <w:rsid w:val="5C234A26"/>
    <w:rsid w:val="5C742712"/>
    <w:rsid w:val="5DEE7B97"/>
    <w:rsid w:val="5E6E4A62"/>
    <w:rsid w:val="5F4F4806"/>
    <w:rsid w:val="64440598"/>
    <w:rsid w:val="64965B85"/>
    <w:rsid w:val="656A59AD"/>
    <w:rsid w:val="65FB3DDB"/>
    <w:rsid w:val="684F4AF4"/>
    <w:rsid w:val="6AC711B0"/>
    <w:rsid w:val="6D627FB7"/>
    <w:rsid w:val="6DE326C7"/>
    <w:rsid w:val="6EFC1CF7"/>
    <w:rsid w:val="6F702CD5"/>
    <w:rsid w:val="6F7F1509"/>
    <w:rsid w:val="6FEB4F74"/>
    <w:rsid w:val="725441FF"/>
    <w:rsid w:val="7579273B"/>
    <w:rsid w:val="765436A7"/>
    <w:rsid w:val="76DC639C"/>
    <w:rsid w:val="780C2B04"/>
    <w:rsid w:val="787A292D"/>
    <w:rsid w:val="79C5211E"/>
    <w:rsid w:val="79E74681"/>
    <w:rsid w:val="7BCB0B83"/>
    <w:rsid w:val="7BCF7D26"/>
    <w:rsid w:val="7D8608FF"/>
    <w:rsid w:val="7DE86361"/>
    <w:rsid w:val="7F147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rPr>
  </w:style>
  <w:style w:type="paragraph" w:styleId="3">
    <w:name w:val="heading 1"/>
    <w:basedOn w:val="1"/>
    <w:next w:val="1"/>
    <w:link w:val="22"/>
    <w:qFormat/>
    <w:uiPriority w:val="0"/>
    <w:pPr>
      <w:keepNext/>
      <w:keepLines/>
      <w:spacing w:line="560" w:lineRule="exact"/>
      <w:ind w:firstLine="640"/>
      <w:jc w:val="both"/>
      <w:outlineLvl w:val="0"/>
    </w:pPr>
    <w:rPr>
      <w:rFonts w:ascii="Calibri" w:hAnsi="Calibri" w:eastAsia="方正小标宋简体" w:cs="Calibri"/>
      <w:kern w:val="44"/>
      <w:sz w:val="44"/>
      <w:szCs w:val="21"/>
    </w:rPr>
  </w:style>
  <w:style w:type="paragraph" w:styleId="4">
    <w:name w:val="heading 2"/>
    <w:basedOn w:val="1"/>
    <w:next w:val="1"/>
    <w:link w:val="23"/>
    <w:unhideWhenUsed/>
    <w:qFormat/>
    <w:uiPriority w:val="0"/>
    <w:pPr>
      <w:keepNext/>
      <w:keepLines/>
      <w:spacing w:line="560" w:lineRule="exact"/>
      <w:jc w:val="center"/>
      <w:outlineLvl w:val="1"/>
    </w:pPr>
    <w:rPr>
      <w:rFonts w:ascii="Cambria" w:hAnsi="Cambria" w:eastAsia="方正小标宋简体" w:cs="黑体"/>
      <w:bCs/>
      <w:sz w:val="44"/>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link w:val="13"/>
    <w:unhideWhenUsed/>
    <w:qFormat/>
    <w:uiPriority w:val="1"/>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6">
    <w:name w:val="toc 3"/>
    <w:basedOn w:val="1"/>
    <w:next w:val="1"/>
    <w:unhideWhenUsed/>
    <w:qFormat/>
    <w:uiPriority w:val="39"/>
    <w:pPr>
      <w:ind w:left="840" w:leftChars="400"/>
    </w:pPr>
  </w:style>
  <w:style w:type="paragraph" w:styleId="7">
    <w:name w:val="Plain Text"/>
    <w:basedOn w:val="1"/>
    <w:qFormat/>
    <w:uiPriority w:val="0"/>
    <w:rPr>
      <w:rFonts w:ascii="宋体" w:hAnsi="Courier New"/>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 Char"/>
    <w:basedOn w:val="1"/>
    <w:link w:val="12"/>
    <w:qFormat/>
    <w:uiPriority w:val="0"/>
    <w:pPr>
      <w:widowControl/>
      <w:spacing w:after="160" w:afterLines="0" w:line="240" w:lineRule="exact"/>
      <w:jc w:val="left"/>
    </w:pPr>
  </w:style>
  <w:style w:type="character" w:styleId="14">
    <w:name w:val="FollowedHyperlink"/>
    <w:basedOn w:val="12"/>
    <w:qFormat/>
    <w:uiPriority w:val="0"/>
    <w:rPr>
      <w:color w:val="800080"/>
      <w:u w:val="none"/>
    </w:rPr>
  </w:style>
  <w:style w:type="character" w:styleId="15">
    <w:name w:val="Hyperlink"/>
    <w:basedOn w:val="12"/>
    <w:qFormat/>
    <w:uiPriority w:val="0"/>
    <w:rPr>
      <w:color w:val="0000FF"/>
      <w:u w:val="none"/>
    </w:rPr>
  </w:style>
  <w:style w:type="paragraph" w:customStyle="1" w:styleId="16">
    <w:name w:val=" Char3"/>
    <w:basedOn w:val="1"/>
    <w:link w:val="12"/>
    <w:qFormat/>
    <w:uiPriority w:val="0"/>
    <w:pPr>
      <w:widowControl/>
      <w:spacing w:after="160" w:afterLines="0" w:line="240" w:lineRule="exact"/>
      <w:jc w:val="left"/>
    </w:pPr>
  </w:style>
  <w:style w:type="paragraph" w:customStyle="1" w:styleId="17">
    <w:name w:val=" Char4"/>
    <w:basedOn w:val="1"/>
    <w:link w:val="12"/>
    <w:qFormat/>
    <w:uiPriority w:val="0"/>
    <w:pPr>
      <w:widowControl/>
      <w:spacing w:after="160" w:afterLines="0" w:line="240" w:lineRule="exact"/>
      <w:jc w:val="left"/>
    </w:pPr>
  </w:style>
  <w:style w:type="paragraph" w:customStyle="1" w:styleId="18">
    <w:name w:val=" Char2"/>
    <w:basedOn w:val="1"/>
    <w:link w:val="12"/>
    <w:qFormat/>
    <w:uiPriority w:val="0"/>
    <w:pPr>
      <w:widowControl/>
      <w:spacing w:after="160" w:afterLines="0" w:line="240" w:lineRule="exact"/>
      <w:jc w:val="left"/>
    </w:pPr>
  </w:style>
  <w:style w:type="paragraph" w:customStyle="1" w:styleId="19">
    <w:name w:val=" Char6"/>
    <w:basedOn w:val="1"/>
    <w:link w:val="12"/>
    <w:qFormat/>
    <w:uiPriority w:val="0"/>
    <w:pPr>
      <w:widowControl/>
      <w:spacing w:after="160" w:afterLines="0" w:line="240" w:lineRule="exact"/>
      <w:jc w:val="left"/>
    </w:pPr>
  </w:style>
  <w:style w:type="paragraph" w:customStyle="1" w:styleId="20">
    <w:name w:val=" Char5"/>
    <w:basedOn w:val="1"/>
    <w:link w:val="12"/>
    <w:qFormat/>
    <w:uiPriority w:val="0"/>
    <w:pPr>
      <w:widowControl/>
      <w:spacing w:after="160" w:afterLines="0" w:line="240" w:lineRule="exact"/>
      <w:jc w:val="left"/>
    </w:pPr>
  </w:style>
  <w:style w:type="paragraph" w:customStyle="1" w:styleId="21">
    <w:name w:val=" Char1"/>
    <w:basedOn w:val="1"/>
    <w:link w:val="12"/>
    <w:qFormat/>
    <w:uiPriority w:val="0"/>
    <w:pPr>
      <w:widowControl/>
      <w:spacing w:after="160" w:afterLines="0" w:line="240" w:lineRule="exact"/>
      <w:jc w:val="left"/>
    </w:pPr>
  </w:style>
  <w:style w:type="character" w:customStyle="1" w:styleId="22">
    <w:name w:val="标题 1 Char"/>
    <w:basedOn w:val="12"/>
    <w:link w:val="3"/>
    <w:qFormat/>
    <w:uiPriority w:val="9"/>
    <w:rPr>
      <w:rFonts w:ascii="Calibri" w:hAnsi="Calibri" w:eastAsia="方正小标宋简体" w:cs="Calibri"/>
      <w:bCs/>
      <w:kern w:val="44"/>
      <w:sz w:val="44"/>
      <w:szCs w:val="21"/>
    </w:rPr>
  </w:style>
  <w:style w:type="character" w:customStyle="1" w:styleId="23">
    <w:name w:val="标题 2 Char"/>
    <w:basedOn w:val="12"/>
    <w:link w:val="4"/>
    <w:semiHidden/>
    <w:qFormat/>
    <w:uiPriority w:val="9"/>
    <w:rPr>
      <w:rFonts w:ascii="Cambria" w:hAnsi="Cambria" w:eastAsia="方正小标宋简体" w:cs="黑体"/>
      <w:bCs/>
      <w:sz w:val="44"/>
      <w:szCs w:val="32"/>
    </w:rPr>
  </w:style>
  <w:style w:type="paragraph" w:customStyle="1" w:styleId="24">
    <w:name w:val="样式1"/>
    <w:basedOn w:val="3"/>
    <w:next w:val="1"/>
    <w:qFormat/>
    <w:uiPriority w:val="0"/>
  </w:style>
  <w:style w:type="character" w:customStyle="1" w:styleId="25">
    <w:name w:val="font1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信息公开科</cp:lastModifiedBy>
  <dcterms:modified xsi:type="dcterms:W3CDTF">2022-01-19T08:40:54Z</dcterms:modified>
  <dc:title>北京市大兴区黄村镇人民政府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