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北京市大兴区礼贤镇人民政府</w:t>
      </w:r>
    </w:p>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年政府信息公开工作年度报告</w:t>
      </w:r>
    </w:p>
    <w:p>
      <w:pPr>
        <w:spacing w:line="560" w:lineRule="exact"/>
        <w:jc w:val="center"/>
        <w:rPr>
          <w:sz w:val="44"/>
          <w:szCs w:val="44"/>
        </w:rPr>
      </w:pP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宋体" w:eastAsia="仿宋_GB2312" w:cs="宋体"/>
          <w:spacing w:val="8"/>
          <w:kern w:val="0"/>
          <w:sz w:val="32"/>
          <w:szCs w:val="32"/>
          <w:highlight w:val="none"/>
          <w:lang w:val="en-US" w:eastAsia="zh-CN"/>
        </w:rPr>
        <w:t>1.</w:t>
      </w:r>
      <w:r>
        <w:rPr>
          <w:rFonts w:hint="eastAsia" w:ascii="仿宋_GB2312" w:hAnsi="仿宋_GB2312" w:eastAsia="仿宋_GB2312" w:cs="仿宋_GB2312"/>
          <w:b/>
          <w:bCs/>
          <w:color w:val="auto"/>
          <w:kern w:val="2"/>
          <w:sz w:val="32"/>
          <w:szCs w:val="32"/>
          <w:lang w:val="en-US" w:eastAsia="zh-CN" w:bidi="ar-SA"/>
        </w:rPr>
        <w:t>组织领导</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rPr>
        <w:t>20</w:t>
      </w:r>
      <w:r>
        <w:rPr>
          <w:rFonts w:hint="eastAsia" w:ascii="仿宋_GB2312" w:hAnsi="宋体" w:eastAsia="仿宋_GB2312" w:cs="宋体"/>
          <w:spacing w:val="8"/>
          <w:kern w:val="0"/>
          <w:sz w:val="32"/>
          <w:szCs w:val="32"/>
          <w:highlight w:val="none"/>
          <w:lang w:val="en-US" w:eastAsia="zh-CN"/>
        </w:rPr>
        <w:t>21</w:t>
      </w:r>
      <w:r>
        <w:rPr>
          <w:rFonts w:hint="eastAsia" w:ascii="仿宋_GB2312" w:hAnsi="宋体" w:eastAsia="仿宋_GB2312" w:cs="宋体"/>
          <w:spacing w:val="8"/>
          <w:kern w:val="0"/>
          <w:sz w:val="32"/>
          <w:szCs w:val="32"/>
          <w:highlight w:val="none"/>
        </w:rPr>
        <w:t>年,礼贤镇</w:t>
      </w:r>
      <w:r>
        <w:rPr>
          <w:rFonts w:hint="eastAsia" w:ascii="仿宋_GB2312" w:hAnsi="宋体" w:eastAsia="仿宋_GB2312" w:cs="宋体"/>
          <w:spacing w:val="8"/>
          <w:kern w:val="0"/>
          <w:sz w:val="32"/>
          <w:szCs w:val="32"/>
          <w:highlight w:val="none"/>
          <w:lang w:eastAsia="zh-CN"/>
        </w:rPr>
        <w:t>不断加强政府信息公开组织领导，</w:t>
      </w:r>
      <w:r>
        <w:rPr>
          <w:rFonts w:hint="eastAsia" w:ascii="仿宋_GB2312" w:hAnsi="宋体" w:eastAsia="仿宋_GB2312" w:cs="宋体"/>
          <w:spacing w:val="8"/>
          <w:kern w:val="0"/>
          <w:sz w:val="32"/>
          <w:szCs w:val="32"/>
          <w:highlight w:val="none"/>
        </w:rPr>
        <w:t>形成由镇</w:t>
      </w:r>
      <w:r>
        <w:rPr>
          <w:rFonts w:hint="eastAsia" w:ascii="仿宋_GB2312" w:hAnsi="宋体" w:eastAsia="仿宋_GB2312" w:cs="宋体"/>
          <w:spacing w:val="8"/>
          <w:kern w:val="0"/>
          <w:sz w:val="32"/>
          <w:szCs w:val="32"/>
          <w:highlight w:val="none"/>
          <w:lang w:val="en-US" w:eastAsia="zh-CN"/>
        </w:rPr>
        <w:t>党委副书记</w:t>
      </w:r>
      <w:r>
        <w:rPr>
          <w:rFonts w:hint="eastAsia" w:ascii="仿宋_GB2312" w:hAnsi="宋体" w:eastAsia="仿宋_GB2312" w:cs="宋体"/>
          <w:spacing w:val="8"/>
          <w:kern w:val="0"/>
          <w:sz w:val="32"/>
          <w:szCs w:val="32"/>
          <w:highlight w:val="none"/>
        </w:rPr>
        <w:t>负责,</w:t>
      </w:r>
      <w:r>
        <w:rPr>
          <w:rFonts w:hint="eastAsia" w:ascii="仿宋_GB2312" w:hAnsi="宋体" w:eastAsia="仿宋_GB2312" w:cs="宋体"/>
          <w:spacing w:val="8"/>
          <w:kern w:val="0"/>
          <w:sz w:val="32"/>
          <w:szCs w:val="32"/>
          <w:highlight w:val="none"/>
          <w:lang w:val="en-US" w:eastAsia="zh-CN"/>
        </w:rPr>
        <w:t>综合保障办公室（办公室）</w:t>
      </w:r>
      <w:r>
        <w:rPr>
          <w:rFonts w:hint="eastAsia" w:ascii="仿宋_GB2312" w:hAnsi="宋体" w:eastAsia="仿宋_GB2312" w:cs="宋体"/>
          <w:spacing w:val="8"/>
          <w:kern w:val="0"/>
          <w:sz w:val="32"/>
          <w:szCs w:val="32"/>
          <w:highlight w:val="none"/>
        </w:rPr>
        <w:t>、</w:t>
      </w:r>
      <w:r>
        <w:rPr>
          <w:rFonts w:hint="eastAsia" w:ascii="仿宋_GB2312" w:hAnsi="宋体" w:eastAsia="仿宋_GB2312" w:cs="宋体"/>
          <w:spacing w:val="8"/>
          <w:kern w:val="0"/>
          <w:sz w:val="32"/>
          <w:szCs w:val="32"/>
          <w:highlight w:val="none"/>
          <w:lang w:val="en-US" w:eastAsia="zh-CN"/>
        </w:rPr>
        <w:t>市民活动中心（</w:t>
      </w:r>
      <w:r>
        <w:rPr>
          <w:rFonts w:hint="eastAsia" w:ascii="仿宋_GB2312" w:hAnsi="宋体" w:eastAsia="仿宋_GB2312" w:cs="宋体"/>
          <w:spacing w:val="8"/>
          <w:kern w:val="0"/>
          <w:sz w:val="32"/>
          <w:szCs w:val="32"/>
          <w:highlight w:val="none"/>
        </w:rPr>
        <w:t>宣传文体</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rPr>
        <w:t>具体落实,各科室积极配合的信息公开工作体制，进一步</w:t>
      </w:r>
      <w:r>
        <w:rPr>
          <w:rFonts w:hint="eastAsia" w:ascii="仿宋_GB2312" w:hAnsi="宋体" w:eastAsia="仿宋_GB2312" w:cs="宋体"/>
          <w:spacing w:val="8"/>
          <w:kern w:val="0"/>
          <w:sz w:val="32"/>
          <w:szCs w:val="32"/>
          <w:highlight w:val="none"/>
          <w:lang w:val="en-US" w:eastAsia="zh-CN"/>
        </w:rPr>
        <w:t>提高政府工作透明度</w:t>
      </w:r>
      <w:r>
        <w:rPr>
          <w:rFonts w:hint="eastAsia" w:ascii="仿宋_GB2312" w:hAnsi="宋体" w:eastAsia="仿宋_GB2312" w:cs="宋体"/>
          <w:spacing w:val="8"/>
          <w:kern w:val="0"/>
          <w:sz w:val="32"/>
          <w:szCs w:val="32"/>
          <w:highlight w:val="none"/>
        </w:rPr>
        <w:t>,保障人民群众知情权、参与权、表达权、监督权。</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2.主动公开</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全年通过不同渠道和方式主动公开政府信息1786条,其中政府网站158条，政务微信1464条，政务微博164条。政府网站公开包括大兴动态、通知公告等动态类信息69条、重点领域85条、规范性文件4条。</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3.依申请公开</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rPr>
      </w:pPr>
      <w:r>
        <w:rPr>
          <w:rFonts w:hint="eastAsia" w:ascii="仿宋_GB2312" w:hAnsi="宋体" w:eastAsia="仿宋_GB2312" w:cs="宋体"/>
          <w:spacing w:val="8"/>
          <w:kern w:val="0"/>
          <w:sz w:val="32"/>
          <w:szCs w:val="32"/>
          <w:highlight w:val="none"/>
        </w:rPr>
        <w:t>全年共收到依申请公开</w:t>
      </w:r>
      <w:r>
        <w:rPr>
          <w:rFonts w:hint="eastAsia" w:ascii="仿宋_GB2312" w:hAnsi="宋体" w:eastAsia="仿宋_GB2312" w:cs="宋体"/>
          <w:spacing w:val="8"/>
          <w:kern w:val="0"/>
          <w:sz w:val="32"/>
          <w:szCs w:val="32"/>
          <w:highlight w:val="none"/>
          <w:lang w:val="en-US" w:eastAsia="zh-CN"/>
        </w:rPr>
        <w:t>24</w:t>
      </w:r>
      <w:r>
        <w:rPr>
          <w:rFonts w:hint="eastAsia" w:ascii="仿宋_GB2312" w:hAnsi="宋体" w:eastAsia="仿宋_GB2312" w:cs="宋体"/>
          <w:spacing w:val="8"/>
          <w:kern w:val="0"/>
          <w:sz w:val="32"/>
          <w:szCs w:val="32"/>
          <w:highlight w:val="none"/>
        </w:rPr>
        <w:t>件，已办结</w:t>
      </w:r>
      <w:r>
        <w:rPr>
          <w:rFonts w:hint="eastAsia" w:ascii="仿宋_GB2312" w:hAnsi="宋体" w:eastAsia="仿宋_GB2312" w:cs="宋体"/>
          <w:spacing w:val="8"/>
          <w:kern w:val="0"/>
          <w:sz w:val="32"/>
          <w:szCs w:val="32"/>
          <w:highlight w:val="none"/>
          <w:lang w:val="en-US" w:eastAsia="zh-CN"/>
        </w:rPr>
        <w:t>24</w:t>
      </w:r>
      <w:r>
        <w:rPr>
          <w:rFonts w:hint="eastAsia" w:ascii="仿宋_GB2312" w:hAnsi="宋体" w:eastAsia="仿宋_GB2312" w:cs="宋体"/>
          <w:spacing w:val="8"/>
          <w:kern w:val="0"/>
          <w:sz w:val="32"/>
          <w:szCs w:val="32"/>
          <w:highlight w:val="none"/>
        </w:rPr>
        <w:t>件。本年依申请公开内容主要围绕拆迁腾退补偿政策、安置方案及补偿款发放等,还有其他事项。</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4.政府信息管理</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严格</w:t>
      </w:r>
      <w:r>
        <w:rPr>
          <w:rFonts w:hint="default" w:ascii="仿宋_GB2312" w:hAnsi="宋体" w:eastAsia="仿宋_GB2312" w:cs="宋体"/>
          <w:spacing w:val="8"/>
          <w:kern w:val="0"/>
          <w:sz w:val="32"/>
          <w:szCs w:val="32"/>
          <w:highlight w:val="none"/>
          <w:lang w:val="en-US" w:eastAsia="zh-CN"/>
        </w:rPr>
        <w:t>文件公开属性源头管理、</w:t>
      </w:r>
      <w:r>
        <w:rPr>
          <w:rFonts w:hint="eastAsia" w:ascii="仿宋_GB2312" w:hAnsi="宋体" w:eastAsia="仿宋_GB2312" w:cs="宋体"/>
          <w:spacing w:val="8"/>
          <w:kern w:val="0"/>
          <w:sz w:val="32"/>
          <w:szCs w:val="32"/>
          <w:highlight w:val="none"/>
          <w:lang w:val="en-US" w:eastAsia="zh-CN"/>
        </w:rPr>
        <w:t>建立保密审查制度，按照要求修订公开</w:t>
      </w:r>
      <w:r>
        <w:rPr>
          <w:rFonts w:hint="default" w:ascii="仿宋_GB2312" w:hAnsi="宋体" w:eastAsia="仿宋_GB2312" w:cs="宋体"/>
          <w:spacing w:val="8"/>
          <w:kern w:val="0"/>
          <w:sz w:val="32"/>
          <w:szCs w:val="32"/>
          <w:highlight w:val="none"/>
          <w:lang w:val="en-US" w:eastAsia="zh-CN"/>
        </w:rPr>
        <w:t>全清单</w:t>
      </w:r>
      <w:r>
        <w:rPr>
          <w:rFonts w:hint="eastAsia" w:ascii="仿宋_GB2312" w:hAnsi="宋体" w:eastAsia="仿宋_GB2312" w:cs="宋体"/>
          <w:spacing w:val="8"/>
          <w:kern w:val="0"/>
          <w:sz w:val="32"/>
          <w:szCs w:val="32"/>
          <w:highlight w:val="none"/>
          <w:lang w:val="en-US" w:eastAsia="zh-CN"/>
        </w:rPr>
        <w:t>。加强</w:t>
      </w:r>
      <w:r>
        <w:rPr>
          <w:rFonts w:hint="eastAsia" w:ascii="仿宋_GB2312" w:hAnsi="仿宋_GB2312" w:eastAsia="仿宋_GB2312" w:cs="仿宋_GB2312"/>
          <w:kern w:val="2"/>
          <w:sz w:val="32"/>
          <w:szCs w:val="32"/>
          <w:lang w:val="en-US" w:eastAsia="zh-CN" w:bidi="ar"/>
        </w:rPr>
        <w:t>“国门新礼贤”微信公众号、“国门新礼贤”政务微博建设，建立礼贤镇政府门户网站发布信息内容保障制度、政务新媒体发布信息内容保障制度。</w:t>
      </w:r>
      <w:r>
        <w:rPr>
          <w:rFonts w:hint="eastAsia" w:ascii="仿宋_GB2312" w:hAnsi="宋体" w:eastAsia="仿宋_GB2312" w:cs="宋体"/>
          <w:spacing w:val="8"/>
          <w:kern w:val="0"/>
          <w:sz w:val="32"/>
          <w:szCs w:val="32"/>
          <w:highlight w:val="none"/>
          <w:lang w:val="en-US" w:eastAsia="zh-CN"/>
        </w:rPr>
        <w:t>在区政府门户网站公开“政务开放日”信息，组织实地“政务开放日”活动，邀请人大代表、政协委员、群众代表、媒体记者参加。</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5.政府信息公开平台建设</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2021年，我镇继续</w:t>
      </w:r>
      <w:r>
        <w:rPr>
          <w:rFonts w:hint="eastAsia" w:ascii="仿宋_GB2312" w:hAnsi="宋体" w:eastAsia="仿宋_GB2312" w:cs="宋体"/>
          <w:spacing w:val="8"/>
          <w:kern w:val="0"/>
          <w:sz w:val="32"/>
          <w:szCs w:val="32"/>
          <w:highlight w:val="none"/>
        </w:rPr>
        <w:t>加强政府信息规范化、标准化管理，编制政府信息公开指南、公开目录、公开全清单</w:t>
      </w:r>
      <w:r>
        <w:rPr>
          <w:rFonts w:hint="eastAsia" w:ascii="仿宋_GB2312" w:hAnsi="宋体" w:eastAsia="仿宋_GB2312" w:cs="宋体"/>
          <w:spacing w:val="8"/>
          <w:kern w:val="0"/>
          <w:sz w:val="32"/>
          <w:szCs w:val="32"/>
          <w:highlight w:val="none"/>
          <w:lang w:eastAsia="zh-CN"/>
        </w:rPr>
        <w:t>，</w:t>
      </w:r>
      <w:r>
        <w:rPr>
          <w:rFonts w:hint="eastAsia" w:ascii="仿宋_GB2312" w:hAnsi="宋体" w:eastAsia="仿宋_GB2312" w:cs="宋体"/>
          <w:spacing w:val="8"/>
          <w:kern w:val="0"/>
          <w:sz w:val="32"/>
          <w:szCs w:val="32"/>
          <w:highlight w:val="none"/>
          <w:lang w:val="en-US" w:eastAsia="zh-CN"/>
        </w:rPr>
        <w:t>更新内设机构、所属机构，</w:t>
      </w:r>
      <w:r>
        <w:rPr>
          <w:rFonts w:hint="eastAsia" w:ascii="仿宋_GB2312" w:hAnsi="宋体" w:eastAsia="仿宋_GB2312" w:cs="宋体"/>
          <w:spacing w:val="8"/>
          <w:kern w:val="0"/>
          <w:sz w:val="32"/>
          <w:szCs w:val="32"/>
          <w:highlight w:val="none"/>
        </w:rPr>
        <w:t>为政府信息公开工作奠定制度及人员基础。</w:t>
      </w:r>
      <w:r>
        <w:rPr>
          <w:rFonts w:hint="eastAsia" w:ascii="仿宋_GB2312" w:hAnsi="宋体" w:eastAsia="仿宋_GB2312" w:cs="宋体"/>
          <w:spacing w:val="8"/>
          <w:kern w:val="0"/>
          <w:sz w:val="32"/>
          <w:szCs w:val="32"/>
          <w:highlight w:val="none"/>
          <w:lang w:val="en-US" w:eastAsia="zh-CN"/>
        </w:rPr>
        <w:t>每月按时报送政务新媒体信息更新报备表。对依申请答复的规范性、保密性进行审查。</w:t>
      </w:r>
    </w:p>
    <w:p>
      <w:pPr>
        <w:keepNext w:val="0"/>
        <w:keepLines w:val="0"/>
        <w:pageBreakBefore w:val="0"/>
        <w:widowControl w:val="0"/>
        <w:kinsoku/>
        <w:wordWrap/>
        <w:overflowPunct/>
        <w:topLinePunct w:val="0"/>
        <w:autoSpaceDE/>
        <w:autoSpaceDN/>
        <w:bidi w:val="0"/>
        <w:adjustRightInd/>
        <w:snapToGrid w:val="0"/>
        <w:spacing w:line="560" w:lineRule="exact"/>
        <w:ind w:firstLine="643"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仿宋_GB2312" w:eastAsia="仿宋_GB2312" w:cs="仿宋_GB2312"/>
          <w:b/>
          <w:bCs/>
          <w:color w:val="auto"/>
          <w:kern w:val="2"/>
          <w:sz w:val="32"/>
          <w:szCs w:val="32"/>
          <w:lang w:val="en-US" w:eastAsia="zh-CN" w:bidi="ar-SA"/>
        </w:rPr>
        <w:t>6.教育培训</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组织负责信息公开的人员去区里参加教育培训2次。</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eastAsia"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7.</w:t>
      </w:r>
      <w:r>
        <w:rPr>
          <w:rFonts w:hint="eastAsia" w:ascii="仿宋_GB2312" w:hAnsi="仿宋_GB2312" w:eastAsia="仿宋_GB2312" w:cs="仿宋_GB2312"/>
          <w:b/>
          <w:bCs/>
          <w:color w:val="auto"/>
          <w:kern w:val="2"/>
          <w:sz w:val="32"/>
          <w:szCs w:val="32"/>
          <w:lang w:val="en-US" w:eastAsia="zh-CN" w:bidi="ar-SA"/>
        </w:rPr>
        <w:t>监督保障</w:t>
      </w:r>
    </w:p>
    <w:p>
      <w:pPr>
        <w:keepNext w:val="0"/>
        <w:keepLines w:val="0"/>
        <w:pageBreakBefore w:val="0"/>
        <w:widowControl w:val="0"/>
        <w:kinsoku/>
        <w:wordWrap/>
        <w:overflowPunct/>
        <w:topLinePunct w:val="0"/>
        <w:autoSpaceDE/>
        <w:autoSpaceDN/>
        <w:bidi w:val="0"/>
        <w:adjustRightInd/>
        <w:snapToGrid w:val="0"/>
        <w:spacing w:line="560" w:lineRule="exact"/>
        <w:ind w:firstLine="672" w:firstLineChars="200"/>
        <w:jc w:val="both"/>
        <w:textAlignment w:val="auto"/>
        <w:rPr>
          <w:rFonts w:hint="default" w:ascii="仿宋_GB2312" w:hAnsi="宋体" w:eastAsia="仿宋_GB2312" w:cs="宋体"/>
          <w:spacing w:val="8"/>
          <w:kern w:val="0"/>
          <w:sz w:val="32"/>
          <w:szCs w:val="32"/>
          <w:highlight w:val="none"/>
          <w:lang w:val="en-US" w:eastAsia="zh-CN"/>
        </w:rPr>
      </w:pPr>
      <w:r>
        <w:rPr>
          <w:rFonts w:hint="eastAsia" w:ascii="仿宋_GB2312" w:hAnsi="宋体" w:eastAsia="仿宋_GB2312" w:cs="宋体"/>
          <w:spacing w:val="8"/>
          <w:kern w:val="0"/>
          <w:sz w:val="32"/>
          <w:szCs w:val="32"/>
          <w:highlight w:val="none"/>
          <w:lang w:val="en-US" w:eastAsia="zh-CN"/>
        </w:rPr>
        <w:t>2021年度，接受第三方测评，针对反馈问题，做到及时整改。建立政务服务“好差评”制度，落实“好差评”评价、反馈、整改、监督全流程闭环工作机制，确保差评件件有整改、有反馈。按照要求及时在大兴区政府网站和礼贤镇政府信息公开大厅公开相关信息，保持依申请政府信息公开渠道畅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72" w:firstLineChars="200"/>
        <w:textAlignment w:val="auto"/>
        <w:rPr>
          <w:rFonts w:hint="eastAsia" w:ascii="黑体" w:hAnsi="黑体" w:eastAsia="黑体" w:cs="黑体"/>
          <w:sz w:val="32"/>
          <w:szCs w:val="32"/>
        </w:rPr>
      </w:pPr>
      <w:r>
        <w:rPr>
          <w:rFonts w:hint="eastAsia" w:ascii="黑体" w:hAnsi="黑体" w:eastAsia="黑体" w:cs="宋体"/>
          <w:spacing w:val="8"/>
          <w:kern w:val="0"/>
          <w:sz w:val="32"/>
          <w:szCs w:val="32"/>
          <w:lang w:eastAsia="zh-CN"/>
        </w:rPr>
        <w:t>二、</w:t>
      </w:r>
      <w:r>
        <w:rPr>
          <w:rFonts w:hint="eastAsia" w:ascii="黑体" w:hAnsi="黑体" w:eastAsia="黑体" w:cs="宋体"/>
          <w:spacing w:val="8"/>
          <w:kern w:val="0"/>
          <w:sz w:val="32"/>
          <w:szCs w:val="32"/>
        </w:rPr>
        <w:t>主动公开政府信息情况</w:t>
      </w:r>
    </w:p>
    <w:tbl>
      <w:tblPr>
        <w:tblStyle w:val="6"/>
        <w:tblpPr w:leftFromText="180" w:rightFromText="180" w:vertAnchor="text" w:horzAnchor="page" w:tblpX="1221" w:tblpY="203"/>
        <w:tblOverlap w:val="never"/>
        <w:tblW w:w="97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2</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6</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宋体" w:hAnsi="宋体" w:cs="宋体"/>
                <w:color w:val="000000"/>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9740" w:type="dxa"/>
            <w:gridSpan w:val="4"/>
            <w:tcBorders>
              <w:top w:val="nil"/>
              <w:left w:val="single" w:color="auto" w:sz="8" w:space="0"/>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trPr>
        <w:tc>
          <w:tcPr>
            <w:tcW w:w="2435" w:type="dxa"/>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jc w:val="center"/>
              <w:rPr>
                <w:rFonts w:hint="eastAsia" w:ascii="宋体" w:eastAsia="宋体"/>
                <w:sz w:val="24"/>
                <w:szCs w:val="24"/>
                <w:lang w:val="en-US" w:eastAsia="zh-CN"/>
              </w:rPr>
            </w:pPr>
            <w:r>
              <w:rPr>
                <w:rFonts w:hint="eastAsia" w:ascii="宋体"/>
                <w:sz w:val="24"/>
                <w:szCs w:val="24"/>
                <w:lang w:val="en-US" w:eastAsia="zh-CN"/>
              </w:rPr>
              <w:t>0</w:t>
            </w:r>
          </w:p>
        </w:tc>
      </w:tr>
    </w:tbl>
    <w:p>
      <w:pPr>
        <w:pStyle w:val="4"/>
        <w:rPr>
          <w:rFonts w:hint="eastAsia"/>
        </w:rPr>
      </w:pPr>
    </w:p>
    <w:p>
      <w:pPr>
        <w:pStyle w:val="4"/>
        <w:numPr>
          <w:ilvl w:val="0"/>
          <w:numId w:val="0"/>
        </w:numPr>
        <w:rPr>
          <w:rFonts w:hint="eastAsi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收到和处理政府信息公开申请情况</w:t>
      </w:r>
    </w:p>
    <w:tbl>
      <w:tblPr>
        <w:tblStyle w:val="6"/>
        <w:tblpPr w:leftFromText="180" w:rightFromText="180" w:vertAnchor="text" w:horzAnchor="page" w:tblpX="1231" w:tblpY="79"/>
        <w:tblOverlap w:val="never"/>
        <w:tblW w:w="9748"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ascii="Calibri" w:hAnsi="Calibri" w:cs="Calibri"/>
                <w:kern w:val="0"/>
                <w:sz w:val="20"/>
                <w:szCs w:val="20"/>
                <w:lang w:val="en-US" w:eastAsia="zh-CN" w:bidi="ar"/>
              </w:rPr>
              <w:t> </w:t>
            </w:r>
            <w:r>
              <w:rPr>
                <w:rFonts w:hint="eastAsia" w:ascii="Calibri" w:hAnsi="Calibri" w:cs="Calibri"/>
                <w:kern w:val="0"/>
                <w:sz w:val="20"/>
                <w:szCs w:val="20"/>
                <w:lang w:val="en-US" w:eastAsia="zh-CN" w:bidi="ar"/>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restart"/>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11</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default"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 xml:space="preserve"> 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 xml:space="preserve"> 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1</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11</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trPr>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1</w:t>
            </w:r>
            <w:r>
              <w:rPr>
                <w:rFonts w:hint="default" w:ascii="Calibri" w:hAnsi="Calibri" w:cs="Calibri"/>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 xml:space="preserve">      1</w:t>
            </w: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 xml:space="preserve">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eastAsia" w:ascii="Calibri" w:hAnsi="Calibri" w:cs="Calibri"/>
                <w:kern w:val="0"/>
                <w:sz w:val="20"/>
                <w:szCs w:val="20"/>
                <w:lang w:val="en-US" w:eastAsia="zh-CN" w:bidi="ar"/>
              </w:rPr>
              <w:t xml:space="preserve">     </w:t>
            </w: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shd w:val="clear" w:color="auto" w:fill="DDEBF7"/>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768" w:type="dxa"/>
            <w:vMerge w:val="continue"/>
            <w:tcBorders>
              <w:top w:val="nil"/>
              <w:left w:val="single" w:color="auto" w:sz="8" w:space="0"/>
              <w:bottom w:val="outset" w:color="auto" w:sz="8" w:space="0"/>
              <w:right w:val="single" w:color="auto" w:sz="8" w:space="0"/>
            </w:tcBorders>
            <w:shd w:val="clear" w:color="auto" w:fill="BDD7EE"/>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shd w:val="clear" w:color="auto" w:fill="DDEBF7"/>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24</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Calibri" w:hAnsi="Calibri" w:cs="Calibri"/>
                <w:kern w:val="0"/>
                <w:sz w:val="20"/>
                <w:szCs w:val="20"/>
                <w:lang w:val="en-US" w:eastAsia="zh-CN" w:bidi="ar"/>
              </w:rPr>
              <w:t>24</w:t>
            </w:r>
            <w:r>
              <w:rPr>
                <w:rFonts w:hint="default" w:ascii="Calibri" w:hAnsi="Calibri" w:cs="Calibri"/>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c>
          <w:tcPr>
            <w:tcW w:w="4931" w:type="dxa"/>
            <w:gridSpan w:val="3"/>
            <w:tcBorders>
              <w:top w:val="nil"/>
              <w:left w:val="single" w:color="auto" w:sz="8" w:space="0"/>
              <w:bottom w:val="single" w:color="auto" w:sz="8" w:space="0"/>
              <w:right w:val="single" w:color="auto" w:sz="8" w:space="0"/>
            </w:tcBorders>
            <w:shd w:val="clear" w:color="auto" w:fill="BDD7EE"/>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Calibri" w:hAnsi="Calibri" w:cs="Calibri"/>
                <w:kern w:val="0"/>
                <w:sz w:val="20"/>
                <w:szCs w:val="20"/>
                <w:lang w:val="en-US" w:eastAsia="zh-CN" w:bidi="ar"/>
              </w:rPr>
            </w:pPr>
            <w:r>
              <w:rPr>
                <w:rFonts w:hint="eastAsia" w:ascii="Calibri" w:hAnsi="Calibri" w:cs="Calibri"/>
                <w:kern w:val="0"/>
                <w:sz w:val="20"/>
                <w:szCs w:val="20"/>
                <w:lang w:val="en-US" w:eastAsia="zh-CN" w:bidi="ar"/>
              </w:rPr>
              <w:t xml:space="preserve">  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8"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0</w:t>
            </w:r>
          </w:p>
        </w:tc>
        <w:tc>
          <w:tcPr>
            <w:tcW w:w="689" w:type="dxa"/>
            <w:tcBorders>
              <w:top w:val="outset" w:color="auto" w:sz="6" w:space="0"/>
              <w:left w:val="nil"/>
              <w:bottom w:val="outset" w:color="auto" w:sz="6" w:space="0"/>
              <w:right w:val="outset" w:color="auto" w:sz="6" w:space="0"/>
            </w:tcBorders>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Calibri" w:hAnsi="Calibri" w:cs="Calibri"/>
                <w:kern w:val="0"/>
                <w:sz w:val="20"/>
                <w:szCs w:val="20"/>
                <w:lang w:val="en-US" w:eastAsia="zh-CN" w:bidi="ar"/>
              </w:rPr>
            </w:pPr>
            <w:r>
              <w:rPr>
                <w:rFonts w:hint="eastAsia" w:ascii="Calibri" w:hAnsi="Calibri" w:cs="Calibri"/>
                <w:kern w:val="0"/>
                <w:sz w:val="20"/>
                <w:szCs w:val="20"/>
                <w:lang w:val="en-US" w:eastAsia="zh-CN" w:bidi="ar"/>
              </w:rPr>
              <w:t xml:space="preserve">  0 </w:t>
            </w:r>
          </w:p>
        </w:tc>
      </w:tr>
    </w:tbl>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p>
    <w:p>
      <w:pPr>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tbl>
      <w:tblPr>
        <w:tblStyle w:val="6"/>
        <w:tblW w:w="9748"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ascii="黑体" w:hAnsi="宋体" w:eastAsia="黑体" w:cs="黑体"/>
                <w:kern w:val="0"/>
                <w:sz w:val="20"/>
                <w:szCs w:val="20"/>
                <w:lang w:val="en-US" w:eastAsia="zh-CN" w:bidi="ar"/>
              </w:rPr>
              <w:t>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1</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1</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2</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default"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w:t>
            </w:r>
            <w:r>
              <w:rPr>
                <w:rFonts w:hint="default" w:ascii="黑体" w:hAnsi="宋体" w:eastAsia="黑体" w:cs="黑体"/>
                <w:kern w:val="0"/>
                <w:sz w:val="20"/>
                <w:szCs w:val="20"/>
                <w:lang w:val="en-US" w:eastAsia="zh-CN" w:bidi="ar"/>
              </w:rPr>
              <w:t>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宋体"/>
                <w:sz w:val="24"/>
                <w:szCs w:val="24"/>
                <w:lang w:val="en-US" w:eastAsia="zh-CN"/>
              </w:rPr>
            </w:pPr>
            <w:r>
              <w:rPr>
                <w:rFonts w:hint="eastAsia" w:ascii="宋体"/>
                <w:sz w:val="24"/>
                <w:szCs w:val="24"/>
                <w:lang w:val="en-US" w:eastAsia="zh-CN"/>
              </w:rPr>
              <w:t>0</w:t>
            </w:r>
          </w:p>
        </w:tc>
      </w:tr>
    </w:tbl>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default"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highlight w:val="none"/>
          <w:lang w:val="en-US" w:eastAsia="zh-CN"/>
        </w:rPr>
        <w:t>一是群众参与度有待进一步提升。群众了解政务信息多倾向于政务公开公告栏、微信公众号等，亲身参与度不高。对此，我镇将加强政务公开力度，开展政务开放日活动，邀请群众现场参与，提升群众参与度。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二是依申请公开答复的有效性有待提高。对此，我镇建立镇党委副书记负责，综合保障办公室（办公室）牵头，司法所和相关责任科室积极配合的多方工作机制，详细研究答复方案，确保答复内容详实有效。</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是主动公开的政府信息与公众的需求还存在一些距离。对此，一方面加强各科室人员培训，严格按照重点领域政务公开责任清单有关要素、时效等的要求公开政府信息。另一方面加大各科室主动公开力度，着力加强工作的跟踪落实和责任追究。</w:t>
      </w:r>
    </w:p>
    <w:p>
      <w:pPr>
        <w:ind w:firstLine="672" w:firstLineChars="200"/>
        <w:jc w:val="both"/>
        <w:rPr>
          <w:rFonts w:hint="eastAsia"/>
        </w:rPr>
      </w:pPr>
      <w:r>
        <w:rPr>
          <w:rFonts w:ascii="黑体" w:hAnsi="黑体" w:eastAsia="黑体" w:cs="宋体"/>
          <w:spacing w:val="8"/>
          <w:kern w:val="0"/>
          <w:sz w:val="32"/>
          <w:szCs w:val="32"/>
        </w:rPr>
        <w:t>六、其他需要报告的事项</w:t>
      </w:r>
    </w:p>
    <w:p>
      <w:pPr>
        <w:pStyle w:val="4"/>
        <w:ind w:firstLine="640" w:firstLineChars="200"/>
      </w:pPr>
      <w:r>
        <w:rPr>
          <w:rFonts w:hint="eastAsia" w:ascii="仿宋_GB2312" w:hAnsi="宋体" w:eastAsia="仿宋_GB2312" w:cs="宋体"/>
          <w:spacing w:val="0"/>
          <w:kern w:val="0"/>
          <w:sz w:val="32"/>
          <w:szCs w:val="32"/>
          <w:lang w:val="en-US" w:eastAsia="zh-CN" w:bidi="ar-SA"/>
        </w:rPr>
        <w:t>我镇本年度</w:t>
      </w:r>
      <w:bookmarkStart w:id="0" w:name="_GoBack"/>
      <w:bookmarkEnd w:id="0"/>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发出收费通知的件数和总金额以及实际收取的总金额均为0</w:t>
      </w:r>
      <w:r>
        <w:rPr>
          <w:rFonts w:hint="eastAsia" w:ascii="仿宋_GB2312" w:hAnsi="宋体" w:eastAsia="仿宋_GB2312" w:cs="宋体"/>
          <w:spacing w:val="8"/>
          <w:kern w:val="0"/>
          <w:sz w:val="32"/>
          <w:szCs w:val="32"/>
          <w:lang w:eastAsia="zh-CN"/>
        </w:rPr>
        <w:t>。</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pStyle w:val="5"/>
                      <w:rPr>
                        <w:rFonts w:hint="eastAsia"/>
                      </w:rPr>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1248F4"/>
    <w:rsid w:val="08AA4ACB"/>
    <w:rsid w:val="0B204D5C"/>
    <w:rsid w:val="0F23645E"/>
    <w:rsid w:val="10A71A0A"/>
    <w:rsid w:val="10AD18C0"/>
    <w:rsid w:val="14731ED0"/>
    <w:rsid w:val="19F72204"/>
    <w:rsid w:val="1F721645"/>
    <w:rsid w:val="373C6606"/>
    <w:rsid w:val="39F137F7"/>
    <w:rsid w:val="3A1C6763"/>
    <w:rsid w:val="444477F9"/>
    <w:rsid w:val="45AB1D2A"/>
    <w:rsid w:val="580B6410"/>
    <w:rsid w:val="593B5891"/>
    <w:rsid w:val="5EC537F0"/>
    <w:rsid w:val="5F9A69AE"/>
    <w:rsid w:val="60B73C03"/>
    <w:rsid w:val="615C08C6"/>
    <w:rsid w:val="65E77D67"/>
    <w:rsid w:val="68696D0B"/>
    <w:rsid w:val="716C164D"/>
    <w:rsid w:val="78176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2022-01-04T07:47:00Z</dcterms:created>
  <dc:creator>lx-bgs-cxg</dc:creator>
  <cp:lastModifiedBy>qlg</cp:lastModifiedBy>
  <dcterms:modified xsi:type="dcterms:W3CDTF">2022-01-19T07:41:42Z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3F14D567F1E04B5BA37A6483924EDAB4</vt:lpwstr>
  </property>
</Properties>
</file>