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北京市大兴区水务局</w:t>
      </w:r>
    </w:p>
    <w:p>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年大兴区水务局</w:t>
      </w:r>
      <w:r>
        <w:rPr>
          <w:rFonts w:hint="eastAsia" w:ascii="仿宋_GB2312" w:hAnsi="仿宋_GB2312" w:eastAsia="仿宋_GB2312" w:cs="仿宋_GB2312"/>
          <w:sz w:val="32"/>
          <w:szCs w:val="32"/>
          <w:lang w:eastAsia="zh-CN"/>
        </w:rPr>
        <w:t>按照政府信息公开</w:t>
      </w:r>
      <w:r>
        <w:rPr>
          <w:rFonts w:hint="eastAsia" w:ascii="仿宋_GB2312" w:hAnsi="仿宋_GB2312" w:eastAsia="仿宋_GB2312" w:cs="仿宋_GB2312"/>
          <w:sz w:val="32"/>
          <w:szCs w:val="32"/>
        </w:rPr>
        <w:t>要求，加强领导，狠抓落实，积极开展政府</w:t>
      </w:r>
      <w:bookmarkStart w:id="0" w:name="_GoBack"/>
      <w:bookmarkEnd w:id="0"/>
      <w:r>
        <w:rPr>
          <w:rFonts w:hint="eastAsia" w:ascii="仿宋_GB2312" w:hAnsi="仿宋_GB2312" w:eastAsia="仿宋_GB2312" w:cs="仿宋_GB2312"/>
          <w:sz w:val="32"/>
          <w:szCs w:val="32"/>
        </w:rPr>
        <w:t>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1.组织领导情况：深入贯彻落实区委、区政府决策部署，严格落实政府信息公开要求，结合重点工作任务，明确目标，分解任务，压实责任，细化工作内容，主动发布信息，积极回应社会关切，优化大兴区水务局信息公开工作小组结构，由政务公开分管领导负责政务信息公开整体部署和工作推进及审核，政务公开工作人员具体负责日常事务，协同推进政务信息公开工作，持续稳步推进政府信息公开工作，提升政务服务水平，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2.主动公开情况：2022年大兴区水务局主动公开政府信息132条，分别为通知公告10条、动态信息16条、专项规划1条、预决算4条、执法公示101条。主动公开政府信息工作安排专人负责，全面抓好落实。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依申请公开办理情况：持续提升依申请公开工作质量，严格执行《大兴区水务局依申请政府信息公开办理办法（暂行）》，切实做到依申请公开工作在办理流程、答复时限、答复内容等方面合法合规。2022年，我局办理依申请公开1件。水政监察执法科负责依申请公开的受理、登记、答复等相关工作，受理登记后进入具体办理流程，相关业务科室出具答复意见，水政监察执法科出具答复告知书，由法律顾问审核后回复申请人。2022年，参加区司法局、区政务服务管理局政府信息依申请公开答复培训2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4.政府信息管理情况</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fill="FFFFFF"/>
        </w:rPr>
        <w:t>制定本局信息公开责任分工，明确各科室职责；完善政府信息审批流程，保障政府信息公开工作的规范性、准确性、合法性；积极参与政府信息公开平台完善整改工作</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5.政府信息公开平台建设情况：2022年大兴区水务局依托区政府网站、官方微博及官方微信公众号，开展政府信息公开工作，共发布微博322条，微信公众号文章448篇，收到良好成效。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6.教育培训情况：2022年大兴区水务局组织相关工作人员学习</w:t>
      </w:r>
      <w:r>
        <w:rPr>
          <w:rFonts w:hint="eastAsia" w:ascii="仿宋_GB2312" w:hAnsi="仿宋_GB2312" w:eastAsia="仿宋_GB2312" w:cs="仿宋_GB2312"/>
          <w:spacing w:val="8"/>
          <w:kern w:val="0"/>
          <w:sz w:val="32"/>
          <w:szCs w:val="32"/>
        </w:rPr>
        <w:t>《条例》</w:t>
      </w:r>
      <w:r>
        <w:rPr>
          <w:rFonts w:hint="eastAsia" w:ascii="仿宋_GB2312" w:hAnsi="仿宋_GB2312" w:eastAsia="仿宋_GB2312" w:cs="仿宋_GB2312"/>
          <w:sz w:val="32"/>
          <w:szCs w:val="32"/>
          <w:lang w:val="en-US" w:eastAsia="zh-CN"/>
        </w:rPr>
        <w:t>、《北京市基层政务公开全流程》，参加了区政务服务局组织的政务公开培训，为进一步做好政务公开工作奠定了基础。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7.监督保障情况：大兴区水务局将政务公开工作纳入本局全年考核的重要内容，并加强督查。</w:t>
      </w:r>
      <w:r>
        <w:rPr>
          <w:rFonts w:hint="eastAsia" w:ascii="仿宋_GB2312" w:hAnsi="宋体" w:eastAsia="仿宋_GB2312" w:cs="宋体"/>
          <w:color w:val="auto"/>
          <w:spacing w:val="8"/>
          <w:kern w:val="0"/>
          <w:sz w:val="32"/>
          <w:szCs w:val="32"/>
          <w:lang w:val="en-US" w:eastAsia="zh-CN" w:bidi="ar-SA"/>
        </w:rPr>
        <w:t>在收到政</w:t>
      </w:r>
      <w:r>
        <w:rPr>
          <w:rFonts w:hint="eastAsia" w:ascii="仿宋_GB2312" w:hAnsi="宋体" w:eastAsia="仿宋_GB2312" w:cs="宋体"/>
          <w:spacing w:val="8"/>
          <w:kern w:val="0"/>
          <w:sz w:val="32"/>
          <w:szCs w:val="32"/>
          <w:lang w:val="en-US" w:eastAsia="zh-CN" w:bidi="ar-SA"/>
        </w:rPr>
        <w:t>务公开第三方测评报告后，大兴区水务局对其指出的问题和建议进行认真细致的分析，找出工作中出现的薄弱环节，对出现问题进行及时整改。同时利用公众号等群众留言渠道，</w:t>
      </w:r>
      <w:r>
        <w:rPr>
          <w:rFonts w:hint="eastAsia" w:ascii="仿宋_GB2312" w:hAnsi="仿宋_GB2312" w:eastAsia="仿宋_GB2312" w:cs="仿宋_GB2312"/>
          <w:sz w:val="32"/>
          <w:szCs w:val="32"/>
          <w:lang w:val="en-US" w:eastAsia="zh-CN"/>
        </w:rPr>
        <w:t>保障公开渠道畅通。</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rPr>
          <w:rFonts w:hint="eastAsia"/>
        </w:rPr>
      </w:pPr>
    </w:p>
    <w:p>
      <w:pPr>
        <w:pStyle w:val="3"/>
        <w:numPr>
          <w:ilvl w:val="0"/>
          <w:numId w:val="0"/>
        </w:numPr>
        <w:rPr>
          <w:rFonts w:hint="eastAsia"/>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eastAsia" w:ascii="宋体" w:hAnsi="宋体" w:eastAsia="宋体" w:cs="宋体"/>
                <w:color w:val="000000"/>
                <w:kern w:val="0"/>
                <w:sz w:val="20"/>
                <w:szCs w:val="20"/>
                <w:lang w:val="en-US" w:eastAsia="zh-CN" w:bidi="ar"/>
              </w:rPr>
              <w:t>0　　</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602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14548.63</w:t>
            </w:r>
          </w:p>
        </w:tc>
      </w:tr>
    </w:tbl>
    <w:p>
      <w:pPr>
        <w:pStyle w:val="3"/>
        <w:numPr>
          <w:ilvl w:val="0"/>
          <w:numId w:val="0"/>
        </w:numPr>
        <w:rPr>
          <w:rFonts w:hint="eastAsia"/>
        </w:rPr>
      </w:pPr>
    </w:p>
    <w:p>
      <w:pPr>
        <w:pStyle w:val="3"/>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outset" w:color="auto" w:sz="6" w:space="0"/>
              <w:left w:val="nil"/>
              <w:bottom w:val="outset" w:color="auto" w:sz="6" w:space="0"/>
              <w:right w:val="outset" w:color="auto" w:sz="6" w:space="0"/>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区水务局政府信息公开工作还存在不足：政府信息公开工作能力还有待提高。对信息公开条例及相关知识学习研究不深入、提升素质能力方面投入的精力不充分，对信息公开知识掌握不够丰富，工作开展不够全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整改措施：区水务局高度重视，加强政务公开工作人员队伍建设，按要求参加上级组织的政务公开培训，定期开展条例知识学习，提高工作人员综合素质和业务能力。　</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仿宋_GB2312" w:eastAsia="仿宋_GB2312" w:cs="仿宋_GB2312"/>
          <w:sz w:val="32"/>
          <w:szCs w:val="32"/>
          <w:lang w:val="en-US" w:eastAsia="zh-CN"/>
        </w:rPr>
      </w:pPr>
      <w:r>
        <w:rPr>
          <w:rFonts w:ascii="宋体" w:hAnsi="宋体" w:cs="宋体"/>
          <w:spacing w:val="8"/>
          <w:kern w:val="0"/>
          <w:sz w:val="32"/>
          <w:szCs w:val="32"/>
        </w:rPr>
        <w:t>　　</w:t>
      </w:r>
      <w:r>
        <w:rPr>
          <w:rFonts w:hint="eastAsia" w:ascii="仿宋_GB2312" w:hAnsi="仿宋_GB2312" w:eastAsia="仿宋_GB2312" w:cs="仿宋_GB2312"/>
          <w:sz w:val="32"/>
          <w:szCs w:val="32"/>
          <w:lang w:val="en-US" w:eastAsia="zh-CN"/>
        </w:rPr>
        <w:t>我单位本年度发出收费通知的件数和总金额以及实际收取的总金额均为0。</w:t>
      </w:r>
    </w:p>
    <w:p>
      <w:pPr>
        <w:pStyle w:val="3"/>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3"/>
        <w:spacing w:line="560" w:lineRule="exact"/>
        <w:rPr>
          <w:rFonts w:hint="eastAsia"/>
          <w:highlight w:val="none"/>
        </w:rPr>
      </w:pPr>
    </w:p>
    <w:p>
      <w:pPr>
        <w:pStyle w:val="3"/>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726786-B29B-426D-B169-2053CDDE9D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59C4F88-8DC7-4A1B-A64D-1CE5FB47EBBE}"/>
  </w:font>
  <w:font w:name="方正小标宋简体">
    <w:panose1 w:val="02000000000000000000"/>
    <w:charset w:val="86"/>
    <w:family w:val="auto"/>
    <w:pitch w:val="default"/>
    <w:sig w:usb0="00000001" w:usb1="08000000" w:usb2="00000000" w:usb3="00000000" w:csb0="00040000" w:csb1="00000000"/>
    <w:embedRegular r:id="rId3" w:fontKey="{894C25DE-92B4-4194-B22A-49CFE86DBDDB}"/>
  </w:font>
  <w:font w:name="微软雅黑">
    <w:panose1 w:val="020B0503020204020204"/>
    <w:charset w:val="86"/>
    <w:family w:val="swiss"/>
    <w:pitch w:val="default"/>
    <w:sig w:usb0="80000287" w:usb1="2ACF3C50" w:usb2="00000016" w:usb3="00000000" w:csb0="0004001F" w:csb1="00000000"/>
    <w:embedRegular r:id="rId4" w:fontKey="{AD2767AC-517D-46DC-85A8-2C27DC33DEB2}"/>
  </w:font>
  <w:font w:name="仿宋_GB2312">
    <w:altName w:val="仿宋"/>
    <w:panose1 w:val="02010609030101010101"/>
    <w:charset w:val="86"/>
    <w:family w:val="modern"/>
    <w:pitch w:val="default"/>
    <w:sig w:usb0="00000000" w:usb1="00000000" w:usb2="00000000" w:usb3="00000000" w:csb0="00040000" w:csb1="00000000"/>
    <w:embedRegular r:id="rId5" w:fontKey="{265C8565-2C24-40D7-9C05-E3EE491FE3DD}"/>
  </w:font>
  <w:font w:name="楷体">
    <w:panose1 w:val="02010609060101010101"/>
    <w:charset w:val="86"/>
    <w:family w:val="modern"/>
    <w:pitch w:val="default"/>
    <w:sig w:usb0="800002BF" w:usb1="38CF7CFA" w:usb2="00000016" w:usb3="00000000" w:csb0="00040001" w:csb1="00000000"/>
    <w:embedRegular r:id="rId6" w:fontKey="{769DF802-79B1-47E3-960A-E1B5C7948811}"/>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26E87DBC"/>
    <w:rsid w:val="0D5B414A"/>
    <w:rsid w:val="26E87DBC"/>
    <w:rsid w:val="29FA731D"/>
    <w:rsid w:val="2D915241"/>
    <w:rsid w:val="39093DE3"/>
    <w:rsid w:val="3A1F5580"/>
    <w:rsid w:val="3B6B73A8"/>
    <w:rsid w:val="3CF75648"/>
    <w:rsid w:val="4C33192A"/>
    <w:rsid w:val="6D010B95"/>
    <w:rsid w:val="797F4B7F"/>
    <w:rsid w:val="79BB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2116</Words>
  <Characters>2185</Characters>
  <Lines>0</Lines>
  <Paragraphs>0</Paragraphs>
  <TotalTime>4</TotalTime>
  <ScaleCrop>false</ScaleCrop>
  <LinksUpToDate>false</LinksUpToDate>
  <CharactersWithSpaces>2391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2023-01-11T02:45:00Z</dcterms:created>
  <dc:creator>水务局公文</dc:creator>
  <cp:lastModifiedBy>米露露</cp:lastModifiedBy>
  <dcterms:modified xsi:type="dcterms:W3CDTF">2023-01-15T13:36:05Z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76045976EC3E420B93AE00F66649711F</vt:lpwstr>
  </property>
</Properties>
</file>